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6548B4">
      <w:pPr>
        <w:spacing w:line="800" w:lineRule="exact"/>
        <w:jc w:val="right"/>
        <w:rPr>
          <w:rFonts w:hint="eastAsia" w:ascii="楷体" w:hAnsi="楷体" w:eastAsia="楷体" w:cs="微软雅黑"/>
          <w:b/>
          <w:color w:val="000000" w:themeColor="text1"/>
          <w:sz w:val="56"/>
          <w:szCs w:val="72"/>
          <w:highlight w:val="none"/>
          <w14:textFill>
            <w14:solidFill>
              <w14:schemeClr w14:val="tx1"/>
            </w14:solidFill>
          </w14:textFill>
        </w:rPr>
      </w:pPr>
    </w:p>
    <w:p w14:paraId="6616F16B">
      <w:pPr>
        <w:spacing w:line="240" w:lineRule="auto"/>
        <w:jc w:val="center"/>
        <w:rPr>
          <w:rFonts w:hint="eastAsia" w:ascii="宋体" w:hAnsi="宋体" w:cs="微软雅黑"/>
          <w:b/>
          <w:color w:val="000000" w:themeColor="text1"/>
          <w:sz w:val="48"/>
          <w:szCs w:val="48"/>
          <w:highlight w:val="none"/>
          <w14:textFill>
            <w14:solidFill>
              <w14:schemeClr w14:val="tx1"/>
            </w14:solidFill>
          </w14:textFill>
        </w:rPr>
      </w:pPr>
      <w:bookmarkStart w:id="0" w:name="_Hlk107492878"/>
      <w:r>
        <w:rPr>
          <w:rFonts w:hint="eastAsia" w:ascii="宋体" w:hAnsi="宋体" w:cs="微软雅黑"/>
          <w:b/>
          <w:color w:val="000000" w:themeColor="text1"/>
          <w:sz w:val="48"/>
          <w:szCs w:val="48"/>
          <w:highlight w:val="none"/>
          <w14:textFill>
            <w14:solidFill>
              <w14:schemeClr w14:val="tx1"/>
            </w14:solidFill>
          </w14:textFill>
        </w:rPr>
        <w:t>湖南省新新张官高速公路建设开发有限公司</w:t>
      </w:r>
      <w:bookmarkEnd w:id="0"/>
      <w:r>
        <w:rPr>
          <w:rFonts w:hint="eastAsia" w:ascii="宋体" w:hAnsi="宋体" w:cs="微软雅黑"/>
          <w:b/>
          <w:color w:val="000000" w:themeColor="text1"/>
          <w:sz w:val="48"/>
          <w:szCs w:val="48"/>
          <w:highlight w:val="none"/>
          <w:lang w:val="en-US" w:eastAsia="zh-CN"/>
          <w14:textFill>
            <w14:solidFill>
              <w14:schemeClr w14:val="tx1"/>
            </w14:solidFill>
          </w14:textFill>
        </w:rPr>
        <w:t xml:space="preserve"> </w:t>
      </w:r>
    </w:p>
    <w:p w14:paraId="1C286FE7">
      <w:pPr>
        <w:jc w:val="center"/>
        <w:rPr>
          <w:rFonts w:hint="eastAsia" w:ascii="宋体" w:hAnsi="宋体" w:cs="微软雅黑"/>
          <w:b/>
          <w:color w:val="000000" w:themeColor="text1"/>
          <w:sz w:val="72"/>
          <w:szCs w:val="72"/>
          <w:highlight w:val="none"/>
          <w14:textFill>
            <w14:solidFill>
              <w14:schemeClr w14:val="tx1"/>
            </w14:solidFill>
          </w14:textFill>
        </w:rPr>
      </w:pPr>
    </w:p>
    <w:p w14:paraId="65BEB5F6">
      <w:pPr>
        <w:jc w:val="center"/>
        <w:rPr>
          <w:rFonts w:hint="eastAsia" w:ascii="宋体" w:hAnsi="宋体" w:cs="微软雅黑"/>
          <w:b/>
          <w:color w:val="000000" w:themeColor="text1"/>
          <w:sz w:val="72"/>
          <w:szCs w:val="72"/>
          <w:highlight w:val="none"/>
          <w14:textFill>
            <w14:solidFill>
              <w14:schemeClr w14:val="tx1"/>
            </w14:solidFill>
          </w14:textFill>
        </w:rPr>
      </w:pPr>
    </w:p>
    <w:p w14:paraId="6756798F">
      <w:pPr>
        <w:jc w:val="center"/>
        <w:rPr>
          <w:rFonts w:hint="eastAsia" w:ascii="宋体" w:hAnsi="宋体" w:cs="微软雅黑"/>
          <w:b/>
          <w:color w:val="000000" w:themeColor="text1"/>
          <w:sz w:val="72"/>
          <w:szCs w:val="72"/>
          <w:highlight w:val="none"/>
          <w14:textFill>
            <w14:solidFill>
              <w14:schemeClr w14:val="tx1"/>
            </w14:solidFill>
          </w14:textFill>
        </w:rPr>
      </w:pPr>
    </w:p>
    <w:p w14:paraId="7896B1AB">
      <w:pPr>
        <w:jc w:val="center"/>
        <w:rPr>
          <w:rFonts w:hint="eastAsia" w:ascii="宋体" w:hAnsi="宋体" w:cs="微软雅黑"/>
          <w:b/>
          <w:color w:val="000000" w:themeColor="text1"/>
          <w:sz w:val="72"/>
          <w:szCs w:val="72"/>
          <w:highlight w:val="none"/>
          <w14:textFill>
            <w14:solidFill>
              <w14:schemeClr w14:val="tx1"/>
            </w14:solidFill>
          </w14:textFill>
        </w:rPr>
      </w:pPr>
    </w:p>
    <w:p w14:paraId="596D6E88">
      <w:pPr>
        <w:spacing w:line="240" w:lineRule="auto"/>
        <w:jc w:val="center"/>
        <w:rPr>
          <w:rFonts w:hint="eastAsia" w:ascii="宋体" w:hAnsi="宋体"/>
          <w:b/>
          <w:color w:val="000000" w:themeColor="text1"/>
          <w:sz w:val="92"/>
          <w:szCs w:val="72"/>
          <w:highlight w:val="none"/>
          <w14:textFill>
            <w14:solidFill>
              <w14:schemeClr w14:val="tx1"/>
            </w14:solidFill>
          </w14:textFill>
        </w:rPr>
      </w:pPr>
      <w:r>
        <w:rPr>
          <w:rFonts w:hint="eastAsia" w:ascii="宋体" w:hAnsi="宋体" w:cs="微软雅黑"/>
          <w:b/>
          <w:color w:val="000000" w:themeColor="text1"/>
          <w:sz w:val="92"/>
          <w:szCs w:val="72"/>
          <w:highlight w:val="none"/>
          <w14:textFill>
            <w14:solidFill>
              <w14:schemeClr w14:val="tx1"/>
            </w14:solidFill>
          </w14:textFill>
        </w:rPr>
        <w:t>采购文件</w:t>
      </w:r>
    </w:p>
    <w:p w14:paraId="69A292ED">
      <w:pPr>
        <w:spacing w:line="240" w:lineRule="auto"/>
        <w:jc w:val="center"/>
        <w:rPr>
          <w:rFonts w:hint="eastAsia" w:ascii="宋体" w:hAnsi="宋体" w:cs="宋体"/>
          <w:b/>
          <w:color w:val="000000" w:themeColor="text1"/>
          <w:kern w:val="0"/>
          <w:sz w:val="40"/>
          <w:szCs w:val="40"/>
          <w:highlight w:val="none"/>
          <w14:textFill>
            <w14:solidFill>
              <w14:schemeClr w14:val="tx1"/>
            </w14:solidFill>
          </w14:textFill>
        </w:rPr>
      </w:pPr>
    </w:p>
    <w:p w14:paraId="2957D4D1">
      <w:pPr>
        <w:spacing w:line="240" w:lineRule="auto"/>
        <w:jc w:val="center"/>
        <w:rPr>
          <w:rFonts w:hint="eastAsia" w:ascii="宋体" w:hAnsi="宋体" w:cs="宋体"/>
          <w:b/>
          <w:color w:val="000000" w:themeColor="text1"/>
          <w:kern w:val="0"/>
          <w:sz w:val="40"/>
          <w:szCs w:val="40"/>
          <w:highlight w:val="none"/>
          <w14:textFill>
            <w14:solidFill>
              <w14:schemeClr w14:val="tx1"/>
            </w14:solidFill>
          </w14:textFill>
        </w:rPr>
      </w:pPr>
    </w:p>
    <w:p w14:paraId="65055F7B">
      <w:pPr>
        <w:spacing w:line="240" w:lineRule="auto"/>
        <w:jc w:val="center"/>
        <w:rPr>
          <w:color w:val="000000" w:themeColor="text1"/>
          <w:highlight w:val="none"/>
          <w14:textFill>
            <w14:solidFill>
              <w14:schemeClr w14:val="tx1"/>
            </w14:solidFill>
          </w14:textFill>
        </w:rPr>
      </w:pPr>
    </w:p>
    <w:p w14:paraId="7884BF37">
      <w:pPr>
        <w:spacing w:line="360" w:lineRule="auto"/>
        <w:ind w:firstLine="1077" w:firstLineChars="298"/>
        <w:rPr>
          <w:b/>
          <w:bCs/>
          <w:color w:val="000000" w:themeColor="text1"/>
          <w:sz w:val="36"/>
          <w:highlight w:val="none"/>
          <w14:textFill>
            <w14:solidFill>
              <w14:schemeClr w14:val="tx1"/>
            </w14:solidFill>
          </w14:textFill>
        </w:rPr>
      </w:pPr>
    </w:p>
    <w:p w14:paraId="02376CFE">
      <w:pPr>
        <w:spacing w:line="360" w:lineRule="auto"/>
        <w:ind w:firstLine="1077" w:firstLineChars="298"/>
        <w:rPr>
          <w:b/>
          <w:bCs/>
          <w:color w:val="000000" w:themeColor="text1"/>
          <w:sz w:val="36"/>
          <w:highlight w:val="none"/>
          <w14:textFill>
            <w14:solidFill>
              <w14:schemeClr w14:val="tx1"/>
            </w14:solidFill>
          </w14:textFill>
        </w:rPr>
      </w:pPr>
    </w:p>
    <w:p w14:paraId="5EF0215E">
      <w:pPr>
        <w:spacing w:line="360" w:lineRule="auto"/>
        <w:ind w:firstLine="1077" w:firstLineChars="298"/>
        <w:rPr>
          <w:b/>
          <w:bCs/>
          <w:color w:val="000000" w:themeColor="text1"/>
          <w:sz w:val="36"/>
          <w:highlight w:val="none"/>
          <w14:textFill>
            <w14:solidFill>
              <w14:schemeClr w14:val="tx1"/>
            </w14:solidFill>
          </w14:textFill>
        </w:rPr>
      </w:pPr>
    </w:p>
    <w:p w14:paraId="25C61EE5">
      <w:pPr>
        <w:spacing w:line="360" w:lineRule="auto"/>
        <w:ind w:firstLine="1077" w:firstLineChars="298"/>
        <w:rPr>
          <w:b/>
          <w:bCs/>
          <w:color w:val="000000" w:themeColor="text1"/>
          <w:sz w:val="36"/>
          <w:highlight w:val="none"/>
          <w14:textFill>
            <w14:solidFill>
              <w14:schemeClr w14:val="tx1"/>
            </w14:solidFill>
          </w14:textFill>
        </w:rPr>
      </w:pPr>
    </w:p>
    <w:p w14:paraId="7D7537A2">
      <w:pPr>
        <w:spacing w:line="360" w:lineRule="auto"/>
        <w:ind w:firstLine="1077" w:firstLineChars="298"/>
        <w:rPr>
          <w:b/>
          <w:bCs/>
          <w:color w:val="000000" w:themeColor="text1"/>
          <w:sz w:val="36"/>
          <w:highlight w:val="none"/>
          <w14:textFill>
            <w14:solidFill>
              <w14:schemeClr w14:val="tx1"/>
            </w14:solidFill>
          </w14:textFill>
        </w:rPr>
      </w:pPr>
    </w:p>
    <w:p w14:paraId="0FE88C84">
      <w:pPr>
        <w:spacing w:line="360" w:lineRule="auto"/>
        <w:ind w:left="3085" w:leftChars="532" w:hanging="1968" w:hangingChars="700"/>
        <w:rPr>
          <w:rFonts w:hint="eastAsia" w:ascii="宋体" w:hAnsi="宋体" w:cs="宋体"/>
          <w:b/>
          <w:color w:val="000000" w:themeColor="text1"/>
          <w:kern w:val="0"/>
          <w:sz w:val="28"/>
          <w:szCs w:val="28"/>
          <w:highlight w:val="none"/>
          <w:lang w:eastAsia="zh-CN"/>
          <w14:textFill>
            <w14:solidFill>
              <w14:schemeClr w14:val="tx1"/>
            </w14:solidFill>
          </w14:textFill>
        </w:rPr>
      </w:pPr>
      <w:r>
        <w:rPr>
          <w:rFonts w:hint="eastAsia" w:ascii="宋体" w:hAnsi="宋体" w:cs="宋体"/>
          <w:b/>
          <w:color w:val="000000" w:themeColor="text1"/>
          <w:kern w:val="0"/>
          <w:sz w:val="28"/>
          <w:szCs w:val="28"/>
          <w:highlight w:val="none"/>
          <w14:textFill>
            <w14:solidFill>
              <w14:schemeClr w14:val="tx1"/>
            </w14:solidFill>
          </w14:textFill>
        </w:rPr>
        <w:t>采购项目名称：</w:t>
      </w:r>
      <w:r>
        <w:rPr>
          <w:rFonts w:hint="eastAsia" w:ascii="宋体" w:hAnsi="宋体" w:cs="宋体"/>
          <w:b/>
          <w:color w:val="000000" w:themeColor="text1"/>
          <w:kern w:val="0"/>
          <w:sz w:val="28"/>
          <w:szCs w:val="28"/>
          <w:highlight w:val="none"/>
          <w:lang w:val="en-US" w:eastAsia="zh-CN"/>
          <w14:textFill>
            <w14:solidFill>
              <w14:schemeClr w14:val="tx1"/>
            </w14:solidFill>
          </w14:textFill>
        </w:rPr>
        <w:t>G59呼北高速张家界至官庄段第二标段镰刀湾特大桥施工监控技术咨询服务</w:t>
      </w:r>
    </w:p>
    <w:p w14:paraId="7A4FA9F5">
      <w:pPr>
        <w:spacing w:line="360" w:lineRule="auto"/>
        <w:ind w:firstLine="1124" w:firstLineChars="400"/>
        <w:rPr>
          <w:rFonts w:hint="eastAsia" w:ascii="宋体" w:hAnsi="宋体" w:cs="宋体"/>
          <w:b/>
          <w:color w:val="000000" w:themeColor="text1"/>
          <w:kern w:val="0"/>
          <w:sz w:val="28"/>
          <w:szCs w:val="28"/>
          <w:highlight w:val="none"/>
          <w:lang w:val="en-US" w:eastAsia="zh-CN"/>
          <w14:textFill>
            <w14:solidFill>
              <w14:schemeClr w14:val="tx1"/>
            </w14:solidFill>
          </w14:textFill>
        </w:rPr>
      </w:pPr>
      <w:r>
        <w:rPr>
          <w:rFonts w:hint="eastAsia" w:ascii="宋体" w:hAnsi="宋体" w:cs="宋体"/>
          <w:b/>
          <w:color w:val="000000" w:themeColor="text1"/>
          <w:kern w:val="0"/>
          <w:sz w:val="28"/>
          <w:szCs w:val="28"/>
          <w:highlight w:val="none"/>
          <w14:textFill>
            <w14:solidFill>
              <w14:schemeClr w14:val="tx1"/>
            </w14:solidFill>
          </w14:textFill>
        </w:rPr>
        <w:t>采购项目编号：202</w:t>
      </w:r>
      <w:r>
        <w:rPr>
          <w:rFonts w:hint="eastAsia" w:ascii="宋体" w:hAnsi="宋体" w:cs="宋体"/>
          <w:b/>
          <w:color w:val="000000" w:themeColor="text1"/>
          <w:kern w:val="0"/>
          <w:sz w:val="28"/>
          <w:szCs w:val="28"/>
          <w:highlight w:val="none"/>
          <w:lang w:val="en-US" w:eastAsia="zh-CN"/>
          <w14:textFill>
            <w14:solidFill>
              <w14:schemeClr w14:val="tx1"/>
            </w14:solidFill>
          </w14:textFill>
        </w:rPr>
        <w:t>6</w:t>
      </w:r>
      <w:r>
        <w:rPr>
          <w:rFonts w:hint="eastAsia" w:ascii="宋体" w:hAnsi="宋体" w:cs="宋体"/>
          <w:b/>
          <w:color w:val="000000" w:themeColor="text1"/>
          <w:kern w:val="0"/>
          <w:sz w:val="28"/>
          <w:szCs w:val="28"/>
          <w:highlight w:val="none"/>
          <w14:textFill>
            <w14:solidFill>
              <w14:schemeClr w14:val="tx1"/>
            </w14:solidFill>
          </w14:textFill>
        </w:rPr>
        <w:t>-</w:t>
      </w:r>
      <w:r>
        <w:rPr>
          <w:rFonts w:hint="eastAsia" w:ascii="宋体" w:hAnsi="宋体" w:cs="宋体"/>
          <w:b/>
          <w:color w:val="000000" w:themeColor="text1"/>
          <w:kern w:val="0"/>
          <w:sz w:val="28"/>
          <w:szCs w:val="28"/>
          <w:highlight w:val="none"/>
          <w:lang w:val="en-US" w:eastAsia="zh-CN"/>
          <w14:textFill>
            <w14:solidFill>
              <w14:schemeClr w14:val="tx1"/>
            </w14:solidFill>
          </w14:textFill>
        </w:rPr>
        <w:t>张家界</w:t>
      </w:r>
      <w:r>
        <w:rPr>
          <w:rFonts w:hint="eastAsia" w:ascii="宋体" w:hAnsi="宋体" w:cs="宋体"/>
          <w:b/>
          <w:color w:val="000000" w:themeColor="text1"/>
          <w:kern w:val="0"/>
          <w:sz w:val="28"/>
          <w:szCs w:val="28"/>
          <w:highlight w:val="none"/>
          <w14:textFill>
            <w14:solidFill>
              <w14:schemeClr w14:val="tx1"/>
            </w14:solidFill>
          </w14:textFill>
        </w:rPr>
        <w:t>分公司-服务-00</w:t>
      </w:r>
      <w:r>
        <w:rPr>
          <w:rFonts w:hint="eastAsia" w:ascii="宋体" w:hAnsi="宋体" w:cs="宋体"/>
          <w:b/>
          <w:color w:val="000000" w:themeColor="text1"/>
          <w:kern w:val="0"/>
          <w:sz w:val="28"/>
          <w:szCs w:val="28"/>
          <w:highlight w:val="none"/>
          <w:lang w:val="en-US" w:eastAsia="zh-CN"/>
          <w14:textFill>
            <w14:solidFill>
              <w14:schemeClr w14:val="tx1"/>
            </w14:solidFill>
          </w14:textFill>
        </w:rPr>
        <w:t>1</w:t>
      </w:r>
    </w:p>
    <w:p w14:paraId="1B4F47A5">
      <w:pPr>
        <w:spacing w:line="360" w:lineRule="auto"/>
        <w:ind w:firstLine="1124" w:firstLineChars="400"/>
        <w:rPr>
          <w:rFonts w:hint="eastAsia" w:ascii="宋体" w:hAnsi="宋体" w:cs="宋体"/>
          <w:b/>
          <w:color w:val="000000" w:themeColor="text1"/>
          <w:kern w:val="0"/>
          <w:sz w:val="28"/>
          <w:szCs w:val="28"/>
          <w:highlight w:val="none"/>
          <w14:textFill>
            <w14:solidFill>
              <w14:schemeClr w14:val="tx1"/>
            </w14:solidFill>
          </w14:textFill>
        </w:rPr>
      </w:pPr>
      <w:r>
        <w:rPr>
          <w:rFonts w:hint="eastAsia" w:ascii="宋体" w:hAnsi="宋体" w:cs="宋体"/>
          <w:b/>
          <w:color w:val="000000" w:themeColor="text1"/>
          <w:kern w:val="0"/>
          <w:sz w:val="28"/>
          <w:szCs w:val="28"/>
          <w:highlight w:val="none"/>
          <w14:textFill>
            <w14:solidFill>
              <w14:schemeClr w14:val="tx1"/>
            </w14:solidFill>
          </w14:textFill>
        </w:rPr>
        <w:t>采购单位全称：湖南省新新张官高速公路建设开发有限公司</w:t>
      </w:r>
    </w:p>
    <w:p w14:paraId="73E37A42">
      <w:pPr>
        <w:spacing w:line="360" w:lineRule="auto"/>
        <w:ind w:firstLine="3092" w:firstLineChars="1100"/>
        <w:rPr>
          <w:rFonts w:hint="eastAsia" w:ascii="宋体" w:hAnsi="宋体" w:cs="宋体"/>
          <w:b/>
          <w:color w:val="000000" w:themeColor="text1"/>
          <w:kern w:val="0"/>
          <w:sz w:val="28"/>
          <w:szCs w:val="28"/>
          <w:highlight w:val="none"/>
          <w14:textFill>
            <w14:solidFill>
              <w14:schemeClr w14:val="tx1"/>
            </w14:solidFill>
          </w14:textFill>
        </w:rPr>
      </w:pPr>
      <w:r>
        <w:rPr>
          <w:rFonts w:hint="eastAsia" w:ascii="宋体" w:hAnsi="宋体" w:cs="宋体"/>
          <w:b/>
          <w:color w:val="000000" w:themeColor="text1"/>
          <w:kern w:val="0"/>
          <w:sz w:val="28"/>
          <w:szCs w:val="28"/>
          <w:highlight w:val="none"/>
          <w:lang w:val="en-US" w:eastAsia="zh-CN"/>
          <w14:textFill>
            <w14:solidFill>
              <w14:schemeClr w14:val="tx1"/>
            </w14:solidFill>
          </w14:textFill>
        </w:rPr>
        <w:t xml:space="preserve">张家界分公司 </w:t>
      </w:r>
    </w:p>
    <w:p w14:paraId="796B366C">
      <w:pPr>
        <w:spacing w:line="360" w:lineRule="auto"/>
        <w:ind w:firstLine="1124" w:firstLineChars="400"/>
        <w:rPr>
          <w:rFonts w:hint="eastAsia" w:ascii="宋体" w:hAnsi="宋体" w:cs="宋体"/>
          <w:b/>
          <w:color w:val="000000" w:themeColor="text1"/>
          <w:kern w:val="0"/>
          <w:sz w:val="28"/>
          <w:szCs w:val="28"/>
          <w:highlight w:val="none"/>
          <w14:textFill>
            <w14:solidFill>
              <w14:schemeClr w14:val="tx1"/>
            </w14:solidFill>
          </w14:textFill>
        </w:rPr>
      </w:pPr>
      <w:r>
        <w:rPr>
          <w:rFonts w:hint="eastAsia" w:ascii="宋体" w:hAnsi="宋体" w:cs="宋体"/>
          <w:b/>
          <w:color w:val="000000" w:themeColor="text1"/>
          <w:kern w:val="0"/>
          <w:sz w:val="28"/>
          <w:szCs w:val="28"/>
          <w:highlight w:val="none"/>
          <w14:textFill>
            <w14:solidFill>
              <w14:schemeClr w14:val="tx1"/>
            </w14:solidFill>
          </w14:textFill>
        </w:rPr>
        <w:t>采购单位简称：新新张官</w:t>
      </w:r>
      <w:r>
        <w:rPr>
          <w:rFonts w:hint="eastAsia" w:ascii="宋体" w:hAnsi="宋体" w:cs="宋体"/>
          <w:b/>
          <w:color w:val="000000" w:themeColor="text1"/>
          <w:kern w:val="0"/>
          <w:sz w:val="28"/>
          <w:szCs w:val="28"/>
          <w:highlight w:val="none"/>
          <w:lang w:val="en-US" w:eastAsia="zh-CN"/>
          <w14:textFill>
            <w14:solidFill>
              <w14:schemeClr w14:val="tx1"/>
            </w14:solidFill>
          </w14:textFill>
        </w:rPr>
        <w:t>张家界</w:t>
      </w:r>
      <w:r>
        <w:rPr>
          <w:rFonts w:hint="eastAsia" w:ascii="宋体" w:hAnsi="宋体" w:cs="宋体"/>
          <w:b/>
          <w:color w:val="000000" w:themeColor="text1"/>
          <w:kern w:val="0"/>
          <w:sz w:val="28"/>
          <w:szCs w:val="28"/>
          <w:highlight w:val="none"/>
          <w:lang w:eastAsia="zh-CN"/>
          <w14:textFill>
            <w14:solidFill>
              <w14:schemeClr w14:val="tx1"/>
            </w14:solidFill>
          </w14:textFill>
        </w:rPr>
        <w:t xml:space="preserve">分公司 </w:t>
      </w:r>
    </w:p>
    <w:p w14:paraId="16D5B311">
      <w:pPr>
        <w:spacing w:line="360" w:lineRule="auto"/>
        <w:ind w:firstLine="1124" w:firstLineChars="400"/>
        <w:rPr>
          <w:rFonts w:hint="eastAsia" w:ascii="宋体" w:hAnsi="宋体" w:cs="宋体"/>
          <w:b/>
          <w:color w:val="000000" w:themeColor="text1"/>
          <w:kern w:val="0"/>
          <w:sz w:val="28"/>
          <w:szCs w:val="28"/>
          <w:highlight w:val="none"/>
          <w14:textFill>
            <w14:solidFill>
              <w14:schemeClr w14:val="tx1"/>
            </w14:solidFill>
          </w14:textFill>
        </w:rPr>
      </w:pPr>
      <w:r>
        <w:rPr>
          <w:rFonts w:hint="eastAsia" w:ascii="宋体" w:hAnsi="宋体" w:cs="宋体"/>
          <w:b/>
          <w:color w:val="000000" w:themeColor="text1"/>
          <w:kern w:val="0"/>
          <w:sz w:val="28"/>
          <w:szCs w:val="28"/>
          <w:highlight w:val="none"/>
          <w14:textFill>
            <w14:solidFill>
              <w14:schemeClr w14:val="tx1"/>
            </w14:solidFill>
          </w14:textFill>
        </w:rPr>
        <w:t>采购代理机构：中科高盛咨询集团有限公司</w:t>
      </w:r>
    </w:p>
    <w:p w14:paraId="48046739">
      <w:pPr>
        <w:spacing w:line="360" w:lineRule="auto"/>
        <w:ind w:firstLine="422" w:firstLineChars="150"/>
        <w:jc w:val="center"/>
        <w:rPr>
          <w:rFonts w:hint="eastAsia" w:ascii="宋体" w:hAnsi="宋体" w:cs="宋体"/>
          <w:b/>
          <w:color w:val="000000" w:themeColor="text1"/>
          <w:kern w:val="0"/>
          <w:sz w:val="28"/>
          <w:szCs w:val="28"/>
          <w:highlight w:val="none"/>
          <w14:textFill>
            <w14:solidFill>
              <w14:schemeClr w14:val="tx1"/>
            </w14:solidFill>
          </w14:textFill>
        </w:rPr>
      </w:pPr>
      <w:r>
        <w:rPr>
          <w:rFonts w:hint="eastAsia" w:ascii="宋体" w:hAnsi="宋体" w:cs="宋体"/>
          <w:b/>
          <w:color w:val="000000" w:themeColor="text1"/>
          <w:kern w:val="0"/>
          <w:sz w:val="28"/>
          <w:szCs w:val="28"/>
          <w:highlight w:val="none"/>
          <w14:textFill>
            <w14:solidFill>
              <w14:schemeClr w14:val="tx1"/>
            </w14:solidFill>
          </w14:textFill>
        </w:rPr>
        <w:t>202</w:t>
      </w:r>
      <w:r>
        <w:rPr>
          <w:rFonts w:hint="eastAsia" w:ascii="宋体" w:hAnsi="宋体" w:cs="宋体"/>
          <w:b/>
          <w:color w:val="000000" w:themeColor="text1"/>
          <w:kern w:val="0"/>
          <w:sz w:val="28"/>
          <w:szCs w:val="28"/>
          <w:highlight w:val="none"/>
          <w:lang w:val="en-US" w:eastAsia="zh-CN"/>
          <w14:textFill>
            <w14:solidFill>
              <w14:schemeClr w14:val="tx1"/>
            </w14:solidFill>
          </w14:textFill>
        </w:rPr>
        <w:t>6</w:t>
      </w:r>
      <w:r>
        <w:rPr>
          <w:rFonts w:hint="eastAsia" w:ascii="宋体" w:hAnsi="宋体" w:cs="宋体"/>
          <w:b/>
          <w:color w:val="000000" w:themeColor="text1"/>
          <w:kern w:val="0"/>
          <w:sz w:val="28"/>
          <w:szCs w:val="28"/>
          <w:highlight w:val="none"/>
          <w14:textFill>
            <w14:solidFill>
              <w14:schemeClr w14:val="tx1"/>
            </w14:solidFill>
          </w14:textFill>
        </w:rPr>
        <w:t>年</w:t>
      </w:r>
      <w:r>
        <w:rPr>
          <w:rFonts w:hint="eastAsia" w:ascii="宋体" w:hAnsi="宋体" w:cs="宋体"/>
          <w:b/>
          <w:color w:val="000000" w:themeColor="text1"/>
          <w:kern w:val="0"/>
          <w:sz w:val="28"/>
          <w:szCs w:val="28"/>
          <w:highlight w:val="none"/>
          <w:lang w:val="en-US" w:eastAsia="zh-CN"/>
          <w14:textFill>
            <w14:solidFill>
              <w14:schemeClr w14:val="tx1"/>
            </w14:solidFill>
          </w14:textFill>
        </w:rPr>
        <w:t>1</w:t>
      </w:r>
      <w:r>
        <w:rPr>
          <w:rFonts w:hint="eastAsia" w:ascii="宋体" w:hAnsi="宋体" w:cs="宋体"/>
          <w:b/>
          <w:color w:val="000000" w:themeColor="text1"/>
          <w:kern w:val="0"/>
          <w:sz w:val="28"/>
          <w:szCs w:val="28"/>
          <w:highlight w:val="none"/>
          <w14:textFill>
            <w14:solidFill>
              <w14:schemeClr w14:val="tx1"/>
            </w14:solidFill>
          </w14:textFill>
        </w:rPr>
        <w:t>月</w:t>
      </w:r>
    </w:p>
    <w:p w14:paraId="49354223">
      <w:pPr>
        <w:pStyle w:val="149"/>
        <w:spacing w:line="320" w:lineRule="exact"/>
        <w:ind w:firstLine="0" w:firstLineChars="0"/>
        <w:jc w:val="center"/>
        <w:rPr>
          <w:rFonts w:hint="eastAsia" w:hAnsi="宋体"/>
          <w:b/>
          <w:color w:val="000000" w:themeColor="text1"/>
          <w:szCs w:val="21"/>
          <w:highlight w:val="none"/>
          <w14:textFill>
            <w14:solidFill>
              <w14:schemeClr w14:val="tx1"/>
            </w14:solidFill>
          </w14:textFill>
        </w:rPr>
      </w:pPr>
    </w:p>
    <w:p w14:paraId="39AB5AFB">
      <w:pPr>
        <w:pStyle w:val="149"/>
        <w:spacing w:line="320" w:lineRule="exact"/>
        <w:ind w:firstLine="0" w:firstLineChars="0"/>
        <w:jc w:val="center"/>
        <w:rPr>
          <w:rFonts w:hint="eastAsia" w:hAnsi="宋体"/>
          <w:b/>
          <w:color w:val="000000" w:themeColor="text1"/>
          <w:szCs w:val="21"/>
          <w:highlight w:val="none"/>
          <w14:textFill>
            <w14:solidFill>
              <w14:schemeClr w14:val="tx1"/>
            </w14:solidFill>
          </w14:textFill>
        </w:rPr>
      </w:pPr>
    </w:p>
    <w:p w14:paraId="5F30A8B9">
      <w:pPr>
        <w:pStyle w:val="149"/>
        <w:spacing w:line="320" w:lineRule="exact"/>
        <w:ind w:firstLine="0" w:firstLineChars="0"/>
        <w:jc w:val="center"/>
        <w:rPr>
          <w:rFonts w:hint="eastAsia" w:hAnsi="宋体"/>
          <w:b/>
          <w:color w:val="000000" w:themeColor="text1"/>
          <w:szCs w:val="21"/>
          <w:highlight w:val="none"/>
          <w14:textFill>
            <w14:solidFill>
              <w14:schemeClr w14:val="tx1"/>
            </w14:solidFill>
          </w14:textFill>
        </w:rPr>
        <w:sectPr>
          <w:pgSz w:w="11906" w:h="16838"/>
          <w:pgMar w:top="1134" w:right="1134" w:bottom="1134" w:left="1134" w:header="851" w:footer="0" w:gutter="0"/>
          <w:cols w:space="720" w:num="1"/>
          <w:docGrid w:linePitch="312" w:charSpace="0"/>
        </w:sectPr>
      </w:pPr>
    </w:p>
    <w:p w14:paraId="43CC64D9">
      <w:pPr>
        <w:spacing w:line="520" w:lineRule="exact"/>
        <w:jc w:val="center"/>
        <w:rPr>
          <w:rFonts w:hint="eastAsia" w:ascii="宋体" w:hAnsi="宋体" w:cs="宋体"/>
          <w:color w:val="000000" w:themeColor="text1"/>
          <w:sz w:val="42"/>
          <w:szCs w:val="30"/>
          <w:highlight w:val="none"/>
          <w14:textFill>
            <w14:solidFill>
              <w14:schemeClr w14:val="tx1"/>
            </w14:solidFill>
          </w14:textFill>
        </w:rPr>
      </w:pPr>
      <w:r>
        <w:rPr>
          <w:rFonts w:hint="eastAsia" w:ascii="宋体" w:hAnsi="宋体" w:cs="宋体"/>
          <w:color w:val="000000" w:themeColor="text1"/>
          <w:sz w:val="42"/>
          <w:szCs w:val="30"/>
          <w:highlight w:val="none"/>
          <w14:textFill>
            <w14:solidFill>
              <w14:schemeClr w14:val="tx1"/>
            </w14:solidFill>
          </w14:textFill>
        </w:rPr>
        <w:t>编制说明</w:t>
      </w:r>
    </w:p>
    <w:p w14:paraId="3C559ABE">
      <w:pPr>
        <w:numPr>
          <w:ilvl w:val="0"/>
          <w:numId w:val="13"/>
        </w:numPr>
        <w:spacing w:line="520" w:lineRule="exact"/>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《标准采购文件》运用</w:t>
      </w:r>
    </w:p>
    <w:p w14:paraId="2E250590">
      <w:pPr>
        <w:spacing w:line="52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为了便于供应商高效阅览，《标准采购文件》第一章“采购公告”、第二章中“供应商须知前附表”和第三章中“评审办法前附表”的空格选择内容，采购人在编制采购文件时，应根据采购项目实际需要，采用画勾“√</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或涂黑的方式选择填写“□”。采购文件第二章“供应商须知”和第三章“评审办法”的正文内容编制时不应修改，所有需要修改和补充的内容都应在前附表中选择和补充列明。</w:t>
      </w:r>
    </w:p>
    <w:p w14:paraId="6F039D97">
      <w:pPr>
        <w:numPr>
          <w:ilvl w:val="0"/>
          <w:numId w:val="13"/>
        </w:numPr>
        <w:spacing w:line="520" w:lineRule="exact"/>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通用货物类采购文件简化结构</w:t>
      </w:r>
    </w:p>
    <w:p w14:paraId="28313612">
      <w:pPr>
        <w:spacing w:line="52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为适应通用货物类采购简便、高效的特性，采购人根据项目需要，可以直接在供应商须知相应条款的空格中列出有关要求，采购人可不要求通用货物类供应商提供响应文件，但通用货物类一般采用单品报价最低原则确定成交供应商。</w:t>
      </w:r>
    </w:p>
    <w:p w14:paraId="2A18C158">
      <w:pPr>
        <w:numPr>
          <w:ilvl w:val="0"/>
          <w:numId w:val="13"/>
        </w:numPr>
        <w:spacing w:line="520" w:lineRule="exact"/>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工程、货物和服务三类项目</w:t>
      </w:r>
    </w:p>
    <w:p w14:paraId="5C76F4C7">
      <w:pPr>
        <w:spacing w:line="52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《标准采购文件》中同一序号的条款后标记(A)、(B)、(C)的分别适用工程、货物和服务三类采购项目，采购文件可根据采购项目的类别，选择适用的分类条款。</w:t>
      </w:r>
    </w:p>
    <w:p w14:paraId="411FE9D9">
      <w:pPr>
        <w:numPr>
          <w:ilvl w:val="0"/>
          <w:numId w:val="13"/>
        </w:numPr>
        <w:spacing w:line="520" w:lineRule="exact"/>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选择合适评审办法和评审程序</w:t>
      </w:r>
    </w:p>
    <w:p w14:paraId="54F1EDDF">
      <w:pPr>
        <w:spacing w:line="52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采购文件第三章“评审办法”的同一序号条款分别标记了“适用询价”和“适用竞争性谈判”等程序。采购文件第三章“评审办法”的同一序号条款分别标记了“最低价法"“综合评分法”和“投票法”等评审方法，采购文件可根据采购项目的需求和特点，选择合适的评审办法。其中，“最低价法”属于“最低评审价方法”，适用需求和技术方案简单，技术标准单一的采购项目；“综合评分法”和“投票法”属于“综合评估方法”，适用需求和技术方案复杂，技术标准和价格需要通过综合比较，优化选择的采购项目。</w:t>
      </w:r>
    </w:p>
    <w:p w14:paraId="554F0F45">
      <w:pPr>
        <w:numPr>
          <w:ilvl w:val="0"/>
          <w:numId w:val="13"/>
        </w:numPr>
        <w:spacing w:line="520" w:lineRule="exact"/>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《标准采购文件》提示条款</w:t>
      </w:r>
    </w:p>
    <w:p w14:paraId="764B3778">
      <w:pPr>
        <w:spacing w:line="52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《标准采购文件》标注的内容属于提示编制采购文件的注意事项，采购文件编制时，应删除标注的内容。采购文件第六章“响应文件格式”中的标注内容是提示响应供应商的，采购文件编制时不必删除。</w:t>
      </w:r>
    </w:p>
    <w:p w14:paraId="1BBF7FAC">
      <w:pPr>
        <w:numPr>
          <w:ilvl w:val="0"/>
          <w:numId w:val="13"/>
        </w:numPr>
        <w:spacing w:line="520" w:lineRule="exact"/>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转换采购方式</w:t>
      </w:r>
    </w:p>
    <w:p w14:paraId="56ADB02E">
      <w:pPr>
        <w:spacing w:line="52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采购项目选择一家成交供应商，其响应供应商不足三家的，或者选择多家成交供应商，其响应供应商少于采购文件约定数量的(约定数量一般不少于成交供应商数量的2倍)，采购人可以按照以下情形分别处理：</w:t>
      </w:r>
    </w:p>
    <w:p w14:paraId="24594ABF">
      <w:pPr>
        <w:spacing w:line="52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a.终止询价重新组织采购。</w:t>
      </w:r>
    </w:p>
    <w:p w14:paraId="3C2972A8">
      <w:pPr>
        <w:spacing w:line="52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采购项目响应供应商没有达到规定数量，并存在以下影响公平竞争情形的，采购人应当及时在相应阶段终止询价采购， 并根据不同情形和原因，采取相应纠正措施，重新组织采购：</w:t>
      </w:r>
    </w:p>
    <w:p w14:paraId="7AF6B6BA">
      <w:pPr>
        <w:spacing w:line="52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1）未发布采购公告，或者限额以上的采购项目未在中国招标投标公共服务平台或省级招标投标公共服务平台发布采购公告的；</w:t>
      </w:r>
    </w:p>
    <w:p w14:paraId="0549A42E">
      <w:pPr>
        <w:spacing w:line="52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2）采购文件发售时间过短，或者设置不合理限制条件，以致潜在供应商无法获取采购文件的；</w:t>
      </w:r>
    </w:p>
    <w:p w14:paraId="0772B7BA">
      <w:pPr>
        <w:spacing w:line="52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3)采购文件发出到提交响应文件截止时间过短，潜在供应商编制响应文件时间不足的；</w:t>
      </w:r>
    </w:p>
    <w:p w14:paraId="1FCCE39B">
      <w:pPr>
        <w:spacing w:line="52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4)采购文件设置的项目需求技术标准要求或者供应商资格条件指向特定供应商，存在排斥歧视情形的；</w:t>
      </w:r>
    </w:p>
    <w:p w14:paraId="21E97919">
      <w:pPr>
        <w:spacing w:line="52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5)采购文件的评审办法和标准以及合同条件存在不公平或者不合理要求的；</w:t>
      </w:r>
    </w:p>
    <w:p w14:paraId="434D6FAA">
      <w:pPr>
        <w:spacing w:line="52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6)采购文件设置的最高限价过低，供应商无法完成履约的；</w:t>
      </w:r>
    </w:p>
    <w:p w14:paraId="25440BFB">
      <w:pPr>
        <w:spacing w:line="52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7)采购人其他违规和失误情形导致响应供应商数量不满足规定要求的。</w:t>
      </w:r>
    </w:p>
    <w:p w14:paraId="1597D289">
      <w:pPr>
        <w:spacing w:line="52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采购项目响应供应商没有达到规定数量，但是不存在上述影响公平竞争情形的，采购人也可以选择终止询价采购，采取相应完善措施，重新组织采购。</w:t>
      </w:r>
    </w:p>
    <w:p w14:paraId="514AE2DE">
      <w:pPr>
        <w:spacing w:line="52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b.继续询价采购。</w:t>
      </w:r>
    </w:p>
    <w:p w14:paraId="42B3B1AA">
      <w:pPr>
        <w:spacing w:line="52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采购项目不存在应该终止询</w:t>
      </w:r>
      <w:r>
        <w:rPr>
          <w:rFonts w:hint="eastAsia" w:ascii="宋体" w:hAnsi="宋体" w:cs="宋体"/>
          <w:color w:val="000000" w:themeColor="text1"/>
          <w:sz w:val="24"/>
          <w:highlight w:val="none"/>
          <w:lang w:eastAsia="zh-CN"/>
          <w14:textFill>
            <w14:solidFill>
              <w14:schemeClr w14:val="tx1"/>
            </w14:solidFill>
          </w14:textFill>
        </w:rPr>
        <w:t>价的</w:t>
      </w:r>
      <w:r>
        <w:rPr>
          <w:rFonts w:hint="eastAsia" w:ascii="宋体" w:hAnsi="宋体" w:cs="宋体"/>
          <w:color w:val="000000" w:themeColor="text1"/>
          <w:sz w:val="24"/>
          <w:highlight w:val="none"/>
          <w14:textFill>
            <w14:solidFill>
              <w14:schemeClr w14:val="tx1"/>
            </w14:solidFill>
          </w14:textFill>
        </w:rPr>
        <w:t>情形，且采购人也没有自行选择终止询价采购的，采购人可以按照询价采购文件约定程序和规则，继续开启响应文件和组织评审，完成询价采购后续程序。</w:t>
      </w:r>
    </w:p>
    <w:p w14:paraId="52250FA8">
      <w:pPr>
        <w:spacing w:line="52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当询价评审小组判断所有响应文件无效，或者所有响应报价失去竞争性，且高于市场预期价格，评审小组应当终止评审。采购人可以按照原询价采购文件约定，直接选择转换其他采购方式，与原供应商共同完成后续采购程序：采购人也可以重新组织采购。</w:t>
      </w:r>
    </w:p>
    <w:p w14:paraId="2C021C46">
      <w:pPr>
        <w:spacing w:line="52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采购人选择直接转换采购方式，供应商实际数量超过采购文件约定成交供应商数量的，采购人应当转换选择谈判采购方式：供应商实际数量等于或少于采购文件约定成交供应商数量的，采购人应当转换选择直接采购方式。</w:t>
      </w:r>
    </w:p>
    <w:p w14:paraId="54B18D7D">
      <w:pPr>
        <w:spacing w:line="52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除了采购人与响应供应商双方同意修改补充并接受新的条件和要求外，原询价采购文件与原响应文件对采购人和供应商仍然具有相应约束力。</w:t>
      </w:r>
    </w:p>
    <w:p w14:paraId="68E4B31D">
      <w:pPr>
        <w:spacing w:line="520" w:lineRule="exact"/>
        <w:ind w:firstLine="600" w:firstLineChars="200"/>
        <w:rPr>
          <w:rFonts w:hint="eastAsia" w:ascii="仿宋" w:hAnsi="仿宋" w:eastAsia="仿宋"/>
          <w:color w:val="000000" w:themeColor="text1"/>
          <w:sz w:val="30"/>
          <w:szCs w:val="30"/>
          <w:highlight w:val="none"/>
          <w14:textFill>
            <w14:solidFill>
              <w14:schemeClr w14:val="tx1"/>
            </w14:solidFill>
          </w14:textFill>
        </w:rPr>
      </w:pPr>
    </w:p>
    <w:p w14:paraId="53BA0EAD">
      <w:pPr>
        <w:spacing w:line="240" w:lineRule="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14:paraId="0C1AB1A3">
      <w:pPr>
        <w:spacing w:line="600" w:lineRule="exact"/>
        <w:jc w:val="center"/>
        <w:rPr>
          <w:rFonts w:hint="eastAsia" w:hAnsi="宋体"/>
          <w:b/>
          <w:color w:val="000000" w:themeColor="text1"/>
          <w:sz w:val="24"/>
          <w:highlight w:val="none"/>
          <w14:textFill>
            <w14:solidFill>
              <w14:schemeClr w14:val="tx1"/>
            </w14:solidFill>
          </w14:textFill>
        </w:rPr>
      </w:pPr>
    </w:p>
    <w:p w14:paraId="7FD1A8E1">
      <w:pPr>
        <w:spacing w:line="600" w:lineRule="exact"/>
        <w:jc w:val="center"/>
        <w:rPr>
          <w:rFonts w:hint="eastAsia" w:hAnsi="宋体"/>
          <w:b/>
          <w:color w:val="000000" w:themeColor="text1"/>
          <w:sz w:val="24"/>
          <w:highlight w:val="none"/>
          <w14:textFill>
            <w14:solidFill>
              <w14:schemeClr w14:val="tx1"/>
            </w14:solidFill>
          </w14:textFill>
        </w:rPr>
      </w:pPr>
    </w:p>
    <w:p w14:paraId="1A051550">
      <w:pPr>
        <w:spacing w:line="600" w:lineRule="exact"/>
        <w:jc w:val="center"/>
        <w:rPr>
          <w:rFonts w:hint="eastAsia" w:hAnsi="宋体"/>
          <w:b/>
          <w:color w:val="000000" w:themeColor="text1"/>
          <w:sz w:val="24"/>
          <w:highlight w:val="none"/>
          <w14:textFill>
            <w14:solidFill>
              <w14:schemeClr w14:val="tx1"/>
            </w14:solidFill>
          </w14:textFill>
        </w:rPr>
      </w:pPr>
    </w:p>
    <w:p w14:paraId="4A6A9391">
      <w:pPr>
        <w:spacing w:line="600" w:lineRule="exact"/>
        <w:jc w:val="center"/>
        <w:rPr>
          <w:rFonts w:hint="eastAsia" w:hAnsi="宋体"/>
          <w:b/>
          <w:color w:val="000000" w:themeColor="text1"/>
          <w:sz w:val="24"/>
          <w:highlight w:val="none"/>
          <w14:textFill>
            <w14:solidFill>
              <w14:schemeClr w14:val="tx1"/>
            </w14:solidFill>
          </w14:textFill>
        </w:rPr>
      </w:pPr>
    </w:p>
    <w:p w14:paraId="0762AE47">
      <w:pPr>
        <w:spacing w:line="600" w:lineRule="exact"/>
        <w:jc w:val="center"/>
        <w:rPr>
          <w:rFonts w:hint="eastAsia" w:hAnsi="宋体"/>
          <w:b/>
          <w:color w:val="000000" w:themeColor="text1"/>
          <w:sz w:val="24"/>
          <w:highlight w:val="none"/>
          <w14:textFill>
            <w14:solidFill>
              <w14:schemeClr w14:val="tx1"/>
            </w14:solidFill>
          </w14:textFill>
        </w:rPr>
      </w:pPr>
    </w:p>
    <w:p w14:paraId="5EA1A7CC">
      <w:pPr>
        <w:spacing w:line="600" w:lineRule="exact"/>
        <w:jc w:val="center"/>
        <w:rPr>
          <w:rFonts w:hint="eastAsia" w:ascii="黑体" w:hAnsi="黑体" w:eastAsia="黑体" w:cs="仿宋"/>
          <w:b/>
          <w:color w:val="000000" w:themeColor="text1"/>
          <w:sz w:val="44"/>
          <w:szCs w:val="44"/>
          <w:highlight w:val="none"/>
          <w14:textFill>
            <w14:solidFill>
              <w14:schemeClr w14:val="tx1"/>
            </w14:solidFill>
          </w14:textFill>
        </w:rPr>
      </w:pPr>
    </w:p>
    <w:p w14:paraId="3EFE383E">
      <w:pPr>
        <w:spacing w:line="600" w:lineRule="exact"/>
        <w:jc w:val="center"/>
        <w:rPr>
          <w:rFonts w:hint="eastAsia" w:ascii="黑体" w:hAnsi="黑体" w:eastAsia="黑体" w:cs="仿宋"/>
          <w:b/>
          <w:color w:val="000000" w:themeColor="text1"/>
          <w:sz w:val="44"/>
          <w:szCs w:val="44"/>
          <w:highlight w:val="none"/>
          <w14:textFill>
            <w14:solidFill>
              <w14:schemeClr w14:val="tx1"/>
            </w14:solidFill>
          </w14:textFill>
        </w:rPr>
      </w:pPr>
    </w:p>
    <w:p w14:paraId="687EBA4C">
      <w:pPr>
        <w:spacing w:line="600" w:lineRule="exact"/>
        <w:jc w:val="center"/>
        <w:rPr>
          <w:rFonts w:hint="eastAsia" w:ascii="黑体" w:hAnsi="黑体" w:eastAsia="黑体" w:cs="仿宋"/>
          <w:b/>
          <w:color w:val="000000" w:themeColor="text1"/>
          <w:sz w:val="44"/>
          <w:szCs w:val="44"/>
          <w:highlight w:val="none"/>
          <w14:textFill>
            <w14:solidFill>
              <w14:schemeClr w14:val="tx1"/>
            </w14:solidFill>
          </w14:textFill>
        </w:rPr>
      </w:pPr>
    </w:p>
    <w:p w14:paraId="4DC6C746">
      <w:pPr>
        <w:spacing w:line="600" w:lineRule="exact"/>
        <w:jc w:val="center"/>
        <w:rPr>
          <w:rFonts w:hint="eastAsia" w:ascii="黑体" w:hAnsi="黑体" w:eastAsia="黑体" w:cs="仿宋"/>
          <w:b/>
          <w:color w:val="000000" w:themeColor="text1"/>
          <w:sz w:val="44"/>
          <w:szCs w:val="44"/>
          <w:highlight w:val="none"/>
          <w14:textFill>
            <w14:solidFill>
              <w14:schemeClr w14:val="tx1"/>
            </w14:solidFill>
          </w14:textFill>
        </w:rPr>
      </w:pPr>
      <w:r>
        <w:rPr>
          <w:rFonts w:hint="eastAsia" w:ascii="黑体" w:hAnsi="黑体" w:eastAsia="黑体" w:cs="仿宋"/>
          <w:b/>
          <w:color w:val="000000" w:themeColor="text1"/>
          <w:sz w:val="44"/>
          <w:szCs w:val="44"/>
          <w:highlight w:val="none"/>
          <w14:textFill>
            <w14:solidFill>
              <w14:schemeClr w14:val="tx1"/>
            </w14:solidFill>
          </w14:textFill>
        </w:rPr>
        <w:t>第一章  采购公告</w:t>
      </w:r>
    </w:p>
    <w:p w14:paraId="78CBE62C">
      <w:pPr>
        <w:pStyle w:val="80"/>
        <w:spacing w:before="0" w:beforeAutospacing="0" w:after="0" w:afterAutospacing="0" w:line="360" w:lineRule="auto"/>
        <w:jc w:val="center"/>
        <w:rPr>
          <w:rFonts w:hint="eastAsia" w:ascii="黑体" w:hAnsi="黑体" w:eastAsia="黑体"/>
          <w:color w:val="000000" w:themeColor="text1"/>
          <w:sz w:val="32"/>
          <w:szCs w:val="32"/>
          <w:highlight w:val="none"/>
          <w14:textFill>
            <w14:solidFill>
              <w14:schemeClr w14:val="tx1"/>
            </w14:solidFill>
          </w14:textFill>
        </w:rPr>
        <w:sectPr>
          <w:headerReference r:id="rId5" w:type="default"/>
          <w:footerReference r:id="rId7" w:type="default"/>
          <w:headerReference r:id="rId6" w:type="even"/>
          <w:footerReference r:id="rId8" w:type="even"/>
          <w:pgSz w:w="11910" w:h="16840"/>
          <w:pgMar w:top="1440" w:right="1800" w:bottom="1440" w:left="1800" w:header="0" w:footer="1254" w:gutter="0"/>
          <w:cols w:space="720" w:num="1"/>
        </w:sectPr>
      </w:pPr>
    </w:p>
    <w:p w14:paraId="2E55A342">
      <w:pPr>
        <w:pStyle w:val="80"/>
        <w:spacing w:before="0" w:beforeAutospacing="0" w:after="0" w:afterAutospacing="0" w:line="360" w:lineRule="auto"/>
        <w:jc w:val="center"/>
        <w:rPr>
          <w:rFonts w:hint="eastAsia" w:ascii="黑体" w:hAnsi="黑体" w:eastAsia="黑体"/>
          <w:color w:val="000000" w:themeColor="text1"/>
          <w:sz w:val="32"/>
          <w:szCs w:val="32"/>
          <w:highlight w:val="none"/>
          <w:lang w:val="en-US" w:eastAsia="zh-CN"/>
          <w14:textFill>
            <w14:solidFill>
              <w14:schemeClr w14:val="tx1"/>
            </w14:solidFill>
          </w14:textFill>
        </w:rPr>
      </w:pPr>
      <w:r>
        <w:rPr>
          <w:rFonts w:hint="eastAsia" w:ascii="黑体" w:hAnsi="黑体" w:eastAsia="黑体"/>
          <w:color w:val="000000" w:themeColor="text1"/>
          <w:sz w:val="32"/>
          <w:szCs w:val="32"/>
          <w:highlight w:val="none"/>
          <w:lang w:val="en-US" w:eastAsia="zh-CN"/>
          <w14:textFill>
            <w14:solidFill>
              <w14:schemeClr w14:val="tx1"/>
            </w14:solidFill>
          </w14:textFill>
        </w:rPr>
        <w:t>G59呼北高速张家界至官庄段第二标段镰刀湾特大桥施工监控技术</w:t>
      </w:r>
    </w:p>
    <w:p w14:paraId="5E1C7469">
      <w:pPr>
        <w:pStyle w:val="80"/>
        <w:spacing w:before="0" w:beforeAutospacing="0" w:after="0" w:afterAutospacing="0" w:line="360" w:lineRule="auto"/>
        <w:jc w:val="center"/>
        <w:rPr>
          <w:rFonts w:hint="eastAsia" w:ascii="黑体" w:hAnsi="黑体" w:eastAsia="黑体"/>
          <w:color w:val="000000" w:themeColor="text1"/>
          <w:sz w:val="32"/>
          <w:szCs w:val="32"/>
          <w:highlight w:val="none"/>
          <w14:textFill>
            <w14:solidFill>
              <w14:schemeClr w14:val="tx1"/>
            </w14:solidFill>
          </w14:textFill>
        </w:rPr>
      </w:pPr>
      <w:r>
        <w:rPr>
          <w:rFonts w:hint="eastAsia" w:ascii="黑体" w:hAnsi="黑体" w:eastAsia="黑体"/>
          <w:color w:val="000000" w:themeColor="text1"/>
          <w:sz w:val="32"/>
          <w:szCs w:val="32"/>
          <w:highlight w:val="none"/>
          <w:lang w:val="en-US" w:eastAsia="zh-CN"/>
          <w14:textFill>
            <w14:solidFill>
              <w14:schemeClr w14:val="tx1"/>
            </w14:solidFill>
          </w14:textFill>
        </w:rPr>
        <w:t>咨询服务</w:t>
      </w:r>
      <w:r>
        <w:rPr>
          <w:rFonts w:hint="eastAsia" w:ascii="黑体" w:hAnsi="黑体" w:eastAsia="黑体"/>
          <w:color w:val="000000" w:themeColor="text1"/>
          <w:sz w:val="32"/>
          <w:szCs w:val="32"/>
          <w:highlight w:val="none"/>
          <w14:textFill>
            <w14:solidFill>
              <w14:schemeClr w14:val="tx1"/>
            </w14:solidFill>
          </w14:textFill>
        </w:rPr>
        <w:t>竞争性磋商采购公告</w:t>
      </w:r>
    </w:p>
    <w:p w14:paraId="5EB3023B">
      <w:pPr>
        <w:pStyle w:val="80"/>
        <w:spacing w:before="0" w:beforeAutospacing="0" w:after="0" w:afterAutospacing="0" w:line="360" w:lineRule="auto"/>
        <w:ind w:firstLine="2880" w:firstLineChars="120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w:t>
      </w:r>
    </w:p>
    <w:p w14:paraId="31B4597E">
      <w:pPr>
        <w:autoSpaceDE w:val="0"/>
        <w:spacing w:line="360" w:lineRule="auto"/>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lang w:val="en-US" w:eastAsia="zh-CN"/>
          <w14:textFill>
            <w14:solidFill>
              <w14:schemeClr w14:val="tx1"/>
            </w14:solidFill>
          </w14:textFill>
        </w:rPr>
        <w:t>G59呼北高速张家界至官庄段第二标段镰刀湾特大桥施工监控技术咨询服务</w:t>
      </w:r>
      <w:r>
        <w:rPr>
          <w:rFonts w:hint="eastAsia" w:ascii="宋体" w:hAnsi="宋体"/>
          <w:color w:val="000000" w:themeColor="text1"/>
          <w:sz w:val="24"/>
          <w:highlight w:val="none"/>
          <w14:textFill>
            <w14:solidFill>
              <w14:schemeClr w14:val="tx1"/>
            </w14:solidFill>
          </w14:textFill>
        </w:rPr>
        <w:t xml:space="preserve">采购已具备采购条件，现公开邀请供应商参加采购活动。 </w:t>
      </w:r>
    </w:p>
    <w:p w14:paraId="203FAA53">
      <w:pPr>
        <w:pStyle w:val="5"/>
        <w:rPr>
          <w:rFonts w:ascii="Arial" w:hAnsi="Arial"/>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1 </w:t>
      </w:r>
      <w:r>
        <w:rPr>
          <w:rFonts w:hint="eastAsia" w:ascii="黑体" w:hAnsi="黑体"/>
          <w:color w:val="000000" w:themeColor="text1"/>
          <w:highlight w:val="none"/>
          <w14:textFill>
            <w14:solidFill>
              <w14:schemeClr w14:val="tx1"/>
            </w14:solidFill>
          </w14:textFill>
        </w:rPr>
        <w:t xml:space="preserve">采购项目简介 </w:t>
      </w:r>
    </w:p>
    <w:p w14:paraId="57E8F6FB">
      <w:pPr>
        <w:autoSpaceDE w:val="0"/>
        <w:spacing w:line="360" w:lineRule="auto"/>
        <w:rPr>
          <w:rFonts w:hint="eastAsia" w:ascii="宋体" w:hAnsi="宋体"/>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1.1</w:t>
      </w:r>
      <w:r>
        <w:rPr>
          <w:rFonts w:hint="eastAsia" w:ascii="宋体" w:hAnsi="宋体"/>
          <w:color w:val="000000" w:themeColor="text1"/>
          <w:sz w:val="24"/>
          <w:highlight w:val="none"/>
          <w14:textFill>
            <w14:solidFill>
              <w14:schemeClr w14:val="tx1"/>
            </w14:solidFill>
          </w14:textFill>
        </w:rPr>
        <w:t xml:space="preserve"> 采购项目名称：</w:t>
      </w:r>
      <w:r>
        <w:rPr>
          <w:rFonts w:hint="eastAsia" w:ascii="宋体" w:hAnsi="宋体"/>
          <w:color w:val="000000" w:themeColor="text1"/>
          <w:sz w:val="24"/>
          <w:highlight w:val="none"/>
          <w:u w:val="single"/>
          <w:lang w:val="en-US" w:eastAsia="zh-CN"/>
          <w14:textFill>
            <w14:solidFill>
              <w14:schemeClr w14:val="tx1"/>
            </w14:solidFill>
          </w14:textFill>
        </w:rPr>
        <w:t>G59呼北高速张家界至官庄段第二标段镰刀湾特大桥施工监控技术咨询服务</w:t>
      </w:r>
    </w:p>
    <w:p w14:paraId="1AFBEF37">
      <w:pPr>
        <w:autoSpaceDE w:val="0"/>
        <w:spacing w:line="360" w:lineRule="auto"/>
        <w:rPr>
          <w:rFonts w:hint="eastAsia" w:ascii="宋体" w:hAnsi="宋体"/>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1.2</w:t>
      </w:r>
      <w:r>
        <w:rPr>
          <w:rFonts w:hint="eastAsia" w:ascii="宋体" w:hAnsi="宋体"/>
          <w:color w:val="000000" w:themeColor="text1"/>
          <w:sz w:val="24"/>
          <w:highlight w:val="none"/>
          <w14:textFill>
            <w14:solidFill>
              <w14:schemeClr w14:val="tx1"/>
            </w14:solidFill>
          </w14:textFill>
        </w:rPr>
        <w:t xml:space="preserve"> 采购人：</w:t>
      </w:r>
      <w:r>
        <w:rPr>
          <w:rFonts w:hint="eastAsia" w:ascii="宋体" w:hAnsi="宋体"/>
          <w:color w:val="000000" w:themeColor="text1"/>
          <w:sz w:val="24"/>
          <w:highlight w:val="none"/>
          <w:u w:val="single"/>
          <w14:textFill>
            <w14:solidFill>
              <w14:schemeClr w14:val="tx1"/>
            </w14:solidFill>
          </w14:textFill>
        </w:rPr>
        <w:t>湖南省新新张官高速公路建设开发有限公司</w:t>
      </w:r>
      <w:r>
        <w:rPr>
          <w:rFonts w:hint="eastAsia" w:ascii="宋体" w:hAnsi="宋体"/>
          <w:color w:val="000000" w:themeColor="text1"/>
          <w:sz w:val="24"/>
          <w:highlight w:val="none"/>
          <w:u w:val="single"/>
          <w:lang w:val="en-US" w:eastAsia="zh-CN"/>
          <w14:textFill>
            <w14:solidFill>
              <w14:schemeClr w14:val="tx1"/>
            </w14:solidFill>
          </w14:textFill>
        </w:rPr>
        <w:t>张家界</w:t>
      </w:r>
      <w:r>
        <w:rPr>
          <w:rFonts w:hint="eastAsia" w:ascii="宋体" w:hAnsi="宋体"/>
          <w:color w:val="000000" w:themeColor="text1"/>
          <w:sz w:val="24"/>
          <w:highlight w:val="none"/>
          <w:u w:val="single"/>
          <w:lang w:eastAsia="zh-CN"/>
          <w14:textFill>
            <w14:solidFill>
              <w14:schemeClr w14:val="tx1"/>
            </w14:solidFill>
          </w14:textFill>
        </w:rPr>
        <w:t xml:space="preserve">分公司 </w:t>
      </w:r>
    </w:p>
    <w:p w14:paraId="0CE1C7B3">
      <w:pPr>
        <w:autoSpaceDE w:val="0"/>
        <w:spacing w:line="360" w:lineRule="auto"/>
        <w:rPr>
          <w:rFonts w:hint="eastAsia" w:ascii="宋体" w:hAnsi="宋体"/>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1.3</w:t>
      </w:r>
      <w:r>
        <w:rPr>
          <w:rFonts w:hint="eastAsia" w:ascii="宋体" w:hAnsi="宋体"/>
          <w:color w:val="000000" w:themeColor="text1"/>
          <w:sz w:val="24"/>
          <w:highlight w:val="none"/>
          <w14:textFill>
            <w14:solidFill>
              <w14:schemeClr w14:val="tx1"/>
            </w14:solidFill>
          </w14:textFill>
        </w:rPr>
        <w:t xml:space="preserve"> 采购代理机构：</w:t>
      </w:r>
      <w:r>
        <w:rPr>
          <w:rFonts w:hint="eastAsia" w:ascii="宋体" w:hAnsi="宋体"/>
          <w:color w:val="000000" w:themeColor="text1"/>
          <w:sz w:val="24"/>
          <w:highlight w:val="none"/>
          <w:u w:val="single"/>
          <w14:textFill>
            <w14:solidFill>
              <w14:schemeClr w14:val="tx1"/>
            </w14:solidFill>
          </w14:textFill>
        </w:rPr>
        <w:t>中科高盛咨询集团有限公司</w:t>
      </w:r>
    </w:p>
    <w:p w14:paraId="4F3B0D75">
      <w:pPr>
        <w:autoSpaceDE w:val="0"/>
        <w:spacing w:line="360" w:lineRule="auto"/>
        <w:rPr>
          <w:rFonts w:hint="eastAsia" w:ascii="宋体" w:hAnsi="宋体"/>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 xml:space="preserve">1.4 </w:t>
      </w:r>
      <w:r>
        <w:rPr>
          <w:rFonts w:hint="eastAsia" w:ascii="宋体" w:hAnsi="宋体"/>
          <w:color w:val="000000" w:themeColor="text1"/>
          <w:sz w:val="24"/>
          <w:highlight w:val="none"/>
          <w14:textFill>
            <w14:solidFill>
              <w14:schemeClr w14:val="tx1"/>
            </w14:solidFill>
          </w14:textFill>
        </w:rPr>
        <w:t>采购项目资金落实情况：</w:t>
      </w:r>
      <w:r>
        <w:rPr>
          <w:rFonts w:hint="eastAsia" w:ascii="宋体" w:hAnsi="宋体"/>
          <w:color w:val="000000" w:themeColor="text1"/>
          <w:sz w:val="24"/>
          <w:highlight w:val="none"/>
          <w:u w:val="single"/>
          <w14:textFill>
            <w14:solidFill>
              <w14:schemeClr w14:val="tx1"/>
            </w14:solidFill>
          </w14:textFill>
        </w:rPr>
        <w:t>自筹已落实</w:t>
      </w:r>
    </w:p>
    <w:p w14:paraId="0068485E">
      <w:pPr>
        <w:autoSpaceDE w:val="0"/>
        <w:spacing w:line="360" w:lineRule="auto"/>
        <w:rPr>
          <w:rFonts w:hint="eastAsia"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1.5 采购项目概况：</w:t>
      </w:r>
    </w:p>
    <w:p w14:paraId="09A63B22">
      <w:pPr>
        <w:autoSpaceDE w:val="0"/>
        <w:spacing w:line="360" w:lineRule="auto"/>
        <w:ind w:firstLine="480" w:firstLineChars="200"/>
        <w:rPr>
          <w:rFonts w:hint="eastAsia" w:ascii="宋体" w:hAnsi="宋体" w:eastAsia="宋体"/>
          <w:b w:val="0"/>
          <w:bCs w:val="0"/>
          <w:color w:val="000000" w:themeColor="text1"/>
          <w:sz w:val="24"/>
          <w:highlight w:val="none"/>
          <w:lang w:eastAsia="zh-CN"/>
          <w14:textFill>
            <w14:solidFill>
              <w14:schemeClr w14:val="tx1"/>
            </w14:solidFill>
          </w14:textFill>
        </w:rPr>
      </w:pPr>
      <w:r>
        <w:rPr>
          <w:rFonts w:hint="eastAsia" w:ascii="宋体" w:hAnsi="宋体" w:eastAsia="宋体" w:cs="Times New Roman"/>
          <w:sz w:val="24"/>
          <w:highlight w:val="none"/>
        </w:rPr>
        <w:t>G59呼北高速张家界至官庄段第二合同段</w:t>
      </w:r>
      <w:r>
        <w:rPr>
          <w:rFonts w:hint="eastAsia" w:ascii="宋体" w:hAnsi="宋体" w:eastAsia="宋体" w:cs="Times New Roman"/>
          <w:sz w:val="24"/>
          <w:szCs w:val="24"/>
          <w:highlight w:val="none"/>
          <w:lang w:val="en-US" w:eastAsia="zh-CN"/>
        </w:rPr>
        <w:t>镰刀湾特大桥位于怀化市沅陵县清浪乡，西岸位于洞庭溪村，东岸位于翻身村，附近无乡村道路、仅水路与之连通，交通不便。桥梁中心桩号为 L4K6+849，起点桩号为 L4K6+652.16，终点桩号为L4K7+042.04，结构形式为3x20m先简支后结构连续预制小箱梁+220m钢筋砼上承式拱+5x20m先简支后结构连续预制小箱梁，桥长390m。</w:t>
      </w:r>
      <w:r>
        <w:rPr>
          <w:rFonts w:hint="eastAsia" w:ascii="Times New Roman" w:hAnsi="Times New Roman" w:eastAsia="宋体" w:cs="Times New Roman"/>
          <w:color w:val="auto"/>
          <w:sz w:val="24"/>
          <w:szCs w:val="24"/>
          <w:highlight w:val="none"/>
          <w:lang w:val="en-US" w:eastAsia="zh-CN"/>
        </w:rPr>
        <w:t xml:space="preserve"> </w:t>
      </w:r>
    </w:p>
    <w:p w14:paraId="05139B05">
      <w:pPr>
        <w:autoSpaceDE w:val="0"/>
        <w:spacing w:line="360" w:lineRule="auto"/>
        <w:rPr>
          <w:rFonts w:hint="eastAsia"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1.6 成交供应商数量及成交份额：</w:t>
      </w:r>
    </w:p>
    <w:p w14:paraId="50DFD5BD">
      <w:pPr>
        <w:autoSpaceDE w:val="0"/>
        <w:spacing w:line="400" w:lineRule="exact"/>
        <w:rPr>
          <w:rFonts w:hint="eastAsia" w:ascii="宋体" w:hAnsi="宋体"/>
          <w:b w:val="0"/>
          <w:bCs w:val="0"/>
          <w:color w:val="000000" w:themeColor="text1"/>
          <w:sz w:val="24"/>
          <w:highlight w:val="none"/>
          <w14:textFill>
            <w14:solidFill>
              <w14:schemeClr w14:val="tx1"/>
            </w14:solidFill>
          </w14:textFill>
        </w:rPr>
      </w:pPr>
      <w:r>
        <w:rPr>
          <w:rFonts w:hint="eastAsia" w:ascii="宋体" w:hAnsi="宋体"/>
          <w:b w:val="0"/>
          <w:bCs w:val="0"/>
          <w:color w:val="000000" w:themeColor="text1"/>
          <w:sz w:val="24"/>
          <w:highlight w:val="none"/>
          <w14:textFill>
            <w14:solidFill>
              <w14:schemeClr w14:val="tx1"/>
            </w14:solidFill>
          </w14:textFill>
        </w:rPr>
        <w:sym w:font="Wingdings 2" w:char="0052"/>
      </w:r>
      <w:r>
        <w:rPr>
          <w:rFonts w:hint="eastAsia" w:ascii="宋体" w:hAnsi="宋体"/>
          <w:b w:val="0"/>
          <w:bCs w:val="0"/>
          <w:color w:val="000000" w:themeColor="text1"/>
          <w:sz w:val="24"/>
          <w:highlight w:val="none"/>
          <w14:textFill>
            <w14:solidFill>
              <w14:schemeClr w14:val="tx1"/>
            </w14:solidFill>
          </w14:textFill>
        </w:rPr>
        <w:t>一家</w:t>
      </w:r>
    </w:p>
    <w:p w14:paraId="2E30CD0A">
      <w:pPr>
        <w:pStyle w:val="5"/>
        <w:rPr>
          <w:rFonts w:ascii="Arial" w:hAnsi="Arial"/>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2 </w:t>
      </w:r>
      <w:r>
        <w:rPr>
          <w:rFonts w:hint="eastAsia" w:ascii="黑体" w:hAnsi="黑体"/>
          <w:color w:val="000000" w:themeColor="text1"/>
          <w:highlight w:val="none"/>
          <w14:textFill>
            <w14:solidFill>
              <w14:schemeClr w14:val="tx1"/>
            </w14:solidFill>
          </w14:textFill>
        </w:rPr>
        <w:t xml:space="preserve">采购范围及相关要求 </w:t>
      </w:r>
    </w:p>
    <w:p w14:paraId="673A9896">
      <w:pPr>
        <w:autoSpaceDE w:val="0"/>
        <w:spacing w:line="400" w:lineRule="exact"/>
        <w:rPr>
          <w:rFonts w:hint="eastAsia" w:ascii="宋体" w:hAnsi="宋体"/>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 xml:space="preserve">2.1 </w:t>
      </w:r>
      <w:r>
        <w:rPr>
          <w:rFonts w:hint="eastAsia" w:ascii="宋体" w:hAnsi="宋体"/>
          <w:color w:val="000000" w:themeColor="text1"/>
          <w:sz w:val="24"/>
          <w:highlight w:val="none"/>
          <w14:textFill>
            <w14:solidFill>
              <w14:schemeClr w14:val="tx1"/>
            </w14:solidFill>
          </w14:textFill>
        </w:rPr>
        <w:t>采购范围：本次采购分为1个标包。其标包划分及采购内容等见下表。</w:t>
      </w:r>
    </w:p>
    <w:tbl>
      <w:tblPr>
        <w:tblStyle w:val="87"/>
        <w:tblpPr w:leftFromText="180" w:rightFromText="180" w:vertAnchor="text" w:horzAnchor="page" w:tblpXSpec="center" w:tblpY="250"/>
        <w:tblOverlap w:val="never"/>
        <w:tblW w:w="494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4"/>
        <w:gridCol w:w="1793"/>
        <w:gridCol w:w="1212"/>
        <w:gridCol w:w="1529"/>
        <w:gridCol w:w="974"/>
        <w:gridCol w:w="2255"/>
        <w:gridCol w:w="1358"/>
      </w:tblGrid>
      <w:tr w14:paraId="0BBB5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301" w:type="pct"/>
            <w:vAlign w:val="center"/>
          </w:tcPr>
          <w:p w14:paraId="133EB5BE">
            <w:pPr>
              <w:widowControl w:val="0"/>
              <w:jc w:val="center"/>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标段</w:t>
            </w:r>
          </w:p>
        </w:tc>
        <w:tc>
          <w:tcPr>
            <w:tcW w:w="923" w:type="pct"/>
            <w:vAlign w:val="center"/>
          </w:tcPr>
          <w:p w14:paraId="03C43DE8">
            <w:pPr>
              <w:widowControl w:val="0"/>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工作内容</w:t>
            </w:r>
          </w:p>
        </w:tc>
        <w:tc>
          <w:tcPr>
            <w:tcW w:w="624" w:type="pct"/>
            <w:vAlign w:val="center"/>
          </w:tcPr>
          <w:p w14:paraId="20C1B31A">
            <w:pPr>
              <w:widowControl w:val="0"/>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数 量</w:t>
            </w:r>
          </w:p>
          <w:p w14:paraId="782243A5">
            <w:pPr>
              <w:widowControl w:val="0"/>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（单位：项）</w:t>
            </w:r>
          </w:p>
        </w:tc>
        <w:tc>
          <w:tcPr>
            <w:tcW w:w="787" w:type="pct"/>
            <w:vAlign w:val="center"/>
          </w:tcPr>
          <w:p w14:paraId="402716A4">
            <w:pPr>
              <w:widowControl w:val="0"/>
              <w:jc w:val="center"/>
              <w:rPr>
                <w:rFonts w:hint="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auto"/>
                <w:sz w:val="21"/>
                <w:szCs w:val="21"/>
                <w:highlight w:val="none"/>
              </w:rPr>
              <w:t>桩号</w:t>
            </w:r>
          </w:p>
        </w:tc>
        <w:tc>
          <w:tcPr>
            <w:tcW w:w="502" w:type="pct"/>
            <w:shd w:val="clear" w:color="auto" w:fill="auto"/>
            <w:vAlign w:val="center"/>
          </w:tcPr>
          <w:p w14:paraId="06E2B8C0">
            <w:pPr>
              <w:widowControl/>
              <w:spacing w:line="440" w:lineRule="atLeast"/>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长度</w:t>
            </w:r>
          </w:p>
          <w:p w14:paraId="28D4294C">
            <w:pPr>
              <w:widowControl/>
              <w:spacing w:line="440" w:lineRule="atLeast"/>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rPr>
              <w:t>（m）</w:t>
            </w:r>
          </w:p>
        </w:tc>
        <w:tc>
          <w:tcPr>
            <w:tcW w:w="1161" w:type="pct"/>
            <w:vAlign w:val="center"/>
          </w:tcPr>
          <w:p w14:paraId="0BAEDB4A">
            <w:pPr>
              <w:widowControl w:val="0"/>
              <w:jc w:val="center"/>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服务范围</w:t>
            </w:r>
          </w:p>
        </w:tc>
        <w:tc>
          <w:tcPr>
            <w:tcW w:w="699" w:type="pct"/>
            <w:vAlign w:val="center"/>
          </w:tcPr>
          <w:p w14:paraId="3D64A41F">
            <w:pPr>
              <w:widowControl w:val="0"/>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上限价</w:t>
            </w:r>
          </w:p>
          <w:p w14:paraId="24745756">
            <w:pPr>
              <w:widowControl w:val="0"/>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（万元）</w:t>
            </w:r>
          </w:p>
        </w:tc>
      </w:tr>
      <w:tr w14:paraId="3BDB8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jc w:val="center"/>
        </w:trPr>
        <w:tc>
          <w:tcPr>
            <w:tcW w:w="301" w:type="pct"/>
            <w:vAlign w:val="center"/>
          </w:tcPr>
          <w:p w14:paraId="1DC73BE1">
            <w:pPr>
              <w:widowControl w:val="0"/>
              <w:spacing w:line="360" w:lineRule="auto"/>
              <w:jc w:val="both"/>
              <w:rPr>
                <w:rFonts w:hint="eastAsia" w:ascii="宋体" w:hAnsi="宋体" w:eastAsia="宋体" w:cs="宋体"/>
                <w:bCs/>
                <w:color w:val="000000" w:themeColor="text1"/>
                <w:szCs w:val="21"/>
                <w:highlight w:val="none"/>
                <w:lang w:val="en-US" w:eastAsia="zh-CN"/>
                <w14:textFill>
                  <w14:solidFill>
                    <w14:schemeClr w14:val="tx1"/>
                  </w14:solidFill>
                </w14:textFill>
              </w:rPr>
            </w:pPr>
            <w:r>
              <w:rPr>
                <w:rFonts w:hint="eastAsia" w:ascii="宋体" w:hAnsi="宋体" w:cs="宋体"/>
                <w:bCs/>
                <w:color w:val="000000" w:themeColor="text1"/>
                <w:szCs w:val="21"/>
                <w:highlight w:val="none"/>
                <w:lang w:val="en-US" w:eastAsia="zh-CN"/>
                <w14:textFill>
                  <w14:solidFill>
                    <w14:schemeClr w14:val="tx1"/>
                  </w14:solidFill>
                </w14:textFill>
              </w:rPr>
              <w:t>I标</w:t>
            </w:r>
          </w:p>
        </w:tc>
        <w:tc>
          <w:tcPr>
            <w:tcW w:w="923" w:type="pct"/>
            <w:vAlign w:val="center"/>
          </w:tcPr>
          <w:p w14:paraId="01E8E730">
            <w:pPr>
              <w:widowControl w:val="0"/>
              <w:spacing w:line="360" w:lineRule="auto"/>
              <w:jc w:val="both"/>
              <w:rPr>
                <w:rFonts w:hint="eastAsia" w:ascii="宋体" w:hAnsi="宋体" w:cs="宋体"/>
                <w:bCs/>
                <w:color w:val="000000" w:themeColor="text1"/>
                <w:szCs w:val="21"/>
                <w:highlight w:val="none"/>
                <w:shd w:val="clear" w:color="auto" w:fill="FFFFFF"/>
                <w14:textFill>
                  <w14:solidFill>
                    <w14:schemeClr w14:val="tx1"/>
                  </w14:solidFill>
                </w14:textFill>
              </w:rPr>
            </w:pPr>
            <w:r>
              <w:rPr>
                <w:rFonts w:hint="eastAsia" w:ascii="宋体" w:hAnsi="宋体" w:cs="宋体"/>
                <w:bCs/>
                <w:color w:val="000000" w:themeColor="text1"/>
                <w:szCs w:val="21"/>
                <w:highlight w:val="none"/>
                <w:shd w:val="clear" w:color="auto" w:fill="FFFFFF"/>
                <w:lang w:val="en-US" w:eastAsia="zh-CN"/>
                <w14:textFill>
                  <w14:solidFill>
                    <w14:schemeClr w14:val="tx1"/>
                  </w14:solidFill>
                </w14:textFill>
              </w:rPr>
              <w:t>G59呼北高速张家界至官庄段第二标段镰刀湾特大桥施工监控技术咨询服务</w:t>
            </w:r>
            <w:r>
              <w:rPr>
                <w:rFonts w:hint="eastAsia" w:ascii="宋体" w:hAnsi="宋体" w:cs="宋体"/>
                <w:bCs/>
                <w:color w:val="000000" w:themeColor="text1"/>
                <w:szCs w:val="21"/>
                <w:highlight w:val="none"/>
                <w:shd w:val="clear" w:color="auto" w:fill="FFFFFF"/>
                <w14:textFill>
                  <w14:solidFill>
                    <w14:schemeClr w14:val="tx1"/>
                  </w14:solidFill>
                </w14:textFill>
              </w:rPr>
              <w:t>采购</w:t>
            </w:r>
          </w:p>
        </w:tc>
        <w:tc>
          <w:tcPr>
            <w:tcW w:w="624" w:type="pct"/>
            <w:vAlign w:val="center"/>
          </w:tcPr>
          <w:p w14:paraId="2994A7BB">
            <w:pPr>
              <w:widowControl w:val="0"/>
              <w:tabs>
                <w:tab w:val="left" w:pos="438"/>
              </w:tabs>
              <w:spacing w:line="360" w:lineRule="auto"/>
              <w:jc w:val="center"/>
              <w:rPr>
                <w:rFonts w:hint="eastAsia" w:ascii="宋体" w:hAnsi="宋体" w:cs="宋体"/>
                <w:bCs/>
                <w:color w:val="000000" w:themeColor="text1"/>
                <w:szCs w:val="21"/>
                <w:highlight w:val="none"/>
                <w:shd w:val="clear" w:color="auto" w:fill="FFFFFF"/>
                <w14:textFill>
                  <w14:solidFill>
                    <w14:schemeClr w14:val="tx1"/>
                  </w14:solidFill>
                </w14:textFill>
              </w:rPr>
            </w:pPr>
            <w:r>
              <w:rPr>
                <w:rFonts w:hint="eastAsia" w:ascii="宋体" w:hAnsi="宋体" w:cs="宋体"/>
                <w:bCs/>
                <w:color w:val="000000" w:themeColor="text1"/>
                <w:szCs w:val="21"/>
                <w:highlight w:val="none"/>
                <w:shd w:val="clear" w:color="auto" w:fill="FFFFFF"/>
                <w14:textFill>
                  <w14:solidFill>
                    <w14:schemeClr w14:val="tx1"/>
                  </w14:solidFill>
                </w14:textFill>
              </w:rPr>
              <w:t>1</w:t>
            </w:r>
          </w:p>
        </w:tc>
        <w:tc>
          <w:tcPr>
            <w:tcW w:w="787" w:type="pct"/>
            <w:vAlign w:val="center"/>
          </w:tcPr>
          <w:p w14:paraId="1C935927">
            <w:pPr>
              <w:widowControl w:val="0"/>
              <w:tabs>
                <w:tab w:val="left" w:pos="438"/>
              </w:tabs>
              <w:spacing w:line="360" w:lineRule="auto"/>
              <w:jc w:val="center"/>
              <w:rPr>
                <w:rFonts w:hint="eastAsia" w:ascii="宋体" w:hAnsi="宋体" w:cs="宋体"/>
                <w:bCs/>
                <w:color w:val="000000" w:themeColor="text1"/>
                <w:szCs w:val="21"/>
                <w:highlight w:val="none"/>
                <w:shd w:val="clear" w:color="auto" w:fill="FFFFFF"/>
                <w14:textFill>
                  <w14:solidFill>
                    <w14:schemeClr w14:val="tx1"/>
                  </w14:solidFill>
                </w14:textFill>
              </w:rPr>
            </w:pPr>
            <w:r>
              <w:rPr>
                <w:rFonts w:hint="eastAsia" w:ascii="宋体" w:hAnsi="宋体" w:eastAsia="宋体" w:cs="Times New Roman"/>
                <w:sz w:val="24"/>
                <w:szCs w:val="24"/>
                <w:highlight w:val="none"/>
                <w:lang w:val="en-US" w:eastAsia="zh-CN"/>
              </w:rPr>
              <w:t>L4K6+849</w:t>
            </w:r>
            <w:r>
              <w:rPr>
                <w:rFonts w:hint="eastAsia" w:ascii="宋体" w:hAnsi="宋体" w:eastAsia="宋体" w:cs="Times New Roman"/>
                <w:sz w:val="24"/>
                <w:szCs w:val="24"/>
                <w:highlight w:val="none"/>
              </w:rPr>
              <w:t>～</w:t>
            </w:r>
            <w:r>
              <w:rPr>
                <w:rFonts w:hint="eastAsia" w:ascii="宋体" w:hAnsi="宋体" w:eastAsia="宋体" w:cs="Times New Roman"/>
                <w:sz w:val="24"/>
                <w:szCs w:val="24"/>
                <w:highlight w:val="none"/>
                <w:lang w:val="en-US" w:eastAsia="zh-CN"/>
              </w:rPr>
              <w:t>L4K7+042.04</w:t>
            </w:r>
          </w:p>
        </w:tc>
        <w:tc>
          <w:tcPr>
            <w:tcW w:w="502" w:type="pct"/>
            <w:shd w:val="clear" w:color="auto" w:fill="auto"/>
            <w:vAlign w:val="center"/>
          </w:tcPr>
          <w:p w14:paraId="092E97FD">
            <w:pPr>
              <w:widowControl/>
              <w:spacing w:line="440" w:lineRule="atLeast"/>
              <w:jc w:val="center"/>
              <w:rPr>
                <w:rFonts w:hint="eastAsia" w:asciiTheme="minorEastAsia" w:hAnsiTheme="minorEastAsia" w:eastAsiaTheme="minorEastAsia" w:cstheme="minorEastAsia"/>
                <w:b/>
                <w:color w:val="auto"/>
                <w:kern w:val="2"/>
                <w:sz w:val="21"/>
                <w:szCs w:val="21"/>
                <w:highlight w:val="none"/>
                <w:lang w:val="en-US" w:eastAsia="zh-CN" w:bidi="ar-SA"/>
              </w:rPr>
            </w:pPr>
            <w:r>
              <w:rPr>
                <w:rStyle w:val="128"/>
                <w:rFonts w:hint="eastAsia" w:asciiTheme="minorEastAsia" w:hAnsiTheme="minorEastAsia" w:eastAsiaTheme="minorEastAsia" w:cstheme="minorEastAsia"/>
                <w:iCs/>
                <w:color w:val="auto"/>
                <w:sz w:val="21"/>
                <w:szCs w:val="21"/>
                <w:highlight w:val="none"/>
                <w:lang w:val="en-US" w:eastAsia="zh-CN"/>
              </w:rPr>
              <w:t>390</w:t>
            </w:r>
          </w:p>
        </w:tc>
        <w:tc>
          <w:tcPr>
            <w:tcW w:w="1161" w:type="pct"/>
            <w:vAlign w:val="center"/>
          </w:tcPr>
          <w:p w14:paraId="68101100">
            <w:pPr>
              <w:widowControl w:val="0"/>
              <w:spacing w:line="360" w:lineRule="auto"/>
              <w:jc w:val="both"/>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镰刀湾特大桥施工监控。</w:t>
            </w:r>
          </w:p>
        </w:tc>
        <w:tc>
          <w:tcPr>
            <w:tcW w:w="699" w:type="pct"/>
            <w:vAlign w:val="center"/>
          </w:tcPr>
          <w:p w14:paraId="0E77E91F">
            <w:pPr>
              <w:widowControl w:val="0"/>
              <w:spacing w:line="360" w:lineRule="auto"/>
              <w:jc w:val="center"/>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91.0</w:t>
            </w:r>
          </w:p>
        </w:tc>
      </w:tr>
    </w:tbl>
    <w:p w14:paraId="0474F9C5">
      <w:pPr>
        <w:autoSpaceDE w:val="0"/>
        <w:spacing w:line="400" w:lineRule="exact"/>
        <w:rPr>
          <w:rFonts w:hint="eastAsia" w:ascii="宋体" w:hAnsi="宋体"/>
          <w:color w:val="000000" w:themeColor="text1"/>
          <w:sz w:val="24"/>
          <w:highlight w:val="none"/>
          <w14:textFill>
            <w14:solidFill>
              <w14:schemeClr w14:val="tx1"/>
            </w14:solidFill>
          </w14:textFill>
        </w:rPr>
      </w:pPr>
    </w:p>
    <w:p w14:paraId="621CB352">
      <w:pPr>
        <w:autoSpaceDE w:val="0"/>
        <w:spacing w:line="360" w:lineRule="auto"/>
        <w:rPr>
          <w:rFonts w:hint="eastAsia" w:ascii="宋体" w:hAnsi="宋体"/>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 xml:space="preserve">2.2 </w:t>
      </w:r>
      <w:r>
        <w:rPr>
          <w:rFonts w:hint="eastAsia" w:ascii="宋体" w:hAnsi="宋体"/>
          <w:color w:val="000000" w:themeColor="text1"/>
          <w:sz w:val="24"/>
          <w:highlight w:val="none"/>
          <w14:textFill>
            <w14:solidFill>
              <w14:schemeClr w14:val="tx1"/>
            </w14:solidFill>
          </w14:textFill>
        </w:rPr>
        <w:t>服务期限：</w:t>
      </w:r>
      <w:r>
        <w:rPr>
          <w:rFonts w:ascii="宋体" w:hAnsi="宋体" w:eastAsia="宋体" w:cs="宋体"/>
          <w:color w:val="auto"/>
          <w:sz w:val="24"/>
          <w:szCs w:val="24"/>
          <w:highlight w:val="none"/>
        </w:rPr>
        <w:t>签订合同协议书之日起至本项目</w:t>
      </w:r>
      <w:r>
        <w:rPr>
          <w:rFonts w:hint="eastAsia" w:ascii="宋体" w:hAnsi="宋体" w:cs="宋体"/>
          <w:color w:val="auto"/>
          <w:sz w:val="24"/>
          <w:szCs w:val="24"/>
          <w:highlight w:val="none"/>
          <w:lang w:val="en-US" w:eastAsia="zh-CN"/>
        </w:rPr>
        <w:t>镰刀湾特大桥完</w:t>
      </w:r>
      <w:r>
        <w:rPr>
          <w:rFonts w:hint="eastAsia" w:ascii="宋体" w:hAnsi="宋体" w:eastAsia="宋体" w:cs="宋体"/>
          <w:color w:val="auto"/>
          <w:sz w:val="24"/>
          <w:szCs w:val="24"/>
          <w:highlight w:val="none"/>
        </w:rPr>
        <w:t>工</w:t>
      </w:r>
      <w:r>
        <w:rPr>
          <w:rFonts w:ascii="宋体" w:hAnsi="宋体" w:eastAsia="宋体" w:cs="宋体"/>
          <w:color w:val="auto"/>
          <w:sz w:val="24"/>
          <w:szCs w:val="24"/>
          <w:highlight w:val="none"/>
        </w:rPr>
        <w:t>验收通过之日止。</w:t>
      </w:r>
      <w:r>
        <w:rPr>
          <w:rFonts w:hint="eastAsia" w:ascii="宋体" w:hAnsi="宋体" w:eastAsia="宋体" w:cs="宋体"/>
          <w:color w:val="auto"/>
          <w:sz w:val="24"/>
          <w:szCs w:val="24"/>
          <w:highlight w:val="none"/>
          <w:lang w:val="en-US" w:eastAsia="zh-CN"/>
        </w:rPr>
        <w:t xml:space="preserve">具体进场时间为合同签订之日起 </w:t>
      </w:r>
      <w:r>
        <w:rPr>
          <w:rFonts w:hint="eastAsia" w:ascii="宋体" w:hAnsi="宋体" w:eastAsia="宋体" w:cs="宋体"/>
          <w:color w:val="auto"/>
          <w:sz w:val="24"/>
          <w:szCs w:val="24"/>
          <w:highlight w:val="none"/>
          <w:u w:val="single"/>
          <w:lang w:val="en-US" w:eastAsia="zh-CN"/>
        </w:rPr>
        <w:t xml:space="preserve"> 7  </w:t>
      </w:r>
      <w:r>
        <w:rPr>
          <w:rFonts w:hint="eastAsia" w:ascii="宋体" w:hAnsi="宋体" w:eastAsia="宋体" w:cs="宋体"/>
          <w:color w:val="auto"/>
          <w:sz w:val="24"/>
          <w:szCs w:val="24"/>
          <w:highlight w:val="none"/>
          <w:lang w:val="en-US" w:eastAsia="zh-CN"/>
        </w:rPr>
        <w:t>日内。</w:t>
      </w:r>
      <w:r>
        <w:rPr>
          <w:rFonts w:hint="eastAsia" w:ascii="宋体" w:hAnsi="宋体"/>
          <w:color w:val="000000" w:themeColor="text1"/>
          <w:sz w:val="24"/>
          <w:highlight w:val="none"/>
          <w14:textFill>
            <w14:solidFill>
              <w14:schemeClr w14:val="tx1"/>
            </w14:solidFill>
          </w14:textFill>
        </w:rPr>
        <w:t xml:space="preserve"> </w:t>
      </w:r>
    </w:p>
    <w:p w14:paraId="3EDBE02F">
      <w:pPr>
        <w:autoSpaceDE w:val="0"/>
        <w:spacing w:line="360" w:lineRule="auto"/>
        <w:rPr>
          <w:rFonts w:hint="eastAsia" w:ascii="宋体" w:hAnsi="宋体"/>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 xml:space="preserve">2.3 </w:t>
      </w:r>
      <w:r>
        <w:rPr>
          <w:rFonts w:hint="eastAsia" w:ascii="宋体" w:hAnsi="宋体"/>
          <w:color w:val="000000" w:themeColor="text1"/>
          <w:sz w:val="24"/>
          <w:highlight w:val="none"/>
          <w14:textFill>
            <w14:solidFill>
              <w14:schemeClr w14:val="tx1"/>
            </w14:solidFill>
          </w14:textFill>
        </w:rPr>
        <w:t>服务地点：采购人指定地点。</w:t>
      </w:r>
    </w:p>
    <w:p w14:paraId="5CEEC394">
      <w:pPr>
        <w:autoSpaceDE w:val="0"/>
        <w:spacing w:line="360" w:lineRule="auto"/>
        <w:rPr>
          <w:rFonts w:hint="eastAsia" w:ascii="宋体" w:hAnsi="宋体"/>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 xml:space="preserve">2.4 </w:t>
      </w:r>
      <w:r>
        <w:rPr>
          <w:rFonts w:hint="eastAsia" w:ascii="宋体" w:hAnsi="宋体"/>
          <w:color w:val="000000" w:themeColor="text1"/>
          <w:sz w:val="24"/>
          <w:highlight w:val="none"/>
          <w14:textFill>
            <w14:solidFill>
              <w14:schemeClr w14:val="tx1"/>
            </w14:solidFill>
          </w14:textFill>
        </w:rPr>
        <w:t>质量要求或服务标准：</w:t>
      </w:r>
    </w:p>
    <w:p w14:paraId="60C34790">
      <w:pPr>
        <w:autoSpaceDE w:val="0"/>
        <w:spacing w:line="360" w:lineRule="auto"/>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（1）供应商应按照相关法律法规、技术标准和规范要求，根据采购人需求，开展</w:t>
      </w:r>
      <w:r>
        <w:rPr>
          <w:rFonts w:hint="eastAsia" w:ascii="宋体" w:hAnsi="宋体"/>
          <w:color w:val="000000" w:themeColor="text1"/>
          <w:sz w:val="24"/>
          <w:highlight w:val="none"/>
          <w:lang w:eastAsia="zh-CN"/>
          <w14:textFill>
            <w14:solidFill>
              <w14:schemeClr w14:val="tx1"/>
            </w14:solidFill>
          </w14:textFill>
        </w:rPr>
        <w:t>桥梁施工监控技术</w:t>
      </w:r>
      <w:r>
        <w:rPr>
          <w:rFonts w:hint="eastAsia" w:ascii="宋体" w:hAnsi="宋体"/>
          <w:color w:val="000000" w:themeColor="text1"/>
          <w:sz w:val="24"/>
          <w:highlight w:val="none"/>
          <w14:textFill>
            <w14:solidFill>
              <w14:schemeClr w14:val="tx1"/>
            </w14:solidFill>
          </w14:textFill>
        </w:rPr>
        <w:t>服务工作。</w:t>
      </w:r>
    </w:p>
    <w:p w14:paraId="52CD53DD">
      <w:pPr>
        <w:autoSpaceDE w:val="0"/>
        <w:spacing w:line="360" w:lineRule="auto"/>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（2）供应商应按期、按质、按量地完成双方商定的各项工作内容，并对成果报告的质量负责。</w:t>
      </w:r>
    </w:p>
    <w:p w14:paraId="27FFB4AC">
      <w:pPr>
        <w:autoSpaceDE w:val="0"/>
        <w:spacing w:line="360" w:lineRule="auto"/>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（3）在编制过程中，供应商应主动和采购人保持密切联系。</w:t>
      </w:r>
    </w:p>
    <w:p w14:paraId="034B329B">
      <w:pPr>
        <w:autoSpaceDE w:val="0"/>
        <w:spacing w:line="360" w:lineRule="auto"/>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（4）供应商的工作进度没有达到响应文件中承诺的进度计划时，采购人有权向供应商提出要求增加服务人员，供应商应无条件满足。</w:t>
      </w:r>
    </w:p>
    <w:p w14:paraId="5DC3F739">
      <w:pPr>
        <w:pStyle w:val="5"/>
        <w:rPr>
          <w:rFonts w:ascii="Arial" w:hAnsi="Arial"/>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3 </w:t>
      </w:r>
      <w:r>
        <w:rPr>
          <w:rFonts w:hint="eastAsia" w:ascii="黑体" w:hAnsi="黑体"/>
          <w:color w:val="000000" w:themeColor="text1"/>
          <w:highlight w:val="none"/>
          <w14:textFill>
            <w14:solidFill>
              <w14:schemeClr w14:val="tx1"/>
            </w14:solidFill>
          </w14:textFill>
        </w:rPr>
        <w:t>供应商资格要求</w:t>
      </w:r>
    </w:p>
    <w:p w14:paraId="6C49C95C">
      <w:pPr>
        <w:autoSpaceDE w:val="0"/>
        <w:spacing w:line="360" w:lineRule="auto"/>
        <w:ind w:firstLine="241" w:firstLineChars="100"/>
        <w:rPr>
          <w:rFonts w:hint="eastAsia" w:ascii="宋体" w:hAnsi="宋体"/>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3.1</w:t>
      </w:r>
      <w:r>
        <w:rPr>
          <w:rFonts w:hint="eastAsia" w:ascii="宋体" w:hAnsi="宋体"/>
          <w:color w:val="000000" w:themeColor="text1"/>
          <w:sz w:val="24"/>
          <w:highlight w:val="none"/>
          <w14:textFill>
            <w14:solidFill>
              <w14:schemeClr w14:val="tx1"/>
            </w14:solidFill>
          </w14:textFill>
        </w:rPr>
        <w:t>供应商不得存在下列情形之一：</w:t>
      </w:r>
    </w:p>
    <w:p w14:paraId="608C3DB8">
      <w:pPr>
        <w:autoSpaceDE w:val="0"/>
        <w:spacing w:line="360" w:lineRule="auto"/>
        <w:ind w:firstLine="240" w:firstLineChars="1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（1）处于被责令停产停业、暂扣或者吊销执照、暂扣或者吊销许可证、吊销资质证书状态; </w:t>
      </w:r>
    </w:p>
    <w:p w14:paraId="08067998">
      <w:pPr>
        <w:autoSpaceDE w:val="0"/>
        <w:spacing w:line="360" w:lineRule="auto"/>
        <w:ind w:firstLine="240" w:firstLineChars="1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（2）进入清算程序，或被宣告破产，或其他丧失履约能力的情形; </w:t>
      </w:r>
    </w:p>
    <w:p w14:paraId="0788789A">
      <w:pPr>
        <w:autoSpaceDE w:val="0"/>
        <w:spacing w:line="360" w:lineRule="auto"/>
        <w:ind w:firstLine="240" w:firstLineChars="1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（3）在国家企业信用信息公示系统（www.gsxt.gov.cn/）中被列入严重违法失信企业名单或在“信用中国”网站（www.creditchina.gov.cn/）中被列入失信被执行人名单。</w:t>
      </w:r>
    </w:p>
    <w:p w14:paraId="335B65AC">
      <w:pPr>
        <w:autoSpaceDE w:val="0"/>
        <w:spacing w:line="360" w:lineRule="auto"/>
        <w:ind w:firstLine="240" w:firstLineChars="1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（4）与采购人有利害关系且可能影响采购公正性； </w:t>
      </w:r>
    </w:p>
    <w:p w14:paraId="645AE4D4">
      <w:pPr>
        <w:autoSpaceDE w:val="0"/>
        <w:spacing w:line="360" w:lineRule="auto"/>
        <w:ind w:firstLine="240" w:firstLineChars="1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（5）被采购人或采购人上级单位纳入黑名单； </w:t>
      </w:r>
    </w:p>
    <w:p w14:paraId="1B85425E">
      <w:pPr>
        <w:autoSpaceDE w:val="0"/>
        <w:spacing w:line="360" w:lineRule="auto"/>
        <w:ind w:firstLine="240" w:firstLineChars="100"/>
        <w:rPr>
          <w:rFonts w:hint="eastAsia"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（6）其他: 法定代表人或者负责人为同一人或者存在控股、管理关系的两个以上投标人，不得参加同一招标项目投标；参加本项目投标的投标供应商不得与被审查单位存在利害关系。投标供应商须对以上要求提供承诺与声明。</w:t>
      </w:r>
    </w:p>
    <w:p w14:paraId="11ABAB0E">
      <w:pPr>
        <w:autoSpaceDE w:val="0"/>
        <w:spacing w:line="360" w:lineRule="auto"/>
        <w:ind w:firstLine="240" w:firstLineChars="1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3.2供应商应满足如下要求：</w:t>
      </w:r>
    </w:p>
    <w:tbl>
      <w:tblPr>
        <w:tblStyle w:val="87"/>
        <w:tblpPr w:leftFromText="180" w:rightFromText="180" w:vertAnchor="text" w:horzAnchor="page" w:tblpX="1121" w:tblpY="401"/>
        <w:tblOverlap w:val="never"/>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0"/>
        <w:gridCol w:w="4112"/>
        <w:gridCol w:w="3117"/>
      </w:tblGrid>
      <w:tr w14:paraId="64550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Pr>
          <w:p w14:paraId="3EF24E0B">
            <w:pPr>
              <w:widowControl w:val="0"/>
              <w:spacing w:line="360" w:lineRule="auto"/>
              <w:jc w:val="center"/>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资格条件</w:t>
            </w:r>
          </w:p>
        </w:tc>
        <w:tc>
          <w:tcPr>
            <w:tcW w:w="4112" w:type="dxa"/>
          </w:tcPr>
          <w:p w14:paraId="1FF9F735">
            <w:pPr>
              <w:widowControl w:val="0"/>
              <w:spacing w:line="360" w:lineRule="auto"/>
              <w:jc w:val="both"/>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 xml:space="preserve">对供应商要求 </w:t>
            </w:r>
          </w:p>
        </w:tc>
        <w:tc>
          <w:tcPr>
            <w:tcW w:w="3117" w:type="dxa"/>
          </w:tcPr>
          <w:p w14:paraId="508844C8">
            <w:pPr>
              <w:widowControl w:val="0"/>
              <w:spacing w:line="360" w:lineRule="auto"/>
              <w:jc w:val="both"/>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证明材料要求</w:t>
            </w:r>
          </w:p>
        </w:tc>
      </w:tr>
      <w:tr w14:paraId="51221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vAlign w:val="center"/>
          </w:tcPr>
          <w:p w14:paraId="3EA0ADDD">
            <w:pPr>
              <w:widowControl w:val="0"/>
              <w:spacing w:line="360" w:lineRule="auto"/>
              <w:jc w:val="both"/>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（1）依法设立</w:t>
            </w:r>
          </w:p>
        </w:tc>
        <w:tc>
          <w:tcPr>
            <w:tcW w:w="4112" w:type="dxa"/>
          </w:tcPr>
          <w:p w14:paraId="786C061F">
            <w:pPr>
              <w:widowControl w:val="0"/>
              <w:spacing w:line="360" w:lineRule="auto"/>
              <w:jc w:val="both"/>
              <w:rPr>
                <w:rStyle w:val="129"/>
                <w:rFonts w:hint="eastAsia" w:ascii="宋体" w:hAnsi="宋体" w:cs="宋体"/>
                <w:b w:val="0"/>
                <w:color w:val="000000" w:themeColor="text1"/>
                <w:szCs w:val="21"/>
                <w:highlight w:val="none"/>
                <w:u w:val="single"/>
                <w14:textFill>
                  <w14:solidFill>
                    <w14:schemeClr w14:val="tx1"/>
                  </w14:solidFill>
                </w14:textFill>
              </w:rPr>
            </w:pPr>
            <w:r>
              <w:rPr>
                <w:rStyle w:val="129"/>
                <w:rFonts w:hint="eastAsia" w:ascii="宋体" w:hAnsi="宋体" w:cs="宋体"/>
                <w:b w:val="0"/>
                <w:color w:val="000000" w:themeColor="text1"/>
                <w:szCs w:val="21"/>
                <w:highlight w:val="none"/>
                <w:u w:val="single"/>
                <w14:textFill>
                  <w14:solidFill>
                    <w14:schemeClr w14:val="tx1"/>
                  </w14:solidFill>
                </w14:textFill>
              </w:rPr>
              <w:t xml:space="preserve">□不适用  </w:t>
            </w:r>
          </w:p>
          <w:p w14:paraId="291A0E35">
            <w:pPr>
              <w:widowControl w:val="0"/>
              <w:spacing w:line="360" w:lineRule="auto"/>
              <w:jc w:val="both"/>
              <w:rPr>
                <w:rStyle w:val="129"/>
                <w:rFonts w:hint="eastAsia" w:ascii="宋体" w:hAnsi="宋体" w:cs="宋体"/>
                <w:b w:val="0"/>
                <w:color w:val="000000" w:themeColor="text1"/>
                <w:szCs w:val="21"/>
                <w:highlight w:val="none"/>
                <w:u w:val="single"/>
                <w14:textFill>
                  <w14:solidFill>
                    <w14:schemeClr w14:val="tx1"/>
                  </w14:solidFill>
                </w14:textFill>
              </w:rPr>
            </w:pPr>
            <w:r>
              <w:rPr>
                <w:rStyle w:val="129"/>
                <w:rFonts w:hint="eastAsia" w:ascii="宋体" w:hAnsi="宋体" w:cs="宋体"/>
                <w:b w:val="0"/>
                <w:color w:val="000000" w:themeColor="text1"/>
                <w:szCs w:val="21"/>
                <w:highlight w:val="none"/>
                <w:u w:val="single"/>
                <w:lang w:eastAsia="zh-CN"/>
                <w14:textFill>
                  <w14:solidFill>
                    <w14:schemeClr w14:val="tx1"/>
                  </w14:solidFill>
                </w14:textFill>
              </w:rPr>
              <w:t>☑</w:t>
            </w:r>
            <w:r>
              <w:rPr>
                <w:rStyle w:val="129"/>
                <w:rFonts w:hint="eastAsia" w:ascii="宋体" w:hAnsi="宋体" w:cs="宋体"/>
                <w:b w:val="0"/>
                <w:color w:val="000000" w:themeColor="text1"/>
                <w:szCs w:val="21"/>
                <w:highlight w:val="none"/>
                <w:u w:val="single"/>
                <w14:textFill>
                  <w14:solidFill>
                    <w14:schemeClr w14:val="tx1"/>
                  </w14:solidFill>
                </w14:textFill>
              </w:rPr>
              <w:t>适用</w:t>
            </w:r>
          </w:p>
          <w:p w14:paraId="01A17E36">
            <w:pPr>
              <w:widowControl w:val="0"/>
              <w:spacing w:line="360" w:lineRule="auto"/>
              <w:jc w:val="both"/>
              <w:rPr>
                <w:rStyle w:val="129"/>
                <w:rFonts w:hint="eastAsia" w:ascii="宋体" w:hAnsi="宋体" w:cs="宋体"/>
                <w:b w:val="0"/>
                <w:color w:val="000000" w:themeColor="text1"/>
                <w:szCs w:val="21"/>
                <w:highlight w:val="none"/>
                <w:u w:val="single"/>
                <w14:textFill>
                  <w14:solidFill>
                    <w14:schemeClr w14:val="tx1"/>
                  </w14:solidFill>
                </w14:textFill>
              </w:rPr>
            </w:pPr>
            <w:r>
              <w:rPr>
                <w:rStyle w:val="129"/>
                <w:rFonts w:hint="eastAsia" w:ascii="宋体" w:hAnsi="宋体" w:cs="宋体"/>
                <w:b w:val="0"/>
                <w:color w:val="000000" w:themeColor="text1"/>
                <w:szCs w:val="21"/>
                <w:highlight w:val="none"/>
                <w:u w:val="single"/>
                <w14:textFill>
                  <w14:solidFill>
                    <w14:schemeClr w14:val="tx1"/>
                  </w14:solidFill>
                </w14:textFill>
              </w:rPr>
              <w:t xml:space="preserve">具有独立法人资格，持有有效的营业执照（或事业单位法人证书或社会团体法人登；记证书） (供应商为企业的，还应具备组织机构代码证，按照“三证合一”或“五证合一”登记制度进行登记的，可仅提供营业执照副本)。 </w:t>
            </w:r>
          </w:p>
        </w:tc>
        <w:tc>
          <w:tcPr>
            <w:tcW w:w="3117" w:type="dxa"/>
          </w:tcPr>
          <w:p w14:paraId="4A23E0E3">
            <w:pPr>
              <w:widowControl w:val="0"/>
              <w:spacing w:line="360" w:lineRule="auto"/>
              <w:jc w:val="both"/>
              <w:rPr>
                <w:rStyle w:val="129"/>
                <w:rFonts w:hint="eastAsia" w:ascii="宋体" w:hAnsi="宋体" w:cs="宋体"/>
                <w:b w:val="0"/>
                <w:color w:val="000000" w:themeColor="text1"/>
                <w:szCs w:val="21"/>
                <w:highlight w:val="none"/>
                <w:u w:val="single"/>
                <w14:textFill>
                  <w14:solidFill>
                    <w14:schemeClr w14:val="tx1"/>
                  </w14:solidFill>
                </w14:textFill>
              </w:rPr>
            </w:pPr>
            <w:r>
              <w:rPr>
                <w:rStyle w:val="129"/>
                <w:rFonts w:hint="eastAsia" w:ascii="宋体" w:hAnsi="宋体" w:cs="宋体"/>
                <w:b w:val="0"/>
                <w:color w:val="000000" w:themeColor="text1"/>
                <w:szCs w:val="21"/>
                <w:highlight w:val="none"/>
                <w:u w:val="single"/>
                <w14:textFill>
                  <w14:solidFill>
                    <w14:schemeClr w14:val="tx1"/>
                  </w14:solidFill>
                </w14:textFill>
              </w:rPr>
              <w:t xml:space="preserve">□不适用  </w:t>
            </w:r>
          </w:p>
          <w:p w14:paraId="53824FB6">
            <w:pPr>
              <w:widowControl w:val="0"/>
              <w:spacing w:line="360" w:lineRule="auto"/>
              <w:jc w:val="both"/>
              <w:rPr>
                <w:rFonts w:hint="eastAsia" w:ascii="宋体" w:hAnsi="宋体" w:cs="宋体"/>
                <w:bCs/>
                <w:color w:val="000000" w:themeColor="text1"/>
                <w:szCs w:val="21"/>
                <w:highlight w:val="none"/>
                <w14:textFill>
                  <w14:solidFill>
                    <w14:schemeClr w14:val="tx1"/>
                  </w14:solidFill>
                </w14:textFill>
              </w:rPr>
            </w:pPr>
            <w:r>
              <w:rPr>
                <w:rStyle w:val="129"/>
                <w:rFonts w:hint="eastAsia" w:ascii="宋体" w:hAnsi="宋体" w:cs="宋体"/>
                <w:b w:val="0"/>
                <w:color w:val="000000" w:themeColor="text1"/>
                <w:szCs w:val="21"/>
                <w:highlight w:val="none"/>
                <w:u w:val="single"/>
                <w:lang w:eastAsia="zh-CN"/>
                <w14:textFill>
                  <w14:solidFill>
                    <w14:schemeClr w14:val="tx1"/>
                  </w14:solidFill>
                </w14:textFill>
              </w:rPr>
              <w:t>☑</w:t>
            </w:r>
            <w:r>
              <w:rPr>
                <w:rStyle w:val="129"/>
                <w:rFonts w:hint="eastAsia" w:ascii="宋体" w:hAnsi="宋体" w:cs="宋体"/>
                <w:b w:val="0"/>
                <w:color w:val="000000" w:themeColor="text1"/>
                <w:szCs w:val="21"/>
                <w:highlight w:val="none"/>
                <w:u w:val="single"/>
                <w14:textFill>
                  <w14:solidFill>
                    <w14:schemeClr w14:val="tx1"/>
                  </w14:solidFill>
                </w14:textFill>
              </w:rPr>
              <w:t>适用，见采购文件供应商须知前附表3.5（1）。</w:t>
            </w:r>
          </w:p>
        </w:tc>
      </w:tr>
      <w:tr w14:paraId="57205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vAlign w:val="center"/>
          </w:tcPr>
          <w:p w14:paraId="32162A19">
            <w:pPr>
              <w:widowControl w:val="0"/>
              <w:spacing w:line="360" w:lineRule="auto"/>
              <w:jc w:val="both"/>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（2）资质要求</w:t>
            </w:r>
          </w:p>
        </w:tc>
        <w:tc>
          <w:tcPr>
            <w:tcW w:w="4112" w:type="dxa"/>
          </w:tcPr>
          <w:p w14:paraId="1F53DC66">
            <w:pPr>
              <w:widowControl w:val="0"/>
              <w:spacing w:line="360" w:lineRule="auto"/>
              <w:jc w:val="both"/>
              <w:rPr>
                <w:rStyle w:val="129"/>
                <w:rFonts w:hint="eastAsia" w:ascii="宋体" w:hAnsi="宋体" w:cs="宋体"/>
                <w:b w:val="0"/>
                <w:color w:val="000000" w:themeColor="text1"/>
                <w:szCs w:val="21"/>
                <w:highlight w:val="none"/>
                <w:u w:val="single"/>
                <w14:textFill>
                  <w14:solidFill>
                    <w14:schemeClr w14:val="tx1"/>
                  </w14:solidFill>
                </w14:textFill>
              </w:rPr>
            </w:pPr>
            <w:r>
              <w:rPr>
                <w:rStyle w:val="129"/>
                <w:rFonts w:hint="eastAsia" w:ascii="宋体" w:hAnsi="宋体" w:cs="宋体"/>
                <w:b w:val="0"/>
                <w:color w:val="000000" w:themeColor="text1"/>
                <w:szCs w:val="21"/>
                <w:highlight w:val="none"/>
                <w:u w:val="single"/>
                <w:lang w:eastAsia="zh-CN"/>
                <w14:textFill>
                  <w14:solidFill>
                    <w14:schemeClr w14:val="tx1"/>
                  </w14:solidFill>
                </w14:textFill>
              </w:rPr>
              <w:t>□</w:t>
            </w:r>
            <w:r>
              <w:rPr>
                <w:rStyle w:val="129"/>
                <w:rFonts w:hint="eastAsia" w:ascii="宋体" w:hAnsi="宋体" w:cs="宋体"/>
                <w:b w:val="0"/>
                <w:color w:val="000000" w:themeColor="text1"/>
                <w:szCs w:val="21"/>
                <w:highlight w:val="none"/>
                <w:u w:val="single"/>
                <w14:textFill>
                  <w14:solidFill>
                    <w14:schemeClr w14:val="tx1"/>
                  </w14:solidFill>
                </w14:textFill>
              </w:rPr>
              <w:t xml:space="preserve">不适用  </w:t>
            </w:r>
          </w:p>
          <w:p w14:paraId="472031D5">
            <w:pPr>
              <w:widowControl w:val="0"/>
              <w:spacing w:line="360" w:lineRule="auto"/>
              <w:jc w:val="both"/>
              <w:rPr>
                <w:rStyle w:val="129"/>
                <w:rFonts w:hint="eastAsia" w:ascii="宋体" w:hAnsi="宋体" w:cs="宋体"/>
                <w:b w:val="0"/>
                <w:color w:val="000000" w:themeColor="text1"/>
                <w:szCs w:val="21"/>
                <w:highlight w:val="none"/>
                <w:u w:val="single"/>
                <w14:textFill>
                  <w14:solidFill>
                    <w14:schemeClr w14:val="tx1"/>
                  </w14:solidFill>
                </w14:textFill>
              </w:rPr>
            </w:pPr>
            <w:r>
              <w:rPr>
                <w:rStyle w:val="129"/>
                <w:rFonts w:hint="eastAsia" w:ascii="宋体" w:hAnsi="宋体" w:cs="宋体"/>
                <w:b w:val="0"/>
                <w:color w:val="000000" w:themeColor="text1"/>
                <w:szCs w:val="21"/>
                <w:highlight w:val="none"/>
                <w:u w:val="single"/>
                <w:lang w:eastAsia="zh-CN"/>
                <w14:textFill>
                  <w14:solidFill>
                    <w14:schemeClr w14:val="tx1"/>
                  </w14:solidFill>
                </w14:textFill>
              </w:rPr>
              <w:t>☑</w:t>
            </w:r>
            <w:r>
              <w:rPr>
                <w:rStyle w:val="129"/>
                <w:rFonts w:hint="eastAsia" w:ascii="宋体" w:hAnsi="宋体" w:cs="宋体"/>
                <w:b w:val="0"/>
                <w:color w:val="000000" w:themeColor="text1"/>
                <w:szCs w:val="21"/>
                <w:highlight w:val="none"/>
                <w:u w:val="single"/>
                <w14:textFill>
                  <w14:solidFill>
                    <w14:schemeClr w14:val="tx1"/>
                  </w14:solidFill>
                </w14:textFill>
              </w:rPr>
              <w:t>适用</w:t>
            </w:r>
          </w:p>
          <w:p w14:paraId="7CBEEE3E">
            <w:pPr>
              <w:widowControl w:val="0"/>
              <w:spacing w:line="360" w:lineRule="auto"/>
              <w:jc w:val="both"/>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lang w:eastAsia="zh-CN"/>
                <w14:textFill>
                  <w14:solidFill>
                    <w14:schemeClr w14:val="tx1"/>
                  </w14:solidFill>
                </w14:textFill>
              </w:rPr>
              <w:t>响应人</w:t>
            </w:r>
            <w:r>
              <w:rPr>
                <w:rFonts w:hint="eastAsia" w:ascii="宋体" w:hAnsi="宋体" w:cs="宋体"/>
                <w:bCs/>
                <w:color w:val="000000" w:themeColor="text1"/>
                <w:szCs w:val="21"/>
                <w:highlight w:val="none"/>
                <w14:textFill>
                  <w14:solidFill>
                    <w14:schemeClr w14:val="tx1"/>
                  </w14:solidFill>
                </w14:textFill>
              </w:rPr>
              <w:t>应</w:t>
            </w:r>
            <w:r>
              <w:rPr>
                <w:rFonts w:hint="eastAsia" w:ascii="宋体" w:hAnsi="宋体" w:cs="宋体"/>
                <w:bCs/>
                <w:color w:val="000000" w:themeColor="text1"/>
                <w:szCs w:val="21"/>
                <w:highlight w:val="none"/>
                <w:lang w:eastAsia="zh-CN"/>
                <w14:textFill>
                  <w14:solidFill>
                    <w14:schemeClr w14:val="tx1"/>
                  </w14:solidFill>
                </w14:textFill>
              </w:rPr>
              <w:t>同时</w:t>
            </w:r>
            <w:r>
              <w:rPr>
                <w:rFonts w:hint="eastAsia" w:ascii="宋体" w:hAnsi="宋体" w:cs="宋体"/>
                <w:bCs/>
                <w:color w:val="000000" w:themeColor="text1"/>
                <w:szCs w:val="21"/>
                <w:highlight w:val="none"/>
                <w14:textFill>
                  <w14:solidFill>
                    <w14:schemeClr w14:val="tx1"/>
                  </w14:solidFill>
                </w14:textFill>
              </w:rPr>
              <w:t>具备以下资质：</w:t>
            </w:r>
          </w:p>
          <w:p w14:paraId="3A65035F">
            <w:pPr>
              <w:widowControl w:val="0"/>
              <w:numPr>
                <w:ilvl w:val="0"/>
                <w:numId w:val="14"/>
              </w:numPr>
              <w:spacing w:line="360" w:lineRule="auto"/>
              <w:jc w:val="both"/>
              <w:rPr>
                <w:rFonts w:hint="eastAsia" w:ascii="宋体" w:hAnsi="宋体" w:cs="宋体"/>
                <w:bCs/>
                <w:color w:val="000000" w:themeColor="text1"/>
                <w:szCs w:val="21"/>
                <w:highlight w:val="none"/>
                <w:lang w:val="en-US" w:eastAsia="zh-CN"/>
                <w14:textFill>
                  <w14:solidFill>
                    <w14:schemeClr w14:val="tx1"/>
                  </w14:solidFill>
                </w14:textFill>
              </w:rPr>
            </w:pPr>
            <w:r>
              <w:rPr>
                <w:rFonts w:hint="eastAsia" w:ascii="宋体" w:hAnsi="宋体" w:cs="宋体"/>
                <w:bCs/>
                <w:color w:val="000000" w:themeColor="text1"/>
                <w:szCs w:val="21"/>
                <w:highlight w:val="none"/>
                <w:lang w:val="en-US" w:eastAsia="zh-CN"/>
                <w14:textFill>
                  <w14:solidFill>
                    <w14:schemeClr w14:val="tx1"/>
                  </w14:solidFill>
                </w14:textFill>
              </w:rPr>
              <w:t>具有交通运输主管部门认定的《公路水运工程试验检测机构等级证书》公路工程综合甲级资质或公路工程桥梁隧道工程专项资质或具有交通运输主管部门认定的《公路水运工程试验检测机构资质证书》公路工程甲级资质 ，且授予检测项目及参数中包含相关检测项目及相关参数；</w:t>
            </w:r>
          </w:p>
          <w:p w14:paraId="30517870">
            <w:pPr>
              <w:widowControl w:val="0"/>
              <w:numPr>
                <w:ilvl w:val="0"/>
                <w:numId w:val="14"/>
              </w:numPr>
              <w:spacing w:line="360" w:lineRule="auto"/>
              <w:jc w:val="both"/>
              <w:rPr>
                <w:rFonts w:hint="eastAsia" w:ascii="宋体" w:hAnsi="宋体" w:cs="宋体"/>
                <w:bCs/>
                <w:color w:val="000000" w:themeColor="text1"/>
                <w:szCs w:val="21"/>
                <w:highlight w:val="none"/>
                <w:lang w:val="en-US" w:eastAsia="zh-CN"/>
                <w14:textFill>
                  <w14:solidFill>
                    <w14:schemeClr w14:val="tx1"/>
                  </w14:solidFill>
                </w14:textFill>
              </w:rPr>
            </w:pPr>
            <w:r>
              <w:rPr>
                <w:rFonts w:hint="eastAsia" w:ascii="宋体" w:hAnsi="宋体" w:cs="宋体"/>
                <w:bCs/>
                <w:color w:val="000000" w:themeColor="text1"/>
                <w:szCs w:val="21"/>
                <w:highlight w:val="none"/>
                <w:lang w:val="en-US" w:eastAsia="zh-CN"/>
                <w14:textFill>
                  <w14:solidFill>
                    <w14:schemeClr w14:val="tx1"/>
                  </w14:solidFill>
                </w14:textFill>
              </w:rPr>
              <w:t>具有有效的CMA计量认证合格证书，CMA认证范围应含有相关检测参数且在有效期内。</w:t>
            </w:r>
          </w:p>
        </w:tc>
        <w:tc>
          <w:tcPr>
            <w:tcW w:w="3117" w:type="dxa"/>
          </w:tcPr>
          <w:p w14:paraId="56E15720">
            <w:pPr>
              <w:widowControl w:val="0"/>
              <w:spacing w:line="360" w:lineRule="auto"/>
              <w:jc w:val="both"/>
              <w:rPr>
                <w:rStyle w:val="129"/>
                <w:rFonts w:hint="eastAsia" w:ascii="宋体" w:hAnsi="宋体" w:cs="宋体"/>
                <w:b w:val="0"/>
                <w:color w:val="000000" w:themeColor="text1"/>
                <w:szCs w:val="21"/>
                <w:highlight w:val="none"/>
                <w:u w:val="single"/>
                <w14:textFill>
                  <w14:solidFill>
                    <w14:schemeClr w14:val="tx1"/>
                  </w14:solidFill>
                </w14:textFill>
              </w:rPr>
            </w:pPr>
            <w:r>
              <w:rPr>
                <w:rStyle w:val="129"/>
                <w:rFonts w:hint="eastAsia" w:ascii="宋体" w:hAnsi="宋体" w:cs="宋体"/>
                <w:b w:val="0"/>
                <w:color w:val="000000" w:themeColor="text1"/>
                <w:szCs w:val="21"/>
                <w:highlight w:val="none"/>
                <w:u w:val="single"/>
                <w:lang w:eastAsia="zh-CN"/>
                <w14:textFill>
                  <w14:solidFill>
                    <w14:schemeClr w14:val="tx1"/>
                  </w14:solidFill>
                </w14:textFill>
              </w:rPr>
              <w:t>□</w:t>
            </w:r>
            <w:r>
              <w:rPr>
                <w:rStyle w:val="129"/>
                <w:rFonts w:hint="eastAsia" w:ascii="宋体" w:hAnsi="宋体" w:cs="宋体"/>
                <w:b w:val="0"/>
                <w:color w:val="000000" w:themeColor="text1"/>
                <w:szCs w:val="21"/>
                <w:highlight w:val="none"/>
                <w:u w:val="single"/>
                <w14:textFill>
                  <w14:solidFill>
                    <w14:schemeClr w14:val="tx1"/>
                  </w14:solidFill>
                </w14:textFill>
              </w:rPr>
              <w:t xml:space="preserve">不适用  </w:t>
            </w:r>
          </w:p>
          <w:p w14:paraId="03B77A4F">
            <w:pPr>
              <w:widowControl w:val="0"/>
              <w:spacing w:line="360" w:lineRule="auto"/>
              <w:jc w:val="both"/>
              <w:rPr>
                <w:rFonts w:hint="eastAsia" w:ascii="宋体" w:hAnsi="宋体" w:cs="宋体"/>
                <w:bCs/>
                <w:color w:val="000000" w:themeColor="text1"/>
                <w:szCs w:val="21"/>
                <w:highlight w:val="none"/>
                <w14:textFill>
                  <w14:solidFill>
                    <w14:schemeClr w14:val="tx1"/>
                  </w14:solidFill>
                </w14:textFill>
              </w:rPr>
            </w:pPr>
            <w:r>
              <w:rPr>
                <w:rStyle w:val="129"/>
                <w:rFonts w:hint="eastAsia" w:ascii="宋体" w:hAnsi="宋体" w:cs="宋体"/>
                <w:b w:val="0"/>
                <w:color w:val="000000" w:themeColor="text1"/>
                <w:szCs w:val="21"/>
                <w:highlight w:val="none"/>
                <w:u w:val="single"/>
                <w:lang w:eastAsia="zh-CN"/>
                <w14:textFill>
                  <w14:solidFill>
                    <w14:schemeClr w14:val="tx1"/>
                  </w14:solidFill>
                </w14:textFill>
              </w:rPr>
              <w:t>☑</w:t>
            </w:r>
            <w:r>
              <w:rPr>
                <w:rStyle w:val="129"/>
                <w:rFonts w:hint="eastAsia" w:ascii="宋体" w:hAnsi="宋体" w:cs="宋体"/>
                <w:b w:val="0"/>
                <w:color w:val="000000" w:themeColor="text1"/>
                <w:szCs w:val="21"/>
                <w:highlight w:val="none"/>
                <w:u w:val="single"/>
                <w14:textFill>
                  <w14:solidFill>
                    <w14:schemeClr w14:val="tx1"/>
                  </w14:solidFill>
                </w14:textFill>
              </w:rPr>
              <w:t>适用，见采购文件供应商须知前附表3.5（2）。</w:t>
            </w:r>
          </w:p>
        </w:tc>
      </w:tr>
      <w:tr w14:paraId="0DF76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2660" w:type="dxa"/>
            <w:vAlign w:val="center"/>
          </w:tcPr>
          <w:p w14:paraId="05165411">
            <w:pPr>
              <w:widowControl w:val="0"/>
              <w:spacing w:line="360" w:lineRule="auto"/>
              <w:jc w:val="both"/>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（3）财务要求</w:t>
            </w:r>
          </w:p>
        </w:tc>
        <w:tc>
          <w:tcPr>
            <w:tcW w:w="4112" w:type="dxa"/>
          </w:tcPr>
          <w:p w14:paraId="2B9A8058">
            <w:pPr>
              <w:widowControl w:val="0"/>
              <w:spacing w:line="360" w:lineRule="auto"/>
              <w:jc w:val="both"/>
              <w:rPr>
                <w:rStyle w:val="129"/>
                <w:rFonts w:hint="eastAsia" w:ascii="宋体" w:hAnsi="宋体" w:cs="宋体"/>
                <w:b w:val="0"/>
                <w:color w:val="000000" w:themeColor="text1"/>
                <w:szCs w:val="21"/>
                <w:highlight w:val="none"/>
                <w:u w:val="single"/>
                <w14:textFill>
                  <w14:solidFill>
                    <w14:schemeClr w14:val="tx1"/>
                  </w14:solidFill>
                </w14:textFill>
              </w:rPr>
            </w:pPr>
            <w:r>
              <w:rPr>
                <w:rStyle w:val="129"/>
                <w:rFonts w:hint="eastAsia" w:ascii="宋体" w:hAnsi="宋体" w:cs="宋体"/>
                <w:b w:val="0"/>
                <w:color w:val="000000" w:themeColor="text1"/>
                <w:szCs w:val="21"/>
                <w:highlight w:val="none"/>
                <w:u w:val="single"/>
                <w:lang w:eastAsia="zh-CN"/>
                <w14:textFill>
                  <w14:solidFill>
                    <w14:schemeClr w14:val="tx1"/>
                  </w14:solidFill>
                </w14:textFill>
              </w:rPr>
              <w:t>☑</w:t>
            </w:r>
            <w:r>
              <w:rPr>
                <w:rStyle w:val="129"/>
                <w:rFonts w:hint="eastAsia" w:ascii="宋体" w:hAnsi="宋体" w:cs="宋体"/>
                <w:b w:val="0"/>
                <w:color w:val="000000" w:themeColor="text1"/>
                <w:szCs w:val="21"/>
                <w:highlight w:val="none"/>
                <w:u w:val="single"/>
                <w14:textFill>
                  <w14:solidFill>
                    <w14:schemeClr w14:val="tx1"/>
                  </w14:solidFill>
                </w14:textFill>
              </w:rPr>
              <w:t xml:space="preserve">不适用  </w:t>
            </w:r>
          </w:p>
          <w:p w14:paraId="0A1C3C9F">
            <w:pPr>
              <w:widowControl w:val="0"/>
              <w:spacing w:line="360" w:lineRule="auto"/>
              <w:jc w:val="both"/>
              <w:rPr>
                <w:rFonts w:hint="eastAsia" w:ascii="宋体" w:hAnsi="宋体" w:cs="宋体"/>
                <w:bCs/>
                <w:color w:val="000000" w:themeColor="text1"/>
                <w:szCs w:val="21"/>
                <w:highlight w:val="none"/>
                <w14:textFill>
                  <w14:solidFill>
                    <w14:schemeClr w14:val="tx1"/>
                  </w14:solidFill>
                </w14:textFill>
              </w:rPr>
            </w:pPr>
            <w:r>
              <w:rPr>
                <w:rStyle w:val="129"/>
                <w:rFonts w:hint="eastAsia" w:ascii="宋体" w:hAnsi="宋体" w:cs="宋体"/>
                <w:b w:val="0"/>
                <w:color w:val="000000" w:themeColor="text1"/>
                <w:szCs w:val="21"/>
                <w:highlight w:val="none"/>
                <w:u w:val="single"/>
                <w14:textFill>
                  <w14:solidFill>
                    <w14:schemeClr w14:val="tx1"/>
                  </w14:solidFill>
                </w14:textFill>
              </w:rPr>
              <w:t>□适用</w:t>
            </w:r>
          </w:p>
        </w:tc>
        <w:tc>
          <w:tcPr>
            <w:tcW w:w="3117" w:type="dxa"/>
          </w:tcPr>
          <w:p w14:paraId="4D29E146">
            <w:pPr>
              <w:widowControl w:val="0"/>
              <w:spacing w:line="360" w:lineRule="auto"/>
              <w:jc w:val="both"/>
              <w:rPr>
                <w:rStyle w:val="129"/>
                <w:rFonts w:hint="eastAsia" w:ascii="宋体" w:hAnsi="宋体" w:cs="宋体"/>
                <w:b w:val="0"/>
                <w:color w:val="000000" w:themeColor="text1"/>
                <w:szCs w:val="21"/>
                <w:highlight w:val="none"/>
                <w:u w:val="single"/>
                <w14:textFill>
                  <w14:solidFill>
                    <w14:schemeClr w14:val="tx1"/>
                  </w14:solidFill>
                </w14:textFill>
              </w:rPr>
            </w:pPr>
            <w:r>
              <w:rPr>
                <w:rStyle w:val="129"/>
                <w:rFonts w:hint="eastAsia" w:ascii="宋体" w:hAnsi="宋体" w:cs="宋体"/>
                <w:b w:val="0"/>
                <w:color w:val="000000" w:themeColor="text1"/>
                <w:szCs w:val="21"/>
                <w:highlight w:val="none"/>
                <w:u w:val="single"/>
                <w:lang w:eastAsia="zh-CN"/>
                <w14:textFill>
                  <w14:solidFill>
                    <w14:schemeClr w14:val="tx1"/>
                  </w14:solidFill>
                </w14:textFill>
              </w:rPr>
              <w:t>☑</w:t>
            </w:r>
            <w:r>
              <w:rPr>
                <w:rStyle w:val="129"/>
                <w:rFonts w:hint="eastAsia" w:ascii="宋体" w:hAnsi="宋体" w:cs="宋体"/>
                <w:b w:val="0"/>
                <w:color w:val="000000" w:themeColor="text1"/>
                <w:szCs w:val="21"/>
                <w:highlight w:val="none"/>
                <w:u w:val="single"/>
                <w14:textFill>
                  <w14:solidFill>
                    <w14:schemeClr w14:val="tx1"/>
                  </w14:solidFill>
                </w14:textFill>
              </w:rPr>
              <w:t xml:space="preserve">不适用  </w:t>
            </w:r>
          </w:p>
          <w:p w14:paraId="4CC5D0F4">
            <w:pPr>
              <w:widowControl w:val="0"/>
              <w:spacing w:line="360" w:lineRule="auto"/>
              <w:jc w:val="both"/>
              <w:rPr>
                <w:rFonts w:hint="eastAsia" w:ascii="宋体" w:hAnsi="宋体" w:cs="宋体"/>
                <w:bCs/>
                <w:color w:val="000000" w:themeColor="text1"/>
                <w:szCs w:val="21"/>
                <w:highlight w:val="none"/>
                <w14:textFill>
                  <w14:solidFill>
                    <w14:schemeClr w14:val="tx1"/>
                  </w14:solidFill>
                </w14:textFill>
              </w:rPr>
            </w:pPr>
            <w:r>
              <w:rPr>
                <w:rStyle w:val="129"/>
                <w:rFonts w:hint="eastAsia" w:ascii="宋体" w:hAnsi="宋体" w:cs="宋体"/>
                <w:b w:val="0"/>
                <w:color w:val="000000" w:themeColor="text1"/>
                <w:szCs w:val="21"/>
                <w:highlight w:val="none"/>
                <w:u w:val="single"/>
                <w14:textFill>
                  <w14:solidFill>
                    <w14:schemeClr w14:val="tx1"/>
                  </w14:solidFill>
                </w14:textFill>
              </w:rPr>
              <w:t>□适用，见采购文件供应商须知前附表3.5（3）。</w:t>
            </w:r>
          </w:p>
        </w:tc>
      </w:tr>
      <w:tr w14:paraId="47845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vAlign w:val="center"/>
          </w:tcPr>
          <w:p w14:paraId="159081A0">
            <w:pPr>
              <w:widowControl w:val="0"/>
              <w:spacing w:line="360" w:lineRule="auto"/>
              <w:jc w:val="both"/>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（4）业绩要求</w:t>
            </w:r>
          </w:p>
        </w:tc>
        <w:tc>
          <w:tcPr>
            <w:tcW w:w="4112" w:type="dxa"/>
          </w:tcPr>
          <w:p w14:paraId="765776B2">
            <w:pPr>
              <w:widowControl w:val="0"/>
              <w:spacing w:line="360" w:lineRule="auto"/>
              <w:jc w:val="both"/>
              <w:rPr>
                <w:rFonts w:hint="eastAsia" w:ascii="宋体" w:hAnsi="宋体" w:cs="宋体"/>
                <w:bCs/>
                <w:color w:val="000000" w:themeColor="text1"/>
                <w:szCs w:val="21"/>
                <w:highlight w:val="none"/>
                <w14:textFill>
                  <w14:solidFill>
                    <w14:schemeClr w14:val="tx1"/>
                  </w14:solidFill>
                </w14:textFill>
              </w:rPr>
            </w:pPr>
            <w:r>
              <w:rPr>
                <w:rStyle w:val="129"/>
                <w:rFonts w:hint="eastAsia" w:ascii="宋体" w:hAnsi="宋体" w:cs="宋体"/>
                <w:b w:val="0"/>
                <w:color w:val="000000" w:themeColor="text1"/>
                <w:szCs w:val="21"/>
                <w:highlight w:val="none"/>
                <w:u w:val="single"/>
                <w14:textFill>
                  <w14:solidFill>
                    <w14:schemeClr w14:val="tx1"/>
                  </w14:solidFill>
                </w14:textFill>
              </w:rPr>
              <w:t>□</w:t>
            </w:r>
            <w:r>
              <w:rPr>
                <w:rFonts w:hint="eastAsia" w:ascii="宋体" w:hAnsi="宋体" w:cs="宋体"/>
                <w:bCs/>
                <w:color w:val="000000" w:themeColor="text1"/>
                <w:szCs w:val="21"/>
                <w:highlight w:val="none"/>
                <w14:textFill>
                  <w14:solidFill>
                    <w14:schemeClr w14:val="tx1"/>
                  </w14:solidFill>
                </w14:textFill>
              </w:rPr>
              <w:t xml:space="preserve">不适用  </w:t>
            </w:r>
          </w:p>
          <w:p w14:paraId="1FE62270">
            <w:pPr>
              <w:widowControl w:val="0"/>
              <w:spacing w:line="360" w:lineRule="auto"/>
              <w:jc w:val="both"/>
              <w:rPr>
                <w:rFonts w:hint="eastAsia" w:ascii="宋体" w:hAnsi="宋体" w:cs="宋体"/>
                <w:bCs/>
                <w:color w:val="000000" w:themeColor="text1"/>
                <w:szCs w:val="21"/>
                <w:highlight w:val="none"/>
                <w14:textFill>
                  <w14:solidFill>
                    <w14:schemeClr w14:val="tx1"/>
                  </w14:solidFill>
                </w14:textFill>
              </w:rPr>
            </w:pPr>
            <w:r>
              <w:rPr>
                <w:rStyle w:val="129"/>
                <w:rFonts w:hint="eastAsia" w:ascii="宋体" w:hAnsi="宋体" w:cs="宋体"/>
                <w:b w:val="0"/>
                <w:color w:val="000000" w:themeColor="text1"/>
                <w:szCs w:val="21"/>
                <w:highlight w:val="none"/>
                <w:u w:val="single"/>
                <w:lang w:eastAsia="zh-CN"/>
                <w14:textFill>
                  <w14:solidFill>
                    <w14:schemeClr w14:val="tx1"/>
                  </w14:solidFill>
                </w14:textFill>
              </w:rPr>
              <w:t>☑</w:t>
            </w:r>
            <w:r>
              <w:rPr>
                <w:rFonts w:hint="eastAsia" w:ascii="宋体" w:hAnsi="宋体" w:cs="宋体"/>
                <w:bCs/>
                <w:color w:val="000000" w:themeColor="text1"/>
                <w:szCs w:val="21"/>
                <w:highlight w:val="none"/>
                <w14:textFill>
                  <w14:solidFill>
                    <w14:schemeClr w14:val="tx1"/>
                  </w14:solidFill>
                </w14:textFill>
              </w:rPr>
              <w:t>适用</w:t>
            </w:r>
          </w:p>
          <w:p w14:paraId="3A2D6759">
            <w:pPr>
              <w:widowControl w:val="0"/>
              <w:spacing w:line="360" w:lineRule="auto"/>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u w:val="single"/>
                <w14:textFill>
                  <w14:solidFill>
                    <w14:schemeClr w14:val="tx1"/>
                  </w14:solidFill>
                </w14:textFill>
              </w:rPr>
              <w:t>近5年（指递交响应文件截止之日前一日回溯 5年，</w:t>
            </w:r>
            <w:r>
              <w:rPr>
                <w:rFonts w:hint="eastAsia" w:ascii="宋体" w:hAnsi="宋体" w:cs="宋体"/>
                <w:color w:val="000000" w:themeColor="text1"/>
                <w:szCs w:val="21"/>
                <w:highlight w:val="none"/>
                <w:u w:val="single"/>
                <w:lang w:val="en-US" w:eastAsia="zh-CN"/>
                <w14:textFill>
                  <w14:solidFill>
                    <w14:schemeClr w14:val="tx1"/>
                  </w14:solidFill>
                </w14:textFill>
              </w:rPr>
              <w:t>在建项目以合同签订时间为</w:t>
            </w:r>
            <w:r>
              <w:rPr>
                <w:rFonts w:hint="eastAsia" w:ascii="宋体" w:hAnsi="宋体" w:cs="宋体"/>
                <w:color w:val="000000" w:themeColor="text1"/>
                <w:szCs w:val="21"/>
                <w:highlight w:val="none"/>
                <w:u w:val="single"/>
                <w:lang w:val="zh-CN" w:eastAsia="zh-CN"/>
                <w14:textFill>
                  <w14:solidFill>
                    <w14:schemeClr w14:val="tx1"/>
                  </w14:solidFill>
                </w14:textFill>
              </w:rPr>
              <w:t>准，</w:t>
            </w:r>
            <w:r>
              <w:rPr>
                <w:rFonts w:hint="eastAsia" w:ascii="宋体" w:hAnsi="宋体" w:cs="宋体"/>
                <w:color w:val="000000" w:themeColor="text1"/>
                <w:szCs w:val="21"/>
                <w:highlight w:val="none"/>
                <w:u w:val="single"/>
                <w:lang w:val="en-US" w:eastAsia="zh-CN"/>
                <w14:textFill>
                  <w14:solidFill>
                    <w14:schemeClr w14:val="tx1"/>
                  </w14:solidFill>
                </w14:textFill>
              </w:rPr>
              <w:t>已完工项目以完成时间为准</w:t>
            </w:r>
            <w:r>
              <w:rPr>
                <w:rFonts w:hint="eastAsia" w:ascii="宋体" w:hAnsi="宋体" w:cs="宋体"/>
                <w:color w:val="000000" w:themeColor="text1"/>
                <w:szCs w:val="21"/>
                <w:highlight w:val="none"/>
                <w:u w:val="single"/>
                <w14:textFill>
                  <w14:solidFill>
                    <w14:schemeClr w14:val="tx1"/>
                  </w14:solidFill>
                </w14:textFill>
              </w:rPr>
              <w:t>）至少独立承担过1</w:t>
            </w:r>
            <w:r>
              <w:rPr>
                <w:rFonts w:hint="eastAsia" w:ascii="宋体" w:hAnsi="宋体" w:cs="宋体"/>
                <w:color w:val="000000" w:themeColor="text1"/>
                <w:szCs w:val="21"/>
                <w:highlight w:val="none"/>
                <w:u w:val="single"/>
                <w:lang w:val="en-US" w:eastAsia="zh-CN"/>
                <w14:textFill>
                  <w14:solidFill>
                    <w14:schemeClr w14:val="tx1"/>
                  </w14:solidFill>
                </w14:textFill>
              </w:rPr>
              <w:t>个桥梁施工监控服务</w:t>
            </w:r>
            <w:r>
              <w:rPr>
                <w:rFonts w:hint="eastAsia" w:ascii="宋体" w:hAnsi="宋体" w:cs="宋体"/>
                <w:color w:val="000000" w:themeColor="text1"/>
                <w:szCs w:val="21"/>
                <w:highlight w:val="none"/>
                <w:u w:val="single"/>
                <w14:textFill>
                  <w14:solidFill>
                    <w14:schemeClr w14:val="tx1"/>
                  </w14:solidFill>
                </w14:textFill>
              </w:rPr>
              <w:t>项目业绩。</w:t>
            </w:r>
          </w:p>
        </w:tc>
        <w:tc>
          <w:tcPr>
            <w:tcW w:w="3117" w:type="dxa"/>
          </w:tcPr>
          <w:p w14:paraId="3BD75A83">
            <w:pPr>
              <w:widowControl w:val="0"/>
              <w:spacing w:line="360" w:lineRule="auto"/>
              <w:jc w:val="both"/>
              <w:rPr>
                <w:rStyle w:val="129"/>
                <w:rFonts w:hint="eastAsia" w:ascii="宋体" w:hAnsi="宋体" w:cs="宋体"/>
                <w:b w:val="0"/>
                <w:color w:val="000000" w:themeColor="text1"/>
                <w:szCs w:val="21"/>
                <w:highlight w:val="none"/>
                <w:u w:val="single"/>
                <w14:textFill>
                  <w14:solidFill>
                    <w14:schemeClr w14:val="tx1"/>
                  </w14:solidFill>
                </w14:textFill>
              </w:rPr>
            </w:pPr>
            <w:r>
              <w:rPr>
                <w:rStyle w:val="129"/>
                <w:rFonts w:hint="eastAsia" w:ascii="宋体" w:hAnsi="宋体" w:cs="宋体"/>
                <w:b w:val="0"/>
                <w:color w:val="000000" w:themeColor="text1"/>
                <w:szCs w:val="21"/>
                <w:highlight w:val="none"/>
                <w:u w:val="single"/>
                <w14:textFill>
                  <w14:solidFill>
                    <w14:schemeClr w14:val="tx1"/>
                  </w14:solidFill>
                </w14:textFill>
              </w:rPr>
              <w:t xml:space="preserve">□不适用  </w:t>
            </w:r>
          </w:p>
          <w:p w14:paraId="37858D83">
            <w:pPr>
              <w:widowControl w:val="0"/>
              <w:spacing w:line="360" w:lineRule="auto"/>
              <w:jc w:val="both"/>
              <w:rPr>
                <w:rFonts w:hint="eastAsia" w:ascii="宋体" w:hAnsi="宋体" w:cs="宋体"/>
                <w:bCs/>
                <w:color w:val="000000" w:themeColor="text1"/>
                <w:szCs w:val="21"/>
                <w:highlight w:val="none"/>
                <w14:textFill>
                  <w14:solidFill>
                    <w14:schemeClr w14:val="tx1"/>
                  </w14:solidFill>
                </w14:textFill>
              </w:rPr>
            </w:pPr>
            <w:r>
              <w:rPr>
                <w:rStyle w:val="129"/>
                <w:rFonts w:hint="eastAsia" w:ascii="宋体" w:hAnsi="宋体" w:cs="宋体"/>
                <w:b w:val="0"/>
                <w:color w:val="000000" w:themeColor="text1"/>
                <w:szCs w:val="21"/>
                <w:highlight w:val="none"/>
                <w:u w:val="single"/>
                <w:lang w:eastAsia="zh-CN"/>
                <w14:textFill>
                  <w14:solidFill>
                    <w14:schemeClr w14:val="tx1"/>
                  </w14:solidFill>
                </w14:textFill>
              </w:rPr>
              <w:t>☑</w:t>
            </w:r>
            <w:r>
              <w:rPr>
                <w:rStyle w:val="129"/>
                <w:rFonts w:hint="eastAsia" w:ascii="宋体" w:hAnsi="宋体" w:cs="宋体"/>
                <w:b w:val="0"/>
                <w:color w:val="000000" w:themeColor="text1"/>
                <w:szCs w:val="21"/>
                <w:highlight w:val="none"/>
                <w:u w:val="single"/>
                <w14:textFill>
                  <w14:solidFill>
                    <w14:schemeClr w14:val="tx1"/>
                  </w14:solidFill>
                </w14:textFill>
              </w:rPr>
              <w:t>适用，见采购文件供应商须知前附表3.5（4）。</w:t>
            </w:r>
          </w:p>
        </w:tc>
      </w:tr>
      <w:tr w14:paraId="0CCCE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vAlign w:val="center"/>
          </w:tcPr>
          <w:p w14:paraId="6F775D08">
            <w:pPr>
              <w:widowControl w:val="0"/>
              <w:spacing w:line="360" w:lineRule="auto"/>
              <w:jc w:val="both"/>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（5）信誉要求</w:t>
            </w:r>
          </w:p>
        </w:tc>
        <w:tc>
          <w:tcPr>
            <w:tcW w:w="4112" w:type="dxa"/>
          </w:tcPr>
          <w:p w14:paraId="5F232FFD">
            <w:pPr>
              <w:widowControl w:val="0"/>
              <w:spacing w:line="360" w:lineRule="auto"/>
              <w:jc w:val="both"/>
              <w:rPr>
                <w:rStyle w:val="129"/>
                <w:rFonts w:hint="eastAsia" w:ascii="宋体" w:hAnsi="宋体" w:cs="宋体"/>
                <w:b w:val="0"/>
                <w:color w:val="000000" w:themeColor="text1"/>
                <w:szCs w:val="21"/>
                <w:highlight w:val="none"/>
                <w:u w:val="single"/>
                <w14:textFill>
                  <w14:solidFill>
                    <w14:schemeClr w14:val="tx1"/>
                  </w14:solidFill>
                </w14:textFill>
              </w:rPr>
            </w:pPr>
            <w:r>
              <w:rPr>
                <w:rStyle w:val="129"/>
                <w:rFonts w:hint="eastAsia" w:ascii="宋体" w:hAnsi="宋体" w:cs="宋体"/>
                <w:b w:val="0"/>
                <w:color w:val="000000" w:themeColor="text1"/>
                <w:szCs w:val="21"/>
                <w:highlight w:val="none"/>
                <w:u w:val="single"/>
                <w14:textFill>
                  <w14:solidFill>
                    <w14:schemeClr w14:val="tx1"/>
                  </w14:solidFill>
                </w14:textFill>
              </w:rPr>
              <w:t xml:space="preserve">□不适用  </w:t>
            </w:r>
          </w:p>
          <w:p w14:paraId="1BC0AEE6">
            <w:pPr>
              <w:widowControl w:val="0"/>
              <w:spacing w:line="360" w:lineRule="auto"/>
              <w:jc w:val="both"/>
              <w:rPr>
                <w:rStyle w:val="129"/>
                <w:rFonts w:hint="eastAsia" w:ascii="宋体" w:hAnsi="宋体" w:cs="宋体"/>
                <w:b w:val="0"/>
                <w:color w:val="000000" w:themeColor="text1"/>
                <w:szCs w:val="21"/>
                <w:highlight w:val="none"/>
                <w:u w:val="single"/>
                <w14:textFill>
                  <w14:solidFill>
                    <w14:schemeClr w14:val="tx1"/>
                  </w14:solidFill>
                </w14:textFill>
              </w:rPr>
            </w:pPr>
            <w:r>
              <w:rPr>
                <w:rStyle w:val="129"/>
                <w:rFonts w:hint="eastAsia" w:ascii="宋体" w:hAnsi="宋体" w:cs="宋体"/>
                <w:b w:val="0"/>
                <w:color w:val="000000" w:themeColor="text1"/>
                <w:szCs w:val="21"/>
                <w:highlight w:val="none"/>
                <w:u w:val="single"/>
                <w:lang w:eastAsia="zh-CN"/>
                <w14:textFill>
                  <w14:solidFill>
                    <w14:schemeClr w14:val="tx1"/>
                  </w14:solidFill>
                </w14:textFill>
              </w:rPr>
              <w:t>☑</w:t>
            </w:r>
            <w:r>
              <w:rPr>
                <w:rStyle w:val="129"/>
                <w:rFonts w:hint="eastAsia" w:ascii="宋体" w:hAnsi="宋体" w:cs="宋体"/>
                <w:b w:val="0"/>
                <w:color w:val="000000" w:themeColor="text1"/>
                <w:szCs w:val="21"/>
                <w:highlight w:val="none"/>
                <w:u w:val="single"/>
                <w14:textFill>
                  <w14:solidFill>
                    <w14:schemeClr w14:val="tx1"/>
                  </w14:solidFill>
                </w14:textFill>
              </w:rPr>
              <w:t>适用</w:t>
            </w:r>
          </w:p>
          <w:p w14:paraId="6F2DE1B1">
            <w:pPr>
              <w:widowControl w:val="0"/>
              <w:numPr>
                <w:ilvl w:val="-1"/>
                <w:numId w:val="0"/>
              </w:numPr>
              <w:spacing w:line="360" w:lineRule="auto"/>
              <w:jc w:val="both"/>
              <w:rPr>
                <w:rStyle w:val="129"/>
                <w:rFonts w:hint="eastAsia" w:ascii="宋体" w:hAnsi="宋体" w:cs="宋体"/>
                <w:b w:val="0"/>
                <w:color w:val="000000" w:themeColor="text1"/>
                <w:szCs w:val="21"/>
                <w:highlight w:val="none"/>
                <w:u w:val="single"/>
                <w14:textFill>
                  <w14:solidFill>
                    <w14:schemeClr w14:val="tx1"/>
                  </w14:solidFill>
                </w14:textFill>
              </w:rPr>
            </w:pPr>
            <w:r>
              <w:rPr>
                <w:rStyle w:val="129"/>
                <w:rFonts w:hint="eastAsia" w:ascii="宋体" w:hAnsi="宋体" w:cs="宋体"/>
                <w:b w:val="0"/>
                <w:color w:val="000000" w:themeColor="text1"/>
                <w:szCs w:val="21"/>
                <w:highlight w:val="none"/>
                <w:u w:val="single"/>
                <w:lang w:val="en-US" w:eastAsia="zh-CN"/>
                <w14:textFill>
                  <w14:solidFill>
                    <w14:schemeClr w14:val="tx1"/>
                  </w14:solidFill>
                </w14:textFill>
              </w:rPr>
              <w:t>未在国家企业信用信息公示系统（http://www.gsxt.gov.cn）中被列入严重违法失信企业名单或未在“信用中国”网站（www.creditchina.gov.cn）中被列入失信被执行人名单。</w:t>
            </w:r>
          </w:p>
        </w:tc>
        <w:tc>
          <w:tcPr>
            <w:tcW w:w="3117" w:type="dxa"/>
          </w:tcPr>
          <w:p w14:paraId="1946BE0E">
            <w:pPr>
              <w:widowControl w:val="0"/>
              <w:spacing w:line="360" w:lineRule="auto"/>
              <w:jc w:val="both"/>
              <w:rPr>
                <w:rStyle w:val="129"/>
                <w:rFonts w:hint="eastAsia" w:ascii="宋体" w:hAnsi="宋体" w:cs="宋体"/>
                <w:b w:val="0"/>
                <w:color w:val="000000" w:themeColor="text1"/>
                <w:szCs w:val="21"/>
                <w:highlight w:val="none"/>
                <w:u w:val="single"/>
                <w14:textFill>
                  <w14:solidFill>
                    <w14:schemeClr w14:val="tx1"/>
                  </w14:solidFill>
                </w14:textFill>
              </w:rPr>
            </w:pPr>
            <w:r>
              <w:rPr>
                <w:rStyle w:val="129"/>
                <w:rFonts w:hint="eastAsia" w:ascii="宋体" w:hAnsi="宋体" w:cs="宋体"/>
                <w:b w:val="0"/>
                <w:color w:val="000000" w:themeColor="text1"/>
                <w:szCs w:val="21"/>
                <w:highlight w:val="none"/>
                <w:u w:val="single"/>
                <w14:textFill>
                  <w14:solidFill>
                    <w14:schemeClr w14:val="tx1"/>
                  </w14:solidFill>
                </w14:textFill>
              </w:rPr>
              <w:t xml:space="preserve">□不适用  </w:t>
            </w:r>
          </w:p>
          <w:p w14:paraId="7C5A37CA">
            <w:pPr>
              <w:widowControl w:val="0"/>
              <w:spacing w:line="360" w:lineRule="auto"/>
              <w:jc w:val="both"/>
              <w:rPr>
                <w:rFonts w:hint="eastAsia" w:ascii="宋体" w:hAnsi="宋体" w:cs="宋体"/>
                <w:bCs/>
                <w:color w:val="000000" w:themeColor="text1"/>
                <w:szCs w:val="21"/>
                <w:highlight w:val="none"/>
                <w14:textFill>
                  <w14:solidFill>
                    <w14:schemeClr w14:val="tx1"/>
                  </w14:solidFill>
                </w14:textFill>
              </w:rPr>
            </w:pPr>
            <w:r>
              <w:rPr>
                <w:rStyle w:val="129"/>
                <w:rFonts w:hint="eastAsia" w:ascii="宋体" w:hAnsi="宋体" w:cs="宋体"/>
                <w:b w:val="0"/>
                <w:color w:val="000000" w:themeColor="text1"/>
                <w:szCs w:val="21"/>
                <w:highlight w:val="none"/>
                <w:u w:val="single"/>
                <w:lang w:eastAsia="zh-CN"/>
                <w14:textFill>
                  <w14:solidFill>
                    <w14:schemeClr w14:val="tx1"/>
                  </w14:solidFill>
                </w14:textFill>
              </w:rPr>
              <w:t>☑</w:t>
            </w:r>
            <w:r>
              <w:rPr>
                <w:rStyle w:val="129"/>
                <w:rFonts w:hint="eastAsia" w:ascii="宋体" w:hAnsi="宋体" w:cs="宋体"/>
                <w:b w:val="0"/>
                <w:color w:val="000000" w:themeColor="text1"/>
                <w:szCs w:val="21"/>
                <w:highlight w:val="none"/>
                <w:u w:val="single"/>
                <w14:textFill>
                  <w14:solidFill>
                    <w14:schemeClr w14:val="tx1"/>
                  </w14:solidFill>
                </w14:textFill>
              </w:rPr>
              <w:t>适用，见采购文件供应商须知前附表3.5（5）。</w:t>
            </w:r>
          </w:p>
        </w:tc>
      </w:tr>
      <w:tr w14:paraId="61F88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vAlign w:val="center"/>
          </w:tcPr>
          <w:p w14:paraId="6707D74D">
            <w:pPr>
              <w:widowControl w:val="0"/>
              <w:spacing w:line="360" w:lineRule="auto"/>
              <w:jc w:val="both"/>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（6）承担本项目的主要人员要求</w:t>
            </w:r>
          </w:p>
        </w:tc>
        <w:tc>
          <w:tcPr>
            <w:tcW w:w="4112" w:type="dxa"/>
          </w:tcPr>
          <w:p w14:paraId="17B6F760">
            <w:pPr>
              <w:widowControl w:val="0"/>
              <w:spacing w:line="360" w:lineRule="auto"/>
              <w:jc w:val="both"/>
              <w:rPr>
                <w:rFonts w:hint="eastAsia" w:ascii="宋体" w:hAnsi="宋体" w:cs="宋体"/>
                <w:bCs/>
                <w:color w:val="000000" w:themeColor="text1"/>
                <w:szCs w:val="21"/>
                <w:highlight w:val="none"/>
                <w14:textFill>
                  <w14:solidFill>
                    <w14:schemeClr w14:val="tx1"/>
                  </w14:solidFill>
                </w14:textFill>
              </w:rPr>
            </w:pPr>
            <w:r>
              <w:rPr>
                <w:rStyle w:val="129"/>
                <w:rFonts w:hint="eastAsia" w:ascii="宋体" w:hAnsi="宋体" w:cs="宋体"/>
                <w:b w:val="0"/>
                <w:color w:val="000000" w:themeColor="text1"/>
                <w:szCs w:val="21"/>
                <w:highlight w:val="none"/>
                <w:u w:val="single"/>
                <w14:textFill>
                  <w14:solidFill>
                    <w14:schemeClr w14:val="tx1"/>
                  </w14:solidFill>
                </w14:textFill>
              </w:rPr>
              <w:t>□</w:t>
            </w:r>
            <w:r>
              <w:rPr>
                <w:rFonts w:hint="eastAsia" w:ascii="宋体" w:hAnsi="宋体" w:cs="宋体"/>
                <w:bCs/>
                <w:color w:val="000000" w:themeColor="text1"/>
                <w:szCs w:val="21"/>
                <w:highlight w:val="none"/>
                <w14:textFill>
                  <w14:solidFill>
                    <w14:schemeClr w14:val="tx1"/>
                  </w14:solidFill>
                </w14:textFill>
              </w:rPr>
              <w:t xml:space="preserve">不适用  </w:t>
            </w:r>
          </w:p>
          <w:p w14:paraId="16D2559B">
            <w:pPr>
              <w:widowControl w:val="0"/>
              <w:spacing w:line="360" w:lineRule="auto"/>
              <w:jc w:val="both"/>
              <w:rPr>
                <w:rFonts w:hint="eastAsia" w:ascii="宋体" w:hAnsi="宋体" w:cs="宋体"/>
                <w:bCs/>
                <w:color w:val="000000" w:themeColor="text1"/>
                <w:szCs w:val="21"/>
                <w:highlight w:val="none"/>
                <w14:textFill>
                  <w14:solidFill>
                    <w14:schemeClr w14:val="tx1"/>
                  </w14:solidFill>
                </w14:textFill>
              </w:rPr>
            </w:pPr>
            <w:r>
              <w:rPr>
                <w:rStyle w:val="129"/>
                <w:rFonts w:hint="eastAsia" w:ascii="宋体" w:hAnsi="宋体" w:cs="宋体"/>
                <w:b w:val="0"/>
                <w:color w:val="000000" w:themeColor="text1"/>
                <w:szCs w:val="21"/>
                <w:highlight w:val="none"/>
                <w:u w:val="single"/>
                <w:lang w:eastAsia="zh-CN"/>
                <w14:textFill>
                  <w14:solidFill>
                    <w14:schemeClr w14:val="tx1"/>
                  </w14:solidFill>
                </w14:textFill>
              </w:rPr>
              <w:t>☑</w:t>
            </w:r>
            <w:r>
              <w:rPr>
                <w:rFonts w:hint="eastAsia" w:ascii="宋体" w:hAnsi="宋体" w:cs="宋体"/>
                <w:bCs/>
                <w:color w:val="000000" w:themeColor="text1"/>
                <w:szCs w:val="21"/>
                <w:highlight w:val="none"/>
                <w14:textFill>
                  <w14:solidFill>
                    <w14:schemeClr w14:val="tx1"/>
                  </w14:solidFill>
                </w14:textFill>
              </w:rPr>
              <w:t>适用</w:t>
            </w:r>
          </w:p>
          <w:p w14:paraId="0D629D8C">
            <w:pPr>
              <w:widowControl w:val="0"/>
              <w:spacing w:line="360" w:lineRule="auto"/>
              <w:jc w:val="both"/>
              <w:rPr>
                <w:rFonts w:hint="eastAsia" w:ascii="宋体" w:hAnsi="宋体" w:cs="宋体"/>
                <w:color w:val="000000" w:themeColor="text1"/>
                <w:szCs w:val="21"/>
                <w:highlight w:val="none"/>
                <w:u w:val="single"/>
                <w:lang w:val="en-US" w:eastAsia="zh-CN"/>
                <w14:textFill>
                  <w14:solidFill>
                    <w14:schemeClr w14:val="tx1"/>
                  </w14:solidFill>
                </w14:textFill>
              </w:rPr>
            </w:pPr>
            <w:bookmarkStart w:id="1" w:name="EB9a6470c35e3a470f957788a5ce823d0d"/>
            <w:r>
              <w:rPr>
                <w:rFonts w:hint="eastAsia" w:ascii="宋体" w:hAnsi="宋体" w:cs="宋体"/>
                <w:color w:val="000000" w:themeColor="text1"/>
                <w:szCs w:val="21"/>
                <w:highlight w:val="none"/>
                <w:u w:val="single"/>
                <w:lang w:val="en-US" w:eastAsia="zh-CN"/>
                <w14:textFill>
                  <w14:solidFill>
                    <w14:schemeClr w14:val="tx1"/>
                  </w14:solidFill>
                </w14:textFill>
              </w:rPr>
              <w:t>拟委派本项目的项目负责人应具备：</w:t>
            </w:r>
          </w:p>
          <w:bookmarkEnd w:id="1"/>
          <w:p w14:paraId="04791CC9">
            <w:pPr>
              <w:widowControl w:val="0"/>
              <w:numPr>
                <w:ilvl w:val="0"/>
                <w:numId w:val="0"/>
              </w:numPr>
              <w:spacing w:line="360" w:lineRule="auto"/>
              <w:ind w:leftChars="0"/>
              <w:jc w:val="both"/>
              <w:rPr>
                <w:rFonts w:hint="eastAsia" w:ascii="宋体" w:hAnsi="宋体" w:cs="宋体"/>
                <w:color w:val="000000" w:themeColor="text1"/>
                <w:szCs w:val="21"/>
                <w:highlight w:val="none"/>
                <w:u w:val="single"/>
                <w:lang w:val="en-US" w:eastAsia="zh-CN"/>
                <w14:textFill>
                  <w14:solidFill>
                    <w14:schemeClr w14:val="tx1"/>
                  </w14:solidFill>
                </w14:textFill>
              </w:rPr>
            </w:pPr>
            <w:r>
              <w:rPr>
                <w:rFonts w:hint="eastAsia" w:ascii="宋体" w:hAnsi="宋体" w:cs="宋体"/>
                <w:color w:val="000000" w:themeColor="text1"/>
                <w:szCs w:val="21"/>
                <w:highlight w:val="none"/>
                <w:u w:val="single"/>
                <w:lang w:val="en-US" w:eastAsia="zh-CN"/>
                <w14:textFill>
                  <w14:solidFill>
                    <w14:schemeClr w14:val="tx1"/>
                  </w14:solidFill>
                </w14:textFill>
              </w:rPr>
              <w:t>1、持有</w:t>
            </w:r>
            <w:r>
              <w:rPr>
                <w:rFonts w:hint="eastAsia" w:ascii="宋体" w:hAnsi="宋体" w:cs="宋体"/>
                <w:color w:val="000000" w:themeColor="text1"/>
                <w:szCs w:val="21"/>
                <w:highlight w:val="none"/>
                <w:u w:val="single"/>
                <w14:textFill>
                  <w14:solidFill>
                    <w14:schemeClr w14:val="tx1"/>
                  </w14:solidFill>
                </w14:textFill>
              </w:rPr>
              <w:t>交通行政主管颁发的试验检测工程师证书（</w:t>
            </w:r>
            <w:r>
              <w:rPr>
                <w:rFonts w:hint="eastAsia" w:ascii="宋体" w:hAnsi="宋体" w:cs="宋体"/>
                <w:color w:val="000000" w:themeColor="text1"/>
                <w:szCs w:val="21"/>
                <w:highlight w:val="none"/>
                <w:u w:val="single"/>
                <w:lang w:eastAsia="zh-CN"/>
                <w14:textFill>
                  <w14:solidFill>
                    <w14:schemeClr w14:val="tx1"/>
                  </w14:solidFill>
                </w14:textFill>
              </w:rPr>
              <w:t>含</w:t>
            </w:r>
            <w:r>
              <w:rPr>
                <w:rFonts w:hint="eastAsia" w:ascii="宋体" w:hAnsi="宋体" w:cs="宋体"/>
                <w:color w:val="000000" w:themeColor="text1"/>
                <w:szCs w:val="21"/>
                <w:highlight w:val="none"/>
                <w:u w:val="single"/>
                <w14:textFill>
                  <w14:solidFill>
                    <w14:schemeClr w14:val="tx1"/>
                  </w14:solidFill>
                </w14:textFill>
              </w:rPr>
              <w:t>桥梁专业或桥隧专业）</w:t>
            </w:r>
            <w:r>
              <w:rPr>
                <w:rFonts w:hint="eastAsia" w:ascii="宋体" w:hAnsi="宋体" w:cs="宋体"/>
                <w:color w:val="000000" w:themeColor="text1"/>
                <w:szCs w:val="21"/>
                <w:highlight w:val="none"/>
                <w:u w:val="single"/>
                <w:lang w:eastAsia="zh-CN"/>
                <w14:textFill>
                  <w14:solidFill>
                    <w14:schemeClr w14:val="tx1"/>
                  </w14:solidFill>
                </w14:textFill>
              </w:rPr>
              <w:t>，</w:t>
            </w:r>
            <w:r>
              <w:rPr>
                <w:rFonts w:hint="eastAsia" w:ascii="宋体" w:hAnsi="宋体" w:cs="宋体"/>
                <w:color w:val="000000" w:themeColor="text1"/>
                <w:szCs w:val="21"/>
                <w:highlight w:val="none"/>
                <w:u w:val="single"/>
                <w:lang w:val="en-US" w:eastAsia="zh-CN"/>
                <w14:textFill>
                  <w14:solidFill>
                    <w14:schemeClr w14:val="tx1"/>
                  </w14:solidFill>
                </w14:textFill>
              </w:rPr>
              <w:t>且注册单位名称必须与响应人名称一致；</w:t>
            </w:r>
          </w:p>
          <w:p w14:paraId="7EDA23BA">
            <w:pPr>
              <w:widowControl w:val="0"/>
              <w:numPr>
                <w:ilvl w:val="0"/>
                <w:numId w:val="0"/>
              </w:numPr>
              <w:spacing w:line="360" w:lineRule="auto"/>
              <w:ind w:leftChars="0"/>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u w:val="single"/>
                <w:lang w:val="en-US" w:eastAsia="zh-CN"/>
                <w14:textFill>
                  <w14:solidFill>
                    <w14:schemeClr w14:val="tx1"/>
                  </w14:solidFill>
                </w14:textFill>
              </w:rPr>
              <w:t>2、至少担任过</w:t>
            </w:r>
            <w:r>
              <w:rPr>
                <w:rFonts w:hint="eastAsia" w:ascii="宋体" w:hAnsi="宋体" w:cs="宋体"/>
                <w:color w:val="000000" w:themeColor="text1"/>
                <w:szCs w:val="21"/>
                <w:highlight w:val="none"/>
                <w:u w:val="single"/>
                <w14:textFill>
                  <w14:solidFill>
                    <w14:schemeClr w14:val="tx1"/>
                  </w14:solidFill>
                </w14:textFill>
              </w:rPr>
              <w:t xml:space="preserve">1 </w:t>
            </w:r>
            <w:r>
              <w:rPr>
                <w:rFonts w:hint="eastAsia" w:ascii="宋体" w:hAnsi="宋体" w:cs="宋体"/>
                <w:color w:val="000000" w:themeColor="text1"/>
                <w:szCs w:val="21"/>
                <w:highlight w:val="none"/>
                <w:u w:val="single"/>
                <w:lang w:val="en-US" w:eastAsia="zh-CN"/>
                <w14:textFill>
                  <w14:solidFill>
                    <w14:schemeClr w14:val="tx1"/>
                  </w14:solidFill>
                </w14:textFill>
              </w:rPr>
              <w:t>个桥梁施工监控服务</w:t>
            </w:r>
            <w:r>
              <w:rPr>
                <w:rFonts w:hint="eastAsia" w:ascii="宋体" w:hAnsi="宋体" w:cs="宋体"/>
                <w:color w:val="000000" w:themeColor="text1"/>
                <w:szCs w:val="21"/>
                <w:highlight w:val="none"/>
                <w:u w:val="single"/>
                <w14:textFill>
                  <w14:solidFill>
                    <w14:schemeClr w14:val="tx1"/>
                  </w14:solidFill>
                </w14:textFill>
              </w:rPr>
              <w:t>项目</w:t>
            </w:r>
            <w:r>
              <w:rPr>
                <w:rFonts w:hint="eastAsia" w:ascii="宋体" w:hAnsi="宋体" w:cs="宋体"/>
                <w:color w:val="000000" w:themeColor="text1"/>
                <w:szCs w:val="21"/>
                <w:highlight w:val="none"/>
                <w:u w:val="single"/>
                <w:lang w:val="en-US" w:eastAsia="zh-CN"/>
                <w14:textFill>
                  <w14:solidFill>
                    <w14:schemeClr w14:val="tx1"/>
                  </w14:solidFill>
                </w14:textFill>
              </w:rPr>
              <w:t>的项目负责人或技术负责人职务。</w:t>
            </w:r>
          </w:p>
        </w:tc>
        <w:tc>
          <w:tcPr>
            <w:tcW w:w="3117" w:type="dxa"/>
          </w:tcPr>
          <w:p w14:paraId="75FBF55E">
            <w:pPr>
              <w:widowControl w:val="0"/>
              <w:spacing w:line="360" w:lineRule="auto"/>
              <w:jc w:val="both"/>
              <w:rPr>
                <w:rStyle w:val="129"/>
                <w:rFonts w:hint="eastAsia" w:ascii="宋体" w:hAnsi="宋体" w:cs="宋体"/>
                <w:b w:val="0"/>
                <w:color w:val="000000" w:themeColor="text1"/>
                <w:szCs w:val="21"/>
                <w:highlight w:val="none"/>
                <w:u w:val="single"/>
                <w14:textFill>
                  <w14:solidFill>
                    <w14:schemeClr w14:val="tx1"/>
                  </w14:solidFill>
                </w14:textFill>
              </w:rPr>
            </w:pPr>
            <w:r>
              <w:rPr>
                <w:rStyle w:val="129"/>
                <w:rFonts w:hint="eastAsia" w:ascii="宋体" w:hAnsi="宋体" w:cs="宋体"/>
                <w:b w:val="0"/>
                <w:color w:val="000000" w:themeColor="text1"/>
                <w:szCs w:val="21"/>
                <w:highlight w:val="none"/>
                <w:u w:val="single"/>
                <w14:textFill>
                  <w14:solidFill>
                    <w14:schemeClr w14:val="tx1"/>
                  </w14:solidFill>
                </w14:textFill>
              </w:rPr>
              <w:t xml:space="preserve">□不适用  </w:t>
            </w:r>
          </w:p>
          <w:p w14:paraId="247629EF">
            <w:pPr>
              <w:widowControl w:val="0"/>
              <w:spacing w:line="360" w:lineRule="auto"/>
              <w:jc w:val="both"/>
              <w:rPr>
                <w:rFonts w:hint="eastAsia" w:ascii="宋体" w:hAnsi="宋体" w:cs="宋体"/>
                <w:bCs/>
                <w:color w:val="000000" w:themeColor="text1"/>
                <w:szCs w:val="21"/>
                <w:highlight w:val="none"/>
                <w14:textFill>
                  <w14:solidFill>
                    <w14:schemeClr w14:val="tx1"/>
                  </w14:solidFill>
                </w14:textFill>
              </w:rPr>
            </w:pPr>
            <w:r>
              <w:rPr>
                <w:rStyle w:val="129"/>
                <w:rFonts w:hint="eastAsia" w:ascii="宋体" w:hAnsi="宋体" w:cs="宋体"/>
                <w:b w:val="0"/>
                <w:color w:val="000000" w:themeColor="text1"/>
                <w:szCs w:val="21"/>
                <w:highlight w:val="none"/>
                <w:u w:val="single"/>
                <w:lang w:eastAsia="zh-CN"/>
                <w14:textFill>
                  <w14:solidFill>
                    <w14:schemeClr w14:val="tx1"/>
                  </w14:solidFill>
                </w14:textFill>
              </w:rPr>
              <w:t>☑</w:t>
            </w:r>
            <w:r>
              <w:rPr>
                <w:rStyle w:val="129"/>
                <w:rFonts w:hint="eastAsia" w:ascii="宋体" w:hAnsi="宋体" w:cs="宋体"/>
                <w:b w:val="0"/>
                <w:color w:val="000000" w:themeColor="text1"/>
                <w:szCs w:val="21"/>
                <w:highlight w:val="none"/>
                <w:u w:val="single"/>
                <w14:textFill>
                  <w14:solidFill>
                    <w14:schemeClr w14:val="tx1"/>
                  </w14:solidFill>
                </w14:textFill>
              </w:rPr>
              <w:t>适用，见采购文件供应商须知前附表3.5（6）。</w:t>
            </w:r>
          </w:p>
        </w:tc>
      </w:tr>
      <w:tr w14:paraId="04382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vAlign w:val="center"/>
          </w:tcPr>
          <w:p w14:paraId="4E3A233E">
            <w:pPr>
              <w:widowControl w:val="0"/>
              <w:spacing w:line="360" w:lineRule="auto"/>
              <w:jc w:val="both"/>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（7）其他要求</w:t>
            </w:r>
          </w:p>
        </w:tc>
        <w:tc>
          <w:tcPr>
            <w:tcW w:w="4112" w:type="dxa"/>
          </w:tcPr>
          <w:p w14:paraId="79FFCF81">
            <w:pPr>
              <w:widowControl w:val="0"/>
              <w:spacing w:line="360" w:lineRule="auto"/>
              <w:jc w:val="both"/>
              <w:rPr>
                <w:rStyle w:val="129"/>
                <w:rFonts w:hint="eastAsia" w:ascii="宋体" w:hAnsi="宋体" w:cs="宋体"/>
                <w:b w:val="0"/>
                <w:color w:val="000000" w:themeColor="text1"/>
                <w:szCs w:val="21"/>
                <w:highlight w:val="none"/>
                <w:u w:val="single"/>
                <w14:textFill>
                  <w14:solidFill>
                    <w14:schemeClr w14:val="tx1"/>
                  </w14:solidFill>
                </w14:textFill>
              </w:rPr>
            </w:pPr>
            <w:r>
              <w:rPr>
                <w:rStyle w:val="129"/>
                <w:rFonts w:hint="eastAsia" w:ascii="宋体" w:hAnsi="宋体" w:cs="宋体"/>
                <w:b w:val="0"/>
                <w:color w:val="000000" w:themeColor="text1"/>
                <w:szCs w:val="21"/>
                <w:highlight w:val="none"/>
                <w:u w:val="single"/>
                <w:lang w:eastAsia="zh-CN"/>
                <w14:textFill>
                  <w14:solidFill>
                    <w14:schemeClr w14:val="tx1"/>
                  </w14:solidFill>
                </w14:textFill>
              </w:rPr>
              <w:t>☑</w:t>
            </w:r>
            <w:r>
              <w:rPr>
                <w:rStyle w:val="129"/>
                <w:rFonts w:hint="eastAsia" w:ascii="宋体" w:hAnsi="宋体" w:cs="宋体"/>
                <w:b w:val="0"/>
                <w:color w:val="000000" w:themeColor="text1"/>
                <w:szCs w:val="21"/>
                <w:highlight w:val="none"/>
                <w:u w:val="single"/>
                <w14:textFill>
                  <w14:solidFill>
                    <w14:schemeClr w14:val="tx1"/>
                  </w14:solidFill>
                </w14:textFill>
              </w:rPr>
              <w:t xml:space="preserve">不适用  </w:t>
            </w:r>
          </w:p>
          <w:p w14:paraId="7FCD8BFC">
            <w:pPr>
              <w:widowControl w:val="0"/>
              <w:spacing w:line="360" w:lineRule="auto"/>
              <w:jc w:val="both"/>
              <w:rPr>
                <w:rStyle w:val="129"/>
                <w:rFonts w:hint="eastAsia" w:ascii="宋体" w:hAnsi="宋体" w:cs="宋体"/>
                <w:b w:val="0"/>
                <w:color w:val="000000" w:themeColor="text1"/>
                <w:szCs w:val="21"/>
                <w:highlight w:val="none"/>
                <w:u w:val="single"/>
                <w:lang w:eastAsia="zh-CN"/>
                <w14:textFill>
                  <w14:solidFill>
                    <w14:schemeClr w14:val="tx1"/>
                  </w14:solidFill>
                </w14:textFill>
              </w:rPr>
            </w:pPr>
            <w:r>
              <w:rPr>
                <w:rStyle w:val="129"/>
                <w:rFonts w:hint="eastAsia" w:ascii="宋体" w:hAnsi="宋体" w:cs="宋体"/>
                <w:b w:val="0"/>
                <w:color w:val="000000" w:themeColor="text1"/>
                <w:szCs w:val="21"/>
                <w:highlight w:val="none"/>
                <w:u w:val="single"/>
                <w:lang w:eastAsia="zh-CN"/>
                <w14:textFill>
                  <w14:solidFill>
                    <w14:schemeClr w14:val="tx1"/>
                  </w14:solidFill>
                </w14:textFill>
              </w:rPr>
              <w:t>□</w:t>
            </w:r>
            <w:r>
              <w:rPr>
                <w:rStyle w:val="129"/>
                <w:rFonts w:hint="eastAsia" w:ascii="宋体" w:hAnsi="宋体" w:cs="宋体"/>
                <w:b w:val="0"/>
                <w:color w:val="000000" w:themeColor="text1"/>
                <w:szCs w:val="21"/>
                <w:highlight w:val="none"/>
                <w:u w:val="single"/>
                <w14:textFill>
                  <w14:solidFill>
                    <w14:schemeClr w14:val="tx1"/>
                  </w14:solidFill>
                </w14:textFill>
              </w:rPr>
              <w:t>适用</w:t>
            </w:r>
          </w:p>
        </w:tc>
        <w:tc>
          <w:tcPr>
            <w:tcW w:w="3117" w:type="dxa"/>
          </w:tcPr>
          <w:p w14:paraId="6EEAF13D">
            <w:pPr>
              <w:widowControl w:val="0"/>
              <w:spacing w:line="360" w:lineRule="auto"/>
              <w:jc w:val="both"/>
              <w:rPr>
                <w:rStyle w:val="129"/>
                <w:rFonts w:hint="eastAsia" w:ascii="宋体" w:hAnsi="宋体" w:cs="宋体"/>
                <w:b w:val="0"/>
                <w:color w:val="000000" w:themeColor="text1"/>
                <w:szCs w:val="21"/>
                <w:highlight w:val="none"/>
                <w:u w:val="single"/>
                <w14:textFill>
                  <w14:solidFill>
                    <w14:schemeClr w14:val="tx1"/>
                  </w14:solidFill>
                </w14:textFill>
              </w:rPr>
            </w:pPr>
            <w:r>
              <w:rPr>
                <w:rStyle w:val="129"/>
                <w:rFonts w:hint="eastAsia" w:ascii="宋体" w:hAnsi="宋体" w:cs="宋体"/>
                <w:b w:val="0"/>
                <w:color w:val="000000" w:themeColor="text1"/>
                <w:szCs w:val="21"/>
                <w:highlight w:val="none"/>
                <w:u w:val="single"/>
                <w:lang w:eastAsia="zh-CN"/>
                <w14:textFill>
                  <w14:solidFill>
                    <w14:schemeClr w14:val="tx1"/>
                  </w14:solidFill>
                </w14:textFill>
              </w:rPr>
              <w:t>□</w:t>
            </w:r>
            <w:r>
              <w:rPr>
                <w:rStyle w:val="129"/>
                <w:rFonts w:hint="eastAsia" w:ascii="宋体" w:hAnsi="宋体" w:cs="宋体"/>
                <w:b w:val="0"/>
                <w:color w:val="000000" w:themeColor="text1"/>
                <w:szCs w:val="21"/>
                <w:highlight w:val="none"/>
                <w:u w:val="single"/>
                <w14:textFill>
                  <w14:solidFill>
                    <w14:schemeClr w14:val="tx1"/>
                  </w14:solidFill>
                </w14:textFill>
              </w:rPr>
              <w:t xml:space="preserve">不适用  </w:t>
            </w:r>
          </w:p>
          <w:p w14:paraId="1A87918D">
            <w:pPr>
              <w:widowControl w:val="0"/>
              <w:spacing w:line="360" w:lineRule="auto"/>
              <w:jc w:val="both"/>
              <w:rPr>
                <w:rFonts w:hint="eastAsia" w:ascii="宋体" w:hAnsi="宋体" w:cs="宋体"/>
                <w:bCs/>
                <w:color w:val="000000" w:themeColor="text1"/>
                <w:szCs w:val="21"/>
                <w:highlight w:val="none"/>
                <w14:textFill>
                  <w14:solidFill>
                    <w14:schemeClr w14:val="tx1"/>
                  </w14:solidFill>
                </w14:textFill>
              </w:rPr>
            </w:pPr>
            <w:r>
              <w:rPr>
                <w:rStyle w:val="129"/>
                <w:rFonts w:hint="eastAsia" w:ascii="宋体" w:hAnsi="宋体" w:cs="宋体"/>
                <w:b w:val="0"/>
                <w:color w:val="000000" w:themeColor="text1"/>
                <w:szCs w:val="21"/>
                <w:highlight w:val="none"/>
                <w:u w:val="single"/>
                <w:lang w:eastAsia="zh-CN"/>
                <w14:textFill>
                  <w14:solidFill>
                    <w14:schemeClr w14:val="tx1"/>
                  </w14:solidFill>
                </w14:textFill>
              </w:rPr>
              <w:t>☑</w:t>
            </w:r>
            <w:r>
              <w:rPr>
                <w:rStyle w:val="129"/>
                <w:rFonts w:hint="eastAsia" w:ascii="宋体" w:hAnsi="宋体" w:cs="宋体"/>
                <w:b w:val="0"/>
                <w:color w:val="000000" w:themeColor="text1"/>
                <w:szCs w:val="21"/>
                <w:highlight w:val="none"/>
                <w:u w:val="single"/>
                <w14:textFill>
                  <w14:solidFill>
                    <w14:schemeClr w14:val="tx1"/>
                  </w14:solidFill>
                </w14:textFill>
              </w:rPr>
              <w:t>适用，见采购文件供应商须知前附表3.5（7）。</w:t>
            </w:r>
          </w:p>
        </w:tc>
      </w:tr>
      <w:tr w14:paraId="3332B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vAlign w:val="center"/>
          </w:tcPr>
          <w:p w14:paraId="7798C4AF">
            <w:pPr>
              <w:widowControl w:val="0"/>
              <w:spacing w:line="360" w:lineRule="auto"/>
              <w:jc w:val="both"/>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（8）供应商不存在第一章3.1款情形的证明材料</w:t>
            </w:r>
          </w:p>
        </w:tc>
        <w:tc>
          <w:tcPr>
            <w:tcW w:w="4112" w:type="dxa"/>
          </w:tcPr>
          <w:p w14:paraId="6CF7E14B">
            <w:pPr>
              <w:widowControl w:val="0"/>
              <w:spacing w:line="360" w:lineRule="auto"/>
              <w:jc w:val="both"/>
              <w:rPr>
                <w:rStyle w:val="129"/>
                <w:rFonts w:hint="eastAsia" w:ascii="宋体" w:hAnsi="宋体" w:cs="宋体"/>
                <w:b w:val="0"/>
                <w:color w:val="000000" w:themeColor="text1"/>
                <w:szCs w:val="21"/>
                <w:highlight w:val="none"/>
                <w:u w:val="single"/>
                <w14:textFill>
                  <w14:solidFill>
                    <w14:schemeClr w14:val="tx1"/>
                  </w14:solidFill>
                </w14:textFill>
              </w:rPr>
            </w:pPr>
            <w:r>
              <w:rPr>
                <w:rStyle w:val="129"/>
                <w:rFonts w:hint="eastAsia" w:ascii="宋体" w:hAnsi="宋体" w:cs="宋体"/>
                <w:b w:val="0"/>
                <w:color w:val="000000" w:themeColor="text1"/>
                <w:szCs w:val="21"/>
                <w:highlight w:val="none"/>
                <w:u w:val="single"/>
                <w14:textFill>
                  <w14:solidFill>
                    <w14:schemeClr w14:val="tx1"/>
                  </w14:solidFill>
                </w14:textFill>
              </w:rPr>
              <w:t xml:space="preserve">□不适用  </w:t>
            </w:r>
          </w:p>
          <w:p w14:paraId="131207D9">
            <w:pPr>
              <w:widowControl w:val="0"/>
              <w:spacing w:line="360" w:lineRule="auto"/>
              <w:jc w:val="both"/>
              <w:rPr>
                <w:rFonts w:hint="eastAsia" w:ascii="宋体" w:hAnsi="宋体" w:cs="宋体"/>
                <w:bCs/>
                <w:color w:val="000000" w:themeColor="text1"/>
                <w:szCs w:val="21"/>
                <w:highlight w:val="none"/>
                <w14:textFill>
                  <w14:solidFill>
                    <w14:schemeClr w14:val="tx1"/>
                  </w14:solidFill>
                </w14:textFill>
              </w:rPr>
            </w:pPr>
            <w:r>
              <w:rPr>
                <w:rStyle w:val="129"/>
                <w:rFonts w:hint="eastAsia" w:ascii="宋体" w:hAnsi="宋体" w:cs="宋体"/>
                <w:b w:val="0"/>
                <w:color w:val="000000" w:themeColor="text1"/>
                <w:szCs w:val="21"/>
                <w:highlight w:val="none"/>
                <w:u w:val="single"/>
                <w:lang w:eastAsia="zh-CN"/>
                <w14:textFill>
                  <w14:solidFill>
                    <w14:schemeClr w14:val="tx1"/>
                  </w14:solidFill>
                </w14:textFill>
              </w:rPr>
              <w:t>☑</w:t>
            </w:r>
            <w:r>
              <w:rPr>
                <w:rStyle w:val="129"/>
                <w:rFonts w:hint="eastAsia" w:ascii="宋体" w:hAnsi="宋体" w:cs="宋体"/>
                <w:b w:val="0"/>
                <w:color w:val="000000" w:themeColor="text1"/>
                <w:szCs w:val="21"/>
                <w:highlight w:val="none"/>
                <w:u w:val="single"/>
                <w14:textFill>
                  <w14:solidFill>
                    <w14:schemeClr w14:val="tx1"/>
                  </w14:solidFill>
                </w14:textFill>
              </w:rPr>
              <w:t>适用</w:t>
            </w:r>
          </w:p>
          <w:p w14:paraId="628E50EB">
            <w:pPr>
              <w:widowControl w:val="0"/>
              <w:spacing w:line="360" w:lineRule="auto"/>
              <w:jc w:val="both"/>
              <w:rPr>
                <w:rFonts w:hint="eastAsia" w:ascii="宋体" w:hAnsi="宋体" w:cs="宋体"/>
                <w:bCs/>
                <w:color w:val="000000" w:themeColor="text1"/>
                <w:szCs w:val="21"/>
                <w:highlight w:val="none"/>
                <w14:textFill>
                  <w14:solidFill>
                    <w14:schemeClr w14:val="tx1"/>
                  </w14:solidFill>
                </w14:textFill>
              </w:rPr>
            </w:pPr>
          </w:p>
        </w:tc>
        <w:tc>
          <w:tcPr>
            <w:tcW w:w="3117" w:type="dxa"/>
          </w:tcPr>
          <w:p w14:paraId="686A8F4C">
            <w:pPr>
              <w:widowControl w:val="0"/>
              <w:spacing w:line="360" w:lineRule="auto"/>
              <w:jc w:val="both"/>
              <w:rPr>
                <w:rStyle w:val="129"/>
                <w:rFonts w:hint="eastAsia" w:ascii="宋体" w:hAnsi="宋体" w:cs="宋体"/>
                <w:b w:val="0"/>
                <w:color w:val="000000" w:themeColor="text1"/>
                <w:szCs w:val="21"/>
                <w:highlight w:val="none"/>
                <w:u w:val="single"/>
                <w14:textFill>
                  <w14:solidFill>
                    <w14:schemeClr w14:val="tx1"/>
                  </w14:solidFill>
                </w14:textFill>
              </w:rPr>
            </w:pPr>
            <w:r>
              <w:rPr>
                <w:rStyle w:val="129"/>
                <w:rFonts w:hint="eastAsia" w:ascii="宋体" w:hAnsi="宋体" w:cs="宋体"/>
                <w:b w:val="0"/>
                <w:color w:val="000000" w:themeColor="text1"/>
                <w:szCs w:val="21"/>
                <w:highlight w:val="none"/>
                <w:u w:val="single"/>
                <w14:textFill>
                  <w14:solidFill>
                    <w14:schemeClr w14:val="tx1"/>
                  </w14:solidFill>
                </w14:textFill>
              </w:rPr>
              <w:t xml:space="preserve">□不适用  </w:t>
            </w:r>
          </w:p>
          <w:p w14:paraId="50035A7B">
            <w:pPr>
              <w:widowControl w:val="0"/>
              <w:spacing w:line="360" w:lineRule="auto"/>
              <w:jc w:val="both"/>
              <w:rPr>
                <w:rFonts w:hint="eastAsia" w:ascii="宋体" w:hAnsi="宋体" w:cs="宋体"/>
                <w:bCs/>
                <w:color w:val="000000" w:themeColor="text1"/>
                <w:szCs w:val="21"/>
                <w:highlight w:val="none"/>
                <w14:textFill>
                  <w14:solidFill>
                    <w14:schemeClr w14:val="tx1"/>
                  </w14:solidFill>
                </w14:textFill>
              </w:rPr>
            </w:pPr>
            <w:r>
              <w:rPr>
                <w:rStyle w:val="129"/>
                <w:rFonts w:hint="eastAsia" w:ascii="宋体" w:hAnsi="宋体" w:cs="宋体"/>
                <w:b w:val="0"/>
                <w:color w:val="000000" w:themeColor="text1"/>
                <w:szCs w:val="21"/>
                <w:highlight w:val="none"/>
                <w:u w:val="single"/>
                <w:lang w:eastAsia="zh-CN"/>
                <w14:textFill>
                  <w14:solidFill>
                    <w14:schemeClr w14:val="tx1"/>
                  </w14:solidFill>
                </w14:textFill>
              </w:rPr>
              <w:t>☑</w:t>
            </w:r>
            <w:r>
              <w:rPr>
                <w:rStyle w:val="129"/>
                <w:rFonts w:hint="eastAsia" w:ascii="宋体" w:hAnsi="宋体" w:cs="宋体"/>
                <w:b w:val="0"/>
                <w:color w:val="000000" w:themeColor="text1"/>
                <w:szCs w:val="21"/>
                <w:highlight w:val="none"/>
                <w:u w:val="single"/>
                <w14:textFill>
                  <w14:solidFill>
                    <w14:schemeClr w14:val="tx1"/>
                  </w14:solidFill>
                </w14:textFill>
              </w:rPr>
              <w:t>适用，见采购文件供应商须知前附表3.5（8）。</w:t>
            </w:r>
          </w:p>
        </w:tc>
      </w:tr>
      <w:tr w14:paraId="16C13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vAlign w:val="center"/>
          </w:tcPr>
          <w:p w14:paraId="12228DC1">
            <w:pPr>
              <w:widowControl w:val="0"/>
              <w:spacing w:line="360" w:lineRule="auto"/>
              <w:jc w:val="both"/>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（9）联合体要求的证明材料</w:t>
            </w:r>
          </w:p>
        </w:tc>
        <w:tc>
          <w:tcPr>
            <w:tcW w:w="4112" w:type="dxa"/>
          </w:tcPr>
          <w:p w14:paraId="6A273B0D">
            <w:pPr>
              <w:widowControl w:val="0"/>
              <w:spacing w:line="360" w:lineRule="auto"/>
              <w:jc w:val="both"/>
              <w:rPr>
                <w:rStyle w:val="129"/>
                <w:rFonts w:hint="eastAsia" w:ascii="宋体" w:hAnsi="宋体" w:cs="宋体"/>
                <w:b w:val="0"/>
                <w:color w:val="000000" w:themeColor="text1"/>
                <w:szCs w:val="21"/>
                <w:highlight w:val="none"/>
                <w:u w:val="single"/>
                <w14:textFill>
                  <w14:solidFill>
                    <w14:schemeClr w14:val="tx1"/>
                  </w14:solidFill>
                </w14:textFill>
              </w:rPr>
            </w:pPr>
            <w:r>
              <w:rPr>
                <w:rStyle w:val="129"/>
                <w:rFonts w:hint="eastAsia" w:ascii="宋体" w:hAnsi="宋体" w:cs="宋体"/>
                <w:b w:val="0"/>
                <w:color w:val="000000" w:themeColor="text1"/>
                <w:szCs w:val="21"/>
                <w:highlight w:val="none"/>
                <w:u w:val="single"/>
                <w:lang w:eastAsia="zh-CN"/>
                <w14:textFill>
                  <w14:solidFill>
                    <w14:schemeClr w14:val="tx1"/>
                  </w14:solidFill>
                </w14:textFill>
              </w:rPr>
              <w:t>☑</w:t>
            </w:r>
            <w:r>
              <w:rPr>
                <w:rStyle w:val="129"/>
                <w:rFonts w:hint="eastAsia" w:ascii="宋体" w:hAnsi="宋体" w:cs="宋体"/>
                <w:b w:val="0"/>
                <w:color w:val="000000" w:themeColor="text1"/>
                <w:szCs w:val="21"/>
                <w:highlight w:val="none"/>
                <w:u w:val="single"/>
                <w14:textFill>
                  <w14:solidFill>
                    <w14:schemeClr w14:val="tx1"/>
                  </w14:solidFill>
                </w14:textFill>
              </w:rPr>
              <w:t xml:space="preserve">不适用  </w:t>
            </w:r>
          </w:p>
          <w:p w14:paraId="2103B79A">
            <w:pPr>
              <w:widowControl w:val="0"/>
              <w:spacing w:line="360" w:lineRule="auto"/>
              <w:jc w:val="both"/>
              <w:rPr>
                <w:rFonts w:hint="eastAsia" w:ascii="宋体" w:hAnsi="宋体" w:cs="宋体"/>
                <w:bCs/>
                <w:color w:val="000000" w:themeColor="text1"/>
                <w:szCs w:val="21"/>
                <w:highlight w:val="none"/>
                <w14:textFill>
                  <w14:solidFill>
                    <w14:schemeClr w14:val="tx1"/>
                  </w14:solidFill>
                </w14:textFill>
              </w:rPr>
            </w:pPr>
            <w:r>
              <w:rPr>
                <w:rStyle w:val="129"/>
                <w:rFonts w:hint="eastAsia" w:ascii="宋体" w:hAnsi="宋体" w:cs="宋体"/>
                <w:b w:val="0"/>
                <w:color w:val="000000" w:themeColor="text1"/>
                <w:szCs w:val="21"/>
                <w:highlight w:val="none"/>
                <w:u w:val="single"/>
                <w14:textFill>
                  <w14:solidFill>
                    <w14:schemeClr w14:val="tx1"/>
                  </w14:solidFill>
                </w14:textFill>
              </w:rPr>
              <w:t>□适用</w:t>
            </w:r>
          </w:p>
          <w:p w14:paraId="72E6685C">
            <w:pPr>
              <w:widowControl w:val="0"/>
              <w:spacing w:line="360" w:lineRule="auto"/>
              <w:jc w:val="both"/>
              <w:rPr>
                <w:rFonts w:hint="eastAsia" w:ascii="宋体" w:hAnsi="宋体" w:cs="宋体"/>
                <w:bCs/>
                <w:color w:val="000000" w:themeColor="text1"/>
                <w:szCs w:val="21"/>
                <w:highlight w:val="none"/>
                <w14:textFill>
                  <w14:solidFill>
                    <w14:schemeClr w14:val="tx1"/>
                  </w14:solidFill>
                </w14:textFill>
              </w:rPr>
            </w:pPr>
          </w:p>
        </w:tc>
        <w:tc>
          <w:tcPr>
            <w:tcW w:w="3117" w:type="dxa"/>
          </w:tcPr>
          <w:p w14:paraId="1B1D7B17">
            <w:pPr>
              <w:widowControl w:val="0"/>
              <w:spacing w:line="360" w:lineRule="auto"/>
              <w:jc w:val="both"/>
              <w:rPr>
                <w:rStyle w:val="129"/>
                <w:rFonts w:hint="eastAsia" w:ascii="宋体" w:hAnsi="宋体" w:cs="宋体"/>
                <w:b w:val="0"/>
                <w:color w:val="000000" w:themeColor="text1"/>
                <w:szCs w:val="21"/>
                <w:highlight w:val="none"/>
                <w:u w:val="single"/>
                <w14:textFill>
                  <w14:solidFill>
                    <w14:schemeClr w14:val="tx1"/>
                  </w14:solidFill>
                </w14:textFill>
              </w:rPr>
            </w:pPr>
            <w:r>
              <w:rPr>
                <w:rStyle w:val="129"/>
                <w:rFonts w:hint="eastAsia" w:ascii="宋体" w:hAnsi="宋体" w:cs="宋体"/>
                <w:b w:val="0"/>
                <w:color w:val="000000" w:themeColor="text1"/>
                <w:szCs w:val="21"/>
                <w:highlight w:val="none"/>
                <w:u w:val="single"/>
                <w:lang w:eastAsia="zh-CN"/>
                <w14:textFill>
                  <w14:solidFill>
                    <w14:schemeClr w14:val="tx1"/>
                  </w14:solidFill>
                </w14:textFill>
              </w:rPr>
              <w:t>☑</w:t>
            </w:r>
            <w:r>
              <w:rPr>
                <w:rStyle w:val="129"/>
                <w:rFonts w:hint="eastAsia" w:ascii="宋体" w:hAnsi="宋体" w:cs="宋体"/>
                <w:b w:val="0"/>
                <w:color w:val="000000" w:themeColor="text1"/>
                <w:szCs w:val="21"/>
                <w:highlight w:val="none"/>
                <w:u w:val="single"/>
                <w14:textFill>
                  <w14:solidFill>
                    <w14:schemeClr w14:val="tx1"/>
                  </w14:solidFill>
                </w14:textFill>
              </w:rPr>
              <w:t xml:space="preserve">不适用  </w:t>
            </w:r>
          </w:p>
          <w:p w14:paraId="2E0C8FCB">
            <w:pPr>
              <w:widowControl w:val="0"/>
              <w:spacing w:line="360" w:lineRule="auto"/>
              <w:jc w:val="both"/>
              <w:rPr>
                <w:rFonts w:hint="eastAsia" w:ascii="宋体" w:hAnsi="宋体" w:cs="宋体"/>
                <w:bCs/>
                <w:color w:val="000000" w:themeColor="text1"/>
                <w:szCs w:val="21"/>
                <w:highlight w:val="none"/>
                <w14:textFill>
                  <w14:solidFill>
                    <w14:schemeClr w14:val="tx1"/>
                  </w14:solidFill>
                </w14:textFill>
              </w:rPr>
            </w:pPr>
            <w:r>
              <w:rPr>
                <w:rStyle w:val="129"/>
                <w:rFonts w:hint="eastAsia" w:ascii="宋体" w:hAnsi="宋体" w:cs="宋体"/>
                <w:b w:val="0"/>
                <w:color w:val="000000" w:themeColor="text1"/>
                <w:szCs w:val="21"/>
                <w:highlight w:val="none"/>
                <w:u w:val="single"/>
                <w14:textFill>
                  <w14:solidFill>
                    <w14:schemeClr w14:val="tx1"/>
                  </w14:solidFill>
                </w14:textFill>
              </w:rPr>
              <w:t>□适用，见采购文件供应商须知前附表3.5（9）。</w:t>
            </w:r>
          </w:p>
        </w:tc>
      </w:tr>
    </w:tbl>
    <w:p w14:paraId="70669B4D">
      <w:pPr>
        <w:autoSpaceDE w:val="0"/>
        <w:spacing w:line="400" w:lineRule="exact"/>
        <w:ind w:firstLine="240" w:firstLineChars="100"/>
        <w:rPr>
          <w:rFonts w:hint="eastAsia" w:ascii="宋体" w:hAnsi="宋体"/>
          <w:color w:val="000000" w:themeColor="text1"/>
          <w:sz w:val="24"/>
          <w:highlight w:val="none"/>
          <w14:textFill>
            <w14:solidFill>
              <w14:schemeClr w14:val="tx1"/>
            </w14:solidFill>
          </w14:textFill>
        </w:rPr>
      </w:pPr>
    </w:p>
    <w:p w14:paraId="088DA4C6">
      <w:pPr>
        <w:pStyle w:val="5"/>
        <w:rPr>
          <w:rFonts w:ascii="Arial" w:hAnsi="Arial"/>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4 </w:t>
      </w:r>
      <w:r>
        <w:rPr>
          <w:rFonts w:hint="eastAsia" w:ascii="黑体" w:hAnsi="黑体"/>
          <w:color w:val="000000" w:themeColor="text1"/>
          <w:highlight w:val="none"/>
          <w14:textFill>
            <w14:solidFill>
              <w14:schemeClr w14:val="tx1"/>
            </w14:solidFill>
          </w14:textFill>
        </w:rPr>
        <w:t>响应保证金</w:t>
      </w:r>
    </w:p>
    <w:tbl>
      <w:tblPr>
        <w:tblStyle w:val="87"/>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84"/>
        <w:gridCol w:w="3437"/>
        <w:gridCol w:w="3133"/>
      </w:tblGrid>
      <w:tr w14:paraId="7C5B9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4" w:type="dxa"/>
          </w:tcPr>
          <w:p w14:paraId="118567F4">
            <w:pPr>
              <w:widowControl w:val="0"/>
              <w:autoSpaceDE w:val="0"/>
              <w:spacing w:line="360" w:lineRule="auto"/>
              <w:jc w:val="both"/>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响应保证金的递交</w:t>
            </w:r>
          </w:p>
        </w:tc>
        <w:tc>
          <w:tcPr>
            <w:tcW w:w="3437" w:type="dxa"/>
          </w:tcPr>
          <w:p w14:paraId="099EF066">
            <w:pPr>
              <w:widowControl w:val="0"/>
              <w:autoSpaceDE w:val="0"/>
              <w:spacing w:line="360" w:lineRule="auto"/>
              <w:jc w:val="both"/>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不退还响应保证金的其他情形</w:t>
            </w:r>
          </w:p>
        </w:tc>
        <w:tc>
          <w:tcPr>
            <w:tcW w:w="3133" w:type="dxa"/>
          </w:tcPr>
          <w:p w14:paraId="5E112418">
            <w:pPr>
              <w:widowControl w:val="0"/>
              <w:autoSpaceDE w:val="0"/>
              <w:spacing w:line="360" w:lineRule="auto"/>
              <w:jc w:val="both"/>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退还响应保证金的时间</w:t>
            </w:r>
          </w:p>
        </w:tc>
      </w:tr>
      <w:tr w14:paraId="2900C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4" w:type="dxa"/>
          </w:tcPr>
          <w:p w14:paraId="1241458A">
            <w:pPr>
              <w:widowControl w:val="0"/>
              <w:autoSpaceDE w:val="0"/>
              <w:spacing w:line="360" w:lineRule="auto"/>
              <w:jc w:val="both"/>
              <w:rPr>
                <w:rFonts w:hint="eastAsia" w:ascii="宋体" w:hAnsi="宋体" w:cs="宋体"/>
                <w:bCs/>
                <w:color w:val="000000" w:themeColor="text1"/>
                <w:szCs w:val="21"/>
                <w:highlight w:val="none"/>
                <w14:textFill>
                  <w14:solidFill>
                    <w14:schemeClr w14:val="tx1"/>
                  </w14:solidFill>
                </w14:textFill>
              </w:rPr>
            </w:pPr>
            <w:r>
              <w:rPr>
                <w:rStyle w:val="129"/>
                <w:rFonts w:hint="eastAsia" w:ascii="宋体" w:hAnsi="宋体" w:cs="宋体"/>
                <w:b w:val="0"/>
                <w:color w:val="000000" w:themeColor="text1"/>
                <w:szCs w:val="21"/>
                <w:highlight w:val="none"/>
                <w:u w:val="single"/>
                <w:lang w:eastAsia="zh-CN"/>
                <w14:textFill>
                  <w14:solidFill>
                    <w14:schemeClr w14:val="tx1"/>
                  </w14:solidFill>
                </w14:textFill>
              </w:rPr>
              <w:t>☑</w:t>
            </w:r>
            <w:r>
              <w:rPr>
                <w:rFonts w:hint="eastAsia" w:ascii="宋体" w:hAnsi="宋体" w:cs="宋体"/>
                <w:bCs/>
                <w:color w:val="000000" w:themeColor="text1"/>
                <w:szCs w:val="21"/>
                <w:highlight w:val="none"/>
                <w14:textFill>
                  <w14:solidFill>
                    <w14:schemeClr w14:val="tx1"/>
                  </w14:solidFill>
                </w14:textFill>
              </w:rPr>
              <w:t>不要求递交</w:t>
            </w:r>
          </w:p>
          <w:p w14:paraId="06ED4630">
            <w:pPr>
              <w:widowControl w:val="0"/>
              <w:autoSpaceDE w:val="0"/>
              <w:spacing w:line="360" w:lineRule="auto"/>
              <w:jc w:val="both"/>
              <w:rPr>
                <w:rFonts w:hint="eastAsia" w:ascii="宋体" w:hAnsi="宋体" w:cs="宋体"/>
                <w:bCs/>
                <w:color w:val="000000" w:themeColor="text1"/>
                <w:szCs w:val="21"/>
                <w:highlight w:val="none"/>
                <w14:textFill>
                  <w14:solidFill>
                    <w14:schemeClr w14:val="tx1"/>
                  </w14:solidFill>
                </w14:textFill>
              </w:rPr>
            </w:pPr>
            <w:r>
              <w:rPr>
                <w:rStyle w:val="129"/>
                <w:rFonts w:hint="eastAsia" w:ascii="宋体" w:hAnsi="宋体" w:cs="宋体"/>
                <w:b w:val="0"/>
                <w:color w:val="000000" w:themeColor="text1"/>
                <w:szCs w:val="21"/>
                <w:highlight w:val="none"/>
                <w:u w:val="single"/>
                <w14:textFill>
                  <w14:solidFill>
                    <w14:schemeClr w14:val="tx1"/>
                  </w14:solidFill>
                </w14:textFill>
              </w:rPr>
              <w:t>□</w:t>
            </w:r>
            <w:r>
              <w:rPr>
                <w:rFonts w:hint="eastAsia" w:ascii="宋体" w:hAnsi="宋体" w:cs="宋体"/>
                <w:bCs/>
                <w:color w:val="000000" w:themeColor="text1"/>
                <w:szCs w:val="21"/>
                <w:highlight w:val="none"/>
                <w14:textFill>
                  <w14:solidFill>
                    <w14:schemeClr w14:val="tx1"/>
                  </w14:solidFill>
                </w14:textFill>
              </w:rPr>
              <w:t>要求递交</w:t>
            </w:r>
          </w:p>
          <w:p w14:paraId="613D87AE">
            <w:pPr>
              <w:widowControl w:val="0"/>
              <w:autoSpaceDE w:val="0"/>
              <w:spacing w:line="360" w:lineRule="auto"/>
              <w:ind w:firstLine="210" w:firstLineChars="100"/>
              <w:jc w:val="left"/>
              <w:rPr>
                <w:rFonts w:hint="eastAsia" w:ascii="宋体" w:hAnsi="宋体" w:cs="宋体"/>
                <w:bCs/>
                <w:color w:val="000000" w:themeColor="text1"/>
                <w:szCs w:val="21"/>
                <w:highlight w:val="none"/>
                <w14:textFill>
                  <w14:solidFill>
                    <w14:schemeClr w14:val="tx1"/>
                  </w14:solidFill>
                </w14:textFill>
              </w:rPr>
            </w:pPr>
          </w:p>
        </w:tc>
        <w:tc>
          <w:tcPr>
            <w:tcW w:w="3437" w:type="dxa"/>
          </w:tcPr>
          <w:p w14:paraId="08F09811">
            <w:pPr>
              <w:widowControl w:val="0"/>
              <w:autoSpaceDE w:val="0"/>
              <w:spacing w:line="360" w:lineRule="auto"/>
              <w:jc w:val="both"/>
              <w:rPr>
                <w:rFonts w:hint="eastAsia" w:ascii="宋体" w:hAnsi="宋体" w:cs="宋体"/>
                <w:bCs/>
                <w:color w:val="000000" w:themeColor="text1"/>
                <w:szCs w:val="21"/>
                <w:highlight w:val="none"/>
                <w14:textFill>
                  <w14:solidFill>
                    <w14:schemeClr w14:val="tx1"/>
                  </w14:solidFill>
                </w14:textFill>
              </w:rPr>
            </w:pPr>
            <w:r>
              <w:rPr>
                <w:rStyle w:val="129"/>
                <w:rFonts w:hint="eastAsia" w:ascii="宋体" w:hAnsi="宋体" w:cs="宋体"/>
                <w:b w:val="0"/>
                <w:color w:val="000000" w:themeColor="text1"/>
                <w:szCs w:val="21"/>
                <w:highlight w:val="none"/>
                <w:u w:val="single"/>
                <w:lang w:eastAsia="zh-CN"/>
                <w14:textFill>
                  <w14:solidFill>
                    <w14:schemeClr w14:val="tx1"/>
                  </w14:solidFill>
                </w14:textFill>
              </w:rPr>
              <w:t>☑</w:t>
            </w:r>
            <w:r>
              <w:rPr>
                <w:rStyle w:val="129"/>
                <w:rFonts w:hint="eastAsia" w:ascii="宋体" w:hAnsi="宋体" w:cs="宋体"/>
                <w:b w:val="0"/>
                <w:color w:val="000000" w:themeColor="text1"/>
                <w:szCs w:val="21"/>
                <w:highlight w:val="none"/>
                <w14:textFill>
                  <w14:solidFill>
                    <w14:schemeClr w14:val="tx1"/>
                  </w14:solidFill>
                </w14:textFill>
              </w:rPr>
              <w:t>不</w:t>
            </w:r>
            <w:r>
              <w:rPr>
                <w:rFonts w:hint="eastAsia" w:ascii="宋体" w:hAnsi="宋体" w:cs="宋体"/>
                <w:bCs/>
                <w:color w:val="000000" w:themeColor="text1"/>
                <w:szCs w:val="21"/>
                <w:highlight w:val="none"/>
                <w14:textFill>
                  <w14:solidFill>
                    <w14:schemeClr w14:val="tx1"/>
                  </w14:solidFill>
                </w14:textFill>
              </w:rPr>
              <w:t>适用</w:t>
            </w:r>
          </w:p>
          <w:p w14:paraId="19B02A94">
            <w:pPr>
              <w:widowControl w:val="0"/>
              <w:autoSpaceDE w:val="0"/>
              <w:spacing w:line="360" w:lineRule="auto"/>
              <w:ind w:right="42" w:rightChars="20"/>
              <w:jc w:val="both"/>
              <w:rPr>
                <w:rFonts w:hint="eastAsia" w:ascii="宋体" w:hAnsi="宋体" w:cs="宋体"/>
                <w:bCs/>
                <w:color w:val="000000" w:themeColor="text1"/>
                <w:szCs w:val="21"/>
                <w:highlight w:val="none"/>
                <w14:textFill>
                  <w14:solidFill>
                    <w14:schemeClr w14:val="tx1"/>
                  </w14:solidFill>
                </w14:textFill>
              </w:rPr>
            </w:pPr>
            <w:r>
              <w:rPr>
                <w:rStyle w:val="129"/>
                <w:rFonts w:hint="eastAsia" w:ascii="宋体" w:hAnsi="宋体" w:cs="宋体"/>
                <w:b w:val="0"/>
                <w:color w:val="000000" w:themeColor="text1"/>
                <w:szCs w:val="21"/>
                <w:highlight w:val="none"/>
                <w:u w:val="single"/>
                <w14:textFill>
                  <w14:solidFill>
                    <w14:schemeClr w14:val="tx1"/>
                  </w14:solidFill>
                </w14:textFill>
              </w:rPr>
              <w:t>□</w:t>
            </w:r>
            <w:r>
              <w:rPr>
                <w:rFonts w:hint="eastAsia" w:ascii="宋体" w:hAnsi="宋体" w:cs="宋体"/>
                <w:bCs/>
                <w:color w:val="000000" w:themeColor="text1"/>
                <w:szCs w:val="21"/>
                <w:highlight w:val="none"/>
                <w14:textFill>
                  <w14:solidFill>
                    <w14:schemeClr w14:val="tx1"/>
                  </w14:solidFill>
                </w14:textFill>
              </w:rPr>
              <w:t>适用，具体如下：</w:t>
            </w:r>
          </w:p>
          <w:p w14:paraId="5A016E62">
            <w:pPr>
              <w:widowControl w:val="0"/>
              <w:autoSpaceDE w:val="0"/>
              <w:spacing w:line="360" w:lineRule="auto"/>
              <w:jc w:val="both"/>
              <w:rPr>
                <w:rFonts w:hint="eastAsia" w:ascii="宋体" w:hAnsi="宋体" w:cs="宋体"/>
                <w:bCs/>
                <w:color w:val="000000" w:themeColor="text1"/>
                <w:szCs w:val="21"/>
                <w:highlight w:val="none"/>
                <w14:textFill>
                  <w14:solidFill>
                    <w14:schemeClr w14:val="tx1"/>
                  </w14:solidFill>
                </w14:textFill>
              </w:rPr>
            </w:pPr>
          </w:p>
        </w:tc>
        <w:tc>
          <w:tcPr>
            <w:tcW w:w="3133" w:type="dxa"/>
          </w:tcPr>
          <w:p w14:paraId="199F8B89">
            <w:pPr>
              <w:widowControl w:val="0"/>
              <w:autoSpaceDE w:val="0"/>
              <w:spacing w:line="360" w:lineRule="auto"/>
              <w:jc w:val="both"/>
              <w:rPr>
                <w:rFonts w:hint="eastAsia" w:ascii="宋体" w:hAnsi="宋体" w:cs="宋体"/>
                <w:bCs/>
                <w:color w:val="000000" w:themeColor="text1"/>
                <w:szCs w:val="21"/>
                <w:highlight w:val="none"/>
                <w14:textFill>
                  <w14:solidFill>
                    <w14:schemeClr w14:val="tx1"/>
                  </w14:solidFill>
                </w14:textFill>
              </w:rPr>
            </w:pPr>
            <w:r>
              <w:rPr>
                <w:rStyle w:val="129"/>
                <w:rFonts w:hint="eastAsia" w:ascii="宋体" w:hAnsi="宋体" w:cs="宋体"/>
                <w:b w:val="0"/>
                <w:color w:val="000000" w:themeColor="text1"/>
                <w:szCs w:val="21"/>
                <w:highlight w:val="none"/>
                <w:u w:val="single"/>
                <w:lang w:eastAsia="zh-CN"/>
                <w14:textFill>
                  <w14:solidFill>
                    <w14:schemeClr w14:val="tx1"/>
                  </w14:solidFill>
                </w14:textFill>
              </w:rPr>
              <w:t>☑</w:t>
            </w:r>
            <w:r>
              <w:rPr>
                <w:rFonts w:hint="eastAsia" w:ascii="宋体" w:hAnsi="宋体" w:cs="宋体"/>
                <w:bCs/>
                <w:color w:val="000000" w:themeColor="text1"/>
                <w:szCs w:val="21"/>
                <w:highlight w:val="none"/>
                <w14:textFill>
                  <w14:solidFill>
                    <w14:schemeClr w14:val="tx1"/>
                  </w14:solidFill>
                </w14:textFill>
              </w:rPr>
              <w:t>不适用</w:t>
            </w:r>
          </w:p>
          <w:p w14:paraId="68C3601B">
            <w:pPr>
              <w:widowControl w:val="0"/>
              <w:autoSpaceDE w:val="0"/>
              <w:spacing w:line="360" w:lineRule="auto"/>
              <w:jc w:val="both"/>
              <w:rPr>
                <w:rFonts w:hint="eastAsia" w:ascii="宋体" w:hAnsi="宋体" w:cs="宋体"/>
                <w:bCs/>
                <w:color w:val="000000" w:themeColor="text1"/>
                <w:szCs w:val="21"/>
                <w:highlight w:val="none"/>
                <w14:textFill>
                  <w14:solidFill>
                    <w14:schemeClr w14:val="tx1"/>
                  </w14:solidFill>
                </w14:textFill>
              </w:rPr>
            </w:pPr>
            <w:r>
              <w:rPr>
                <w:rStyle w:val="129"/>
                <w:rFonts w:hint="eastAsia" w:ascii="宋体" w:hAnsi="宋体" w:cs="宋体"/>
                <w:b w:val="0"/>
                <w:color w:val="000000" w:themeColor="text1"/>
                <w:szCs w:val="21"/>
                <w:highlight w:val="none"/>
                <w:u w:val="single"/>
                <w14:textFill>
                  <w14:solidFill>
                    <w14:schemeClr w14:val="tx1"/>
                  </w14:solidFill>
                </w14:textFill>
              </w:rPr>
              <w:t>□</w:t>
            </w:r>
            <w:r>
              <w:rPr>
                <w:rFonts w:hint="eastAsia" w:ascii="宋体" w:hAnsi="宋体" w:cs="宋体"/>
                <w:bCs/>
                <w:color w:val="000000" w:themeColor="text1"/>
                <w:szCs w:val="21"/>
                <w:highlight w:val="none"/>
                <w14:textFill>
                  <w14:solidFill>
                    <w14:schemeClr w14:val="tx1"/>
                  </w14:solidFill>
                </w14:textFill>
              </w:rPr>
              <w:t>适用，具体如下：</w:t>
            </w:r>
          </w:p>
          <w:p w14:paraId="2250FDDB">
            <w:pPr>
              <w:widowControl w:val="0"/>
              <w:autoSpaceDE w:val="0"/>
              <w:spacing w:line="360" w:lineRule="auto"/>
              <w:jc w:val="both"/>
              <w:rPr>
                <w:rFonts w:hint="eastAsia" w:ascii="宋体" w:hAnsi="宋体" w:cs="宋体"/>
                <w:bCs/>
                <w:color w:val="000000" w:themeColor="text1"/>
                <w:szCs w:val="21"/>
                <w:highlight w:val="none"/>
                <w14:textFill>
                  <w14:solidFill>
                    <w14:schemeClr w14:val="tx1"/>
                  </w14:solidFill>
                </w14:textFill>
              </w:rPr>
            </w:pPr>
          </w:p>
        </w:tc>
      </w:tr>
    </w:tbl>
    <w:p w14:paraId="42D357B4">
      <w:pPr>
        <w:pStyle w:val="5"/>
        <w:rPr>
          <w:rFonts w:ascii="Arial" w:hAnsi="Arial"/>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5 </w:t>
      </w:r>
      <w:r>
        <w:rPr>
          <w:rFonts w:hint="eastAsia" w:ascii="黑体" w:hAnsi="黑体"/>
          <w:color w:val="000000" w:themeColor="text1"/>
          <w:highlight w:val="none"/>
          <w14:textFill>
            <w14:solidFill>
              <w14:schemeClr w14:val="tx1"/>
            </w14:solidFill>
          </w14:textFill>
        </w:rPr>
        <w:t>确定成交供应商的方法</w:t>
      </w:r>
    </w:p>
    <w:p w14:paraId="6046312E">
      <w:pPr>
        <w:autoSpaceDE w:val="0"/>
        <w:spacing w:line="360" w:lineRule="auto"/>
        <w:rPr>
          <w:rFonts w:hint="eastAsia" w:ascii="宋体" w:hAnsi="宋体"/>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 xml:space="preserve">5.1 </w:t>
      </w:r>
      <w:r>
        <w:rPr>
          <w:rStyle w:val="129"/>
          <w:rFonts w:hint="eastAsia"/>
          <w:color w:val="000000" w:themeColor="text1"/>
          <w:highlight w:val="none"/>
          <w14:textFill>
            <w14:solidFill>
              <w14:schemeClr w14:val="tx1"/>
            </w14:solidFill>
          </w14:textFill>
        </w:rPr>
        <w:t>综合评分法；</w:t>
      </w:r>
    </w:p>
    <w:p w14:paraId="191C4BEA">
      <w:pPr>
        <w:autoSpaceDE w:val="0"/>
        <w:spacing w:line="360" w:lineRule="auto"/>
        <w:rPr>
          <w:rFonts w:hint="eastAsia" w:ascii="宋体" w:hAnsi="宋体"/>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5.2</w:t>
      </w:r>
      <w:r>
        <w:rPr>
          <w:rFonts w:hint="eastAsia" w:ascii="宋体" w:hAnsi="宋体"/>
          <w:color w:val="000000" w:themeColor="text1"/>
          <w:sz w:val="24"/>
          <w:highlight w:val="none"/>
          <w14:textFill>
            <w14:solidFill>
              <w14:schemeClr w14:val="tx1"/>
            </w14:solidFill>
          </w14:textFill>
        </w:rPr>
        <w:t xml:space="preserve"> 采购人应当确定排名第一的候选成交供应商为预成交供应商。若排名第一的候选成交供应商未通过履约能力和报价核查，采购人应按推荐的名单排序依次确定其他候选成交供应商为预成交供应商。 </w:t>
      </w:r>
    </w:p>
    <w:p w14:paraId="0E090469">
      <w:pPr>
        <w:pStyle w:val="5"/>
        <w:rPr>
          <w:rFonts w:ascii="Arial" w:hAnsi="Arial"/>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w:t>
      </w:r>
      <w:r>
        <w:rPr>
          <w:rFonts w:hint="eastAsia" w:ascii="黑体" w:hAnsi="黑体"/>
          <w:color w:val="000000" w:themeColor="text1"/>
          <w:highlight w:val="none"/>
          <w14:textFill>
            <w14:solidFill>
              <w14:schemeClr w14:val="tx1"/>
            </w14:solidFill>
          </w14:textFill>
        </w:rPr>
        <w:t>采购文件获取及响应文件递交</w:t>
      </w:r>
    </w:p>
    <w:p w14:paraId="2E36EE82">
      <w:pPr>
        <w:autoSpaceDE w:val="0"/>
        <w:spacing w:line="360" w:lineRule="auto"/>
        <w:rPr>
          <w:rFonts w:hint="eastAsia" w:ascii="宋体" w:hAnsi="宋体"/>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6.1</w:t>
      </w:r>
      <w:r>
        <w:rPr>
          <w:rFonts w:hint="eastAsia" w:ascii="宋体" w:hAnsi="宋体"/>
          <w:color w:val="000000" w:themeColor="text1"/>
          <w:sz w:val="24"/>
          <w:highlight w:val="none"/>
          <w14:textFill>
            <w14:solidFill>
              <w14:schemeClr w14:val="tx1"/>
            </w14:solidFill>
          </w14:textFill>
        </w:rPr>
        <w:t xml:space="preserve"> 凡有意参加响应的单位，请登录</w:t>
      </w:r>
      <w:r>
        <w:rPr>
          <w:rFonts w:hint="eastAsia" w:ascii="宋体" w:hAnsi="宋体" w:cs="宋体"/>
          <w:bCs/>
          <w:color w:val="000000" w:themeColor="text1"/>
          <w:sz w:val="24"/>
          <w:highlight w:val="none"/>
          <w:shd w:val="clear" w:color="auto" w:fill="FFFFFF"/>
          <w14:textFill>
            <w14:solidFill>
              <w14:schemeClr w14:val="tx1"/>
            </w14:solidFill>
          </w14:textFill>
        </w:rPr>
        <w:t>中科高盛咨询集团有限公司网站（http://www.zkgscg.com/）</w:t>
      </w:r>
      <w:r>
        <w:rPr>
          <w:rFonts w:hint="eastAsia" w:ascii="宋体" w:hAnsi="宋体"/>
          <w:color w:val="000000" w:themeColor="text1"/>
          <w:sz w:val="24"/>
          <w:highlight w:val="none"/>
          <w14:textFill>
            <w14:solidFill>
              <w14:schemeClr w14:val="tx1"/>
            </w14:solidFill>
          </w14:textFill>
        </w:rPr>
        <w:t>。自行在平台上进行网上下载采购文件等资料。通过网络下载的采购文件等资料与备案的书面采购文件等资料具有同等法律效力。凡资料不全、供应商与其证照不符、超过采购文件下载时间将被拒绝。供应商应及时关注网上相关采购信息，如有遗漏或超过采购文件下载时间，采购人概不负责，所造成的投标失败或损失由供应商自行负责。</w:t>
      </w:r>
    </w:p>
    <w:p w14:paraId="39E450C9">
      <w:pPr>
        <w:autoSpaceDE w:val="0"/>
        <w:spacing w:line="360" w:lineRule="auto"/>
        <w:rPr>
          <w:rFonts w:hint="eastAsia" w:ascii="宋体" w:hAnsi="宋体"/>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6.2</w:t>
      </w:r>
      <w:r>
        <w:rPr>
          <w:rFonts w:hint="eastAsia" w:ascii="宋体" w:hAnsi="宋体"/>
          <w:color w:val="000000" w:themeColor="text1"/>
          <w:sz w:val="24"/>
          <w:highlight w:val="none"/>
          <w14:textFill>
            <w14:solidFill>
              <w14:schemeClr w14:val="tx1"/>
            </w14:solidFill>
          </w14:textFill>
        </w:rPr>
        <w:t xml:space="preserve"> 采购人不组织进行现场踏勘，不召开采购预备会。</w:t>
      </w:r>
    </w:p>
    <w:p w14:paraId="12602205">
      <w:pPr>
        <w:autoSpaceDE w:val="0"/>
        <w:spacing w:line="360" w:lineRule="auto"/>
        <w:rPr>
          <w:rFonts w:hint="eastAsia" w:ascii="宋体" w:hAnsi="宋体"/>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6.3</w:t>
      </w:r>
      <w:r>
        <w:rPr>
          <w:rFonts w:hint="eastAsia" w:ascii="宋体" w:hAnsi="宋体"/>
          <w:color w:val="000000" w:themeColor="text1"/>
          <w:sz w:val="24"/>
          <w:highlight w:val="none"/>
          <w14:textFill>
            <w14:solidFill>
              <w14:schemeClr w14:val="tx1"/>
            </w14:solidFill>
          </w14:textFill>
        </w:rPr>
        <w:t xml:space="preserve"> 响应文件递交截止时间为202</w:t>
      </w:r>
      <w:r>
        <w:rPr>
          <w:rFonts w:hint="eastAsia" w:ascii="宋体" w:hAnsi="宋体"/>
          <w:color w:val="000000" w:themeColor="text1"/>
          <w:sz w:val="24"/>
          <w:highlight w:val="none"/>
          <w:lang w:val="en-US" w:eastAsia="zh-CN"/>
          <w14:textFill>
            <w14:solidFill>
              <w14:schemeClr w14:val="tx1"/>
            </w14:solidFill>
          </w14:textFill>
        </w:rPr>
        <w:t>6</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lang w:val="en-US" w:eastAsia="zh-CN"/>
          <w14:textFill>
            <w14:solidFill>
              <w14:schemeClr w14:val="tx1"/>
            </w14:solidFill>
          </w14:textFill>
        </w:rPr>
        <w:t>2</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lang w:val="en-US" w:eastAsia="zh-CN"/>
          <w14:textFill>
            <w14:solidFill>
              <w14:schemeClr w14:val="tx1"/>
            </w14:solidFill>
          </w14:textFill>
        </w:rPr>
        <w:t>9</w:t>
      </w:r>
      <w:r>
        <w:rPr>
          <w:rFonts w:hint="eastAsia" w:ascii="宋体" w:hAnsi="宋体"/>
          <w:color w:val="000000" w:themeColor="text1"/>
          <w:sz w:val="24"/>
          <w:highlight w:val="none"/>
          <w14:textFill>
            <w14:solidFill>
              <w14:schemeClr w14:val="tx1"/>
            </w14:solidFill>
          </w14:textFill>
        </w:rPr>
        <w:t>日</w:t>
      </w:r>
      <w:r>
        <w:rPr>
          <w:rFonts w:hint="eastAsia" w:ascii="宋体" w:hAnsi="宋体"/>
          <w:color w:val="000000" w:themeColor="text1"/>
          <w:sz w:val="24"/>
          <w:highlight w:val="none"/>
          <w:lang w:val="en-US" w:eastAsia="zh-CN"/>
          <w14:textFill>
            <w14:solidFill>
              <w14:schemeClr w14:val="tx1"/>
            </w14:solidFill>
          </w14:textFill>
        </w:rPr>
        <w:t>09</w:t>
      </w:r>
      <w:r>
        <w:rPr>
          <w:rFonts w:hint="eastAsia" w:ascii="宋体" w:hAnsi="宋体"/>
          <w:color w:val="000000" w:themeColor="text1"/>
          <w:sz w:val="24"/>
          <w:highlight w:val="none"/>
          <w14:textFill>
            <w14:solidFill>
              <w14:schemeClr w14:val="tx1"/>
            </w14:solidFill>
          </w14:textFill>
        </w:rPr>
        <w:t>时</w:t>
      </w:r>
      <w:r>
        <w:rPr>
          <w:rFonts w:hint="eastAsia" w:ascii="宋体" w:hAnsi="宋体"/>
          <w:color w:val="000000" w:themeColor="text1"/>
          <w:sz w:val="24"/>
          <w:highlight w:val="none"/>
          <w:lang w:val="en-US" w:eastAsia="zh-CN"/>
          <w14:textFill>
            <w14:solidFill>
              <w14:schemeClr w14:val="tx1"/>
            </w14:solidFill>
          </w14:textFill>
        </w:rPr>
        <w:t>3</w:t>
      </w:r>
      <w:r>
        <w:rPr>
          <w:rFonts w:hint="eastAsia" w:ascii="宋体" w:hAnsi="宋体"/>
          <w:color w:val="000000" w:themeColor="text1"/>
          <w:sz w:val="24"/>
          <w:highlight w:val="none"/>
          <w14:textFill>
            <w14:solidFill>
              <w14:schemeClr w14:val="tx1"/>
            </w14:solidFill>
          </w14:textFill>
        </w:rPr>
        <w:t>0分(北京时间)，供应商应当在采购人要求的响应文件递交截止时间前，按采购文件要求制作好响应文件，签字盖章完成后扫描成pdf格式文件，用WinRAR 文件压缩软件进行压缩并设置密码（该密码在视频开标会议上向采购人提供），压缩文件名注明项目名称、投标人名称。上传压缩文件至招标人指定邮箱</w:t>
      </w:r>
      <w:r>
        <w:rPr>
          <w:rFonts w:hint="eastAsia" w:ascii="宋体" w:hAnsi="宋体"/>
          <w:color w:val="000000" w:themeColor="text1"/>
          <w:sz w:val="24"/>
          <w:highlight w:val="none"/>
          <w:lang w:val="en-US" w:eastAsia="zh-CN"/>
          <w14:textFill>
            <w14:solidFill>
              <w14:schemeClr w14:val="tx1"/>
            </w14:solidFill>
          </w14:textFill>
        </w:rPr>
        <w:t>545826559</w:t>
      </w:r>
      <w:r>
        <w:rPr>
          <w:rFonts w:hint="eastAsia" w:ascii="宋体" w:hAnsi="宋体"/>
          <w:color w:val="000000" w:themeColor="text1"/>
          <w:sz w:val="24"/>
          <w:highlight w:val="none"/>
          <w14:textFill>
            <w14:solidFill>
              <w14:schemeClr w14:val="tx1"/>
            </w14:solidFill>
          </w14:textFill>
        </w:rPr>
        <w:t>@qq.com，时间以收到邮件时间为准，邮件中留联系人及手机号码。在截止时间后上传或未按要求发送至指定邮箱的响应文件，采购人将拒绝接收。</w:t>
      </w:r>
    </w:p>
    <w:p w14:paraId="51FC51CD">
      <w:pPr>
        <w:autoSpaceDE w:val="0"/>
        <w:spacing w:line="360" w:lineRule="auto"/>
        <w:rPr>
          <w:rFonts w:hint="eastAsia" w:ascii="宋体" w:hAnsi="宋体"/>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6.4</w:t>
      </w:r>
      <w:r>
        <w:rPr>
          <w:rFonts w:hint="eastAsia" w:ascii="宋体" w:hAnsi="宋体"/>
          <w:color w:val="000000" w:themeColor="text1"/>
          <w:sz w:val="24"/>
          <w:highlight w:val="none"/>
          <w14:textFill>
            <w14:solidFill>
              <w14:schemeClr w14:val="tx1"/>
            </w14:solidFill>
          </w14:textFill>
        </w:rPr>
        <w:t xml:space="preserve"> 采购人通过“</w:t>
      </w:r>
      <w:r>
        <w:rPr>
          <w:rFonts w:hint="eastAsia" w:ascii="宋体" w:hAnsi="宋体" w:cs="宋体"/>
          <w:bCs/>
          <w:color w:val="000000" w:themeColor="text1"/>
          <w:sz w:val="24"/>
          <w:highlight w:val="none"/>
          <w14:textFill>
            <w14:solidFill>
              <w14:schemeClr w14:val="tx1"/>
            </w14:solidFill>
          </w14:textFill>
        </w:rPr>
        <w:t>腾讯会议</w:t>
      </w:r>
      <w:r>
        <w:rPr>
          <w:rFonts w:hint="eastAsia" w:ascii="宋体" w:hAnsi="宋体"/>
          <w:color w:val="000000" w:themeColor="text1"/>
          <w:sz w:val="24"/>
          <w:highlight w:val="none"/>
          <w14:textFill>
            <w14:solidFill>
              <w14:schemeClr w14:val="tx1"/>
            </w14:solidFill>
          </w14:textFill>
        </w:rPr>
        <w:t>”APP进行远程开标，所有供应商的法定代表人（单位负责人）或其委托代理人应当提前下载“</w:t>
      </w:r>
      <w:r>
        <w:rPr>
          <w:rFonts w:hint="eastAsia" w:ascii="宋体" w:hAnsi="宋体" w:cs="宋体"/>
          <w:bCs/>
          <w:color w:val="000000" w:themeColor="text1"/>
          <w:sz w:val="24"/>
          <w:highlight w:val="none"/>
          <w14:textFill>
            <w14:solidFill>
              <w14:schemeClr w14:val="tx1"/>
            </w14:solidFill>
          </w14:textFill>
        </w:rPr>
        <w:t>腾讯会议</w:t>
      </w:r>
      <w:r>
        <w:rPr>
          <w:rFonts w:hint="eastAsia" w:ascii="宋体" w:hAnsi="宋体"/>
          <w:color w:val="000000" w:themeColor="text1"/>
          <w:sz w:val="24"/>
          <w:highlight w:val="none"/>
          <w14:textFill>
            <w14:solidFill>
              <w14:schemeClr w14:val="tx1"/>
            </w14:solidFill>
          </w14:textFill>
        </w:rPr>
        <w:t>”APP并准时参加远程开标会议。供应商若未派法定代表人或委托代理人出席开标活动，视为该供应商默认开标结果。</w:t>
      </w:r>
    </w:p>
    <w:p w14:paraId="02275F54">
      <w:pPr>
        <w:autoSpaceDE w:val="0"/>
        <w:spacing w:line="360" w:lineRule="auto"/>
        <w:ind w:left="241" w:hanging="241" w:hangingChars="100"/>
        <w:rPr>
          <w:rFonts w:hint="eastAsia" w:ascii="宋体" w:hAnsi="宋体"/>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6.5</w:t>
      </w:r>
      <w:r>
        <w:rPr>
          <w:rFonts w:hint="eastAsia" w:ascii="宋体" w:hAnsi="宋体"/>
          <w:color w:val="000000" w:themeColor="text1"/>
          <w:sz w:val="24"/>
          <w:highlight w:val="none"/>
          <w14:textFill>
            <w14:solidFill>
              <w14:schemeClr w14:val="tx1"/>
            </w14:solidFill>
          </w14:textFill>
        </w:rPr>
        <w:t xml:space="preserve"> 供应商若对本项目采购需求、资格要求等有疑问的，应当于 202</w:t>
      </w:r>
      <w:r>
        <w:rPr>
          <w:rFonts w:hint="eastAsia" w:ascii="宋体" w:hAnsi="宋体"/>
          <w:color w:val="000000" w:themeColor="text1"/>
          <w:sz w:val="24"/>
          <w:highlight w:val="none"/>
          <w:lang w:val="en-US" w:eastAsia="zh-CN"/>
          <w14:textFill>
            <w14:solidFill>
              <w14:schemeClr w14:val="tx1"/>
            </w14:solidFill>
          </w14:textFill>
        </w:rPr>
        <w:t>6</w:t>
      </w:r>
      <w:r>
        <w:rPr>
          <w:rFonts w:hint="eastAsia" w:ascii="宋体" w:hAnsi="宋体"/>
          <w:color w:val="000000" w:themeColor="text1"/>
          <w:sz w:val="24"/>
          <w:highlight w:val="none"/>
          <w14:textFill>
            <w14:solidFill>
              <w14:schemeClr w14:val="tx1"/>
            </w14:solidFill>
          </w14:textFill>
        </w:rPr>
        <w:t xml:space="preserve">年 </w:t>
      </w:r>
      <w:r>
        <w:rPr>
          <w:rFonts w:hint="eastAsia" w:ascii="宋体" w:hAnsi="宋体"/>
          <w:color w:val="000000" w:themeColor="text1"/>
          <w:sz w:val="24"/>
          <w:highlight w:val="none"/>
          <w:lang w:val="en-US" w:eastAsia="zh-CN"/>
          <w14:textFill>
            <w14:solidFill>
              <w14:schemeClr w14:val="tx1"/>
            </w14:solidFill>
          </w14:textFill>
        </w:rPr>
        <w:t>2</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lang w:val="en-US" w:eastAsia="zh-CN"/>
          <w14:textFill>
            <w14:solidFill>
              <w14:schemeClr w14:val="tx1"/>
            </w14:solidFill>
          </w14:textFill>
        </w:rPr>
        <w:t>5</w:t>
      </w:r>
      <w:r>
        <w:rPr>
          <w:rFonts w:hint="eastAsia" w:ascii="宋体" w:hAnsi="宋体"/>
          <w:color w:val="000000" w:themeColor="text1"/>
          <w:sz w:val="24"/>
          <w:highlight w:val="none"/>
          <w14:textFill>
            <w14:solidFill>
              <w14:schemeClr w14:val="tx1"/>
            </w14:solidFill>
          </w14:textFill>
        </w:rPr>
        <w:t>日17时00分前以不署名电子档形式发送至邮箱</w:t>
      </w:r>
      <w:r>
        <w:rPr>
          <w:rFonts w:hint="eastAsia" w:ascii="宋体" w:hAnsi="宋体"/>
          <w:color w:val="000000" w:themeColor="text1"/>
          <w:sz w:val="24"/>
          <w:highlight w:val="none"/>
          <w:lang w:val="en-US" w:eastAsia="zh-CN"/>
          <w14:textFill>
            <w14:solidFill>
              <w14:schemeClr w14:val="tx1"/>
            </w14:solidFill>
          </w14:textFill>
        </w:rPr>
        <w:t>545826559</w:t>
      </w:r>
      <w:r>
        <w:rPr>
          <w:rFonts w:hint="eastAsia" w:ascii="宋体" w:hAnsi="宋体"/>
          <w:color w:val="000000" w:themeColor="text1"/>
          <w:sz w:val="24"/>
          <w:highlight w:val="none"/>
          <w14:textFill>
            <w14:solidFill>
              <w14:schemeClr w14:val="tx1"/>
            </w14:solidFill>
          </w14:textFill>
        </w:rPr>
        <w:t>@qq.com。</w:t>
      </w:r>
    </w:p>
    <w:p w14:paraId="32AD324F">
      <w:pPr>
        <w:pStyle w:val="5"/>
        <w:rPr>
          <w:rFonts w:ascii="Arial" w:hAnsi="Arial"/>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7 </w:t>
      </w:r>
      <w:r>
        <w:rPr>
          <w:rFonts w:hint="eastAsia" w:ascii="黑体" w:hAnsi="黑体"/>
          <w:color w:val="000000" w:themeColor="text1"/>
          <w:highlight w:val="none"/>
          <w14:textFill>
            <w14:solidFill>
              <w14:schemeClr w14:val="tx1"/>
            </w14:solidFill>
          </w14:textFill>
        </w:rPr>
        <w:t>项目公告和公示</w:t>
      </w:r>
    </w:p>
    <w:p w14:paraId="44A932EF">
      <w:pPr>
        <w:autoSpaceDE w:val="0"/>
        <w:spacing w:line="360" w:lineRule="auto"/>
        <w:ind w:left="241" w:hanging="241" w:hangingChars="100"/>
        <w:rPr>
          <w:rFonts w:hint="eastAsia" w:ascii="宋体" w:hAnsi="宋体"/>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 xml:space="preserve">7.1 </w:t>
      </w:r>
      <w:r>
        <w:rPr>
          <w:rFonts w:hint="eastAsia" w:ascii="宋体" w:hAnsi="宋体"/>
          <w:color w:val="000000" w:themeColor="text1"/>
          <w:sz w:val="24"/>
          <w:highlight w:val="none"/>
          <w14:textFill>
            <w14:solidFill>
              <w14:schemeClr w14:val="tx1"/>
            </w14:solidFill>
          </w14:textFill>
        </w:rPr>
        <w:t>发布采购公告、预成交结果公示和成交公告的媒介：中科高盛咨询集团有限公司网站（http://www.zkgscg.com/）</w:t>
      </w:r>
    </w:p>
    <w:p w14:paraId="68673B97">
      <w:pPr>
        <w:autoSpaceDE w:val="0"/>
        <w:spacing w:line="360" w:lineRule="auto"/>
        <w:rPr>
          <w:rFonts w:hint="eastAsia" w:ascii="宋体" w:hAnsi="宋体"/>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 xml:space="preserve">7.2 </w:t>
      </w:r>
      <w:r>
        <w:rPr>
          <w:rFonts w:hint="eastAsia" w:ascii="宋体" w:hAnsi="宋体"/>
          <w:color w:val="000000" w:themeColor="text1"/>
          <w:sz w:val="24"/>
          <w:highlight w:val="none"/>
          <w14:textFill>
            <w14:solidFill>
              <w14:schemeClr w14:val="tx1"/>
            </w14:solidFill>
          </w14:textFill>
        </w:rPr>
        <w:t xml:space="preserve">预成交结果公示的期限： </w:t>
      </w:r>
      <w:r>
        <w:rPr>
          <w:rFonts w:hint="eastAsia" w:ascii="宋体" w:hAnsi="宋体"/>
          <w:color w:val="000000" w:themeColor="text1"/>
          <w:sz w:val="24"/>
          <w:highlight w:val="none"/>
          <w:u w:val="single"/>
          <w14:textFill>
            <w14:solidFill>
              <w14:schemeClr w14:val="tx1"/>
            </w14:solidFill>
          </w14:textFill>
        </w:rPr>
        <w:t>3日。</w:t>
      </w:r>
    </w:p>
    <w:p w14:paraId="141EFDEF">
      <w:pPr>
        <w:autoSpaceDE w:val="0"/>
        <w:spacing w:line="360" w:lineRule="auto"/>
        <w:rPr>
          <w:rFonts w:hint="eastAsia" w:ascii="宋体" w:hAnsi="宋体"/>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 xml:space="preserve">7.3 </w:t>
      </w:r>
      <w:r>
        <w:rPr>
          <w:rFonts w:hint="eastAsia" w:ascii="宋体" w:hAnsi="宋体"/>
          <w:color w:val="000000" w:themeColor="text1"/>
          <w:sz w:val="24"/>
          <w:highlight w:val="none"/>
          <w14:textFill>
            <w14:solidFill>
              <w14:schemeClr w14:val="tx1"/>
            </w14:solidFill>
          </w14:textFill>
        </w:rPr>
        <w:t xml:space="preserve">预成交结果公示的其他内容： </w:t>
      </w:r>
      <w:r>
        <w:rPr>
          <w:rFonts w:hint="eastAsia" w:ascii="宋体" w:hAnsi="宋体"/>
          <w:color w:val="000000" w:themeColor="text1"/>
          <w:sz w:val="24"/>
          <w:highlight w:val="none"/>
          <w:u w:val="single"/>
          <w14:textFill>
            <w14:solidFill>
              <w14:schemeClr w14:val="tx1"/>
            </w14:solidFill>
          </w14:textFill>
        </w:rPr>
        <w:t>/</w:t>
      </w:r>
    </w:p>
    <w:p w14:paraId="779FC330">
      <w:pPr>
        <w:pStyle w:val="5"/>
        <w:rPr>
          <w:rFonts w:ascii="Arial" w:hAnsi="Arial"/>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8 </w:t>
      </w:r>
      <w:r>
        <w:rPr>
          <w:rFonts w:hint="eastAsia" w:ascii="黑体" w:hAnsi="黑体"/>
          <w:color w:val="000000" w:themeColor="text1"/>
          <w:highlight w:val="none"/>
          <w14:textFill>
            <w14:solidFill>
              <w14:schemeClr w14:val="tx1"/>
            </w14:solidFill>
          </w14:textFill>
        </w:rPr>
        <w:t>其他</w:t>
      </w:r>
    </w:p>
    <w:p w14:paraId="61944193">
      <w:pPr>
        <w:autoSpaceDE w:val="0"/>
        <w:spacing w:line="400" w:lineRule="exact"/>
        <w:rPr>
          <w:rFonts w:hint="eastAsia" w:ascii="宋体" w:hAnsi="宋体"/>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8.1</w:t>
      </w:r>
      <w:r>
        <w:rPr>
          <w:rFonts w:hint="eastAsia" w:ascii="宋体" w:hAnsi="宋体"/>
          <w:color w:val="000000" w:themeColor="text1"/>
          <w:sz w:val="24"/>
          <w:highlight w:val="none"/>
          <w14:textFill>
            <w14:solidFill>
              <w14:schemeClr w14:val="tx1"/>
            </w14:solidFill>
          </w14:textFill>
        </w:rPr>
        <w:t xml:space="preserve"> 采购代理服务费：</w:t>
      </w:r>
    </w:p>
    <w:tbl>
      <w:tblPr>
        <w:tblStyle w:val="87"/>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3"/>
        <w:gridCol w:w="2328"/>
        <w:gridCol w:w="1872"/>
        <w:gridCol w:w="3841"/>
      </w:tblGrid>
      <w:tr w14:paraId="7ABA6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1813" w:type="dxa"/>
          </w:tcPr>
          <w:p w14:paraId="2A31F600">
            <w:pPr>
              <w:widowControl w:val="0"/>
              <w:autoSpaceDE w:val="0"/>
              <w:spacing w:line="360" w:lineRule="auto"/>
              <w:jc w:val="center"/>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采购代理服务费</w:t>
            </w:r>
          </w:p>
        </w:tc>
        <w:tc>
          <w:tcPr>
            <w:tcW w:w="2328" w:type="dxa"/>
          </w:tcPr>
          <w:p w14:paraId="50046E79">
            <w:pPr>
              <w:widowControl w:val="0"/>
              <w:autoSpaceDE w:val="0"/>
              <w:spacing w:line="360" w:lineRule="auto"/>
              <w:jc w:val="center"/>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费用标准或金额</w:t>
            </w:r>
          </w:p>
        </w:tc>
        <w:tc>
          <w:tcPr>
            <w:tcW w:w="1872" w:type="dxa"/>
          </w:tcPr>
          <w:p w14:paraId="2E72E94A">
            <w:pPr>
              <w:widowControl w:val="0"/>
              <w:autoSpaceDE w:val="0"/>
              <w:spacing w:line="360" w:lineRule="auto"/>
              <w:jc w:val="center"/>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交费时间</w:t>
            </w:r>
          </w:p>
        </w:tc>
        <w:tc>
          <w:tcPr>
            <w:tcW w:w="3841" w:type="dxa"/>
          </w:tcPr>
          <w:p w14:paraId="6425F517">
            <w:pPr>
              <w:widowControl w:val="0"/>
              <w:autoSpaceDE w:val="0"/>
              <w:spacing w:line="360" w:lineRule="auto"/>
              <w:jc w:val="center"/>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交费方式</w:t>
            </w:r>
          </w:p>
        </w:tc>
      </w:tr>
      <w:tr w14:paraId="61B08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3" w:type="dxa"/>
          </w:tcPr>
          <w:p w14:paraId="09263589">
            <w:pPr>
              <w:widowControl w:val="0"/>
              <w:autoSpaceDE w:val="0"/>
              <w:spacing w:line="360" w:lineRule="auto"/>
              <w:jc w:val="both"/>
              <w:rPr>
                <w:rFonts w:hint="eastAsia" w:ascii="宋体" w:hAnsi="宋体" w:cs="宋体"/>
                <w:bCs/>
                <w:color w:val="000000" w:themeColor="text1"/>
                <w:szCs w:val="21"/>
                <w:highlight w:val="none"/>
                <w14:textFill>
                  <w14:solidFill>
                    <w14:schemeClr w14:val="tx1"/>
                  </w14:solidFill>
                </w14:textFill>
              </w:rPr>
            </w:pPr>
            <w:r>
              <w:rPr>
                <w:rStyle w:val="129"/>
                <w:rFonts w:hint="eastAsia" w:ascii="宋体" w:hAnsi="宋体" w:cs="宋体"/>
                <w:b w:val="0"/>
                <w:color w:val="000000" w:themeColor="text1"/>
                <w:szCs w:val="21"/>
                <w:highlight w:val="none"/>
                <w14:textFill>
                  <w14:solidFill>
                    <w14:schemeClr w14:val="tx1"/>
                  </w14:solidFill>
                </w14:textFill>
              </w:rPr>
              <w:t>□</w:t>
            </w:r>
            <w:r>
              <w:rPr>
                <w:rFonts w:hint="eastAsia" w:ascii="宋体" w:hAnsi="宋体" w:cs="宋体"/>
                <w:bCs/>
                <w:color w:val="000000" w:themeColor="text1"/>
                <w:szCs w:val="21"/>
                <w:highlight w:val="none"/>
                <w14:textFill>
                  <w14:solidFill>
                    <w14:schemeClr w14:val="tx1"/>
                  </w14:solidFill>
                </w14:textFill>
              </w:rPr>
              <w:t>不要求递交</w:t>
            </w:r>
          </w:p>
          <w:p w14:paraId="37EFBF25">
            <w:pPr>
              <w:widowControl w:val="0"/>
              <w:autoSpaceDE w:val="0"/>
              <w:spacing w:line="360" w:lineRule="auto"/>
              <w:jc w:val="both"/>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bCs/>
                <w:color w:val="000000" w:themeColor="text1"/>
                <w:szCs w:val="21"/>
                <w:highlight w:val="none"/>
                <w14:textFill>
                  <w14:solidFill>
                    <w14:schemeClr w14:val="tx1"/>
                  </w14:solidFill>
                </w14:textFill>
              </w:rPr>
              <w:t>要求递交</w:t>
            </w:r>
          </w:p>
        </w:tc>
        <w:tc>
          <w:tcPr>
            <w:tcW w:w="2328" w:type="dxa"/>
          </w:tcPr>
          <w:p w14:paraId="268AE11B">
            <w:pPr>
              <w:widowControl w:val="0"/>
              <w:autoSpaceDE w:val="0"/>
              <w:spacing w:line="360" w:lineRule="auto"/>
              <w:jc w:val="both"/>
              <w:rPr>
                <w:rFonts w:hint="eastAsia" w:ascii="宋体" w:hAnsi="宋体" w:cs="宋体"/>
                <w:bCs/>
                <w:color w:val="000000" w:themeColor="text1"/>
                <w:szCs w:val="21"/>
                <w:highlight w:val="none"/>
                <w14:textFill>
                  <w14:solidFill>
                    <w14:schemeClr w14:val="tx1"/>
                  </w14:solidFill>
                </w14:textFill>
              </w:rPr>
            </w:pPr>
            <w:r>
              <w:rPr>
                <w:rStyle w:val="129"/>
                <w:rFonts w:hint="eastAsia" w:ascii="宋体" w:hAnsi="宋体" w:cs="宋体"/>
                <w:b w:val="0"/>
                <w:color w:val="000000" w:themeColor="text1"/>
                <w:szCs w:val="21"/>
                <w:highlight w:val="none"/>
                <w14:textFill>
                  <w14:solidFill>
                    <w14:schemeClr w14:val="tx1"/>
                  </w14:solidFill>
                </w14:textFill>
              </w:rPr>
              <w:t>□不</w:t>
            </w:r>
            <w:r>
              <w:rPr>
                <w:rFonts w:hint="eastAsia" w:ascii="宋体" w:hAnsi="宋体" w:cs="宋体"/>
                <w:bCs/>
                <w:color w:val="000000" w:themeColor="text1"/>
                <w:szCs w:val="21"/>
                <w:highlight w:val="none"/>
                <w14:textFill>
                  <w14:solidFill>
                    <w14:schemeClr w14:val="tx1"/>
                  </w14:solidFill>
                </w14:textFill>
              </w:rPr>
              <w:t>适用</w:t>
            </w:r>
          </w:p>
          <w:p w14:paraId="091B5188">
            <w:pPr>
              <w:widowControl w:val="0"/>
              <w:autoSpaceDE w:val="0"/>
              <w:spacing w:line="360" w:lineRule="auto"/>
              <w:jc w:val="both"/>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bCs/>
                <w:color w:val="000000" w:themeColor="text1"/>
                <w:szCs w:val="21"/>
                <w:highlight w:val="none"/>
                <w14:textFill>
                  <w14:solidFill>
                    <w14:schemeClr w14:val="tx1"/>
                  </w14:solidFill>
                </w14:textFill>
              </w:rPr>
              <w:t xml:space="preserve">适用，具体如下：本项目采购代理费：               </w:t>
            </w:r>
            <w:r>
              <w:rPr>
                <w:rFonts w:hint="eastAsia" w:ascii="宋体" w:hAnsi="宋体" w:cs="宋体"/>
                <w:bCs/>
                <w:color w:val="000000" w:themeColor="text1"/>
                <w:szCs w:val="21"/>
                <w:highlight w:val="none"/>
                <w:lang w:val="en-US" w:eastAsia="zh-CN"/>
                <w14:textFill>
                  <w14:solidFill>
                    <w14:schemeClr w14:val="tx1"/>
                  </w14:solidFill>
                </w14:textFill>
              </w:rPr>
              <w:t>4500</w:t>
            </w:r>
            <w:r>
              <w:rPr>
                <w:rFonts w:hint="eastAsia" w:ascii="宋体" w:hAnsi="宋体" w:cs="宋体"/>
                <w:bCs/>
                <w:color w:val="000000" w:themeColor="text1"/>
                <w:szCs w:val="21"/>
                <w:highlight w:val="none"/>
                <w14:textFill>
                  <w14:solidFill>
                    <w14:schemeClr w14:val="tx1"/>
                  </w14:solidFill>
                </w14:textFill>
              </w:rPr>
              <w:t>元由中标人承担；采购代理费包含在其投标总报价中，不单独计列。</w:t>
            </w:r>
          </w:p>
        </w:tc>
        <w:tc>
          <w:tcPr>
            <w:tcW w:w="1872" w:type="dxa"/>
          </w:tcPr>
          <w:p w14:paraId="5D5E26A4">
            <w:pPr>
              <w:widowControl w:val="0"/>
              <w:autoSpaceDE w:val="0"/>
              <w:spacing w:line="360" w:lineRule="auto"/>
              <w:jc w:val="both"/>
              <w:rPr>
                <w:rFonts w:hint="eastAsia" w:ascii="宋体" w:hAnsi="宋体" w:cs="宋体"/>
                <w:bCs/>
                <w:color w:val="000000" w:themeColor="text1"/>
                <w:szCs w:val="21"/>
                <w:highlight w:val="none"/>
                <w14:textFill>
                  <w14:solidFill>
                    <w14:schemeClr w14:val="tx1"/>
                  </w14:solidFill>
                </w14:textFill>
              </w:rPr>
            </w:pPr>
            <w:r>
              <w:rPr>
                <w:rStyle w:val="129"/>
                <w:rFonts w:hint="eastAsia" w:ascii="宋体" w:hAnsi="宋体" w:cs="宋体"/>
                <w:b w:val="0"/>
                <w:color w:val="000000" w:themeColor="text1"/>
                <w:szCs w:val="21"/>
                <w:highlight w:val="none"/>
                <w14:textFill>
                  <w14:solidFill>
                    <w14:schemeClr w14:val="tx1"/>
                  </w14:solidFill>
                </w14:textFill>
              </w:rPr>
              <w:t>□</w:t>
            </w:r>
            <w:r>
              <w:rPr>
                <w:rFonts w:hint="eastAsia" w:ascii="宋体" w:hAnsi="宋体" w:cs="宋体"/>
                <w:bCs/>
                <w:color w:val="000000" w:themeColor="text1"/>
                <w:szCs w:val="21"/>
                <w:highlight w:val="none"/>
                <w14:textFill>
                  <w14:solidFill>
                    <w14:schemeClr w14:val="tx1"/>
                  </w14:solidFill>
                </w14:textFill>
              </w:rPr>
              <w:t>不适用</w:t>
            </w:r>
          </w:p>
          <w:p w14:paraId="3B17882C">
            <w:pPr>
              <w:widowControl w:val="0"/>
              <w:autoSpaceDE w:val="0"/>
              <w:spacing w:line="360" w:lineRule="auto"/>
              <w:jc w:val="both"/>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bCs/>
                <w:color w:val="000000" w:themeColor="text1"/>
                <w:szCs w:val="21"/>
                <w:highlight w:val="none"/>
                <w14:textFill>
                  <w14:solidFill>
                    <w14:schemeClr w14:val="tx1"/>
                  </w14:solidFill>
                </w14:textFill>
              </w:rPr>
              <w:t>适用，具体如下：</w:t>
            </w:r>
          </w:p>
          <w:p w14:paraId="59A0994E">
            <w:pPr>
              <w:widowControl w:val="0"/>
              <w:autoSpaceDE w:val="0"/>
              <w:spacing w:line="360" w:lineRule="auto"/>
              <w:jc w:val="both"/>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采购代理费由成交供应商在领取成交通知书前支付。</w:t>
            </w:r>
          </w:p>
          <w:p w14:paraId="629D0720">
            <w:pPr>
              <w:widowControl w:val="0"/>
              <w:autoSpaceDE w:val="0"/>
              <w:spacing w:line="360" w:lineRule="auto"/>
              <w:jc w:val="both"/>
              <w:rPr>
                <w:rFonts w:hint="eastAsia" w:ascii="宋体" w:hAnsi="宋体" w:cs="宋体"/>
                <w:bCs/>
                <w:color w:val="000000" w:themeColor="text1"/>
                <w:szCs w:val="21"/>
                <w:highlight w:val="none"/>
                <w14:textFill>
                  <w14:solidFill>
                    <w14:schemeClr w14:val="tx1"/>
                  </w14:solidFill>
                </w14:textFill>
              </w:rPr>
            </w:pPr>
          </w:p>
        </w:tc>
        <w:tc>
          <w:tcPr>
            <w:tcW w:w="3841" w:type="dxa"/>
          </w:tcPr>
          <w:p w14:paraId="060030E8">
            <w:pPr>
              <w:widowControl w:val="0"/>
              <w:autoSpaceDE w:val="0"/>
              <w:spacing w:line="360" w:lineRule="auto"/>
              <w:jc w:val="both"/>
              <w:rPr>
                <w:rFonts w:hint="eastAsia" w:ascii="宋体" w:hAnsi="宋体" w:cs="宋体"/>
                <w:bCs/>
                <w:color w:val="000000" w:themeColor="text1"/>
                <w:szCs w:val="21"/>
                <w:highlight w:val="none"/>
                <w14:textFill>
                  <w14:solidFill>
                    <w14:schemeClr w14:val="tx1"/>
                  </w14:solidFill>
                </w14:textFill>
              </w:rPr>
            </w:pPr>
            <w:r>
              <w:rPr>
                <w:rStyle w:val="129"/>
                <w:rFonts w:hint="eastAsia" w:ascii="宋体" w:hAnsi="宋体" w:cs="宋体"/>
                <w:b w:val="0"/>
                <w:color w:val="000000" w:themeColor="text1"/>
                <w:szCs w:val="21"/>
                <w:highlight w:val="none"/>
                <w14:textFill>
                  <w14:solidFill>
                    <w14:schemeClr w14:val="tx1"/>
                  </w14:solidFill>
                </w14:textFill>
              </w:rPr>
              <w:t>□</w:t>
            </w:r>
            <w:r>
              <w:rPr>
                <w:rFonts w:hint="eastAsia" w:ascii="宋体" w:hAnsi="宋体" w:cs="宋体"/>
                <w:bCs/>
                <w:color w:val="000000" w:themeColor="text1"/>
                <w:szCs w:val="21"/>
                <w:highlight w:val="none"/>
                <w14:textFill>
                  <w14:solidFill>
                    <w14:schemeClr w14:val="tx1"/>
                  </w14:solidFill>
                </w14:textFill>
              </w:rPr>
              <w:t>不适用</w:t>
            </w:r>
          </w:p>
          <w:p w14:paraId="3CD477B9">
            <w:pPr>
              <w:widowControl w:val="0"/>
              <w:autoSpaceDE w:val="0"/>
              <w:spacing w:line="360" w:lineRule="auto"/>
              <w:jc w:val="both"/>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bCs/>
                <w:color w:val="000000" w:themeColor="text1"/>
                <w:szCs w:val="21"/>
                <w:highlight w:val="none"/>
                <w14:textFill>
                  <w14:solidFill>
                    <w14:schemeClr w14:val="tx1"/>
                  </w14:solidFill>
                </w14:textFill>
              </w:rPr>
              <w:t>适用，具体如下：</w:t>
            </w:r>
          </w:p>
          <w:p w14:paraId="174751A0">
            <w:pPr>
              <w:widowControl w:val="0"/>
              <w:autoSpaceDE w:val="0"/>
              <w:spacing w:line="360" w:lineRule="auto"/>
              <w:jc w:val="both"/>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成交供应商通过银行转账的方式转到以下指定账户：</w:t>
            </w:r>
          </w:p>
          <w:p w14:paraId="02CC73BB">
            <w:pPr>
              <w:widowControl w:val="0"/>
              <w:autoSpaceDE w:val="0"/>
              <w:spacing w:line="360" w:lineRule="auto"/>
              <w:jc w:val="both"/>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户名：中科高盛咨询集团有限公司</w:t>
            </w:r>
          </w:p>
          <w:p w14:paraId="43AB1E2D">
            <w:pPr>
              <w:widowControl w:val="0"/>
              <w:autoSpaceDE w:val="0"/>
              <w:spacing w:line="360" w:lineRule="auto"/>
              <w:jc w:val="both"/>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开户银行：长沙银行信诚支行（行号3135 5109 8011）</w:t>
            </w:r>
          </w:p>
          <w:p w14:paraId="7DD5AAA5">
            <w:pPr>
              <w:widowControl w:val="0"/>
              <w:autoSpaceDE w:val="0"/>
              <w:spacing w:line="360" w:lineRule="auto"/>
              <w:jc w:val="both"/>
              <w:rPr>
                <w:rStyle w:val="129"/>
                <w:rFonts w:hint="eastAsia" w:ascii="宋体" w:hAnsi="宋体" w:cs="宋体"/>
                <w:b w:val="0"/>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账号：8001 8938 3908 027</w:t>
            </w:r>
          </w:p>
        </w:tc>
      </w:tr>
    </w:tbl>
    <w:p w14:paraId="67D39A1C">
      <w:pPr>
        <w:autoSpaceDE w:val="0"/>
        <w:spacing w:line="360" w:lineRule="auto"/>
        <w:rPr>
          <w:rFonts w:hint="eastAsia" w:ascii="宋体" w:hAnsi="宋体"/>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 xml:space="preserve">8.2 </w:t>
      </w:r>
      <w:r>
        <w:rPr>
          <w:rFonts w:hint="eastAsia" w:ascii="宋体" w:hAnsi="宋体"/>
          <w:color w:val="000000" w:themeColor="text1"/>
          <w:sz w:val="24"/>
          <w:highlight w:val="none"/>
          <w14:textFill>
            <w14:solidFill>
              <w14:schemeClr w14:val="tx1"/>
            </w14:solidFill>
          </w14:textFill>
        </w:rPr>
        <w:t>采购人在签署采购合同时及合同履行过程中，有权对采购标的数量进行增加或减少的幅度：</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w:t>
      </w:r>
    </w:p>
    <w:p w14:paraId="1C3F4963">
      <w:pPr>
        <w:autoSpaceDE w:val="0"/>
        <w:spacing w:line="360" w:lineRule="auto"/>
        <w:rPr>
          <w:rFonts w:hint="eastAsia" w:ascii="宋体" w:hAnsi="宋体"/>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 xml:space="preserve">8.3 </w:t>
      </w:r>
      <w:r>
        <w:rPr>
          <w:rFonts w:hint="eastAsia" w:ascii="宋体" w:hAnsi="宋体"/>
          <w:color w:val="000000" w:themeColor="text1"/>
          <w:sz w:val="24"/>
          <w:highlight w:val="none"/>
          <w14:textFill>
            <w14:solidFill>
              <w14:schemeClr w14:val="tx1"/>
            </w14:solidFill>
          </w14:textFill>
        </w:rPr>
        <w:t>如采购人上级机构对本项目进行了统一采购，采购人将按其采购结果执行，本项目中相关采购结果自行终止。</w:t>
      </w:r>
    </w:p>
    <w:p w14:paraId="22839DE3">
      <w:pPr>
        <w:pStyle w:val="5"/>
        <w:rPr>
          <w:rFonts w:ascii="Arial" w:hAnsi="Arial"/>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9 </w:t>
      </w:r>
      <w:r>
        <w:rPr>
          <w:rFonts w:hint="eastAsia" w:ascii="黑体" w:hAnsi="黑体"/>
          <w:color w:val="000000" w:themeColor="text1"/>
          <w:highlight w:val="none"/>
          <w14:textFill>
            <w14:solidFill>
              <w14:schemeClr w14:val="tx1"/>
            </w14:solidFill>
          </w14:textFill>
        </w:rPr>
        <w:t>联系方式</w:t>
      </w:r>
    </w:p>
    <w:p w14:paraId="5B4A4B3A">
      <w:pPr>
        <w:autoSpaceDE w:val="0"/>
        <w:spacing w:line="360" w:lineRule="auto"/>
        <w:ind w:firstLine="240" w:firstLineChars="1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招 标 人</w:t>
      </w:r>
      <w:r>
        <w:rPr>
          <w:rFonts w:hint="eastAsia" w:ascii="宋体" w:hAnsi="宋体"/>
          <w:color w:val="000000" w:themeColor="text1"/>
          <w:sz w:val="24"/>
          <w:highlight w:val="none"/>
          <w14:textFill>
            <w14:solidFill>
              <w14:schemeClr w14:val="tx1"/>
            </w14:solidFill>
          </w14:textFill>
        </w:rPr>
        <w:t>：湖南省新新张官高速公路建设开发有限公司</w:t>
      </w:r>
      <w:r>
        <w:rPr>
          <w:rFonts w:hint="eastAsia" w:ascii="宋体" w:hAnsi="宋体"/>
          <w:color w:val="000000" w:themeColor="text1"/>
          <w:sz w:val="24"/>
          <w:highlight w:val="none"/>
          <w:lang w:val="en-US" w:eastAsia="zh-CN"/>
          <w14:textFill>
            <w14:solidFill>
              <w14:schemeClr w14:val="tx1"/>
            </w14:solidFill>
          </w14:textFill>
        </w:rPr>
        <w:t>张家界</w:t>
      </w:r>
      <w:r>
        <w:rPr>
          <w:rFonts w:hint="eastAsia" w:ascii="宋体" w:hAnsi="宋体"/>
          <w:color w:val="000000" w:themeColor="text1"/>
          <w:sz w:val="24"/>
          <w:highlight w:val="none"/>
          <w:lang w:eastAsia="zh-CN"/>
          <w14:textFill>
            <w14:solidFill>
              <w14:schemeClr w14:val="tx1"/>
            </w14:solidFill>
          </w14:textFill>
        </w:rPr>
        <w:t xml:space="preserve">分公司 </w:t>
      </w:r>
    </w:p>
    <w:p w14:paraId="683BB719">
      <w:pPr>
        <w:autoSpaceDE w:val="0"/>
        <w:spacing w:line="360" w:lineRule="auto"/>
        <w:ind w:firstLine="240" w:firstLineChars="100"/>
        <w:rPr>
          <w:rFonts w:hint="default" w:ascii="宋体" w:hAnsi="宋体" w:eastAsia="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    址：</w:t>
      </w:r>
      <w:r>
        <w:rPr>
          <w:rFonts w:hint="eastAsia" w:ascii="宋体" w:hAnsi="宋体" w:eastAsia="宋体" w:cs="Times New Roman"/>
          <w:color w:val="000000" w:themeColor="text1"/>
          <w:sz w:val="24"/>
          <w:szCs w:val="24"/>
          <w:highlight w:val="none"/>
          <w:lang w:val="en-US"/>
          <w14:textFill>
            <w14:solidFill>
              <w14:schemeClr w14:val="tx1"/>
            </w14:solidFill>
          </w14:textFill>
        </w:rPr>
        <w:t>地址:湖南省张家界市永定区教场路103号</w:t>
      </w:r>
      <w:r>
        <w:rPr>
          <w:rFonts w:hint="eastAsia" w:ascii="宋体" w:hAnsi="宋体" w:cs="Times New Roman"/>
          <w:color w:val="000000" w:themeColor="text1"/>
          <w:sz w:val="24"/>
          <w:szCs w:val="24"/>
          <w:highlight w:val="none"/>
          <w:lang w:val="en-US" w:eastAsia="zh-CN"/>
          <w14:textFill>
            <w14:solidFill>
              <w14:schemeClr w14:val="tx1"/>
            </w14:solidFill>
          </w14:textFill>
        </w:rPr>
        <w:t>盛世嘉年8#楼</w:t>
      </w:r>
    </w:p>
    <w:p w14:paraId="2694794D">
      <w:pPr>
        <w:autoSpaceDE w:val="0"/>
        <w:spacing w:line="360" w:lineRule="auto"/>
        <w:ind w:firstLine="240" w:firstLineChars="100"/>
        <w:rPr>
          <w:rFonts w:hint="eastAsia" w:ascii="宋体" w:hAnsi="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联 系 人：</w:t>
      </w:r>
      <w:r>
        <w:rPr>
          <w:rFonts w:hint="eastAsia" w:ascii="宋体" w:hAnsi="宋体"/>
          <w:color w:val="000000" w:themeColor="text1"/>
          <w:sz w:val="24"/>
          <w:highlight w:val="none"/>
          <w:lang w:val="en-US" w:eastAsia="zh-CN"/>
          <w14:textFill>
            <w14:solidFill>
              <w14:schemeClr w14:val="tx1"/>
            </w14:solidFill>
          </w14:textFill>
        </w:rPr>
        <w:t>盛女士</w:t>
      </w:r>
    </w:p>
    <w:p w14:paraId="165C788D">
      <w:pPr>
        <w:autoSpaceDE w:val="0"/>
        <w:spacing w:line="360" w:lineRule="auto"/>
        <w:ind w:firstLine="240" w:firstLineChars="1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电    话：</w:t>
      </w:r>
      <w:r>
        <w:rPr>
          <w:rFonts w:hint="eastAsia" w:ascii="宋体" w:hAnsi="宋体"/>
          <w:color w:val="000000" w:themeColor="text1"/>
          <w:sz w:val="24"/>
          <w:highlight w:val="none"/>
          <w:lang w:val="en-US" w:eastAsia="zh-CN"/>
          <w14:textFill>
            <w14:solidFill>
              <w14:schemeClr w14:val="tx1"/>
            </w14:solidFill>
          </w14:textFill>
        </w:rPr>
        <w:t>13507200342</w:t>
      </w:r>
      <w:r>
        <w:rPr>
          <w:rFonts w:hint="eastAsia" w:ascii="宋体" w:hAnsi="宋体"/>
          <w:color w:val="000000" w:themeColor="text1"/>
          <w:sz w:val="24"/>
          <w:highlight w:val="none"/>
          <w14:textFill>
            <w14:solidFill>
              <w14:schemeClr w14:val="tx1"/>
            </w14:solidFill>
          </w14:textFill>
        </w:rPr>
        <w:t xml:space="preserve">   </w:t>
      </w:r>
    </w:p>
    <w:p w14:paraId="0A53D31D">
      <w:pPr>
        <w:autoSpaceDE w:val="0"/>
        <w:spacing w:line="360" w:lineRule="auto"/>
        <w:ind w:firstLine="240" w:firstLineChars="100"/>
        <w:rPr>
          <w:rFonts w:hint="eastAsia" w:ascii="宋体" w:hAnsi="宋体"/>
          <w:color w:val="000000" w:themeColor="text1"/>
          <w:sz w:val="24"/>
          <w:highlight w:val="none"/>
          <w14:textFill>
            <w14:solidFill>
              <w14:schemeClr w14:val="tx1"/>
            </w14:solidFill>
          </w14:textFill>
        </w:rPr>
      </w:pPr>
    </w:p>
    <w:p w14:paraId="23CA0879">
      <w:pPr>
        <w:autoSpaceDE w:val="0"/>
        <w:spacing w:line="360" w:lineRule="auto"/>
        <w:ind w:firstLine="240" w:firstLineChars="1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招标代理：中科高盛咨询集团有限公司</w:t>
      </w:r>
    </w:p>
    <w:p w14:paraId="1FD61089">
      <w:pPr>
        <w:autoSpaceDE w:val="0"/>
        <w:spacing w:line="360" w:lineRule="auto"/>
        <w:ind w:firstLine="240" w:firstLineChars="1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    址：湖南省长沙市天心区友谊路413号运成大厦12楼</w:t>
      </w:r>
    </w:p>
    <w:p w14:paraId="187CC679">
      <w:pPr>
        <w:autoSpaceDE w:val="0"/>
        <w:spacing w:line="360" w:lineRule="auto"/>
        <w:ind w:firstLine="240" w:firstLineChars="100"/>
        <w:rPr>
          <w:rFonts w:hint="eastAsia" w:ascii="宋体" w:hAnsi="宋体"/>
          <w:color w:val="000000" w:themeColor="text1"/>
          <w:sz w:val="24"/>
          <w:highlight w:val="none"/>
          <w:lang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联 系 人：</w:t>
      </w:r>
      <w:r>
        <w:rPr>
          <w:rFonts w:hint="eastAsia" w:ascii="宋体" w:hAnsi="宋体"/>
          <w:color w:val="000000" w:themeColor="text1"/>
          <w:sz w:val="24"/>
          <w:highlight w:val="none"/>
          <w:lang w:eastAsia="zh-CN"/>
          <w14:textFill>
            <w14:solidFill>
              <w14:schemeClr w14:val="tx1"/>
            </w14:solidFill>
          </w14:textFill>
        </w:rPr>
        <w:t>罗洲、彭晖</w:t>
      </w: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eastAsia="zh-CN"/>
          <w14:textFill>
            <w14:solidFill>
              <w14:schemeClr w14:val="tx1"/>
            </w14:solidFill>
          </w14:textFill>
        </w:rPr>
        <w:t>刘玉霜</w:t>
      </w:r>
    </w:p>
    <w:p w14:paraId="06429540">
      <w:pPr>
        <w:autoSpaceDE w:val="0"/>
        <w:spacing w:line="360" w:lineRule="auto"/>
        <w:ind w:firstLine="240" w:firstLineChars="100"/>
        <w:rPr>
          <w:rFonts w:hint="default" w:ascii="宋体" w:hAnsi="宋体"/>
          <w:color w:val="000000" w:themeColor="text1"/>
          <w:sz w:val="24"/>
          <w:highlight w:val="none"/>
          <w:lang w:val="en-US"/>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电    话：0731-8</w:t>
      </w:r>
      <w:r>
        <w:rPr>
          <w:rFonts w:hint="eastAsia" w:ascii="宋体" w:hAnsi="宋体"/>
          <w:color w:val="000000" w:themeColor="text1"/>
          <w:sz w:val="24"/>
          <w:highlight w:val="none"/>
          <w:lang w:val="en-US" w:eastAsia="zh-CN"/>
          <w14:textFill>
            <w14:solidFill>
              <w14:schemeClr w14:val="tx1"/>
            </w14:solidFill>
          </w14:textFill>
        </w:rPr>
        <w:t>4452818</w:t>
      </w:r>
    </w:p>
    <w:p w14:paraId="2410AA9A">
      <w:pPr>
        <w:spacing w:line="240" w:lineRule="auto"/>
        <w:jc w:val="center"/>
        <w:rPr>
          <w:rStyle w:val="150"/>
          <w:rFonts w:hint="eastAsia" w:ascii="仿宋" w:hAnsi="仿宋" w:eastAsia="仿宋" w:cs="仿宋"/>
          <w:color w:val="000000" w:themeColor="text1"/>
          <w:sz w:val="30"/>
          <w:szCs w:val="30"/>
          <w:highlight w:val="none"/>
          <w14:textFill>
            <w14:solidFill>
              <w14:schemeClr w14:val="tx1"/>
            </w14:solidFill>
          </w14:textFill>
        </w:rPr>
      </w:pPr>
      <w:r>
        <w:rPr>
          <w:rStyle w:val="150"/>
          <w:rFonts w:ascii="仿宋" w:hAnsi="仿宋" w:eastAsia="仿宋" w:cs="仿宋"/>
          <w:color w:val="000000" w:themeColor="text1"/>
          <w:sz w:val="30"/>
          <w:szCs w:val="30"/>
          <w:highlight w:val="none"/>
          <w14:textFill>
            <w14:solidFill>
              <w14:schemeClr w14:val="tx1"/>
            </w14:solidFill>
          </w14:textFill>
        </w:rPr>
        <w:br w:type="page"/>
      </w:r>
    </w:p>
    <w:p w14:paraId="6A581BAD">
      <w:pPr>
        <w:spacing w:line="240" w:lineRule="auto"/>
        <w:jc w:val="center"/>
        <w:rPr>
          <w:rStyle w:val="150"/>
          <w:rFonts w:hint="eastAsia" w:ascii="仿宋" w:hAnsi="仿宋" w:eastAsia="仿宋" w:cs="仿宋"/>
          <w:color w:val="000000" w:themeColor="text1"/>
          <w:sz w:val="30"/>
          <w:szCs w:val="30"/>
          <w:highlight w:val="none"/>
          <w14:textFill>
            <w14:solidFill>
              <w14:schemeClr w14:val="tx1"/>
            </w14:solidFill>
          </w14:textFill>
        </w:rPr>
      </w:pPr>
    </w:p>
    <w:p w14:paraId="23EC779C">
      <w:pPr>
        <w:spacing w:line="600" w:lineRule="exact"/>
        <w:jc w:val="center"/>
        <w:rPr>
          <w:rFonts w:hint="eastAsia" w:hAnsi="宋体"/>
          <w:b/>
          <w:color w:val="000000" w:themeColor="text1"/>
          <w:sz w:val="24"/>
          <w:highlight w:val="none"/>
          <w14:textFill>
            <w14:solidFill>
              <w14:schemeClr w14:val="tx1"/>
            </w14:solidFill>
          </w14:textFill>
        </w:rPr>
      </w:pPr>
      <w:bookmarkStart w:id="2" w:name="_Toc234832861"/>
      <w:bookmarkStart w:id="3" w:name="_Toc517787494"/>
    </w:p>
    <w:p w14:paraId="3C7761E5">
      <w:pPr>
        <w:spacing w:line="600" w:lineRule="exact"/>
        <w:jc w:val="center"/>
        <w:rPr>
          <w:rFonts w:hint="eastAsia" w:hAnsi="宋体"/>
          <w:b/>
          <w:color w:val="000000" w:themeColor="text1"/>
          <w:sz w:val="24"/>
          <w:highlight w:val="none"/>
          <w14:textFill>
            <w14:solidFill>
              <w14:schemeClr w14:val="tx1"/>
            </w14:solidFill>
          </w14:textFill>
        </w:rPr>
      </w:pPr>
    </w:p>
    <w:p w14:paraId="28BC6837">
      <w:pPr>
        <w:spacing w:line="600" w:lineRule="exact"/>
        <w:jc w:val="center"/>
        <w:rPr>
          <w:rFonts w:hint="eastAsia" w:hAnsi="宋体"/>
          <w:b/>
          <w:color w:val="000000" w:themeColor="text1"/>
          <w:sz w:val="24"/>
          <w:highlight w:val="none"/>
          <w14:textFill>
            <w14:solidFill>
              <w14:schemeClr w14:val="tx1"/>
            </w14:solidFill>
          </w14:textFill>
        </w:rPr>
      </w:pPr>
    </w:p>
    <w:p w14:paraId="2A2A5FB5">
      <w:pPr>
        <w:spacing w:line="600" w:lineRule="exact"/>
        <w:jc w:val="center"/>
        <w:rPr>
          <w:rFonts w:hint="eastAsia" w:hAnsi="宋体"/>
          <w:b/>
          <w:color w:val="000000" w:themeColor="text1"/>
          <w:sz w:val="24"/>
          <w:highlight w:val="none"/>
          <w14:textFill>
            <w14:solidFill>
              <w14:schemeClr w14:val="tx1"/>
            </w14:solidFill>
          </w14:textFill>
        </w:rPr>
      </w:pPr>
    </w:p>
    <w:p w14:paraId="3531630E">
      <w:pPr>
        <w:spacing w:line="600" w:lineRule="exact"/>
        <w:jc w:val="center"/>
        <w:rPr>
          <w:rFonts w:hint="eastAsia" w:ascii="黑体" w:hAnsi="黑体" w:eastAsia="黑体" w:cs="仿宋"/>
          <w:b/>
          <w:color w:val="000000" w:themeColor="text1"/>
          <w:sz w:val="44"/>
          <w:szCs w:val="44"/>
          <w:highlight w:val="none"/>
          <w14:textFill>
            <w14:solidFill>
              <w14:schemeClr w14:val="tx1"/>
            </w14:solidFill>
          </w14:textFill>
        </w:rPr>
      </w:pPr>
    </w:p>
    <w:p w14:paraId="31797E00">
      <w:pPr>
        <w:spacing w:line="600" w:lineRule="exact"/>
        <w:jc w:val="center"/>
        <w:rPr>
          <w:rFonts w:hint="eastAsia" w:ascii="黑体" w:hAnsi="黑体" w:eastAsia="黑体" w:cs="仿宋"/>
          <w:b/>
          <w:color w:val="000000" w:themeColor="text1"/>
          <w:sz w:val="44"/>
          <w:szCs w:val="44"/>
          <w:highlight w:val="none"/>
          <w14:textFill>
            <w14:solidFill>
              <w14:schemeClr w14:val="tx1"/>
            </w14:solidFill>
          </w14:textFill>
        </w:rPr>
      </w:pPr>
    </w:p>
    <w:p w14:paraId="72774A1B">
      <w:pPr>
        <w:spacing w:line="600" w:lineRule="exact"/>
        <w:jc w:val="center"/>
        <w:rPr>
          <w:rFonts w:hint="eastAsia" w:ascii="黑体" w:hAnsi="黑体" w:eastAsia="黑体" w:cs="仿宋"/>
          <w:b/>
          <w:color w:val="000000" w:themeColor="text1"/>
          <w:sz w:val="44"/>
          <w:szCs w:val="44"/>
          <w:highlight w:val="none"/>
          <w14:textFill>
            <w14:solidFill>
              <w14:schemeClr w14:val="tx1"/>
            </w14:solidFill>
          </w14:textFill>
        </w:rPr>
      </w:pPr>
    </w:p>
    <w:p w14:paraId="53567565">
      <w:pPr>
        <w:spacing w:line="600" w:lineRule="exact"/>
        <w:jc w:val="center"/>
        <w:rPr>
          <w:rFonts w:hint="eastAsia" w:ascii="黑体" w:hAnsi="黑体" w:eastAsia="黑体" w:cs="仿宋"/>
          <w:b/>
          <w:color w:val="000000" w:themeColor="text1"/>
          <w:sz w:val="44"/>
          <w:szCs w:val="44"/>
          <w:highlight w:val="none"/>
          <w14:textFill>
            <w14:solidFill>
              <w14:schemeClr w14:val="tx1"/>
            </w14:solidFill>
          </w14:textFill>
        </w:rPr>
      </w:pPr>
      <w:r>
        <w:rPr>
          <w:rFonts w:hint="eastAsia" w:ascii="黑体" w:hAnsi="黑体" w:eastAsia="黑体" w:cs="仿宋"/>
          <w:b/>
          <w:color w:val="000000" w:themeColor="text1"/>
          <w:sz w:val="44"/>
          <w:szCs w:val="44"/>
          <w:highlight w:val="none"/>
          <w14:textFill>
            <w14:solidFill>
              <w14:schemeClr w14:val="tx1"/>
            </w14:solidFill>
          </w14:textFill>
        </w:rPr>
        <w:t>第二章  供应商须知</w:t>
      </w:r>
    </w:p>
    <w:p w14:paraId="5749363C">
      <w:pPr>
        <w:spacing w:line="240" w:lineRule="auto"/>
        <w:rPr>
          <w:rFonts w:hint="eastAsia" w:ascii="黑体" w:hAnsi="黑体" w:eastAsia="黑体" w:cs="仿宋"/>
          <w:b/>
          <w:color w:val="000000" w:themeColor="text1"/>
          <w:sz w:val="44"/>
          <w:szCs w:val="44"/>
          <w:highlight w:val="none"/>
          <w14:textFill>
            <w14:solidFill>
              <w14:schemeClr w14:val="tx1"/>
            </w14:solidFill>
          </w14:textFill>
        </w:rPr>
      </w:pPr>
      <w:r>
        <w:rPr>
          <w:rFonts w:ascii="黑体" w:hAnsi="黑体" w:eastAsia="黑体" w:cs="仿宋"/>
          <w:b/>
          <w:color w:val="000000" w:themeColor="text1"/>
          <w:sz w:val="44"/>
          <w:szCs w:val="44"/>
          <w:highlight w:val="none"/>
          <w14:textFill>
            <w14:solidFill>
              <w14:schemeClr w14:val="tx1"/>
            </w14:solidFill>
          </w14:textFill>
        </w:rPr>
        <w:br w:type="page"/>
      </w:r>
    </w:p>
    <w:p w14:paraId="4B0CB79D">
      <w:pPr>
        <w:spacing w:line="600" w:lineRule="exact"/>
        <w:jc w:val="center"/>
        <w:rPr>
          <w:rFonts w:hint="eastAsia" w:ascii="宋体" w:hAnsi="宋体" w:cs="宋体"/>
          <w:color w:val="000000" w:themeColor="text1"/>
          <w:sz w:val="32"/>
          <w:szCs w:val="32"/>
          <w:highlight w:val="none"/>
          <w14:textFill>
            <w14:solidFill>
              <w14:schemeClr w14:val="tx1"/>
            </w14:solidFill>
          </w14:textFill>
        </w:rPr>
      </w:pPr>
      <w:r>
        <w:rPr>
          <w:rFonts w:hint="eastAsia" w:ascii="宋体" w:hAnsi="宋体" w:cs="宋体"/>
          <w:color w:val="000000" w:themeColor="text1"/>
          <w:sz w:val="32"/>
          <w:szCs w:val="32"/>
          <w:highlight w:val="none"/>
          <w14:textFill>
            <w14:solidFill>
              <w14:schemeClr w14:val="tx1"/>
            </w14:solidFill>
          </w14:textFill>
        </w:rPr>
        <w:t>第二章  供应商须知</w:t>
      </w:r>
      <w:bookmarkEnd w:id="2"/>
      <w:bookmarkEnd w:id="3"/>
    </w:p>
    <w:p w14:paraId="64DA1B59">
      <w:pPr>
        <w:pStyle w:val="2"/>
        <w:spacing w:before="240" w:after="240" w:line="240" w:lineRule="auto"/>
        <w:rPr>
          <w:rFonts w:hint="eastAsia" w:ascii="宋体" w:hAnsi="宋体" w:cs="宋体"/>
          <w:color w:val="000000" w:themeColor="text1"/>
          <w:sz w:val="30"/>
          <w:szCs w:val="30"/>
          <w:highlight w:val="none"/>
          <w14:textFill>
            <w14:solidFill>
              <w14:schemeClr w14:val="tx1"/>
            </w14:solidFill>
          </w14:textFill>
        </w:rPr>
      </w:pPr>
      <w:bookmarkStart w:id="4" w:name="_Toc234832862"/>
      <w:bookmarkStart w:id="5" w:name="_Toc517787495"/>
      <w:r>
        <w:rPr>
          <w:rFonts w:hint="eastAsia" w:ascii="宋体" w:hAnsi="宋体" w:cs="宋体"/>
          <w:color w:val="000000" w:themeColor="text1"/>
          <w:sz w:val="30"/>
          <w:szCs w:val="30"/>
          <w:highlight w:val="none"/>
          <w14:textFill>
            <w14:solidFill>
              <w14:schemeClr w14:val="tx1"/>
            </w14:solidFill>
          </w14:textFill>
        </w:rPr>
        <w:t>供应商须知前附表</w:t>
      </w:r>
      <w:bookmarkEnd w:id="4"/>
      <w:bookmarkEnd w:id="5"/>
    </w:p>
    <w:tbl>
      <w:tblPr>
        <w:tblStyle w:val="86"/>
        <w:tblW w:w="9854" w:type="dxa"/>
        <w:tblInd w:w="0" w:type="dxa"/>
        <w:tblLayout w:type="fixed"/>
        <w:tblCellMar>
          <w:top w:w="0" w:type="dxa"/>
          <w:left w:w="108" w:type="dxa"/>
          <w:bottom w:w="0" w:type="dxa"/>
          <w:right w:w="108" w:type="dxa"/>
        </w:tblCellMar>
      </w:tblPr>
      <w:tblGrid>
        <w:gridCol w:w="1415"/>
        <w:gridCol w:w="3090"/>
        <w:gridCol w:w="5349"/>
      </w:tblGrid>
      <w:tr w14:paraId="14D7A983">
        <w:tblPrEx>
          <w:tblCellMar>
            <w:top w:w="0" w:type="dxa"/>
            <w:left w:w="108" w:type="dxa"/>
            <w:bottom w:w="0" w:type="dxa"/>
            <w:right w:w="108" w:type="dxa"/>
          </w:tblCellMar>
        </w:tblPrEx>
        <w:trPr>
          <w:trHeight w:val="340" w:hRule="atLeast"/>
          <w:tblHeader/>
        </w:trPr>
        <w:tc>
          <w:tcPr>
            <w:tcW w:w="1415" w:type="dxa"/>
            <w:tcBorders>
              <w:top w:val="single" w:color="auto" w:sz="4" w:space="0"/>
              <w:left w:val="single" w:color="auto" w:sz="4" w:space="0"/>
              <w:bottom w:val="single" w:color="auto" w:sz="4" w:space="0"/>
              <w:right w:val="single" w:color="auto" w:sz="4" w:space="0"/>
            </w:tcBorders>
            <w:vAlign w:val="center"/>
          </w:tcPr>
          <w:p w14:paraId="09E802A8">
            <w:pPr>
              <w:spacing w:line="360" w:lineRule="auto"/>
              <w:jc w:val="both"/>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条款号</w:t>
            </w:r>
          </w:p>
        </w:tc>
        <w:tc>
          <w:tcPr>
            <w:tcW w:w="3090" w:type="dxa"/>
            <w:tcBorders>
              <w:top w:val="single" w:color="auto" w:sz="4" w:space="0"/>
              <w:left w:val="single" w:color="auto" w:sz="4" w:space="0"/>
              <w:bottom w:val="single" w:color="auto" w:sz="4" w:space="0"/>
              <w:right w:val="single" w:color="auto" w:sz="4" w:space="0"/>
            </w:tcBorders>
            <w:vAlign w:val="center"/>
          </w:tcPr>
          <w:p w14:paraId="55D7FD0D">
            <w:pPr>
              <w:spacing w:line="360" w:lineRule="auto"/>
              <w:jc w:val="both"/>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条  款  名  称</w:t>
            </w:r>
          </w:p>
        </w:tc>
        <w:tc>
          <w:tcPr>
            <w:tcW w:w="5349" w:type="dxa"/>
            <w:tcBorders>
              <w:top w:val="single" w:color="auto" w:sz="4" w:space="0"/>
              <w:left w:val="single" w:color="auto" w:sz="4" w:space="0"/>
              <w:bottom w:val="single" w:color="auto" w:sz="4" w:space="0"/>
              <w:right w:val="single" w:color="auto" w:sz="4" w:space="0"/>
            </w:tcBorders>
            <w:vAlign w:val="center"/>
          </w:tcPr>
          <w:p w14:paraId="7D0E23FE">
            <w:pPr>
              <w:spacing w:line="360" w:lineRule="auto"/>
              <w:jc w:val="both"/>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编  列  内  容</w:t>
            </w:r>
          </w:p>
        </w:tc>
      </w:tr>
      <w:tr w14:paraId="4FCB8401">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32992B96">
            <w:pPr>
              <w:spacing w:line="360" w:lineRule="auto"/>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1.1.1</w:t>
            </w:r>
          </w:p>
        </w:tc>
        <w:tc>
          <w:tcPr>
            <w:tcW w:w="3090" w:type="dxa"/>
            <w:tcBorders>
              <w:top w:val="single" w:color="auto" w:sz="4" w:space="0"/>
              <w:left w:val="single" w:color="auto" w:sz="4" w:space="0"/>
              <w:bottom w:val="single" w:color="auto" w:sz="4" w:space="0"/>
              <w:right w:val="single" w:color="auto" w:sz="4" w:space="0"/>
            </w:tcBorders>
            <w:vAlign w:val="center"/>
          </w:tcPr>
          <w:p w14:paraId="65519E13">
            <w:pPr>
              <w:spacing w:line="360" w:lineRule="auto"/>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采购方法</w:t>
            </w:r>
          </w:p>
        </w:tc>
        <w:tc>
          <w:tcPr>
            <w:tcW w:w="5349" w:type="dxa"/>
            <w:tcBorders>
              <w:top w:val="single" w:color="auto" w:sz="4" w:space="0"/>
              <w:left w:val="single" w:color="auto" w:sz="4" w:space="0"/>
              <w:bottom w:val="single" w:color="auto" w:sz="4" w:space="0"/>
              <w:right w:val="single" w:color="auto" w:sz="4" w:space="0"/>
            </w:tcBorders>
            <w:vAlign w:val="center"/>
          </w:tcPr>
          <w:p w14:paraId="34558B80">
            <w:pPr>
              <w:spacing w:line="360" w:lineRule="auto"/>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□询价</w:t>
            </w:r>
          </w:p>
          <w:p w14:paraId="1274D297">
            <w:pPr>
              <w:spacing w:line="360" w:lineRule="auto"/>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□竞争性谈判</w:t>
            </w:r>
          </w:p>
          <w:p w14:paraId="5006FA79">
            <w:pPr>
              <w:spacing w:line="360" w:lineRule="auto"/>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竞争性磋商</w:t>
            </w:r>
          </w:p>
          <w:p w14:paraId="2E1B016D">
            <w:pPr>
              <w:spacing w:line="360" w:lineRule="auto"/>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□单一来源</w:t>
            </w:r>
          </w:p>
          <w:p w14:paraId="41681B12">
            <w:pPr>
              <w:spacing w:line="360" w:lineRule="auto"/>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□直接采购</w:t>
            </w:r>
          </w:p>
        </w:tc>
      </w:tr>
      <w:tr w14:paraId="7B055D90">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76560F78">
            <w:pPr>
              <w:spacing w:line="360" w:lineRule="auto"/>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1.1.2</w:t>
            </w:r>
          </w:p>
        </w:tc>
        <w:tc>
          <w:tcPr>
            <w:tcW w:w="3090" w:type="dxa"/>
            <w:tcBorders>
              <w:top w:val="single" w:color="auto" w:sz="4" w:space="0"/>
              <w:left w:val="single" w:color="auto" w:sz="4" w:space="0"/>
              <w:bottom w:val="single" w:color="auto" w:sz="4" w:space="0"/>
              <w:right w:val="single" w:color="auto" w:sz="4" w:space="0"/>
            </w:tcBorders>
            <w:vAlign w:val="center"/>
          </w:tcPr>
          <w:p w14:paraId="78F1227B">
            <w:pPr>
              <w:spacing w:line="360" w:lineRule="auto"/>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评审办法</w:t>
            </w:r>
          </w:p>
        </w:tc>
        <w:tc>
          <w:tcPr>
            <w:tcW w:w="5349" w:type="dxa"/>
            <w:tcBorders>
              <w:top w:val="single" w:color="auto" w:sz="4" w:space="0"/>
              <w:left w:val="single" w:color="auto" w:sz="4" w:space="0"/>
              <w:bottom w:val="single" w:color="auto" w:sz="4" w:space="0"/>
              <w:right w:val="single" w:color="auto" w:sz="4" w:space="0"/>
            </w:tcBorders>
            <w:vAlign w:val="center"/>
          </w:tcPr>
          <w:p w14:paraId="4B003E17">
            <w:pPr>
              <w:spacing w:line="360" w:lineRule="auto"/>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□最低价法（同质比价法和同价比质法）</w:t>
            </w:r>
          </w:p>
          <w:p w14:paraId="749BA315">
            <w:pPr>
              <w:spacing w:line="360" w:lineRule="auto"/>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综合评分法（性价比法）</w:t>
            </w:r>
          </w:p>
        </w:tc>
      </w:tr>
      <w:tr w14:paraId="3F8751E7">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44C7757B">
            <w:pPr>
              <w:spacing w:line="360" w:lineRule="auto"/>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1.7.1</w:t>
            </w:r>
          </w:p>
        </w:tc>
        <w:tc>
          <w:tcPr>
            <w:tcW w:w="3090" w:type="dxa"/>
            <w:tcBorders>
              <w:top w:val="single" w:color="auto" w:sz="4" w:space="0"/>
              <w:left w:val="single" w:color="auto" w:sz="4" w:space="0"/>
              <w:bottom w:val="single" w:color="auto" w:sz="4" w:space="0"/>
              <w:right w:val="single" w:color="auto" w:sz="4" w:space="0"/>
            </w:tcBorders>
            <w:vAlign w:val="center"/>
          </w:tcPr>
          <w:p w14:paraId="4A445088">
            <w:pPr>
              <w:spacing w:line="360" w:lineRule="auto"/>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踏勘现场</w:t>
            </w:r>
          </w:p>
        </w:tc>
        <w:tc>
          <w:tcPr>
            <w:tcW w:w="5349" w:type="dxa"/>
            <w:tcBorders>
              <w:top w:val="single" w:color="auto" w:sz="4" w:space="0"/>
              <w:left w:val="single" w:color="auto" w:sz="4" w:space="0"/>
              <w:bottom w:val="single" w:color="auto" w:sz="4" w:space="0"/>
              <w:right w:val="single" w:color="auto" w:sz="4" w:space="0"/>
            </w:tcBorders>
            <w:vAlign w:val="center"/>
          </w:tcPr>
          <w:p w14:paraId="65142483">
            <w:pPr>
              <w:spacing w:line="360" w:lineRule="auto"/>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不组织</w:t>
            </w:r>
          </w:p>
          <w:p w14:paraId="185D8FBD">
            <w:pPr>
              <w:spacing w:line="360" w:lineRule="auto"/>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□组织，踏勘时间：              </w:t>
            </w:r>
          </w:p>
          <w:p w14:paraId="1C57FE4E">
            <w:pPr>
              <w:spacing w:line="360" w:lineRule="auto"/>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踏勘集中地点：                                          </w:t>
            </w:r>
          </w:p>
        </w:tc>
      </w:tr>
      <w:tr w14:paraId="5BA7D5E8">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4AD6B884">
            <w:pPr>
              <w:spacing w:line="360" w:lineRule="auto"/>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1.8</w:t>
            </w:r>
          </w:p>
        </w:tc>
        <w:tc>
          <w:tcPr>
            <w:tcW w:w="3090" w:type="dxa"/>
            <w:tcBorders>
              <w:top w:val="single" w:color="auto" w:sz="4" w:space="0"/>
              <w:left w:val="single" w:color="auto" w:sz="4" w:space="0"/>
              <w:bottom w:val="single" w:color="auto" w:sz="4" w:space="0"/>
              <w:right w:val="single" w:color="auto" w:sz="4" w:space="0"/>
            </w:tcBorders>
            <w:vAlign w:val="center"/>
          </w:tcPr>
          <w:p w14:paraId="1D63D55F">
            <w:pPr>
              <w:spacing w:line="360" w:lineRule="auto"/>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采购预备会</w:t>
            </w:r>
          </w:p>
        </w:tc>
        <w:tc>
          <w:tcPr>
            <w:tcW w:w="5349" w:type="dxa"/>
            <w:tcBorders>
              <w:top w:val="single" w:color="auto" w:sz="4" w:space="0"/>
              <w:left w:val="single" w:color="auto" w:sz="4" w:space="0"/>
              <w:bottom w:val="single" w:color="auto" w:sz="4" w:space="0"/>
              <w:right w:val="single" w:color="auto" w:sz="4" w:space="0"/>
            </w:tcBorders>
            <w:vAlign w:val="center"/>
          </w:tcPr>
          <w:p w14:paraId="0537AA4B">
            <w:pPr>
              <w:spacing w:line="360" w:lineRule="auto"/>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不召开</w:t>
            </w:r>
          </w:p>
          <w:p w14:paraId="569A9EA3">
            <w:pPr>
              <w:spacing w:line="360" w:lineRule="auto"/>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□召开，召开时间：              </w:t>
            </w:r>
          </w:p>
          <w:p w14:paraId="3E2DE4B0">
            <w:pPr>
              <w:spacing w:line="360" w:lineRule="auto"/>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召开地点：                                              </w:t>
            </w:r>
          </w:p>
        </w:tc>
      </w:tr>
      <w:tr w14:paraId="2C59C6A2">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704CB326">
            <w:pPr>
              <w:spacing w:line="360" w:lineRule="auto"/>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1.9（A、C）</w:t>
            </w:r>
          </w:p>
        </w:tc>
        <w:tc>
          <w:tcPr>
            <w:tcW w:w="3090" w:type="dxa"/>
            <w:tcBorders>
              <w:top w:val="single" w:color="auto" w:sz="4" w:space="0"/>
              <w:left w:val="single" w:color="auto" w:sz="4" w:space="0"/>
              <w:bottom w:val="single" w:color="auto" w:sz="4" w:space="0"/>
              <w:right w:val="single" w:color="auto" w:sz="4" w:space="0"/>
            </w:tcBorders>
            <w:vAlign w:val="center"/>
          </w:tcPr>
          <w:p w14:paraId="557561AC">
            <w:pPr>
              <w:spacing w:line="360" w:lineRule="auto"/>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分包</w:t>
            </w:r>
          </w:p>
        </w:tc>
        <w:tc>
          <w:tcPr>
            <w:tcW w:w="5349" w:type="dxa"/>
            <w:tcBorders>
              <w:top w:val="single" w:color="auto" w:sz="4" w:space="0"/>
              <w:left w:val="single" w:color="auto" w:sz="4" w:space="0"/>
              <w:bottom w:val="single" w:color="auto" w:sz="4" w:space="0"/>
              <w:right w:val="single" w:color="auto" w:sz="4" w:space="0"/>
            </w:tcBorders>
            <w:vAlign w:val="center"/>
          </w:tcPr>
          <w:p w14:paraId="05DAF392">
            <w:pPr>
              <w:spacing w:line="360" w:lineRule="auto"/>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不得分包的内容：本项目不允许分包。</w:t>
            </w:r>
          </w:p>
          <w:p w14:paraId="1D2AB4EB">
            <w:pPr>
              <w:spacing w:line="360" w:lineRule="auto"/>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对分包供应商的要求：                                            </w:t>
            </w:r>
          </w:p>
        </w:tc>
      </w:tr>
      <w:tr w14:paraId="28972328">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56A4E3DF">
            <w:pPr>
              <w:spacing w:line="360" w:lineRule="auto"/>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1.10.2</w:t>
            </w:r>
          </w:p>
        </w:tc>
        <w:tc>
          <w:tcPr>
            <w:tcW w:w="3090" w:type="dxa"/>
            <w:tcBorders>
              <w:top w:val="single" w:color="auto" w:sz="4" w:space="0"/>
              <w:left w:val="single" w:color="auto" w:sz="4" w:space="0"/>
              <w:bottom w:val="single" w:color="auto" w:sz="4" w:space="0"/>
              <w:right w:val="single" w:color="auto" w:sz="4" w:space="0"/>
            </w:tcBorders>
            <w:vAlign w:val="center"/>
          </w:tcPr>
          <w:p w14:paraId="1F60AEF1">
            <w:pPr>
              <w:spacing w:line="360" w:lineRule="auto"/>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对非关键条款的偏差</w:t>
            </w:r>
          </w:p>
        </w:tc>
        <w:tc>
          <w:tcPr>
            <w:tcW w:w="5349" w:type="dxa"/>
            <w:tcBorders>
              <w:top w:val="single" w:color="auto" w:sz="4" w:space="0"/>
              <w:left w:val="single" w:color="auto" w:sz="4" w:space="0"/>
              <w:bottom w:val="single" w:color="auto" w:sz="4" w:space="0"/>
              <w:right w:val="single" w:color="auto" w:sz="4" w:space="0"/>
            </w:tcBorders>
            <w:vAlign w:val="center"/>
          </w:tcPr>
          <w:p w14:paraId="1A7270FC">
            <w:pPr>
              <w:spacing w:line="360" w:lineRule="auto"/>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允许偏差的范围：允许</w:t>
            </w:r>
          </w:p>
          <w:p w14:paraId="61EC6D98">
            <w:pPr>
              <w:spacing w:line="360" w:lineRule="auto"/>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允许偏差的项数：/                                                </w:t>
            </w:r>
          </w:p>
        </w:tc>
      </w:tr>
      <w:tr w14:paraId="5802221A">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7FF10396">
            <w:pPr>
              <w:spacing w:line="360" w:lineRule="auto"/>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2.1(7)</w:t>
            </w:r>
          </w:p>
        </w:tc>
        <w:tc>
          <w:tcPr>
            <w:tcW w:w="3090" w:type="dxa"/>
            <w:tcBorders>
              <w:top w:val="single" w:color="auto" w:sz="4" w:space="0"/>
              <w:left w:val="single" w:color="auto" w:sz="4" w:space="0"/>
              <w:bottom w:val="single" w:color="auto" w:sz="4" w:space="0"/>
              <w:right w:val="single" w:color="auto" w:sz="4" w:space="0"/>
            </w:tcBorders>
            <w:vAlign w:val="center"/>
          </w:tcPr>
          <w:p w14:paraId="1986EBDB">
            <w:pPr>
              <w:spacing w:line="360" w:lineRule="auto"/>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构成采购文件的其他资料</w:t>
            </w:r>
          </w:p>
        </w:tc>
        <w:tc>
          <w:tcPr>
            <w:tcW w:w="5349" w:type="dxa"/>
            <w:tcBorders>
              <w:top w:val="single" w:color="auto" w:sz="4" w:space="0"/>
              <w:left w:val="single" w:color="auto" w:sz="4" w:space="0"/>
              <w:bottom w:val="single" w:color="auto" w:sz="4" w:space="0"/>
              <w:right w:val="single" w:color="auto" w:sz="4" w:space="0"/>
            </w:tcBorders>
            <w:vAlign w:val="center"/>
          </w:tcPr>
          <w:p w14:paraId="2BD6F586">
            <w:pPr>
              <w:spacing w:line="360" w:lineRule="auto"/>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资料名称：补充通知（如有）                                                   </w:t>
            </w:r>
          </w:p>
        </w:tc>
      </w:tr>
      <w:tr w14:paraId="4D3A32E3">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3D6568E6">
            <w:pPr>
              <w:spacing w:line="360" w:lineRule="auto"/>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2.2.1</w:t>
            </w:r>
          </w:p>
        </w:tc>
        <w:tc>
          <w:tcPr>
            <w:tcW w:w="3090" w:type="dxa"/>
            <w:tcBorders>
              <w:top w:val="single" w:color="auto" w:sz="4" w:space="0"/>
              <w:left w:val="single" w:color="auto" w:sz="4" w:space="0"/>
              <w:bottom w:val="single" w:color="auto" w:sz="4" w:space="0"/>
              <w:right w:val="single" w:color="auto" w:sz="4" w:space="0"/>
            </w:tcBorders>
            <w:vAlign w:val="center"/>
          </w:tcPr>
          <w:p w14:paraId="032762CD">
            <w:pPr>
              <w:spacing w:line="360" w:lineRule="auto"/>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供应商要求澄清采购文件的时间</w:t>
            </w:r>
          </w:p>
        </w:tc>
        <w:tc>
          <w:tcPr>
            <w:tcW w:w="5349" w:type="dxa"/>
            <w:tcBorders>
              <w:top w:val="single" w:color="auto" w:sz="4" w:space="0"/>
              <w:left w:val="single" w:color="auto" w:sz="4" w:space="0"/>
              <w:bottom w:val="single" w:color="auto" w:sz="4" w:space="0"/>
              <w:right w:val="single" w:color="auto" w:sz="4" w:space="0"/>
            </w:tcBorders>
            <w:vAlign w:val="center"/>
          </w:tcPr>
          <w:p w14:paraId="43391E87">
            <w:pPr>
              <w:spacing w:line="360" w:lineRule="auto"/>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截止时间：见采购公告                                </w:t>
            </w:r>
          </w:p>
        </w:tc>
      </w:tr>
      <w:tr w14:paraId="68C3CF63">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5CBC8071">
            <w:pPr>
              <w:spacing w:line="360" w:lineRule="auto"/>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2.2.3</w:t>
            </w:r>
          </w:p>
        </w:tc>
        <w:tc>
          <w:tcPr>
            <w:tcW w:w="3090" w:type="dxa"/>
            <w:tcBorders>
              <w:top w:val="single" w:color="auto" w:sz="4" w:space="0"/>
              <w:left w:val="single" w:color="auto" w:sz="4" w:space="0"/>
              <w:bottom w:val="single" w:color="auto" w:sz="4" w:space="0"/>
              <w:right w:val="single" w:color="auto" w:sz="4" w:space="0"/>
            </w:tcBorders>
            <w:vAlign w:val="center"/>
          </w:tcPr>
          <w:p w14:paraId="4AD199FC">
            <w:pPr>
              <w:spacing w:line="360" w:lineRule="auto"/>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供应商确认收到采购文件补充文件</w:t>
            </w:r>
          </w:p>
        </w:tc>
        <w:tc>
          <w:tcPr>
            <w:tcW w:w="5349" w:type="dxa"/>
            <w:tcBorders>
              <w:top w:val="single" w:color="auto" w:sz="4" w:space="0"/>
              <w:left w:val="single" w:color="auto" w:sz="4" w:space="0"/>
              <w:bottom w:val="single" w:color="auto" w:sz="4" w:space="0"/>
              <w:right w:val="single" w:color="auto" w:sz="4" w:space="0"/>
            </w:tcBorders>
            <w:vAlign w:val="center"/>
          </w:tcPr>
          <w:p w14:paraId="5D7CF74B">
            <w:pPr>
              <w:spacing w:line="360" w:lineRule="auto"/>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确认的最晚时间：无需确认</w:t>
            </w:r>
          </w:p>
          <w:p w14:paraId="03098B5F">
            <w:pPr>
              <w:spacing w:line="360" w:lineRule="auto"/>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确定的方式：采购人将以网站公告形式（同采购公告发布媒介）发出采购文件补充通知，供应商应注意及时浏览网上发出的采购补充文件，因供应商自身原因未及时获知补充通知内容而导致的任何后果将由供应商自行承担。                                                  </w:t>
            </w:r>
          </w:p>
        </w:tc>
      </w:tr>
      <w:tr w14:paraId="30C001D4">
        <w:tblPrEx>
          <w:tblCellMar>
            <w:top w:w="0" w:type="dxa"/>
            <w:left w:w="108" w:type="dxa"/>
            <w:bottom w:w="0" w:type="dxa"/>
            <w:right w:w="108" w:type="dxa"/>
          </w:tblCellMar>
        </w:tblPrEx>
        <w:trPr>
          <w:trHeight w:val="649" w:hRule="atLeast"/>
        </w:trPr>
        <w:tc>
          <w:tcPr>
            <w:tcW w:w="1415" w:type="dxa"/>
            <w:tcBorders>
              <w:top w:val="single" w:color="auto" w:sz="4" w:space="0"/>
              <w:left w:val="single" w:color="auto" w:sz="4" w:space="0"/>
              <w:bottom w:val="single" w:color="auto" w:sz="4" w:space="0"/>
              <w:right w:val="single" w:color="auto" w:sz="4" w:space="0"/>
            </w:tcBorders>
            <w:vAlign w:val="center"/>
          </w:tcPr>
          <w:p w14:paraId="2DFA834D">
            <w:pPr>
              <w:spacing w:line="360" w:lineRule="auto"/>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3.1.1（9）</w:t>
            </w:r>
          </w:p>
        </w:tc>
        <w:tc>
          <w:tcPr>
            <w:tcW w:w="3090" w:type="dxa"/>
            <w:tcBorders>
              <w:top w:val="single" w:color="auto" w:sz="4" w:space="0"/>
              <w:left w:val="single" w:color="auto" w:sz="4" w:space="0"/>
              <w:bottom w:val="single" w:color="auto" w:sz="4" w:space="0"/>
              <w:right w:val="single" w:color="auto" w:sz="4" w:space="0"/>
            </w:tcBorders>
            <w:vAlign w:val="center"/>
          </w:tcPr>
          <w:p w14:paraId="5B849052">
            <w:pPr>
              <w:spacing w:line="360" w:lineRule="auto"/>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构成响应文件的其他资料</w:t>
            </w:r>
          </w:p>
        </w:tc>
        <w:tc>
          <w:tcPr>
            <w:tcW w:w="5349" w:type="dxa"/>
            <w:tcBorders>
              <w:top w:val="single" w:color="auto" w:sz="4" w:space="0"/>
              <w:left w:val="single" w:color="auto" w:sz="4" w:space="0"/>
              <w:bottom w:val="single" w:color="auto" w:sz="4" w:space="0"/>
              <w:right w:val="single" w:color="auto" w:sz="4" w:space="0"/>
            </w:tcBorders>
            <w:vAlign w:val="center"/>
          </w:tcPr>
          <w:p w14:paraId="00EC85E8">
            <w:pPr>
              <w:spacing w:line="360" w:lineRule="auto"/>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资料名称：澄清（如有）                                             </w:t>
            </w:r>
          </w:p>
        </w:tc>
      </w:tr>
      <w:tr w14:paraId="6ABC4E78">
        <w:tblPrEx>
          <w:tblCellMar>
            <w:top w:w="0" w:type="dxa"/>
            <w:left w:w="108" w:type="dxa"/>
            <w:bottom w:w="0" w:type="dxa"/>
            <w:right w:w="108" w:type="dxa"/>
          </w:tblCellMar>
        </w:tblPrEx>
        <w:trPr>
          <w:trHeight w:val="1088" w:hRule="atLeast"/>
        </w:trPr>
        <w:tc>
          <w:tcPr>
            <w:tcW w:w="1415" w:type="dxa"/>
            <w:tcBorders>
              <w:top w:val="single" w:color="auto" w:sz="4" w:space="0"/>
              <w:left w:val="single" w:color="auto" w:sz="4" w:space="0"/>
              <w:bottom w:val="single" w:color="auto" w:sz="4" w:space="0"/>
              <w:right w:val="single" w:color="auto" w:sz="4" w:space="0"/>
            </w:tcBorders>
            <w:vAlign w:val="center"/>
          </w:tcPr>
          <w:p w14:paraId="587537B8">
            <w:pPr>
              <w:spacing w:line="360" w:lineRule="auto"/>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3.2.2</w:t>
            </w:r>
          </w:p>
        </w:tc>
        <w:tc>
          <w:tcPr>
            <w:tcW w:w="3090" w:type="dxa"/>
            <w:tcBorders>
              <w:top w:val="single" w:color="auto" w:sz="4" w:space="0"/>
              <w:left w:val="single" w:color="auto" w:sz="4" w:space="0"/>
              <w:bottom w:val="single" w:color="auto" w:sz="4" w:space="0"/>
              <w:right w:val="single" w:color="auto" w:sz="4" w:space="0"/>
            </w:tcBorders>
            <w:vAlign w:val="center"/>
          </w:tcPr>
          <w:p w14:paraId="59DF6540">
            <w:pPr>
              <w:spacing w:line="360" w:lineRule="auto"/>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采购标的数量增减幅度</w:t>
            </w:r>
          </w:p>
        </w:tc>
        <w:tc>
          <w:tcPr>
            <w:tcW w:w="5349" w:type="dxa"/>
            <w:tcBorders>
              <w:top w:val="single" w:color="auto" w:sz="4" w:space="0"/>
              <w:left w:val="single" w:color="auto" w:sz="4" w:space="0"/>
              <w:bottom w:val="single" w:color="auto" w:sz="4" w:space="0"/>
              <w:right w:val="single" w:color="auto" w:sz="4" w:space="0"/>
            </w:tcBorders>
            <w:vAlign w:val="center"/>
          </w:tcPr>
          <w:p w14:paraId="102F2EC0">
            <w:pPr>
              <w:spacing w:line="360" w:lineRule="auto"/>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采购标的数量增减幅度： /                                         </w:t>
            </w:r>
          </w:p>
        </w:tc>
      </w:tr>
      <w:tr w14:paraId="357C1E8D">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29FFDA61">
            <w:pPr>
              <w:spacing w:line="360" w:lineRule="auto"/>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3.2.3</w:t>
            </w:r>
          </w:p>
        </w:tc>
        <w:tc>
          <w:tcPr>
            <w:tcW w:w="3090" w:type="dxa"/>
            <w:tcBorders>
              <w:top w:val="single" w:color="auto" w:sz="4" w:space="0"/>
              <w:left w:val="single" w:color="auto" w:sz="4" w:space="0"/>
              <w:bottom w:val="single" w:color="auto" w:sz="4" w:space="0"/>
              <w:right w:val="single" w:color="auto" w:sz="4" w:space="0"/>
            </w:tcBorders>
            <w:vAlign w:val="center"/>
          </w:tcPr>
          <w:p w14:paraId="41E98474">
            <w:pPr>
              <w:spacing w:line="360" w:lineRule="auto"/>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最高限价或其计算方法</w:t>
            </w:r>
          </w:p>
        </w:tc>
        <w:tc>
          <w:tcPr>
            <w:tcW w:w="5349" w:type="dxa"/>
            <w:tcBorders>
              <w:top w:val="single" w:color="auto" w:sz="4" w:space="0"/>
              <w:left w:val="single" w:color="auto" w:sz="4" w:space="0"/>
              <w:bottom w:val="single" w:color="auto" w:sz="4" w:space="0"/>
              <w:right w:val="single" w:color="auto" w:sz="4" w:space="0"/>
            </w:tcBorders>
            <w:vAlign w:val="center"/>
          </w:tcPr>
          <w:p w14:paraId="4A22D635">
            <w:pPr>
              <w:spacing w:line="360" w:lineRule="auto"/>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□无</w:t>
            </w:r>
          </w:p>
          <w:p w14:paraId="693ED320">
            <w:pPr>
              <w:spacing w:line="360" w:lineRule="auto"/>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有，最高限价或其计算方法：</w:t>
            </w:r>
          </w:p>
          <w:p w14:paraId="60D8DCE9">
            <w:pPr>
              <w:spacing w:line="360" w:lineRule="auto"/>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w:t>
            </w:r>
            <w:r>
              <w:rPr>
                <w:rFonts w:hint="eastAsia" w:ascii="宋体" w:hAnsi="宋体" w:cs="宋体"/>
                <w:b/>
                <w:bCs/>
                <w:color w:val="000000" w:themeColor="text1"/>
                <w:szCs w:val="21"/>
                <w:highlight w:val="none"/>
                <w:u w:val="single"/>
                <w:lang w:val="en-US" w:eastAsia="zh-CN"/>
                <w14:textFill>
                  <w14:solidFill>
                    <w14:schemeClr w14:val="tx1"/>
                  </w14:solidFill>
                </w14:textFill>
              </w:rPr>
              <w:t xml:space="preserve">  91.00 万</w:t>
            </w:r>
            <w:r>
              <w:rPr>
                <w:rFonts w:hint="eastAsia" w:ascii="宋体" w:hAnsi="宋体" w:cs="宋体"/>
                <w:b/>
                <w:bCs/>
                <w:color w:val="000000" w:themeColor="text1"/>
                <w:szCs w:val="21"/>
                <w:highlight w:val="none"/>
                <w:u w:val="single"/>
                <w14:textFill>
                  <w14:solidFill>
                    <w14:schemeClr w14:val="tx1"/>
                  </w14:solidFill>
                </w14:textFill>
              </w:rPr>
              <w:t>元</w:t>
            </w:r>
            <w:r>
              <w:rPr>
                <w:rFonts w:hint="eastAsia" w:ascii="宋体" w:hAnsi="宋体" w:cs="宋体"/>
                <w:b/>
                <w:bCs/>
                <w:color w:val="000000" w:themeColor="text1"/>
                <w:szCs w:val="21"/>
                <w:highlight w:val="none"/>
                <w14:textFill>
                  <w14:solidFill>
                    <w14:schemeClr w14:val="tx1"/>
                  </w14:solidFill>
                </w14:textFill>
              </w:rPr>
              <w:t>，其中暂列金额0元；</w:t>
            </w:r>
          </w:p>
        </w:tc>
      </w:tr>
      <w:tr w14:paraId="31ABD951">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05F8FA6B">
            <w:pPr>
              <w:spacing w:line="360" w:lineRule="auto"/>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3.2.4</w:t>
            </w:r>
          </w:p>
        </w:tc>
        <w:tc>
          <w:tcPr>
            <w:tcW w:w="3090" w:type="dxa"/>
            <w:tcBorders>
              <w:top w:val="single" w:color="auto" w:sz="4" w:space="0"/>
              <w:left w:val="single" w:color="auto" w:sz="4" w:space="0"/>
              <w:bottom w:val="single" w:color="auto" w:sz="4" w:space="0"/>
              <w:right w:val="single" w:color="auto" w:sz="4" w:space="0"/>
            </w:tcBorders>
            <w:vAlign w:val="center"/>
          </w:tcPr>
          <w:p w14:paraId="6A816252">
            <w:pPr>
              <w:spacing w:line="360" w:lineRule="auto"/>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报价的其他要求</w:t>
            </w:r>
          </w:p>
        </w:tc>
        <w:tc>
          <w:tcPr>
            <w:tcW w:w="5349" w:type="dxa"/>
            <w:tcBorders>
              <w:top w:val="single" w:color="auto" w:sz="4" w:space="0"/>
              <w:left w:val="single" w:color="auto" w:sz="4" w:space="0"/>
              <w:bottom w:val="single" w:color="auto" w:sz="4" w:space="0"/>
              <w:right w:val="single" w:color="auto" w:sz="4" w:space="0"/>
            </w:tcBorders>
            <w:vAlign w:val="center"/>
          </w:tcPr>
          <w:p w14:paraId="7744F055">
            <w:pPr>
              <w:spacing w:line="360" w:lineRule="auto"/>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p>
        </w:tc>
      </w:tr>
      <w:tr w14:paraId="723337E0">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65A4C01C">
            <w:pPr>
              <w:spacing w:line="360" w:lineRule="auto"/>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3.3.1</w:t>
            </w:r>
          </w:p>
        </w:tc>
        <w:tc>
          <w:tcPr>
            <w:tcW w:w="3090" w:type="dxa"/>
            <w:tcBorders>
              <w:top w:val="single" w:color="auto" w:sz="4" w:space="0"/>
              <w:left w:val="single" w:color="auto" w:sz="4" w:space="0"/>
              <w:bottom w:val="single" w:color="auto" w:sz="4" w:space="0"/>
              <w:right w:val="single" w:color="auto" w:sz="4" w:space="0"/>
            </w:tcBorders>
            <w:vAlign w:val="center"/>
          </w:tcPr>
          <w:p w14:paraId="70FB9CE5">
            <w:pPr>
              <w:spacing w:line="360" w:lineRule="auto"/>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响应文件有效期</w:t>
            </w:r>
          </w:p>
        </w:tc>
        <w:tc>
          <w:tcPr>
            <w:tcW w:w="5349" w:type="dxa"/>
            <w:tcBorders>
              <w:top w:val="single" w:color="auto" w:sz="4" w:space="0"/>
              <w:left w:val="single" w:color="auto" w:sz="4" w:space="0"/>
              <w:bottom w:val="single" w:color="auto" w:sz="4" w:space="0"/>
              <w:right w:val="single" w:color="auto" w:sz="4" w:space="0"/>
            </w:tcBorders>
            <w:vAlign w:val="center"/>
          </w:tcPr>
          <w:p w14:paraId="2436C844">
            <w:pPr>
              <w:spacing w:line="360" w:lineRule="auto"/>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递交响应文件截止之日起90日                                        </w:t>
            </w:r>
          </w:p>
        </w:tc>
      </w:tr>
      <w:tr w14:paraId="7E223D14">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02C64242">
            <w:pPr>
              <w:spacing w:line="360" w:lineRule="auto"/>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3.4.1</w:t>
            </w:r>
          </w:p>
        </w:tc>
        <w:tc>
          <w:tcPr>
            <w:tcW w:w="3090" w:type="dxa"/>
            <w:tcBorders>
              <w:top w:val="single" w:color="auto" w:sz="4" w:space="0"/>
              <w:left w:val="single" w:color="auto" w:sz="4" w:space="0"/>
              <w:bottom w:val="single" w:color="auto" w:sz="4" w:space="0"/>
              <w:right w:val="single" w:color="auto" w:sz="4" w:space="0"/>
            </w:tcBorders>
            <w:vAlign w:val="center"/>
          </w:tcPr>
          <w:p w14:paraId="58F048D4">
            <w:pPr>
              <w:spacing w:line="360" w:lineRule="auto"/>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响应保证金</w:t>
            </w:r>
          </w:p>
        </w:tc>
        <w:tc>
          <w:tcPr>
            <w:tcW w:w="5349" w:type="dxa"/>
            <w:tcBorders>
              <w:top w:val="single" w:color="auto" w:sz="4" w:space="0"/>
              <w:left w:val="single" w:color="auto" w:sz="4" w:space="0"/>
              <w:bottom w:val="single" w:color="auto" w:sz="4" w:space="0"/>
              <w:right w:val="single" w:color="auto" w:sz="4" w:space="0"/>
            </w:tcBorders>
            <w:vAlign w:val="center"/>
          </w:tcPr>
          <w:p w14:paraId="4321664E">
            <w:pPr>
              <w:spacing w:line="360" w:lineRule="auto"/>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不要求递交</w:t>
            </w:r>
          </w:p>
          <w:p w14:paraId="1EB25309">
            <w:pPr>
              <w:spacing w:line="360" w:lineRule="auto"/>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□要求递交，</w:t>
            </w:r>
          </w:p>
          <w:p w14:paraId="1203440B">
            <w:pPr>
              <w:spacing w:line="360" w:lineRule="auto"/>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见采购公告                                        </w:t>
            </w:r>
          </w:p>
        </w:tc>
      </w:tr>
      <w:tr w14:paraId="1700BAB5">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6B0FADEE">
            <w:pPr>
              <w:spacing w:line="360" w:lineRule="auto"/>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3.4.2</w:t>
            </w:r>
          </w:p>
        </w:tc>
        <w:tc>
          <w:tcPr>
            <w:tcW w:w="3090" w:type="dxa"/>
            <w:tcBorders>
              <w:top w:val="single" w:color="auto" w:sz="4" w:space="0"/>
              <w:left w:val="single" w:color="auto" w:sz="4" w:space="0"/>
              <w:bottom w:val="single" w:color="auto" w:sz="4" w:space="0"/>
              <w:right w:val="single" w:color="auto" w:sz="4" w:space="0"/>
            </w:tcBorders>
            <w:vAlign w:val="center"/>
          </w:tcPr>
          <w:p w14:paraId="040DE1FA">
            <w:pPr>
              <w:spacing w:line="360" w:lineRule="auto"/>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退还响应保证金的时间</w:t>
            </w:r>
          </w:p>
        </w:tc>
        <w:tc>
          <w:tcPr>
            <w:tcW w:w="5349" w:type="dxa"/>
            <w:tcBorders>
              <w:top w:val="single" w:color="auto" w:sz="4" w:space="0"/>
              <w:left w:val="single" w:color="auto" w:sz="4" w:space="0"/>
              <w:bottom w:val="single" w:color="auto" w:sz="4" w:space="0"/>
              <w:right w:val="single" w:color="auto" w:sz="4" w:space="0"/>
            </w:tcBorders>
            <w:vAlign w:val="center"/>
          </w:tcPr>
          <w:p w14:paraId="4EA49348">
            <w:pPr>
              <w:spacing w:line="360" w:lineRule="auto"/>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见采购公告                                                             </w:t>
            </w:r>
          </w:p>
        </w:tc>
      </w:tr>
      <w:tr w14:paraId="09107FF3">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2A48FD31">
            <w:pPr>
              <w:spacing w:line="360" w:lineRule="auto"/>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3.4.3</w:t>
            </w:r>
          </w:p>
        </w:tc>
        <w:tc>
          <w:tcPr>
            <w:tcW w:w="3090" w:type="dxa"/>
            <w:tcBorders>
              <w:top w:val="single" w:color="auto" w:sz="4" w:space="0"/>
              <w:left w:val="single" w:color="auto" w:sz="4" w:space="0"/>
              <w:bottom w:val="single" w:color="auto" w:sz="4" w:space="0"/>
              <w:right w:val="single" w:color="auto" w:sz="4" w:space="0"/>
            </w:tcBorders>
            <w:vAlign w:val="center"/>
          </w:tcPr>
          <w:p w14:paraId="78DAF64E">
            <w:pPr>
              <w:spacing w:line="360" w:lineRule="auto"/>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不退还响应保证金的其他情形</w:t>
            </w:r>
          </w:p>
        </w:tc>
        <w:tc>
          <w:tcPr>
            <w:tcW w:w="5349" w:type="dxa"/>
            <w:tcBorders>
              <w:top w:val="single" w:color="auto" w:sz="4" w:space="0"/>
              <w:left w:val="single" w:color="auto" w:sz="4" w:space="0"/>
              <w:bottom w:val="single" w:color="auto" w:sz="4" w:space="0"/>
              <w:right w:val="single" w:color="auto" w:sz="4" w:space="0"/>
            </w:tcBorders>
            <w:vAlign w:val="center"/>
          </w:tcPr>
          <w:p w14:paraId="040B6817">
            <w:pPr>
              <w:spacing w:line="360" w:lineRule="auto"/>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见采购公告                                                          </w:t>
            </w:r>
          </w:p>
        </w:tc>
      </w:tr>
      <w:tr w14:paraId="35B2D864">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46F80A38">
            <w:pPr>
              <w:spacing w:line="360" w:lineRule="auto"/>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3.5（1）</w:t>
            </w:r>
          </w:p>
        </w:tc>
        <w:tc>
          <w:tcPr>
            <w:tcW w:w="3090" w:type="dxa"/>
            <w:tcBorders>
              <w:top w:val="single" w:color="auto" w:sz="4" w:space="0"/>
              <w:left w:val="single" w:color="auto" w:sz="4" w:space="0"/>
              <w:bottom w:val="single" w:color="auto" w:sz="4" w:space="0"/>
              <w:right w:val="single" w:color="auto" w:sz="4" w:space="0"/>
            </w:tcBorders>
            <w:vAlign w:val="center"/>
          </w:tcPr>
          <w:p w14:paraId="1F8F60E4">
            <w:pPr>
              <w:wordWrap w:val="0"/>
              <w:spacing w:line="360" w:lineRule="auto"/>
              <w:jc w:val="both"/>
              <w:rPr>
                <w:rStyle w:val="129"/>
                <w:rFonts w:hint="eastAsia" w:ascii="宋体" w:hAnsi="宋体" w:cs="宋体"/>
                <w:b w:val="0"/>
                <w:bCs w:val="0"/>
                <w:color w:val="000000" w:themeColor="text1"/>
                <w:szCs w:val="21"/>
                <w:highlight w:val="none"/>
                <w14:textFill>
                  <w14:solidFill>
                    <w14:schemeClr w14:val="tx1"/>
                  </w14:solidFill>
                </w14:textFill>
              </w:rPr>
            </w:pPr>
            <w:r>
              <w:rPr>
                <w:rStyle w:val="129"/>
                <w:rFonts w:hint="eastAsia" w:ascii="宋体" w:hAnsi="宋体" w:cs="宋体"/>
                <w:b w:val="0"/>
                <w:bCs w:val="0"/>
                <w:color w:val="000000" w:themeColor="text1"/>
                <w:szCs w:val="21"/>
                <w:highlight w:val="none"/>
                <w14:textFill>
                  <w14:solidFill>
                    <w14:schemeClr w14:val="tx1"/>
                  </w14:solidFill>
                </w14:textFill>
              </w:rPr>
              <w:t>依法设立的证明材料</w:t>
            </w:r>
          </w:p>
        </w:tc>
        <w:tc>
          <w:tcPr>
            <w:tcW w:w="5349" w:type="dxa"/>
            <w:tcBorders>
              <w:top w:val="single" w:color="auto" w:sz="4" w:space="0"/>
              <w:left w:val="single" w:color="auto" w:sz="4" w:space="0"/>
              <w:bottom w:val="single" w:color="auto" w:sz="4" w:space="0"/>
              <w:right w:val="single" w:color="auto" w:sz="4" w:space="0"/>
            </w:tcBorders>
            <w:vAlign w:val="center"/>
          </w:tcPr>
          <w:p w14:paraId="2D6BFF65">
            <w:pPr>
              <w:wordWrap w:val="0"/>
              <w:spacing w:line="360" w:lineRule="auto"/>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□不适用。</w:t>
            </w:r>
          </w:p>
          <w:p w14:paraId="4A65A90E">
            <w:pPr>
              <w:wordWrap w:val="0"/>
              <w:spacing w:line="360" w:lineRule="auto"/>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适用。供应商应提供市场监管部门或其他行政机关颁发的可以合法开展业务的执照或证书。</w:t>
            </w:r>
          </w:p>
        </w:tc>
      </w:tr>
      <w:tr w14:paraId="641B02B6">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206CEC7C">
            <w:pPr>
              <w:spacing w:line="360" w:lineRule="auto"/>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3.5（2）</w:t>
            </w:r>
          </w:p>
        </w:tc>
        <w:tc>
          <w:tcPr>
            <w:tcW w:w="3090" w:type="dxa"/>
            <w:tcBorders>
              <w:top w:val="single" w:color="auto" w:sz="4" w:space="0"/>
              <w:left w:val="single" w:color="auto" w:sz="4" w:space="0"/>
              <w:bottom w:val="single" w:color="auto" w:sz="4" w:space="0"/>
              <w:right w:val="single" w:color="auto" w:sz="4" w:space="0"/>
            </w:tcBorders>
            <w:vAlign w:val="center"/>
          </w:tcPr>
          <w:p w14:paraId="3E4B958D">
            <w:pPr>
              <w:wordWrap w:val="0"/>
              <w:spacing w:line="360" w:lineRule="auto"/>
              <w:jc w:val="both"/>
              <w:rPr>
                <w:rFonts w:hint="eastAsia" w:ascii="宋体" w:hAnsi="宋体" w:cs="宋体"/>
                <w:color w:val="000000" w:themeColor="text1"/>
                <w:szCs w:val="21"/>
                <w:highlight w:val="none"/>
                <w14:textFill>
                  <w14:solidFill>
                    <w14:schemeClr w14:val="tx1"/>
                  </w14:solidFill>
                </w14:textFill>
              </w:rPr>
            </w:pPr>
            <w:r>
              <w:rPr>
                <w:rStyle w:val="129"/>
                <w:rFonts w:hint="eastAsia" w:ascii="宋体" w:hAnsi="宋体" w:cs="宋体"/>
                <w:b w:val="0"/>
                <w:bCs w:val="0"/>
                <w:color w:val="000000" w:themeColor="text1"/>
                <w:szCs w:val="21"/>
                <w:highlight w:val="none"/>
                <w14:textFill>
                  <w14:solidFill>
                    <w14:schemeClr w14:val="tx1"/>
                  </w14:solidFill>
                </w14:textFill>
              </w:rPr>
              <w:t>资质要求证明材料</w:t>
            </w:r>
          </w:p>
        </w:tc>
        <w:tc>
          <w:tcPr>
            <w:tcW w:w="5349" w:type="dxa"/>
            <w:tcBorders>
              <w:top w:val="single" w:color="auto" w:sz="4" w:space="0"/>
              <w:left w:val="single" w:color="auto" w:sz="4" w:space="0"/>
              <w:bottom w:val="single" w:color="auto" w:sz="4" w:space="0"/>
              <w:right w:val="single" w:color="auto" w:sz="4" w:space="0"/>
            </w:tcBorders>
            <w:vAlign w:val="center"/>
          </w:tcPr>
          <w:p w14:paraId="65B9161A">
            <w:pPr>
              <w:wordWrap w:val="0"/>
              <w:spacing w:line="360" w:lineRule="auto"/>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不适用</w:t>
            </w:r>
          </w:p>
          <w:p w14:paraId="538EA8FD">
            <w:pPr>
              <w:wordWrap w:val="0"/>
              <w:spacing w:line="360" w:lineRule="auto"/>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适用。供应商应提供相关资质证书副本的复印件，以证明供应商具有承担本项目要求的资质。</w:t>
            </w:r>
          </w:p>
          <w:p w14:paraId="553F9923">
            <w:pPr>
              <w:widowControl w:val="0"/>
              <w:spacing w:line="360" w:lineRule="auto"/>
              <w:jc w:val="both"/>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资质证书包括：</w:t>
            </w:r>
            <w:r>
              <w:rPr>
                <w:rFonts w:hint="eastAsia" w:ascii="宋体" w:hAnsi="宋体" w:cs="宋体"/>
                <w:bCs/>
                <w:color w:val="000000" w:themeColor="text1"/>
                <w:szCs w:val="21"/>
                <w:highlight w:val="none"/>
                <w:lang w:eastAsia="zh-CN"/>
                <w14:textFill>
                  <w14:solidFill>
                    <w14:schemeClr w14:val="tx1"/>
                  </w14:solidFill>
                </w14:textFill>
              </w:rPr>
              <w:t>响应人</w:t>
            </w:r>
            <w:r>
              <w:rPr>
                <w:rFonts w:hint="eastAsia" w:ascii="宋体" w:hAnsi="宋体" w:cs="宋体"/>
                <w:bCs/>
                <w:color w:val="000000" w:themeColor="text1"/>
                <w:szCs w:val="21"/>
                <w:highlight w:val="none"/>
                <w14:textFill>
                  <w14:solidFill>
                    <w14:schemeClr w14:val="tx1"/>
                  </w14:solidFill>
                </w14:textFill>
              </w:rPr>
              <w:t>应</w:t>
            </w:r>
            <w:r>
              <w:rPr>
                <w:rFonts w:hint="eastAsia" w:ascii="宋体" w:hAnsi="宋体" w:cs="宋体"/>
                <w:bCs/>
                <w:color w:val="000000" w:themeColor="text1"/>
                <w:szCs w:val="21"/>
                <w:highlight w:val="none"/>
                <w:lang w:eastAsia="zh-CN"/>
                <w14:textFill>
                  <w14:solidFill>
                    <w14:schemeClr w14:val="tx1"/>
                  </w14:solidFill>
                </w14:textFill>
              </w:rPr>
              <w:t>同时</w:t>
            </w:r>
            <w:r>
              <w:rPr>
                <w:rFonts w:hint="eastAsia" w:ascii="宋体" w:hAnsi="宋体" w:cs="宋体"/>
                <w:bCs/>
                <w:color w:val="000000" w:themeColor="text1"/>
                <w:szCs w:val="21"/>
                <w:highlight w:val="none"/>
                <w14:textFill>
                  <w14:solidFill>
                    <w14:schemeClr w14:val="tx1"/>
                  </w14:solidFill>
                </w14:textFill>
              </w:rPr>
              <w:t>具备以下资质：</w:t>
            </w:r>
          </w:p>
          <w:p w14:paraId="469A67B4">
            <w:pPr>
              <w:widowControl w:val="0"/>
              <w:numPr>
                <w:ilvl w:val="0"/>
                <w:numId w:val="15"/>
              </w:numPr>
              <w:spacing w:line="360" w:lineRule="auto"/>
              <w:jc w:val="both"/>
              <w:rPr>
                <w:rFonts w:hint="eastAsia" w:ascii="宋体" w:hAnsi="宋体" w:eastAsia="宋体" w:cs="宋体"/>
                <w:bCs/>
                <w:color w:val="000000" w:themeColor="text1"/>
                <w:szCs w:val="21"/>
                <w:highlight w:val="none"/>
                <w:lang w:val="en-US" w:eastAsia="zh-CN"/>
                <w14:textFill>
                  <w14:solidFill>
                    <w14:schemeClr w14:val="tx1"/>
                  </w14:solidFill>
                </w14:textFill>
              </w:rPr>
            </w:pPr>
            <w:r>
              <w:rPr>
                <w:rFonts w:hint="eastAsia" w:ascii="宋体" w:hAnsi="宋体" w:eastAsia="宋体" w:cs="宋体"/>
                <w:bCs/>
                <w:color w:val="000000" w:themeColor="text1"/>
                <w:szCs w:val="21"/>
                <w:highlight w:val="none"/>
                <w:lang w:val="en-US" w:eastAsia="zh-CN"/>
                <w14:textFill>
                  <w14:solidFill>
                    <w14:schemeClr w14:val="tx1"/>
                  </w14:solidFill>
                </w14:textFill>
              </w:rPr>
              <w:t>具有交通运输主管部门认定的《公路水运工程试验检测机构等级证书》公路工程综合甲级资质或公路工程桥梁隧道工程专项资质</w:t>
            </w:r>
            <w:r>
              <w:rPr>
                <w:rFonts w:hint="eastAsia" w:ascii="宋体" w:hAnsi="宋体" w:cs="宋体"/>
                <w:bCs/>
                <w:color w:val="000000" w:themeColor="text1"/>
                <w:szCs w:val="21"/>
                <w:highlight w:val="none"/>
                <w:lang w:val="en-US" w:eastAsia="zh-CN"/>
                <w14:textFill>
                  <w14:solidFill>
                    <w14:schemeClr w14:val="tx1"/>
                  </w14:solidFill>
                </w14:textFill>
              </w:rPr>
              <w:t xml:space="preserve">或具有交通运输主管部门认定的《公路水运工程试验检测机构资质证书》公路工程甲级资质 </w:t>
            </w:r>
            <w:r>
              <w:rPr>
                <w:rFonts w:hint="eastAsia" w:ascii="宋体" w:hAnsi="宋体" w:eastAsia="宋体" w:cs="宋体"/>
                <w:bCs/>
                <w:color w:val="000000" w:themeColor="text1"/>
                <w:szCs w:val="21"/>
                <w:highlight w:val="none"/>
                <w:lang w:val="en-US" w:eastAsia="zh-CN"/>
                <w14:textFill>
                  <w14:solidFill>
                    <w14:schemeClr w14:val="tx1"/>
                  </w14:solidFill>
                </w14:textFill>
              </w:rPr>
              <w:t>，且授予检测项目及参数中包含相关检测项目及相关参数；</w:t>
            </w:r>
          </w:p>
          <w:p w14:paraId="4637622E">
            <w:pPr>
              <w:widowControl w:val="0"/>
              <w:numPr>
                <w:ilvl w:val="0"/>
                <w:numId w:val="0"/>
              </w:numPr>
              <w:spacing w:line="360" w:lineRule="auto"/>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lang w:val="en-US" w:eastAsia="zh-CN"/>
                <w14:textFill>
                  <w14:solidFill>
                    <w14:schemeClr w14:val="tx1"/>
                  </w14:solidFill>
                </w14:textFill>
              </w:rPr>
              <w:t>2.具有</w:t>
            </w:r>
            <w:r>
              <w:rPr>
                <w:rFonts w:hint="eastAsia" w:ascii="宋体" w:hAnsi="宋体" w:cs="宋体"/>
                <w:bCs/>
                <w:color w:val="000000" w:themeColor="text1"/>
                <w:szCs w:val="21"/>
                <w:highlight w:val="none"/>
                <w:lang w:val="en-US" w:eastAsia="zh-CN"/>
                <w14:textFill>
                  <w14:solidFill>
                    <w14:schemeClr w14:val="tx1"/>
                  </w14:solidFill>
                </w14:textFill>
              </w:rPr>
              <w:t>有效</w:t>
            </w:r>
            <w:r>
              <w:rPr>
                <w:rFonts w:hint="eastAsia" w:ascii="宋体" w:hAnsi="宋体" w:eastAsia="宋体" w:cs="宋体"/>
                <w:bCs/>
                <w:color w:val="000000" w:themeColor="text1"/>
                <w:szCs w:val="21"/>
                <w:highlight w:val="none"/>
                <w:lang w:val="en-US" w:eastAsia="zh-CN"/>
                <w14:textFill>
                  <w14:solidFill>
                    <w14:schemeClr w14:val="tx1"/>
                  </w14:solidFill>
                </w14:textFill>
              </w:rPr>
              <w:t>的CMA计量认证合格证书，CMA认证范围应含有相关检测参数且在有效期内。</w:t>
            </w:r>
          </w:p>
        </w:tc>
      </w:tr>
      <w:tr w14:paraId="48F875B1">
        <w:tblPrEx>
          <w:tblCellMar>
            <w:top w:w="0" w:type="dxa"/>
            <w:left w:w="108" w:type="dxa"/>
            <w:bottom w:w="0" w:type="dxa"/>
            <w:right w:w="108" w:type="dxa"/>
          </w:tblCellMar>
        </w:tblPrEx>
        <w:trPr>
          <w:trHeight w:val="90" w:hRule="atLeast"/>
        </w:trPr>
        <w:tc>
          <w:tcPr>
            <w:tcW w:w="1415" w:type="dxa"/>
            <w:tcBorders>
              <w:top w:val="single" w:color="auto" w:sz="4" w:space="0"/>
              <w:left w:val="single" w:color="auto" w:sz="4" w:space="0"/>
              <w:bottom w:val="single" w:color="auto" w:sz="4" w:space="0"/>
              <w:right w:val="single" w:color="auto" w:sz="4" w:space="0"/>
            </w:tcBorders>
            <w:vAlign w:val="center"/>
          </w:tcPr>
          <w:p w14:paraId="3DDCC388">
            <w:pPr>
              <w:spacing w:line="360" w:lineRule="auto"/>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3.5（3）</w:t>
            </w:r>
          </w:p>
        </w:tc>
        <w:tc>
          <w:tcPr>
            <w:tcW w:w="3090" w:type="dxa"/>
            <w:tcBorders>
              <w:top w:val="single" w:color="auto" w:sz="4" w:space="0"/>
              <w:left w:val="single" w:color="auto" w:sz="4" w:space="0"/>
              <w:bottom w:val="single" w:color="auto" w:sz="4" w:space="0"/>
              <w:right w:val="single" w:color="auto" w:sz="4" w:space="0"/>
            </w:tcBorders>
            <w:vAlign w:val="center"/>
          </w:tcPr>
          <w:p w14:paraId="5AE32342">
            <w:pPr>
              <w:wordWrap w:val="0"/>
              <w:spacing w:line="360" w:lineRule="auto"/>
              <w:jc w:val="both"/>
              <w:rPr>
                <w:rStyle w:val="129"/>
                <w:rFonts w:hint="eastAsia" w:ascii="宋体" w:hAnsi="宋体" w:cs="宋体"/>
                <w:b w:val="0"/>
                <w:bCs w:val="0"/>
                <w:color w:val="000000" w:themeColor="text1"/>
                <w:szCs w:val="21"/>
                <w:highlight w:val="none"/>
                <w14:textFill>
                  <w14:solidFill>
                    <w14:schemeClr w14:val="tx1"/>
                  </w14:solidFill>
                </w14:textFill>
              </w:rPr>
            </w:pPr>
            <w:r>
              <w:rPr>
                <w:rStyle w:val="129"/>
                <w:rFonts w:hint="eastAsia" w:ascii="宋体" w:hAnsi="宋体" w:cs="宋体"/>
                <w:b w:val="0"/>
                <w:bCs w:val="0"/>
                <w:color w:val="000000" w:themeColor="text1"/>
                <w:szCs w:val="21"/>
                <w:highlight w:val="none"/>
                <w14:textFill>
                  <w14:solidFill>
                    <w14:schemeClr w14:val="tx1"/>
                  </w14:solidFill>
                </w14:textFill>
              </w:rPr>
              <w:t>财务要求证明材料</w:t>
            </w:r>
          </w:p>
        </w:tc>
        <w:tc>
          <w:tcPr>
            <w:tcW w:w="5349" w:type="dxa"/>
            <w:tcBorders>
              <w:top w:val="single" w:color="auto" w:sz="4" w:space="0"/>
              <w:left w:val="single" w:color="auto" w:sz="4" w:space="0"/>
              <w:bottom w:val="single" w:color="auto" w:sz="4" w:space="0"/>
              <w:right w:val="single" w:color="auto" w:sz="4" w:space="0"/>
            </w:tcBorders>
            <w:vAlign w:val="center"/>
          </w:tcPr>
          <w:p w14:paraId="36E8BD83">
            <w:pPr>
              <w:wordWrap w:val="0"/>
              <w:spacing w:line="360" w:lineRule="auto"/>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不适用</w:t>
            </w:r>
          </w:p>
          <w:p w14:paraId="2AF021E5">
            <w:pPr>
              <w:wordWrap w:val="0"/>
              <w:spacing w:line="360" w:lineRule="auto"/>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□适用。供应商应提供经会计师事务所或审计机构审计的近年财务会计报表复印件，包括资产负债表，现金流量表、利润表等。近年财务会计报表年份是指：</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至</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年（供应商的成立时间少于该规定年份的，应提供成立以来的财务会计报表）</w:t>
            </w:r>
          </w:p>
          <w:p w14:paraId="031F0FD9">
            <w:pPr>
              <w:wordWrap w:val="0"/>
              <w:spacing w:line="360" w:lineRule="auto"/>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□适用。供应商应提供近年财务会计报表复印件，包括资产负债表，现金流量表、利润表等。近年财务会计报表年份是指：</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至</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年（供应商的成立时间少于该规定年份的，应提供成立以来的财务会计报表）</w:t>
            </w:r>
          </w:p>
          <w:p w14:paraId="47F68856">
            <w:pPr>
              <w:wordWrap w:val="0"/>
              <w:spacing w:line="360" w:lineRule="auto"/>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（注：有财务要求的，应选择两种财务会计报表中的一种作为财务证明资料。）</w:t>
            </w:r>
          </w:p>
        </w:tc>
      </w:tr>
      <w:tr w14:paraId="04251476">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7035647C">
            <w:pPr>
              <w:spacing w:line="360" w:lineRule="auto"/>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3.5（4）</w:t>
            </w:r>
          </w:p>
        </w:tc>
        <w:tc>
          <w:tcPr>
            <w:tcW w:w="3090" w:type="dxa"/>
            <w:tcBorders>
              <w:top w:val="single" w:color="auto" w:sz="4" w:space="0"/>
              <w:left w:val="single" w:color="auto" w:sz="4" w:space="0"/>
              <w:bottom w:val="single" w:color="auto" w:sz="4" w:space="0"/>
              <w:right w:val="single" w:color="auto" w:sz="4" w:space="0"/>
            </w:tcBorders>
            <w:vAlign w:val="center"/>
          </w:tcPr>
          <w:p w14:paraId="7827ADBA">
            <w:pPr>
              <w:spacing w:line="360" w:lineRule="auto"/>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业绩要求证明材料</w:t>
            </w:r>
          </w:p>
        </w:tc>
        <w:tc>
          <w:tcPr>
            <w:tcW w:w="5349" w:type="dxa"/>
            <w:tcBorders>
              <w:top w:val="single" w:color="auto" w:sz="4" w:space="0"/>
              <w:left w:val="single" w:color="auto" w:sz="4" w:space="0"/>
              <w:bottom w:val="single" w:color="auto" w:sz="4" w:space="0"/>
              <w:right w:val="single" w:color="auto" w:sz="4" w:space="0"/>
            </w:tcBorders>
            <w:vAlign w:val="center"/>
          </w:tcPr>
          <w:p w14:paraId="685B249C">
            <w:pPr>
              <w:wordWrap w:val="0"/>
              <w:spacing w:line="360" w:lineRule="auto"/>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不适用</w:t>
            </w:r>
          </w:p>
          <w:p w14:paraId="6410F023">
            <w:pPr>
              <w:wordWrap w:val="0"/>
              <w:spacing w:line="360" w:lineRule="auto"/>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适用。供应商应提供近年的类似项目情况表（格式见第六章“响应文件格式”七、资格审查资料（三）近年的类似项目情况表），以证明供应商具有承担本项目要求的业绩。</w:t>
            </w:r>
          </w:p>
          <w:p w14:paraId="1BE79CA1">
            <w:pPr>
              <w:wordWrap w:val="0"/>
              <w:spacing w:line="360" w:lineRule="auto"/>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业绩证明材料：</w:t>
            </w:r>
          </w:p>
          <w:p w14:paraId="1416AB49">
            <w:pPr>
              <w:wordWrap w:val="0"/>
              <w:spacing w:line="360" w:lineRule="auto"/>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合同/订单</w:t>
            </w:r>
          </w:p>
          <w:p w14:paraId="3349F6FB">
            <w:pPr>
              <w:wordWrap w:val="0"/>
              <w:spacing w:line="360" w:lineRule="auto"/>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中标通知书/成交通知书</w:t>
            </w:r>
          </w:p>
          <w:p w14:paraId="6F76B63C">
            <w:pPr>
              <w:wordWrap w:val="0"/>
              <w:spacing w:line="360" w:lineRule="auto"/>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竣工验收报告/验收证明</w:t>
            </w:r>
          </w:p>
          <w:p w14:paraId="304303D7">
            <w:pPr>
              <w:wordWrap w:val="0"/>
              <w:spacing w:line="360" w:lineRule="auto"/>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业主证明</w:t>
            </w:r>
          </w:p>
          <w:p w14:paraId="36B77464">
            <w:pPr>
              <w:wordWrap w:val="0"/>
              <w:spacing w:line="360" w:lineRule="auto"/>
              <w:jc w:val="both"/>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其他材料：</w:t>
            </w:r>
            <w:bookmarkStart w:id="6" w:name="EBac4e385c44bd47669c55daf7165a0ee6"/>
            <w:r>
              <w:rPr>
                <w:rFonts w:hint="eastAsia" w:ascii="宋体" w:hAnsi="宋体" w:cs="宋体"/>
                <w:color w:val="000000" w:themeColor="text1"/>
                <w:szCs w:val="21"/>
                <w:highlight w:val="none"/>
                <w:lang w:val="en-US" w:eastAsia="zh-CN"/>
                <w14:textFill>
                  <w14:solidFill>
                    <w14:schemeClr w14:val="tx1"/>
                  </w14:solidFill>
                </w14:textFill>
              </w:rPr>
              <w:t>1、业绩证明材料须提供合同/订单，如合同/订单无法证实业绩满足采购文件要求，还须提供委托人出具的证明材料或设计图纸等相关证明材料</w:t>
            </w:r>
            <w:bookmarkStart w:id="191" w:name="_GoBack"/>
            <w:bookmarkEnd w:id="191"/>
            <w:r>
              <w:rPr>
                <w:rFonts w:hint="eastAsia" w:ascii="宋体" w:hAnsi="宋体" w:cs="宋体"/>
                <w:color w:val="000000" w:themeColor="text1"/>
                <w:szCs w:val="21"/>
                <w:highlight w:val="none"/>
                <w:lang w:val="en-US" w:eastAsia="zh-CN"/>
                <w14:textFill>
                  <w14:solidFill>
                    <w14:schemeClr w14:val="tx1"/>
                  </w14:solidFill>
                </w14:textFill>
              </w:rPr>
              <w:t>。</w:t>
            </w:r>
          </w:p>
          <w:p w14:paraId="38CC04D6">
            <w:pPr>
              <w:wordWrap w:val="0"/>
              <w:spacing w:line="360" w:lineRule="auto"/>
              <w:jc w:val="both"/>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2、业绩计算：在建项目以合同签订时间为准，已完工项目以完成时间为准。</w:t>
            </w:r>
          </w:p>
          <w:p w14:paraId="479CC0D9">
            <w:pPr>
              <w:wordWrap w:val="0"/>
              <w:spacing w:line="360" w:lineRule="auto"/>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3、如近年来，响应人法人机构发生合法变更或重组或法人名称变更时，应提供相关部门的合法批件或其他相关证明材料来证明其所附业绩的继承性。</w:t>
            </w:r>
            <w:bookmarkEnd w:id="6"/>
            <w:r>
              <w:rPr>
                <w:rFonts w:hint="eastAsia" w:ascii="宋体" w:hAnsi="宋体" w:cs="宋体"/>
                <w:color w:val="000000" w:themeColor="text1"/>
                <w:szCs w:val="21"/>
                <w:highlight w:val="none"/>
                <w14:textFill>
                  <w14:solidFill>
                    <w14:schemeClr w14:val="tx1"/>
                  </w14:solidFill>
                </w14:textFill>
              </w:rPr>
              <w:t>业绩证明材料种类要求：</w:t>
            </w:r>
          </w:p>
          <w:p w14:paraId="078F961F">
            <w:pPr>
              <w:wordWrap w:val="0"/>
              <w:spacing w:line="360" w:lineRule="auto"/>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提供上述勾选的任一项证明材料即可</w:t>
            </w:r>
          </w:p>
          <w:p w14:paraId="3839E68D">
            <w:pPr>
              <w:wordWrap w:val="0"/>
              <w:spacing w:line="360" w:lineRule="auto"/>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需同时提供上述勾选的所有证明材料</w:t>
            </w:r>
          </w:p>
          <w:p w14:paraId="2300553F">
            <w:pPr>
              <w:wordWrap w:val="0"/>
              <w:spacing w:line="360" w:lineRule="auto"/>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□其他要求：</w:t>
            </w:r>
            <w:r>
              <w:rPr>
                <w:rFonts w:hint="eastAsia" w:ascii="宋体" w:hAnsi="宋体" w:cs="宋体"/>
                <w:color w:val="000000" w:themeColor="text1"/>
                <w:szCs w:val="21"/>
                <w:highlight w:val="none"/>
                <w:u w:val="single"/>
                <w14:textFill>
                  <w14:solidFill>
                    <w14:schemeClr w14:val="tx1"/>
                  </w14:solidFill>
                </w14:textFill>
              </w:rPr>
              <w:t xml:space="preserve"> / </w:t>
            </w:r>
            <w:r>
              <w:rPr>
                <w:rFonts w:hint="eastAsia" w:ascii="宋体" w:hAnsi="宋体" w:cs="宋体"/>
                <w:color w:val="000000" w:themeColor="text1"/>
                <w:szCs w:val="21"/>
                <w:highlight w:val="none"/>
                <w14:textFill>
                  <w14:solidFill>
                    <w14:schemeClr w14:val="tx1"/>
                  </w14:solidFill>
                </w14:textFill>
              </w:rPr>
              <w:t xml:space="preserve">                    </w:t>
            </w:r>
          </w:p>
        </w:tc>
      </w:tr>
      <w:tr w14:paraId="29693FF8">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5CBD9405">
            <w:pPr>
              <w:spacing w:line="360" w:lineRule="auto"/>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3.5（5）</w:t>
            </w:r>
          </w:p>
        </w:tc>
        <w:tc>
          <w:tcPr>
            <w:tcW w:w="3090" w:type="dxa"/>
            <w:tcBorders>
              <w:top w:val="single" w:color="auto" w:sz="4" w:space="0"/>
              <w:left w:val="single" w:color="auto" w:sz="4" w:space="0"/>
              <w:bottom w:val="single" w:color="auto" w:sz="4" w:space="0"/>
              <w:right w:val="single" w:color="auto" w:sz="4" w:space="0"/>
            </w:tcBorders>
            <w:vAlign w:val="center"/>
          </w:tcPr>
          <w:p w14:paraId="0E8BF3F1">
            <w:pPr>
              <w:spacing w:line="360" w:lineRule="auto"/>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信誉要求证明材料</w:t>
            </w:r>
          </w:p>
        </w:tc>
        <w:tc>
          <w:tcPr>
            <w:tcW w:w="5349" w:type="dxa"/>
            <w:tcBorders>
              <w:top w:val="single" w:color="auto" w:sz="4" w:space="0"/>
              <w:left w:val="single" w:color="auto" w:sz="4" w:space="0"/>
              <w:bottom w:val="single" w:color="auto" w:sz="4" w:space="0"/>
              <w:right w:val="single" w:color="auto" w:sz="4" w:space="0"/>
            </w:tcBorders>
            <w:vAlign w:val="center"/>
          </w:tcPr>
          <w:p w14:paraId="24B86AC2">
            <w:pPr>
              <w:widowControl w:val="0"/>
              <w:numPr>
                <w:ilvl w:val="0"/>
                <w:numId w:val="16"/>
              </w:numPr>
              <w:wordWrap/>
              <w:spacing w:line="360" w:lineRule="auto"/>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不适用</w:t>
            </w:r>
          </w:p>
          <w:p w14:paraId="43A34A8A">
            <w:pPr>
              <w:widowControl w:val="0"/>
              <w:numPr>
                <w:ilvl w:val="0"/>
                <w:numId w:val="16"/>
              </w:numPr>
              <w:spacing w:line="360" w:lineRule="auto"/>
              <w:jc w:val="both"/>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适用。供应商应提供相关信誉情况的证明材料，包括：</w:t>
            </w:r>
            <w:bookmarkStart w:id="7" w:name="EBab2c8e3e568f41e3a02df5a79f02576f"/>
            <w:r>
              <w:rPr>
                <w:rStyle w:val="129"/>
                <w:rFonts w:hint="eastAsia" w:ascii="宋体" w:hAnsi="宋体" w:cs="宋体"/>
                <w:b w:val="0"/>
                <w:color w:val="000000" w:themeColor="text1"/>
                <w:szCs w:val="21"/>
                <w:highlight w:val="none"/>
                <w:u w:val="single"/>
                <w:lang w:val="en-US" w:eastAsia="zh-CN"/>
                <w14:textFill>
                  <w14:solidFill>
                    <w14:schemeClr w14:val="tx1"/>
                  </w14:solidFill>
                </w14:textFill>
              </w:rPr>
              <w:t>响应人不存在第一章3.1款情形的证明材料</w:t>
            </w:r>
            <w:bookmarkEnd w:id="7"/>
          </w:p>
        </w:tc>
      </w:tr>
      <w:tr w14:paraId="0B8AB174">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65FA2AD3">
            <w:pPr>
              <w:spacing w:line="360" w:lineRule="auto"/>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3.5（6）</w:t>
            </w:r>
          </w:p>
        </w:tc>
        <w:tc>
          <w:tcPr>
            <w:tcW w:w="3090" w:type="dxa"/>
            <w:tcBorders>
              <w:top w:val="single" w:color="auto" w:sz="4" w:space="0"/>
              <w:left w:val="single" w:color="auto" w:sz="4" w:space="0"/>
              <w:bottom w:val="single" w:color="auto" w:sz="4" w:space="0"/>
              <w:right w:val="single" w:color="auto" w:sz="4" w:space="0"/>
            </w:tcBorders>
            <w:vAlign w:val="center"/>
          </w:tcPr>
          <w:p w14:paraId="4484F280">
            <w:pPr>
              <w:spacing w:line="360" w:lineRule="auto"/>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承担本项目的主要人员要求证明材料</w:t>
            </w:r>
          </w:p>
        </w:tc>
        <w:tc>
          <w:tcPr>
            <w:tcW w:w="5349" w:type="dxa"/>
            <w:tcBorders>
              <w:top w:val="single" w:color="auto" w:sz="4" w:space="0"/>
              <w:left w:val="single" w:color="auto" w:sz="4" w:space="0"/>
              <w:bottom w:val="single" w:color="auto" w:sz="4" w:space="0"/>
              <w:right w:val="single" w:color="auto" w:sz="4" w:space="0"/>
            </w:tcBorders>
            <w:vAlign w:val="center"/>
          </w:tcPr>
          <w:p w14:paraId="010E3139">
            <w:pPr>
              <w:wordWrap w:val="0"/>
              <w:spacing w:line="360" w:lineRule="auto"/>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□不适用</w:t>
            </w:r>
          </w:p>
          <w:p w14:paraId="1CE62184">
            <w:pPr>
              <w:wordWrap w:val="0"/>
              <w:spacing w:line="360" w:lineRule="auto"/>
              <w:jc w:val="both"/>
              <w:rPr>
                <w:rFonts w:hint="eastAsia"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适用。供应商应提供拟委任的主要人员汇总表和主要人员简历表（格式见第六章“响应文件格式”七、资格审查资料（四）拟委任的主要人员汇总表和（五）主要人员简历表）。供应商应填报满足第一章“采购公告”规定的项目负责人和其他主要人员的相关信息，并按如下要求提供相关证明文件：</w:t>
            </w:r>
            <w:r>
              <w:rPr>
                <w:rFonts w:hint="eastAsia" w:ascii="宋体" w:hAnsi="宋体" w:cs="宋体"/>
                <w:color w:val="000000" w:themeColor="text1"/>
                <w:szCs w:val="21"/>
                <w:highlight w:val="none"/>
                <w:u w:val="single"/>
                <w14:textFill>
                  <w14:solidFill>
                    <w14:schemeClr w14:val="tx1"/>
                  </w14:solidFill>
                </w14:textFill>
              </w:rPr>
              <w:t>个人身份证、毕业证、职称证、执业（或职业）资格证、从业单位证明（最近 3 个月在社保系统打印本单位人员的缴费明细或其他能够证明其参加社保的有效证明材料）、业绩等有效证明文件复印件。业绩有效证明文件包括但不限于：与项目委托人签订的合同协议书或中标通知书或咨询成果文件关键页等（如证明材料不能体现上述要求的业绩时，除附以上证明材料的复印件外，还必须另附委托人出具的业绩证明来补充说明）。</w:t>
            </w:r>
          </w:p>
        </w:tc>
      </w:tr>
      <w:tr w14:paraId="2F7BF318">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6B2D7FF2">
            <w:pPr>
              <w:spacing w:line="360" w:lineRule="auto"/>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3.5（7）</w:t>
            </w:r>
          </w:p>
        </w:tc>
        <w:tc>
          <w:tcPr>
            <w:tcW w:w="3090" w:type="dxa"/>
            <w:tcBorders>
              <w:top w:val="single" w:color="auto" w:sz="4" w:space="0"/>
              <w:left w:val="single" w:color="auto" w:sz="4" w:space="0"/>
              <w:bottom w:val="single" w:color="auto" w:sz="4" w:space="0"/>
              <w:right w:val="single" w:color="auto" w:sz="4" w:space="0"/>
            </w:tcBorders>
            <w:vAlign w:val="center"/>
          </w:tcPr>
          <w:p w14:paraId="33CB9892">
            <w:pPr>
              <w:spacing w:line="360" w:lineRule="auto"/>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其他要求的证明材料</w:t>
            </w:r>
          </w:p>
        </w:tc>
        <w:tc>
          <w:tcPr>
            <w:tcW w:w="5349" w:type="dxa"/>
            <w:tcBorders>
              <w:top w:val="single" w:color="auto" w:sz="4" w:space="0"/>
              <w:left w:val="single" w:color="auto" w:sz="4" w:space="0"/>
              <w:bottom w:val="single" w:color="auto" w:sz="4" w:space="0"/>
              <w:right w:val="single" w:color="auto" w:sz="4" w:space="0"/>
            </w:tcBorders>
            <w:vAlign w:val="center"/>
          </w:tcPr>
          <w:p w14:paraId="55E69894">
            <w:pPr>
              <w:wordWrap w:val="0"/>
              <w:spacing w:line="360" w:lineRule="auto"/>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p>
        </w:tc>
      </w:tr>
      <w:tr w14:paraId="74F4A438">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0C996F21">
            <w:pPr>
              <w:spacing w:line="360" w:lineRule="auto"/>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3.5（8）</w:t>
            </w:r>
          </w:p>
        </w:tc>
        <w:tc>
          <w:tcPr>
            <w:tcW w:w="3090" w:type="dxa"/>
            <w:tcBorders>
              <w:top w:val="single" w:color="auto" w:sz="4" w:space="0"/>
              <w:left w:val="single" w:color="auto" w:sz="4" w:space="0"/>
              <w:bottom w:val="single" w:color="auto" w:sz="4" w:space="0"/>
              <w:right w:val="single" w:color="auto" w:sz="4" w:space="0"/>
            </w:tcBorders>
            <w:vAlign w:val="center"/>
          </w:tcPr>
          <w:p w14:paraId="3A052654">
            <w:pPr>
              <w:spacing w:line="360" w:lineRule="auto"/>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供应商不存在第一章3.1款情形的证明材料</w:t>
            </w:r>
          </w:p>
        </w:tc>
        <w:tc>
          <w:tcPr>
            <w:tcW w:w="5349" w:type="dxa"/>
            <w:tcBorders>
              <w:top w:val="single" w:color="auto" w:sz="4" w:space="0"/>
              <w:left w:val="single" w:color="auto" w:sz="4" w:space="0"/>
              <w:bottom w:val="single" w:color="auto" w:sz="4" w:space="0"/>
              <w:right w:val="single" w:color="auto" w:sz="4" w:space="0"/>
            </w:tcBorders>
            <w:vAlign w:val="center"/>
          </w:tcPr>
          <w:p w14:paraId="13E4C0D1">
            <w:pPr>
              <w:wordWrap w:val="0"/>
              <w:spacing w:line="360" w:lineRule="auto"/>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不需要提供证明材料</w:t>
            </w:r>
          </w:p>
          <w:p w14:paraId="5737B831">
            <w:pPr>
              <w:wordWrap w:val="0"/>
              <w:spacing w:line="360" w:lineRule="auto"/>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需要提供证明材料，包括：提供未在国家企业信用信息公示系统（http://www.gsxt.gov.cn）中被列入严重违法失信企业名单的或</w:t>
            </w:r>
            <w:r>
              <w:rPr>
                <w:rFonts w:hint="eastAsia" w:ascii="宋体" w:hAnsi="宋体" w:cs="宋体"/>
                <w:color w:val="000000" w:themeColor="text1"/>
                <w:szCs w:val="21"/>
                <w:highlight w:val="none"/>
                <w:lang w:val="en-US" w:eastAsia="zh-CN"/>
                <w14:textFill>
                  <w14:solidFill>
                    <w14:schemeClr w14:val="tx1"/>
                  </w14:solidFill>
                </w14:textFill>
              </w:rPr>
              <w:t>未</w:t>
            </w:r>
            <w:r>
              <w:rPr>
                <w:rFonts w:hint="eastAsia" w:ascii="宋体" w:hAnsi="宋体" w:cs="宋体"/>
                <w:color w:val="000000" w:themeColor="text1"/>
                <w:szCs w:val="21"/>
                <w:highlight w:val="none"/>
                <w14:textFill>
                  <w14:solidFill>
                    <w14:schemeClr w14:val="tx1"/>
                  </w14:solidFill>
                </w14:textFill>
              </w:rPr>
              <w:t>在“信用中国网站”（http://www.creditchina.gov.cn）被列入失信被执行人名单的截图证明材料。</w:t>
            </w:r>
          </w:p>
        </w:tc>
      </w:tr>
      <w:tr w14:paraId="372E0BA5">
        <w:tblPrEx>
          <w:tblCellMar>
            <w:top w:w="0" w:type="dxa"/>
            <w:left w:w="108" w:type="dxa"/>
            <w:bottom w:w="0" w:type="dxa"/>
            <w:right w:w="108" w:type="dxa"/>
          </w:tblCellMar>
        </w:tblPrEx>
        <w:trPr>
          <w:trHeight w:val="1602" w:hRule="atLeast"/>
        </w:trPr>
        <w:tc>
          <w:tcPr>
            <w:tcW w:w="1415" w:type="dxa"/>
            <w:tcBorders>
              <w:top w:val="single" w:color="auto" w:sz="4" w:space="0"/>
              <w:left w:val="single" w:color="auto" w:sz="4" w:space="0"/>
              <w:bottom w:val="single" w:color="auto" w:sz="4" w:space="0"/>
              <w:right w:val="single" w:color="auto" w:sz="4" w:space="0"/>
            </w:tcBorders>
            <w:vAlign w:val="center"/>
          </w:tcPr>
          <w:p w14:paraId="6DDB4F52">
            <w:pPr>
              <w:spacing w:line="360" w:lineRule="auto"/>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3.5（9）</w:t>
            </w:r>
          </w:p>
        </w:tc>
        <w:tc>
          <w:tcPr>
            <w:tcW w:w="3090" w:type="dxa"/>
            <w:tcBorders>
              <w:top w:val="single" w:color="auto" w:sz="4" w:space="0"/>
              <w:left w:val="single" w:color="auto" w:sz="4" w:space="0"/>
              <w:bottom w:val="single" w:color="auto" w:sz="4" w:space="0"/>
              <w:right w:val="single" w:color="auto" w:sz="4" w:space="0"/>
            </w:tcBorders>
            <w:vAlign w:val="center"/>
          </w:tcPr>
          <w:p w14:paraId="7BF1BCCA">
            <w:pPr>
              <w:spacing w:line="360" w:lineRule="auto"/>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联合体要求的证明材料</w:t>
            </w:r>
          </w:p>
        </w:tc>
        <w:tc>
          <w:tcPr>
            <w:tcW w:w="5349" w:type="dxa"/>
            <w:tcBorders>
              <w:top w:val="single" w:color="auto" w:sz="4" w:space="0"/>
              <w:left w:val="single" w:color="auto" w:sz="4" w:space="0"/>
              <w:bottom w:val="single" w:color="auto" w:sz="4" w:space="0"/>
              <w:right w:val="single" w:color="auto" w:sz="4" w:space="0"/>
            </w:tcBorders>
            <w:vAlign w:val="center"/>
          </w:tcPr>
          <w:p w14:paraId="525735E2">
            <w:pPr>
              <w:wordWrap w:val="0"/>
              <w:spacing w:line="360" w:lineRule="auto"/>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不适用</w:t>
            </w:r>
          </w:p>
          <w:p w14:paraId="14D971AE">
            <w:pPr>
              <w:wordWrap w:val="0"/>
              <w:spacing w:line="360" w:lineRule="auto"/>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□适用。供应商应按照采购文件提供的格式（格式见第六章“响应文件格式”三、联合体协议书）拟订联合体协议书，并提供联合体协议书的彩色扫描件。联合体协议书应明确联合体各方的分工</w:t>
            </w:r>
          </w:p>
        </w:tc>
      </w:tr>
      <w:tr w14:paraId="57171D00">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62FDD594">
            <w:pPr>
              <w:spacing w:line="360" w:lineRule="auto"/>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3.6.1</w:t>
            </w:r>
          </w:p>
        </w:tc>
        <w:tc>
          <w:tcPr>
            <w:tcW w:w="3090" w:type="dxa"/>
            <w:tcBorders>
              <w:top w:val="single" w:color="auto" w:sz="4" w:space="0"/>
              <w:left w:val="single" w:color="auto" w:sz="4" w:space="0"/>
              <w:bottom w:val="single" w:color="auto" w:sz="4" w:space="0"/>
              <w:right w:val="single" w:color="auto" w:sz="4" w:space="0"/>
            </w:tcBorders>
            <w:vAlign w:val="center"/>
          </w:tcPr>
          <w:p w14:paraId="68BB4B82">
            <w:pPr>
              <w:spacing w:line="360" w:lineRule="auto"/>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对关键条款进行响应的证据或证明材料要求</w:t>
            </w:r>
          </w:p>
        </w:tc>
        <w:tc>
          <w:tcPr>
            <w:tcW w:w="5349" w:type="dxa"/>
            <w:tcBorders>
              <w:top w:val="single" w:color="auto" w:sz="4" w:space="0"/>
              <w:left w:val="single" w:color="auto" w:sz="4" w:space="0"/>
              <w:bottom w:val="single" w:color="auto" w:sz="4" w:space="0"/>
              <w:right w:val="single" w:color="auto" w:sz="4" w:space="0"/>
            </w:tcBorders>
            <w:vAlign w:val="center"/>
          </w:tcPr>
          <w:p w14:paraId="0C9F8482">
            <w:pPr>
              <w:wordWrap w:val="0"/>
              <w:spacing w:line="360" w:lineRule="auto"/>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满足资格审查条件要求的证据或证明材料，格式参照第六章“响应文件格式”或自拟。</w:t>
            </w:r>
          </w:p>
        </w:tc>
      </w:tr>
      <w:tr w14:paraId="6848E06A">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0869C135">
            <w:pPr>
              <w:spacing w:line="360" w:lineRule="auto"/>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3.6.2</w:t>
            </w:r>
          </w:p>
        </w:tc>
        <w:tc>
          <w:tcPr>
            <w:tcW w:w="3090" w:type="dxa"/>
            <w:tcBorders>
              <w:top w:val="single" w:color="auto" w:sz="4" w:space="0"/>
              <w:left w:val="single" w:color="auto" w:sz="4" w:space="0"/>
              <w:bottom w:val="single" w:color="auto" w:sz="4" w:space="0"/>
              <w:right w:val="single" w:color="auto" w:sz="4" w:space="0"/>
            </w:tcBorders>
            <w:vAlign w:val="center"/>
          </w:tcPr>
          <w:p w14:paraId="7C73B8B7">
            <w:pPr>
              <w:spacing w:line="360" w:lineRule="auto"/>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响应方案数量</w:t>
            </w:r>
          </w:p>
        </w:tc>
        <w:tc>
          <w:tcPr>
            <w:tcW w:w="5349" w:type="dxa"/>
            <w:tcBorders>
              <w:top w:val="single" w:color="auto" w:sz="4" w:space="0"/>
              <w:left w:val="single" w:color="auto" w:sz="4" w:space="0"/>
              <w:bottom w:val="single" w:color="auto" w:sz="4" w:space="0"/>
              <w:right w:val="single" w:color="auto" w:sz="4" w:space="0"/>
            </w:tcBorders>
            <w:vAlign w:val="center"/>
          </w:tcPr>
          <w:p w14:paraId="0493CD0E">
            <w:pPr>
              <w:wordWrap w:val="0"/>
              <w:spacing w:line="360" w:lineRule="auto"/>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供应商只能提出唯一响应方案</w:t>
            </w:r>
          </w:p>
          <w:p w14:paraId="12FCC61A">
            <w:pPr>
              <w:wordWrap w:val="0"/>
              <w:spacing w:line="360" w:lineRule="auto"/>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□供应商可提出多个响应方案</w:t>
            </w:r>
          </w:p>
        </w:tc>
      </w:tr>
      <w:tr w14:paraId="65AE3633">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4FE916A5">
            <w:pPr>
              <w:spacing w:line="360" w:lineRule="auto"/>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3.7.5</w:t>
            </w:r>
          </w:p>
        </w:tc>
        <w:tc>
          <w:tcPr>
            <w:tcW w:w="3090" w:type="dxa"/>
            <w:tcBorders>
              <w:top w:val="single" w:color="auto" w:sz="4" w:space="0"/>
              <w:left w:val="single" w:color="auto" w:sz="4" w:space="0"/>
              <w:bottom w:val="single" w:color="auto" w:sz="4" w:space="0"/>
              <w:right w:val="single" w:color="auto" w:sz="4" w:space="0"/>
            </w:tcBorders>
            <w:vAlign w:val="center"/>
          </w:tcPr>
          <w:p w14:paraId="3197B5FB">
            <w:pPr>
              <w:spacing w:line="360" w:lineRule="auto"/>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响应文件及电子版要求</w:t>
            </w:r>
          </w:p>
        </w:tc>
        <w:tc>
          <w:tcPr>
            <w:tcW w:w="5349" w:type="dxa"/>
            <w:tcBorders>
              <w:top w:val="single" w:color="auto" w:sz="4" w:space="0"/>
              <w:left w:val="single" w:color="auto" w:sz="4" w:space="0"/>
              <w:bottom w:val="single" w:color="auto" w:sz="4" w:space="0"/>
              <w:right w:val="single" w:color="auto" w:sz="4" w:space="0"/>
            </w:tcBorders>
            <w:vAlign w:val="center"/>
          </w:tcPr>
          <w:p w14:paraId="706FA3C4">
            <w:pPr>
              <w:wordWrap w:val="0"/>
              <w:spacing w:line="360" w:lineRule="auto"/>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是否要求提供电子版响应文件：</w:t>
            </w:r>
          </w:p>
          <w:p w14:paraId="05FE7C61">
            <w:pPr>
              <w:wordWrap w:val="0"/>
              <w:spacing w:line="360" w:lineRule="auto"/>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□不要求</w:t>
            </w:r>
          </w:p>
          <w:p w14:paraId="42D5FA5D">
            <w:pPr>
              <w:wordWrap w:val="0"/>
              <w:spacing w:line="360" w:lineRule="auto"/>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要求，提供电子版响应文件的形式：供应商应当在采购人要求的报价截止时间前，按采购文件要求制作好响应文件，签字盖章完成后扫描成pdf格式文件，用 WinRAR 文件压缩软件进行压缩并设置密码（该密码在视频开标会议上向采购人提供），压缩文件名注明项目名称、投标人名称。上传压缩文件至招标人指定邮箱</w:t>
            </w:r>
            <w:r>
              <w:rPr>
                <w:rFonts w:hint="eastAsia" w:ascii="宋体" w:hAnsi="宋体" w:cs="宋体"/>
                <w:color w:val="000000" w:themeColor="text1"/>
                <w:szCs w:val="21"/>
                <w:highlight w:val="none"/>
                <w:lang w:val="en-US" w:eastAsia="zh-CN"/>
                <w14:textFill>
                  <w14:solidFill>
                    <w14:schemeClr w14:val="tx1"/>
                  </w14:solidFill>
                </w14:textFill>
              </w:rPr>
              <w:t>545826559</w:t>
            </w:r>
            <w:r>
              <w:rPr>
                <w:rFonts w:hint="eastAsia" w:ascii="宋体" w:hAnsi="宋体" w:cs="宋体"/>
                <w:color w:val="000000" w:themeColor="text1"/>
                <w:szCs w:val="21"/>
                <w:highlight w:val="none"/>
                <w14:textFill>
                  <w14:solidFill>
                    <w14:schemeClr w14:val="tx1"/>
                  </w14:solidFill>
                </w14:textFill>
              </w:rPr>
              <w:t>@qq.com，时间以收到邮件时间为准，邮件中留联系人及手机号码。在截止时间后上传或未按要求发送至指定邮箱的响应文件，采购人将拒绝接收。</w:t>
            </w:r>
          </w:p>
        </w:tc>
      </w:tr>
      <w:tr w14:paraId="14386A9C">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49EF27CC">
            <w:pPr>
              <w:spacing w:line="360" w:lineRule="auto"/>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3.7.6</w:t>
            </w:r>
          </w:p>
        </w:tc>
        <w:tc>
          <w:tcPr>
            <w:tcW w:w="3090" w:type="dxa"/>
            <w:tcBorders>
              <w:top w:val="single" w:color="auto" w:sz="4" w:space="0"/>
              <w:left w:val="single" w:color="auto" w:sz="4" w:space="0"/>
              <w:bottom w:val="single" w:color="auto" w:sz="4" w:space="0"/>
              <w:right w:val="single" w:color="auto" w:sz="4" w:space="0"/>
            </w:tcBorders>
            <w:vAlign w:val="center"/>
          </w:tcPr>
          <w:p w14:paraId="33E5C788">
            <w:pPr>
              <w:spacing w:line="360" w:lineRule="auto"/>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分册上传要求</w:t>
            </w:r>
          </w:p>
        </w:tc>
        <w:tc>
          <w:tcPr>
            <w:tcW w:w="5349" w:type="dxa"/>
            <w:tcBorders>
              <w:top w:val="single" w:color="auto" w:sz="4" w:space="0"/>
              <w:left w:val="single" w:color="auto" w:sz="4" w:space="0"/>
              <w:bottom w:val="single" w:color="auto" w:sz="4" w:space="0"/>
              <w:right w:val="single" w:color="auto" w:sz="4" w:space="0"/>
            </w:tcBorders>
            <w:vAlign w:val="center"/>
          </w:tcPr>
          <w:p w14:paraId="5B083DA5">
            <w:pPr>
              <w:wordWrap w:val="0"/>
              <w:spacing w:line="360" w:lineRule="auto"/>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p>
        </w:tc>
      </w:tr>
      <w:tr w14:paraId="1A1BC0CE">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64AE729B">
            <w:pPr>
              <w:spacing w:line="360" w:lineRule="auto"/>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4.1.1</w:t>
            </w:r>
          </w:p>
        </w:tc>
        <w:tc>
          <w:tcPr>
            <w:tcW w:w="3090" w:type="dxa"/>
            <w:tcBorders>
              <w:top w:val="single" w:color="auto" w:sz="4" w:space="0"/>
              <w:left w:val="single" w:color="auto" w:sz="4" w:space="0"/>
              <w:bottom w:val="single" w:color="auto" w:sz="4" w:space="0"/>
              <w:right w:val="single" w:color="auto" w:sz="4" w:space="0"/>
            </w:tcBorders>
            <w:vAlign w:val="center"/>
          </w:tcPr>
          <w:p w14:paraId="6868957D">
            <w:pPr>
              <w:spacing w:line="360" w:lineRule="auto"/>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响应文件密封</w:t>
            </w:r>
          </w:p>
        </w:tc>
        <w:tc>
          <w:tcPr>
            <w:tcW w:w="5349" w:type="dxa"/>
            <w:tcBorders>
              <w:top w:val="single" w:color="auto" w:sz="4" w:space="0"/>
              <w:left w:val="single" w:color="auto" w:sz="4" w:space="0"/>
              <w:bottom w:val="single" w:color="auto" w:sz="4" w:space="0"/>
              <w:right w:val="single" w:color="auto" w:sz="4" w:space="0"/>
            </w:tcBorders>
            <w:vAlign w:val="center"/>
          </w:tcPr>
          <w:p w14:paraId="4429E51B">
            <w:pPr>
              <w:wordWrap w:val="0"/>
              <w:spacing w:line="360" w:lineRule="auto"/>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不需要密封</w:t>
            </w:r>
          </w:p>
          <w:p w14:paraId="7ABADE2B">
            <w:pPr>
              <w:wordWrap w:val="0"/>
              <w:spacing w:line="360" w:lineRule="auto"/>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□需要密封，密封要求：</w:t>
            </w:r>
            <w:r>
              <w:rPr>
                <w:rFonts w:hint="eastAsia" w:ascii="宋体" w:hAnsi="宋体" w:cs="宋体"/>
                <w:color w:val="000000" w:themeColor="text1"/>
                <w:szCs w:val="21"/>
                <w:highlight w:val="none"/>
                <w:u w:val="single"/>
                <w14:textFill>
                  <w14:solidFill>
                    <w14:schemeClr w14:val="tx1"/>
                  </w14:solidFill>
                </w14:textFill>
              </w:rPr>
              <w:t xml:space="preserve">                    </w:t>
            </w:r>
          </w:p>
        </w:tc>
      </w:tr>
      <w:tr w14:paraId="169A6659">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644FC018">
            <w:pPr>
              <w:spacing w:line="360" w:lineRule="auto"/>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4.1.2</w:t>
            </w:r>
          </w:p>
        </w:tc>
        <w:tc>
          <w:tcPr>
            <w:tcW w:w="3090" w:type="dxa"/>
            <w:tcBorders>
              <w:top w:val="single" w:color="auto" w:sz="4" w:space="0"/>
              <w:left w:val="single" w:color="auto" w:sz="4" w:space="0"/>
              <w:bottom w:val="single" w:color="auto" w:sz="4" w:space="0"/>
              <w:right w:val="single" w:color="auto" w:sz="4" w:space="0"/>
            </w:tcBorders>
            <w:vAlign w:val="center"/>
          </w:tcPr>
          <w:p w14:paraId="7D3FF57A">
            <w:pPr>
              <w:spacing w:line="360" w:lineRule="auto"/>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封套上应载明的信息</w:t>
            </w:r>
          </w:p>
        </w:tc>
        <w:tc>
          <w:tcPr>
            <w:tcW w:w="5349" w:type="dxa"/>
            <w:tcBorders>
              <w:top w:val="single" w:color="auto" w:sz="4" w:space="0"/>
              <w:left w:val="single" w:color="auto" w:sz="4" w:space="0"/>
              <w:bottom w:val="single" w:color="auto" w:sz="4" w:space="0"/>
              <w:right w:val="single" w:color="auto" w:sz="4" w:space="0"/>
            </w:tcBorders>
            <w:vAlign w:val="center"/>
          </w:tcPr>
          <w:p w14:paraId="12BB6206">
            <w:pPr>
              <w:wordWrap w:val="0"/>
              <w:spacing w:line="360" w:lineRule="auto"/>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不适用</w:t>
            </w:r>
          </w:p>
          <w:p w14:paraId="0E4E3060">
            <w:pPr>
              <w:wordWrap w:val="0"/>
              <w:spacing w:line="360" w:lineRule="auto"/>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□适用，供应商名称：</w:t>
            </w:r>
            <w:r>
              <w:rPr>
                <w:rFonts w:hint="eastAsia" w:ascii="宋体" w:hAnsi="宋体" w:cs="宋体"/>
                <w:color w:val="000000" w:themeColor="text1"/>
                <w:szCs w:val="21"/>
                <w:highlight w:val="none"/>
                <w:u w:val="single"/>
                <w14:textFill>
                  <w14:solidFill>
                    <w14:schemeClr w14:val="tx1"/>
                  </w14:solidFill>
                </w14:textFill>
              </w:rPr>
              <w:t xml:space="preserve">                                        （项目名称）响应文件</w:t>
            </w:r>
          </w:p>
        </w:tc>
      </w:tr>
      <w:tr w14:paraId="2FA82FE8">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4103E586">
            <w:pPr>
              <w:spacing w:line="360" w:lineRule="auto"/>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4.2.1</w:t>
            </w:r>
          </w:p>
        </w:tc>
        <w:tc>
          <w:tcPr>
            <w:tcW w:w="3090" w:type="dxa"/>
            <w:tcBorders>
              <w:top w:val="single" w:color="auto" w:sz="4" w:space="0"/>
              <w:left w:val="single" w:color="auto" w:sz="4" w:space="0"/>
              <w:bottom w:val="single" w:color="auto" w:sz="4" w:space="0"/>
              <w:right w:val="single" w:color="auto" w:sz="4" w:space="0"/>
            </w:tcBorders>
            <w:vAlign w:val="center"/>
          </w:tcPr>
          <w:p w14:paraId="3816183C">
            <w:pPr>
              <w:spacing w:line="360" w:lineRule="auto"/>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递交响应文件截止时间和地点</w:t>
            </w:r>
          </w:p>
        </w:tc>
        <w:tc>
          <w:tcPr>
            <w:tcW w:w="5349" w:type="dxa"/>
            <w:tcBorders>
              <w:top w:val="single" w:color="auto" w:sz="4" w:space="0"/>
              <w:left w:val="single" w:color="auto" w:sz="4" w:space="0"/>
              <w:bottom w:val="single" w:color="auto" w:sz="4" w:space="0"/>
              <w:right w:val="single" w:color="auto" w:sz="4" w:space="0"/>
            </w:tcBorders>
            <w:vAlign w:val="center"/>
          </w:tcPr>
          <w:p w14:paraId="14FD1874">
            <w:pPr>
              <w:wordWrap w:val="0"/>
              <w:spacing w:line="360" w:lineRule="auto"/>
              <w:jc w:val="both"/>
              <w:rPr>
                <w:rFonts w:hint="eastAsia"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截止时间：</w:t>
            </w:r>
            <w:r>
              <w:rPr>
                <w:rFonts w:hint="eastAsia" w:ascii="宋体" w:hAnsi="宋体" w:cs="宋体"/>
                <w:color w:val="000000" w:themeColor="text1"/>
                <w:szCs w:val="21"/>
                <w:highlight w:val="none"/>
                <w:u w:val="single"/>
                <w14:textFill>
                  <w14:solidFill>
                    <w14:schemeClr w14:val="tx1"/>
                  </w14:solidFill>
                </w14:textFill>
              </w:rPr>
              <w:t xml:space="preserve">见采购公告 </w:t>
            </w:r>
          </w:p>
          <w:p w14:paraId="1D885B0F">
            <w:pPr>
              <w:wordWrap w:val="0"/>
              <w:spacing w:line="360" w:lineRule="auto"/>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递交响应文件的地点：</w:t>
            </w:r>
            <w:r>
              <w:rPr>
                <w:rFonts w:hint="eastAsia" w:ascii="宋体" w:hAnsi="宋体" w:cs="宋体"/>
                <w:color w:val="000000" w:themeColor="text1"/>
                <w:szCs w:val="21"/>
                <w:highlight w:val="none"/>
                <w:u w:val="single"/>
                <w14:textFill>
                  <w14:solidFill>
                    <w14:schemeClr w14:val="tx1"/>
                  </w14:solidFill>
                </w14:textFill>
              </w:rPr>
              <w:t>见采购公告</w:t>
            </w:r>
            <w:r>
              <w:rPr>
                <w:rFonts w:hint="eastAsia" w:ascii="宋体" w:hAnsi="宋体" w:cs="宋体"/>
                <w:color w:val="000000" w:themeColor="text1"/>
                <w:szCs w:val="21"/>
                <w:highlight w:val="none"/>
                <w14:textFill>
                  <w14:solidFill>
                    <w14:schemeClr w14:val="tx1"/>
                  </w14:solidFill>
                </w14:textFill>
              </w:rPr>
              <w:t xml:space="preserve">   </w:t>
            </w:r>
          </w:p>
        </w:tc>
      </w:tr>
      <w:tr w14:paraId="51F42B09">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01A54DD8">
            <w:pPr>
              <w:spacing w:line="360" w:lineRule="auto"/>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4.2.2</w:t>
            </w:r>
          </w:p>
        </w:tc>
        <w:tc>
          <w:tcPr>
            <w:tcW w:w="3090" w:type="dxa"/>
            <w:tcBorders>
              <w:top w:val="single" w:color="auto" w:sz="4" w:space="0"/>
              <w:left w:val="single" w:color="auto" w:sz="4" w:space="0"/>
              <w:bottom w:val="single" w:color="auto" w:sz="4" w:space="0"/>
              <w:right w:val="single" w:color="auto" w:sz="4" w:space="0"/>
            </w:tcBorders>
            <w:vAlign w:val="center"/>
          </w:tcPr>
          <w:p w14:paraId="20258777">
            <w:pPr>
              <w:spacing w:line="360" w:lineRule="auto"/>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是否退还响应文件</w:t>
            </w:r>
          </w:p>
        </w:tc>
        <w:tc>
          <w:tcPr>
            <w:tcW w:w="5349" w:type="dxa"/>
            <w:tcBorders>
              <w:top w:val="single" w:color="auto" w:sz="4" w:space="0"/>
              <w:left w:val="single" w:color="auto" w:sz="4" w:space="0"/>
              <w:bottom w:val="single" w:color="auto" w:sz="4" w:space="0"/>
              <w:right w:val="single" w:color="auto" w:sz="4" w:space="0"/>
            </w:tcBorders>
            <w:vAlign w:val="center"/>
          </w:tcPr>
          <w:p w14:paraId="0AA054D8">
            <w:pPr>
              <w:wordWrap w:val="0"/>
              <w:spacing w:line="360" w:lineRule="auto"/>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否</w:t>
            </w:r>
          </w:p>
          <w:p w14:paraId="0AA24862">
            <w:pPr>
              <w:wordWrap w:val="0"/>
              <w:spacing w:line="360" w:lineRule="auto"/>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□是，退还时间：</w:t>
            </w:r>
            <w:r>
              <w:rPr>
                <w:rFonts w:hint="eastAsia" w:ascii="宋体" w:hAnsi="宋体" w:cs="宋体"/>
                <w:color w:val="000000" w:themeColor="text1"/>
                <w:szCs w:val="21"/>
                <w:highlight w:val="none"/>
                <w:u w:val="single"/>
                <w14:textFill>
                  <w14:solidFill>
                    <w14:schemeClr w14:val="tx1"/>
                  </w14:solidFill>
                </w14:textFill>
              </w:rPr>
              <w:t xml:space="preserve">                   </w:t>
            </w:r>
          </w:p>
        </w:tc>
      </w:tr>
      <w:tr w14:paraId="294C2BDC">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7B72C2B1">
            <w:pPr>
              <w:spacing w:line="360" w:lineRule="auto"/>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4.3.3</w:t>
            </w:r>
          </w:p>
        </w:tc>
        <w:tc>
          <w:tcPr>
            <w:tcW w:w="3090" w:type="dxa"/>
            <w:tcBorders>
              <w:top w:val="single" w:color="auto" w:sz="4" w:space="0"/>
              <w:left w:val="single" w:color="auto" w:sz="4" w:space="0"/>
              <w:bottom w:val="single" w:color="auto" w:sz="4" w:space="0"/>
              <w:right w:val="single" w:color="auto" w:sz="4" w:space="0"/>
            </w:tcBorders>
            <w:vAlign w:val="center"/>
          </w:tcPr>
          <w:p w14:paraId="40C3E0F1">
            <w:pPr>
              <w:spacing w:line="360" w:lineRule="auto"/>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供应商撤回响应文件情况下退还响应保证金的时间</w:t>
            </w:r>
          </w:p>
        </w:tc>
        <w:tc>
          <w:tcPr>
            <w:tcW w:w="5349" w:type="dxa"/>
            <w:tcBorders>
              <w:top w:val="single" w:color="auto" w:sz="4" w:space="0"/>
              <w:left w:val="single" w:color="auto" w:sz="4" w:space="0"/>
              <w:bottom w:val="single" w:color="auto" w:sz="4" w:space="0"/>
              <w:right w:val="single" w:color="auto" w:sz="4" w:space="0"/>
            </w:tcBorders>
            <w:vAlign w:val="center"/>
          </w:tcPr>
          <w:p w14:paraId="1B2D6B5F">
            <w:pPr>
              <w:wordWrap w:val="0"/>
              <w:spacing w:line="360" w:lineRule="auto"/>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自采购人收到供应商递交的书面通知之日起</w:t>
            </w:r>
            <w:r>
              <w:rPr>
                <w:rFonts w:hint="eastAsia" w:ascii="宋体" w:hAnsi="宋体" w:cs="宋体"/>
                <w:color w:val="000000" w:themeColor="text1"/>
                <w:szCs w:val="21"/>
                <w:highlight w:val="none"/>
                <w:u w:val="single"/>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日内</w:t>
            </w:r>
          </w:p>
        </w:tc>
      </w:tr>
      <w:tr w14:paraId="240B49B1">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32A15D01">
            <w:pPr>
              <w:spacing w:line="360" w:lineRule="auto"/>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w:t>
            </w:r>
          </w:p>
        </w:tc>
        <w:tc>
          <w:tcPr>
            <w:tcW w:w="3090" w:type="dxa"/>
            <w:tcBorders>
              <w:top w:val="single" w:color="auto" w:sz="4" w:space="0"/>
              <w:left w:val="single" w:color="auto" w:sz="4" w:space="0"/>
              <w:bottom w:val="single" w:color="auto" w:sz="4" w:space="0"/>
              <w:right w:val="single" w:color="auto" w:sz="4" w:space="0"/>
            </w:tcBorders>
            <w:vAlign w:val="center"/>
          </w:tcPr>
          <w:p w14:paraId="609DF13C">
            <w:pPr>
              <w:spacing w:line="360" w:lineRule="auto"/>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是否公开开启响应文件</w:t>
            </w:r>
          </w:p>
        </w:tc>
        <w:tc>
          <w:tcPr>
            <w:tcW w:w="5349" w:type="dxa"/>
            <w:tcBorders>
              <w:top w:val="single" w:color="auto" w:sz="4" w:space="0"/>
              <w:left w:val="single" w:color="auto" w:sz="4" w:space="0"/>
              <w:bottom w:val="single" w:color="auto" w:sz="4" w:space="0"/>
              <w:right w:val="single" w:color="auto" w:sz="4" w:space="0"/>
            </w:tcBorders>
            <w:vAlign w:val="center"/>
          </w:tcPr>
          <w:p w14:paraId="6C68610A">
            <w:pPr>
              <w:wordWrap w:val="0"/>
              <w:spacing w:line="360" w:lineRule="auto"/>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□否</w:t>
            </w:r>
          </w:p>
          <w:p w14:paraId="25A04577">
            <w:pPr>
              <w:wordWrap w:val="0"/>
              <w:spacing w:line="360" w:lineRule="auto"/>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是</w:t>
            </w:r>
          </w:p>
        </w:tc>
      </w:tr>
      <w:tr w14:paraId="1F8507B6">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38A47348">
            <w:pPr>
              <w:spacing w:line="360" w:lineRule="auto"/>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5.1</w:t>
            </w:r>
          </w:p>
        </w:tc>
        <w:tc>
          <w:tcPr>
            <w:tcW w:w="3090" w:type="dxa"/>
            <w:tcBorders>
              <w:top w:val="single" w:color="auto" w:sz="4" w:space="0"/>
              <w:left w:val="single" w:color="auto" w:sz="4" w:space="0"/>
              <w:bottom w:val="single" w:color="auto" w:sz="4" w:space="0"/>
              <w:right w:val="single" w:color="auto" w:sz="4" w:space="0"/>
            </w:tcBorders>
            <w:vAlign w:val="center"/>
          </w:tcPr>
          <w:p w14:paraId="4A92E10E">
            <w:pPr>
              <w:spacing w:line="360" w:lineRule="auto"/>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开启地点</w:t>
            </w:r>
          </w:p>
        </w:tc>
        <w:tc>
          <w:tcPr>
            <w:tcW w:w="5349" w:type="dxa"/>
            <w:tcBorders>
              <w:top w:val="single" w:color="auto" w:sz="4" w:space="0"/>
              <w:left w:val="single" w:color="auto" w:sz="4" w:space="0"/>
              <w:bottom w:val="single" w:color="auto" w:sz="4" w:space="0"/>
              <w:right w:val="single" w:color="auto" w:sz="4" w:space="0"/>
            </w:tcBorders>
            <w:vAlign w:val="center"/>
          </w:tcPr>
          <w:p w14:paraId="5598DA2F">
            <w:pPr>
              <w:wordWrap w:val="0"/>
              <w:spacing w:line="360" w:lineRule="auto"/>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见采购公告</w:t>
            </w:r>
          </w:p>
        </w:tc>
      </w:tr>
      <w:tr w14:paraId="2F5D52BF">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7B2D1F8A">
            <w:pPr>
              <w:spacing w:line="360" w:lineRule="auto"/>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5.2（4）</w:t>
            </w:r>
          </w:p>
        </w:tc>
        <w:tc>
          <w:tcPr>
            <w:tcW w:w="3090" w:type="dxa"/>
            <w:tcBorders>
              <w:top w:val="single" w:color="auto" w:sz="4" w:space="0"/>
              <w:left w:val="single" w:color="auto" w:sz="4" w:space="0"/>
              <w:bottom w:val="single" w:color="auto" w:sz="4" w:space="0"/>
              <w:right w:val="single" w:color="auto" w:sz="4" w:space="0"/>
            </w:tcBorders>
            <w:vAlign w:val="center"/>
          </w:tcPr>
          <w:p w14:paraId="389F5944">
            <w:pPr>
              <w:spacing w:line="360" w:lineRule="auto"/>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开启程序</w:t>
            </w:r>
          </w:p>
        </w:tc>
        <w:tc>
          <w:tcPr>
            <w:tcW w:w="5349" w:type="dxa"/>
            <w:tcBorders>
              <w:top w:val="single" w:color="auto" w:sz="4" w:space="0"/>
              <w:left w:val="single" w:color="auto" w:sz="4" w:space="0"/>
              <w:bottom w:val="single" w:color="auto" w:sz="4" w:space="0"/>
              <w:right w:val="single" w:color="auto" w:sz="4" w:space="0"/>
            </w:tcBorders>
            <w:vAlign w:val="center"/>
          </w:tcPr>
          <w:p w14:paraId="1D9AA0AC">
            <w:pPr>
              <w:wordWrap w:val="0"/>
              <w:spacing w:line="360" w:lineRule="auto"/>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开启顺序：</w:t>
            </w:r>
            <w:r>
              <w:rPr>
                <w:rFonts w:hint="eastAsia" w:ascii="宋体" w:hAnsi="宋体" w:cs="宋体"/>
                <w:color w:val="000000" w:themeColor="text1"/>
                <w:szCs w:val="21"/>
                <w:highlight w:val="none"/>
                <w:u w:val="single"/>
                <w14:textFill>
                  <w14:solidFill>
                    <w14:schemeClr w14:val="tx1"/>
                  </w14:solidFill>
                </w14:textFill>
              </w:rPr>
              <w:t>随机</w:t>
            </w:r>
          </w:p>
          <w:p w14:paraId="68D5AF97">
            <w:pPr>
              <w:wordWrap w:val="0"/>
              <w:spacing w:line="360" w:lineRule="auto"/>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其他应公布的信息：/</w:t>
            </w:r>
          </w:p>
        </w:tc>
      </w:tr>
      <w:tr w14:paraId="184C064E">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08BBDF06">
            <w:pPr>
              <w:spacing w:line="360" w:lineRule="auto"/>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6.3.1</w:t>
            </w:r>
          </w:p>
        </w:tc>
        <w:tc>
          <w:tcPr>
            <w:tcW w:w="3090" w:type="dxa"/>
            <w:tcBorders>
              <w:top w:val="single" w:color="auto" w:sz="4" w:space="0"/>
              <w:left w:val="single" w:color="auto" w:sz="4" w:space="0"/>
              <w:bottom w:val="single" w:color="auto" w:sz="4" w:space="0"/>
              <w:right w:val="single" w:color="auto" w:sz="4" w:space="0"/>
            </w:tcBorders>
            <w:vAlign w:val="center"/>
          </w:tcPr>
          <w:p w14:paraId="3A80CB48">
            <w:pPr>
              <w:spacing w:line="360" w:lineRule="auto"/>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谈判轮次及谈判顺序</w:t>
            </w:r>
          </w:p>
        </w:tc>
        <w:tc>
          <w:tcPr>
            <w:tcW w:w="5349" w:type="dxa"/>
            <w:tcBorders>
              <w:top w:val="single" w:color="auto" w:sz="4" w:space="0"/>
              <w:left w:val="single" w:color="auto" w:sz="4" w:space="0"/>
              <w:bottom w:val="single" w:color="auto" w:sz="4" w:space="0"/>
              <w:right w:val="single" w:color="auto" w:sz="4" w:space="0"/>
            </w:tcBorders>
            <w:vAlign w:val="center"/>
          </w:tcPr>
          <w:p w14:paraId="0D2D964D">
            <w:pPr>
              <w:wordWrap w:val="0"/>
              <w:spacing w:line="360" w:lineRule="auto"/>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谈判轮次：不适用</w:t>
            </w:r>
          </w:p>
          <w:p w14:paraId="1B1CCE69">
            <w:pPr>
              <w:wordWrap w:val="0"/>
              <w:spacing w:line="360" w:lineRule="auto"/>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□本项目共进行</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轮谈判</w:t>
            </w:r>
          </w:p>
          <w:p w14:paraId="48D0FAF2">
            <w:pPr>
              <w:wordWrap w:val="0"/>
              <w:spacing w:line="360" w:lineRule="auto"/>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（注：一般不超过3轮）</w:t>
            </w:r>
          </w:p>
          <w:p w14:paraId="0C8CE15C">
            <w:pPr>
              <w:wordWrap w:val="0"/>
              <w:spacing w:line="360" w:lineRule="auto"/>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□谈判小组在首轮谈判前告知被邀请参加谈判的供应商谈判轮次</w:t>
            </w:r>
          </w:p>
          <w:p w14:paraId="500E9EEA">
            <w:pPr>
              <w:wordWrap w:val="0"/>
              <w:spacing w:line="360" w:lineRule="auto"/>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□本项目不事先确定谈判轮次，谈判小组根据谈判情况确定，并在最后一轮谈判前告知供应商</w:t>
            </w:r>
          </w:p>
          <w:p w14:paraId="56FCB5AC">
            <w:pPr>
              <w:wordWrap w:val="0"/>
              <w:spacing w:line="360" w:lineRule="auto"/>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谈判顺序：</w:t>
            </w:r>
            <w:r>
              <w:rPr>
                <w:rFonts w:hint="eastAsia" w:ascii="宋体" w:hAnsi="宋体" w:cs="宋体"/>
                <w:color w:val="000000" w:themeColor="text1"/>
                <w:szCs w:val="21"/>
                <w:highlight w:val="none"/>
                <w:u w:val="single"/>
                <w14:textFill>
                  <w14:solidFill>
                    <w14:schemeClr w14:val="tx1"/>
                  </w14:solidFill>
                </w14:textFill>
              </w:rPr>
              <w:t xml:space="preserve">                  </w:t>
            </w:r>
          </w:p>
        </w:tc>
      </w:tr>
      <w:tr w14:paraId="02907FF5">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7A7EFFFE">
            <w:pPr>
              <w:spacing w:line="360" w:lineRule="auto"/>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6.3.2</w:t>
            </w:r>
          </w:p>
        </w:tc>
        <w:tc>
          <w:tcPr>
            <w:tcW w:w="3090" w:type="dxa"/>
            <w:tcBorders>
              <w:top w:val="single" w:color="auto" w:sz="4" w:space="0"/>
              <w:left w:val="single" w:color="auto" w:sz="4" w:space="0"/>
              <w:bottom w:val="single" w:color="auto" w:sz="4" w:space="0"/>
              <w:right w:val="single" w:color="auto" w:sz="4" w:space="0"/>
            </w:tcBorders>
            <w:vAlign w:val="center"/>
          </w:tcPr>
          <w:p w14:paraId="178B4C43">
            <w:pPr>
              <w:spacing w:line="360" w:lineRule="auto"/>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选择谈判供应商</w:t>
            </w:r>
          </w:p>
        </w:tc>
        <w:tc>
          <w:tcPr>
            <w:tcW w:w="5349" w:type="dxa"/>
            <w:tcBorders>
              <w:top w:val="single" w:color="auto" w:sz="4" w:space="0"/>
              <w:left w:val="single" w:color="auto" w:sz="4" w:space="0"/>
              <w:bottom w:val="single" w:color="auto" w:sz="4" w:space="0"/>
              <w:right w:val="single" w:color="auto" w:sz="4" w:space="0"/>
            </w:tcBorders>
            <w:vAlign w:val="center"/>
          </w:tcPr>
          <w:p w14:paraId="1FD6E26A">
            <w:pPr>
              <w:wordWrap w:val="0"/>
              <w:spacing w:line="360" w:lineRule="auto"/>
              <w:jc w:val="both"/>
              <w:rPr>
                <w:rFonts w:hint="eastAsia"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预定参加谈判的供应商数量：</w:t>
            </w:r>
            <w:r>
              <w:rPr>
                <w:rFonts w:hint="eastAsia" w:ascii="宋体" w:hAnsi="宋体" w:cs="宋体"/>
                <w:color w:val="000000" w:themeColor="text1"/>
                <w:szCs w:val="21"/>
                <w:highlight w:val="none"/>
                <w:u w:val="single"/>
                <w14:textFill>
                  <w14:solidFill>
                    <w14:schemeClr w14:val="tx1"/>
                  </w14:solidFill>
                </w14:textFill>
              </w:rPr>
              <w:t>不适用</w:t>
            </w:r>
          </w:p>
          <w:p w14:paraId="7A4587B9">
            <w:pPr>
              <w:wordWrap w:val="0"/>
              <w:spacing w:line="360" w:lineRule="auto"/>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选择方法：                  </w:t>
            </w:r>
          </w:p>
          <w:p w14:paraId="3AD47F4E">
            <w:pPr>
              <w:wordWrap w:val="0"/>
              <w:spacing w:line="360" w:lineRule="auto"/>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退还未被选择的供应商的响应保证金的时间：</w:t>
            </w:r>
          </w:p>
        </w:tc>
      </w:tr>
      <w:tr w14:paraId="5590055E">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19BC4B2B">
            <w:pPr>
              <w:spacing w:line="360" w:lineRule="auto"/>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6.3.4</w:t>
            </w:r>
          </w:p>
        </w:tc>
        <w:tc>
          <w:tcPr>
            <w:tcW w:w="3090" w:type="dxa"/>
            <w:tcBorders>
              <w:top w:val="single" w:color="auto" w:sz="4" w:space="0"/>
              <w:left w:val="single" w:color="auto" w:sz="4" w:space="0"/>
              <w:bottom w:val="single" w:color="auto" w:sz="4" w:space="0"/>
              <w:right w:val="single" w:color="auto" w:sz="4" w:space="0"/>
            </w:tcBorders>
            <w:vAlign w:val="center"/>
          </w:tcPr>
          <w:p w14:paraId="44B9284B">
            <w:pPr>
              <w:spacing w:line="360" w:lineRule="auto"/>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是否允许未准时参加某一轮次谈判的供应商参加后续谈判采购活动</w:t>
            </w:r>
          </w:p>
        </w:tc>
        <w:tc>
          <w:tcPr>
            <w:tcW w:w="5349" w:type="dxa"/>
            <w:tcBorders>
              <w:top w:val="single" w:color="auto" w:sz="4" w:space="0"/>
              <w:left w:val="single" w:color="auto" w:sz="4" w:space="0"/>
              <w:bottom w:val="single" w:color="auto" w:sz="4" w:space="0"/>
              <w:right w:val="single" w:color="auto" w:sz="4" w:space="0"/>
            </w:tcBorders>
            <w:vAlign w:val="center"/>
          </w:tcPr>
          <w:p w14:paraId="1DAFA2F3">
            <w:pPr>
              <w:wordWrap w:val="0"/>
              <w:spacing w:line="360" w:lineRule="auto"/>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□允许</w:t>
            </w:r>
          </w:p>
          <w:p w14:paraId="755EBDEE">
            <w:pPr>
              <w:wordWrap w:val="0"/>
              <w:spacing w:line="360" w:lineRule="auto"/>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不允许</w:t>
            </w:r>
          </w:p>
        </w:tc>
      </w:tr>
      <w:tr w14:paraId="4CB6B005">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3E1A02F1">
            <w:pPr>
              <w:spacing w:line="360" w:lineRule="auto"/>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6.6</w:t>
            </w:r>
          </w:p>
        </w:tc>
        <w:tc>
          <w:tcPr>
            <w:tcW w:w="3090" w:type="dxa"/>
            <w:tcBorders>
              <w:top w:val="single" w:color="auto" w:sz="4" w:space="0"/>
              <w:left w:val="single" w:color="auto" w:sz="4" w:space="0"/>
              <w:bottom w:val="single" w:color="auto" w:sz="4" w:space="0"/>
              <w:right w:val="single" w:color="auto" w:sz="4" w:space="0"/>
            </w:tcBorders>
            <w:vAlign w:val="center"/>
          </w:tcPr>
          <w:p w14:paraId="00A03879">
            <w:pPr>
              <w:spacing w:line="360" w:lineRule="auto"/>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是否公开开启最终报价</w:t>
            </w:r>
          </w:p>
        </w:tc>
        <w:tc>
          <w:tcPr>
            <w:tcW w:w="5349" w:type="dxa"/>
            <w:tcBorders>
              <w:top w:val="single" w:color="auto" w:sz="4" w:space="0"/>
              <w:left w:val="single" w:color="auto" w:sz="4" w:space="0"/>
              <w:bottom w:val="single" w:color="auto" w:sz="4" w:space="0"/>
              <w:right w:val="single" w:color="auto" w:sz="4" w:space="0"/>
            </w:tcBorders>
            <w:vAlign w:val="center"/>
          </w:tcPr>
          <w:p w14:paraId="71BB9076">
            <w:pPr>
              <w:wordWrap w:val="0"/>
              <w:spacing w:line="360" w:lineRule="auto"/>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□否</w:t>
            </w:r>
          </w:p>
          <w:p w14:paraId="0D932DA4">
            <w:pPr>
              <w:wordWrap w:val="0"/>
              <w:spacing w:line="360" w:lineRule="auto"/>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是</w:t>
            </w:r>
          </w:p>
        </w:tc>
      </w:tr>
      <w:tr w14:paraId="7E82E6CC">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315A55FC">
            <w:pPr>
              <w:spacing w:line="360" w:lineRule="auto"/>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6.7.2</w:t>
            </w:r>
          </w:p>
        </w:tc>
        <w:tc>
          <w:tcPr>
            <w:tcW w:w="3090" w:type="dxa"/>
            <w:tcBorders>
              <w:top w:val="single" w:color="auto" w:sz="4" w:space="0"/>
              <w:left w:val="single" w:color="auto" w:sz="4" w:space="0"/>
              <w:bottom w:val="single" w:color="auto" w:sz="4" w:space="0"/>
              <w:right w:val="single" w:color="auto" w:sz="4" w:space="0"/>
            </w:tcBorders>
            <w:vAlign w:val="center"/>
          </w:tcPr>
          <w:p w14:paraId="667A03D7">
            <w:pPr>
              <w:spacing w:line="360" w:lineRule="auto"/>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推荐候选成交供应商的排序及数量</w:t>
            </w:r>
          </w:p>
        </w:tc>
        <w:tc>
          <w:tcPr>
            <w:tcW w:w="5349" w:type="dxa"/>
            <w:tcBorders>
              <w:top w:val="single" w:color="auto" w:sz="4" w:space="0"/>
              <w:left w:val="single" w:color="auto" w:sz="4" w:space="0"/>
              <w:bottom w:val="single" w:color="auto" w:sz="4" w:space="0"/>
              <w:right w:val="single" w:color="auto" w:sz="4" w:space="0"/>
            </w:tcBorders>
            <w:vAlign w:val="center"/>
          </w:tcPr>
          <w:p w14:paraId="3ED137B9">
            <w:pPr>
              <w:wordWrap w:val="0"/>
              <w:spacing w:line="360" w:lineRule="auto"/>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是否排序：</w:t>
            </w:r>
          </w:p>
          <w:p w14:paraId="6C434CD0">
            <w:pPr>
              <w:wordWrap w:val="0"/>
              <w:spacing w:line="360" w:lineRule="auto"/>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排序</w:t>
            </w:r>
          </w:p>
          <w:p w14:paraId="07E9FDD3">
            <w:pPr>
              <w:wordWrap w:val="0"/>
              <w:spacing w:line="360" w:lineRule="auto"/>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□不排序</w:t>
            </w:r>
          </w:p>
          <w:p w14:paraId="54175509">
            <w:pPr>
              <w:wordWrap w:val="0"/>
              <w:spacing w:line="360" w:lineRule="auto"/>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数量：</w:t>
            </w:r>
            <w:r>
              <w:rPr>
                <w:rFonts w:hint="eastAsia" w:ascii="宋体" w:hAnsi="宋体" w:cs="宋体"/>
                <w:color w:val="000000" w:themeColor="text1"/>
                <w:szCs w:val="21"/>
                <w:highlight w:val="none"/>
                <w:u w:val="single"/>
                <w14:textFill>
                  <w14:solidFill>
                    <w14:schemeClr w14:val="tx1"/>
                  </w14:solidFill>
                </w14:textFill>
              </w:rPr>
              <w:t xml:space="preserve">1-3名   </w:t>
            </w:r>
          </w:p>
        </w:tc>
      </w:tr>
      <w:tr w14:paraId="78E6925C">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0B7BA2EF">
            <w:pPr>
              <w:spacing w:line="360" w:lineRule="auto"/>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7.4</w:t>
            </w:r>
          </w:p>
        </w:tc>
        <w:tc>
          <w:tcPr>
            <w:tcW w:w="3090" w:type="dxa"/>
            <w:tcBorders>
              <w:top w:val="single" w:color="auto" w:sz="4" w:space="0"/>
              <w:left w:val="single" w:color="auto" w:sz="4" w:space="0"/>
              <w:bottom w:val="single" w:color="auto" w:sz="4" w:space="0"/>
              <w:right w:val="single" w:color="auto" w:sz="4" w:space="0"/>
            </w:tcBorders>
            <w:vAlign w:val="center"/>
          </w:tcPr>
          <w:p w14:paraId="75245B18">
            <w:pPr>
              <w:spacing w:line="360" w:lineRule="auto"/>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预成交结果公示</w:t>
            </w:r>
          </w:p>
        </w:tc>
        <w:tc>
          <w:tcPr>
            <w:tcW w:w="5349" w:type="dxa"/>
            <w:tcBorders>
              <w:top w:val="single" w:color="auto" w:sz="4" w:space="0"/>
              <w:left w:val="single" w:color="auto" w:sz="4" w:space="0"/>
              <w:bottom w:val="single" w:color="auto" w:sz="4" w:space="0"/>
              <w:right w:val="single" w:color="auto" w:sz="4" w:space="0"/>
            </w:tcBorders>
            <w:vAlign w:val="center"/>
          </w:tcPr>
          <w:p w14:paraId="71BA9C83">
            <w:pPr>
              <w:wordWrap w:val="0"/>
              <w:spacing w:line="360" w:lineRule="auto"/>
              <w:jc w:val="both"/>
              <w:rPr>
                <w:rFonts w:hint="eastAsia"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公示媒介：</w:t>
            </w:r>
            <w:r>
              <w:rPr>
                <w:rFonts w:hint="eastAsia" w:ascii="宋体" w:hAnsi="宋体" w:cs="宋体"/>
                <w:color w:val="000000" w:themeColor="text1"/>
                <w:szCs w:val="21"/>
                <w:highlight w:val="none"/>
                <w:u w:val="single"/>
                <w14:textFill>
                  <w14:solidFill>
                    <w14:schemeClr w14:val="tx1"/>
                  </w14:solidFill>
                </w14:textFill>
              </w:rPr>
              <w:t xml:space="preserve">同采购公告发布媒介 </w:t>
            </w:r>
          </w:p>
          <w:p w14:paraId="3E1CA876">
            <w:pPr>
              <w:wordWrap w:val="0"/>
              <w:spacing w:line="360" w:lineRule="auto"/>
              <w:jc w:val="both"/>
              <w:rPr>
                <w:rFonts w:hint="eastAsia"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公示期限：</w:t>
            </w:r>
            <w:r>
              <w:rPr>
                <w:rFonts w:hint="eastAsia" w:ascii="宋体" w:hAnsi="宋体" w:cs="宋体"/>
                <w:color w:val="000000" w:themeColor="text1"/>
                <w:szCs w:val="21"/>
                <w:highlight w:val="none"/>
                <w:u w:val="single"/>
                <w14:textFill>
                  <w14:solidFill>
                    <w14:schemeClr w14:val="tx1"/>
                  </w14:solidFill>
                </w14:textFill>
              </w:rPr>
              <w:t>3日</w:t>
            </w:r>
          </w:p>
          <w:p w14:paraId="31B3C96B">
            <w:pPr>
              <w:wordWrap w:val="0"/>
              <w:spacing w:line="360" w:lineRule="auto"/>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u w:val="single"/>
                <w14:textFill>
                  <w14:solidFill>
                    <w14:schemeClr w14:val="tx1"/>
                  </w14:solidFill>
                </w14:textFill>
              </w:rPr>
              <w:t>其他应公示的内容</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u w:val="single"/>
                <w14:textFill>
                  <w14:solidFill>
                    <w14:schemeClr w14:val="tx1"/>
                  </w14:solidFill>
                </w14:textFill>
              </w:rPr>
              <w:t xml:space="preserve">/ </w:t>
            </w:r>
          </w:p>
        </w:tc>
      </w:tr>
      <w:tr w14:paraId="2186D40F">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56BF2111">
            <w:pPr>
              <w:spacing w:line="360" w:lineRule="auto"/>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7.6</w:t>
            </w:r>
          </w:p>
        </w:tc>
        <w:tc>
          <w:tcPr>
            <w:tcW w:w="3090" w:type="dxa"/>
            <w:tcBorders>
              <w:top w:val="single" w:color="auto" w:sz="4" w:space="0"/>
              <w:left w:val="single" w:color="auto" w:sz="4" w:space="0"/>
              <w:bottom w:val="single" w:color="auto" w:sz="4" w:space="0"/>
              <w:right w:val="single" w:color="auto" w:sz="4" w:space="0"/>
            </w:tcBorders>
            <w:vAlign w:val="center"/>
          </w:tcPr>
          <w:p w14:paraId="53811667">
            <w:pPr>
              <w:spacing w:line="360" w:lineRule="auto"/>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发布成交公告</w:t>
            </w:r>
          </w:p>
        </w:tc>
        <w:tc>
          <w:tcPr>
            <w:tcW w:w="5349" w:type="dxa"/>
            <w:tcBorders>
              <w:top w:val="single" w:color="auto" w:sz="4" w:space="0"/>
              <w:left w:val="single" w:color="auto" w:sz="4" w:space="0"/>
              <w:bottom w:val="single" w:color="auto" w:sz="4" w:space="0"/>
              <w:right w:val="single" w:color="auto" w:sz="4" w:space="0"/>
            </w:tcBorders>
            <w:vAlign w:val="center"/>
          </w:tcPr>
          <w:p w14:paraId="0857FC6D">
            <w:pPr>
              <w:wordWrap w:val="0"/>
              <w:spacing w:line="360" w:lineRule="auto"/>
              <w:jc w:val="both"/>
              <w:rPr>
                <w:rFonts w:hint="eastAsia"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公告媒介：</w:t>
            </w:r>
            <w:r>
              <w:rPr>
                <w:rFonts w:hint="eastAsia" w:ascii="宋体" w:hAnsi="宋体" w:cs="宋体"/>
                <w:color w:val="000000" w:themeColor="text1"/>
                <w:szCs w:val="21"/>
                <w:highlight w:val="none"/>
                <w:u w:val="single"/>
                <w14:textFill>
                  <w14:solidFill>
                    <w14:schemeClr w14:val="tx1"/>
                  </w14:solidFill>
                </w14:textFill>
              </w:rPr>
              <w:t xml:space="preserve">同采购公告发布媒介 </w:t>
            </w:r>
          </w:p>
          <w:p w14:paraId="49F6AE71">
            <w:pPr>
              <w:wordWrap w:val="0"/>
              <w:spacing w:line="360" w:lineRule="auto"/>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其他应公告的内容：</w:t>
            </w:r>
            <w:r>
              <w:rPr>
                <w:rFonts w:hint="eastAsia" w:ascii="宋体" w:hAnsi="宋体" w:cs="宋体"/>
                <w:color w:val="000000" w:themeColor="text1"/>
                <w:szCs w:val="21"/>
                <w:highlight w:val="none"/>
                <w:u w:val="single"/>
                <w14:textFill>
                  <w14:solidFill>
                    <w14:schemeClr w14:val="tx1"/>
                  </w14:solidFill>
                </w14:textFill>
              </w:rPr>
              <w:t xml:space="preserve">/ </w:t>
            </w:r>
          </w:p>
        </w:tc>
      </w:tr>
      <w:tr w14:paraId="34D82710">
        <w:tblPrEx>
          <w:tblCellMar>
            <w:top w:w="0" w:type="dxa"/>
            <w:left w:w="108" w:type="dxa"/>
            <w:bottom w:w="0" w:type="dxa"/>
            <w:right w:w="108" w:type="dxa"/>
          </w:tblCellMar>
        </w:tblPrEx>
        <w:trPr>
          <w:trHeight w:val="1881" w:hRule="atLeast"/>
        </w:trPr>
        <w:tc>
          <w:tcPr>
            <w:tcW w:w="1415" w:type="dxa"/>
            <w:tcBorders>
              <w:top w:val="single" w:color="auto" w:sz="4" w:space="0"/>
              <w:left w:val="single" w:color="auto" w:sz="4" w:space="0"/>
              <w:bottom w:val="single" w:color="auto" w:sz="4" w:space="0"/>
              <w:right w:val="single" w:color="auto" w:sz="4" w:space="0"/>
            </w:tcBorders>
            <w:vAlign w:val="center"/>
          </w:tcPr>
          <w:p w14:paraId="2C24D2DC">
            <w:pPr>
              <w:spacing w:line="360" w:lineRule="auto"/>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7.7</w:t>
            </w:r>
          </w:p>
        </w:tc>
        <w:tc>
          <w:tcPr>
            <w:tcW w:w="3090" w:type="dxa"/>
            <w:tcBorders>
              <w:top w:val="single" w:color="auto" w:sz="4" w:space="0"/>
              <w:left w:val="single" w:color="auto" w:sz="4" w:space="0"/>
              <w:bottom w:val="single" w:color="auto" w:sz="4" w:space="0"/>
              <w:right w:val="single" w:color="auto" w:sz="4" w:space="0"/>
            </w:tcBorders>
            <w:vAlign w:val="center"/>
          </w:tcPr>
          <w:p w14:paraId="6F8E8287">
            <w:pPr>
              <w:spacing w:line="360" w:lineRule="auto"/>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履约保证金</w:t>
            </w:r>
          </w:p>
        </w:tc>
        <w:tc>
          <w:tcPr>
            <w:tcW w:w="5349" w:type="dxa"/>
            <w:tcBorders>
              <w:top w:val="single" w:color="auto" w:sz="4" w:space="0"/>
              <w:left w:val="single" w:color="auto" w:sz="4" w:space="0"/>
              <w:bottom w:val="single" w:color="auto" w:sz="4" w:space="0"/>
              <w:right w:val="single" w:color="auto" w:sz="4" w:space="0"/>
            </w:tcBorders>
            <w:vAlign w:val="center"/>
          </w:tcPr>
          <w:p w14:paraId="3EFDF510">
            <w:pPr>
              <w:wordWrap w:val="0"/>
              <w:spacing w:line="360" w:lineRule="auto"/>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不要求提交</w:t>
            </w:r>
          </w:p>
          <w:p w14:paraId="48D0DF82">
            <w:pPr>
              <w:wordWrap w:val="0"/>
              <w:spacing w:line="360" w:lineRule="auto"/>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☑要求递交</w:t>
            </w:r>
          </w:p>
          <w:p w14:paraId="4019E4FA">
            <w:pPr>
              <w:wordWrap w:val="0"/>
              <w:spacing w:line="360" w:lineRule="auto"/>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履约保证金的形式：银行保函或现金、支票</w:t>
            </w:r>
          </w:p>
          <w:p w14:paraId="5FEDCFE8">
            <w:pPr>
              <w:wordWrap w:val="0"/>
              <w:spacing w:line="360" w:lineRule="auto"/>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履约保证金的金额：10％签约合同价</w:t>
            </w:r>
          </w:p>
          <w:p w14:paraId="41B95CC0">
            <w:pPr>
              <w:wordWrap w:val="0"/>
              <w:spacing w:line="360" w:lineRule="auto"/>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采用银行保函时，出具保函的银行级别：国有或股份制商业银行</w:t>
            </w:r>
          </w:p>
        </w:tc>
      </w:tr>
      <w:tr w14:paraId="254499E7">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6823EFB4">
            <w:pPr>
              <w:spacing w:line="360" w:lineRule="auto"/>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7.8.4</w:t>
            </w:r>
          </w:p>
        </w:tc>
        <w:tc>
          <w:tcPr>
            <w:tcW w:w="3090" w:type="dxa"/>
            <w:tcBorders>
              <w:top w:val="single" w:color="auto" w:sz="4" w:space="0"/>
              <w:left w:val="single" w:color="auto" w:sz="4" w:space="0"/>
              <w:bottom w:val="single" w:color="auto" w:sz="4" w:space="0"/>
              <w:right w:val="single" w:color="auto" w:sz="4" w:space="0"/>
            </w:tcBorders>
            <w:vAlign w:val="center"/>
          </w:tcPr>
          <w:p w14:paraId="58FD512C">
            <w:pPr>
              <w:spacing w:line="360" w:lineRule="auto"/>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签约合同价</w:t>
            </w:r>
          </w:p>
        </w:tc>
        <w:tc>
          <w:tcPr>
            <w:tcW w:w="5349" w:type="dxa"/>
            <w:tcBorders>
              <w:top w:val="single" w:color="auto" w:sz="4" w:space="0"/>
              <w:left w:val="single" w:color="auto" w:sz="4" w:space="0"/>
              <w:bottom w:val="single" w:color="auto" w:sz="4" w:space="0"/>
              <w:right w:val="single" w:color="auto" w:sz="4" w:space="0"/>
            </w:tcBorders>
            <w:vAlign w:val="center"/>
          </w:tcPr>
          <w:p w14:paraId="4CC5C675">
            <w:pPr>
              <w:wordWrap w:val="0"/>
              <w:spacing w:line="360" w:lineRule="auto"/>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成交价格</w:t>
            </w:r>
          </w:p>
        </w:tc>
      </w:tr>
      <w:tr w14:paraId="136547E2">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2E8AF2B9">
            <w:pPr>
              <w:spacing w:line="360" w:lineRule="auto"/>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8.1</w:t>
            </w:r>
          </w:p>
        </w:tc>
        <w:tc>
          <w:tcPr>
            <w:tcW w:w="3090" w:type="dxa"/>
            <w:tcBorders>
              <w:top w:val="single" w:color="auto" w:sz="4" w:space="0"/>
              <w:left w:val="single" w:color="auto" w:sz="4" w:space="0"/>
              <w:bottom w:val="single" w:color="auto" w:sz="4" w:space="0"/>
              <w:right w:val="single" w:color="auto" w:sz="4" w:space="0"/>
            </w:tcBorders>
            <w:vAlign w:val="center"/>
          </w:tcPr>
          <w:p w14:paraId="5B7BDC83">
            <w:pPr>
              <w:spacing w:line="360" w:lineRule="auto"/>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异议渠道</w:t>
            </w:r>
          </w:p>
        </w:tc>
        <w:tc>
          <w:tcPr>
            <w:tcW w:w="5349" w:type="dxa"/>
            <w:tcBorders>
              <w:top w:val="single" w:color="auto" w:sz="4" w:space="0"/>
              <w:left w:val="single" w:color="auto" w:sz="4" w:space="0"/>
              <w:bottom w:val="single" w:color="auto" w:sz="4" w:space="0"/>
              <w:right w:val="single" w:color="auto" w:sz="4" w:space="0"/>
            </w:tcBorders>
            <w:vAlign w:val="center"/>
          </w:tcPr>
          <w:p w14:paraId="6E1CED54">
            <w:pPr>
              <w:wordWrap w:val="0"/>
              <w:spacing w:line="360" w:lineRule="auto"/>
              <w:jc w:val="both"/>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监督部门：湖南省新新张官高速公路建设开发有限公司</w:t>
            </w:r>
            <w:r>
              <w:rPr>
                <w:rFonts w:hint="eastAsia" w:ascii="宋体" w:hAnsi="宋体" w:cs="宋体"/>
                <w:color w:val="000000" w:themeColor="text1"/>
                <w:szCs w:val="21"/>
                <w:highlight w:val="none"/>
                <w:lang w:val="en-US" w:eastAsia="zh-CN"/>
                <w14:textFill>
                  <w14:solidFill>
                    <w14:schemeClr w14:val="tx1"/>
                  </w14:solidFill>
                </w14:textFill>
              </w:rPr>
              <w:t>张家界</w:t>
            </w:r>
            <w:r>
              <w:rPr>
                <w:rFonts w:hint="eastAsia" w:ascii="宋体" w:hAnsi="宋体" w:cs="宋体"/>
                <w:color w:val="000000" w:themeColor="text1"/>
                <w:szCs w:val="21"/>
                <w:highlight w:val="none"/>
                <w:lang w:eastAsia="zh-CN"/>
                <w14:textFill>
                  <w14:solidFill>
                    <w14:schemeClr w14:val="tx1"/>
                  </w14:solidFill>
                </w14:textFill>
              </w:rPr>
              <w:t xml:space="preserve">分公司 </w:t>
            </w:r>
          </w:p>
          <w:p w14:paraId="7432A5C9">
            <w:pPr>
              <w:pStyle w:val="33"/>
              <w:rPr>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联系人：</w:t>
            </w:r>
            <w:r>
              <w:rPr>
                <w:rFonts w:hint="eastAsia" w:ascii="宋体" w:hAnsi="宋体" w:cs="宋体"/>
                <w:color w:val="000000" w:themeColor="text1"/>
                <w:szCs w:val="21"/>
                <w:highlight w:val="none"/>
                <w:lang w:val="en-US" w:eastAsia="zh-CN"/>
                <w14:textFill>
                  <w14:solidFill>
                    <w14:schemeClr w14:val="tx1"/>
                  </w14:solidFill>
                </w14:textFill>
              </w:rPr>
              <w:t>盛女士</w:t>
            </w:r>
            <w:r>
              <w:rPr>
                <w:rFonts w:hint="eastAsia" w:ascii="宋体" w:hAnsi="宋体" w:cs="宋体"/>
                <w:color w:val="000000" w:themeColor="text1"/>
                <w:szCs w:val="21"/>
                <w:highlight w:val="none"/>
                <w14:textFill>
                  <w14:solidFill>
                    <w14:schemeClr w14:val="tx1"/>
                  </w14:solidFill>
                </w14:textFill>
              </w:rPr>
              <w:t xml:space="preserve"> </w:t>
            </w:r>
          </w:p>
          <w:p w14:paraId="152C59B4">
            <w:pPr>
              <w:wordWrap w:val="0"/>
              <w:spacing w:line="360" w:lineRule="auto"/>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联系电话：</w:t>
            </w:r>
            <w:r>
              <w:rPr>
                <w:rFonts w:hint="eastAsia" w:ascii="宋体" w:hAnsi="宋体" w:cs="宋体"/>
                <w:color w:val="000000" w:themeColor="text1"/>
                <w:szCs w:val="21"/>
                <w:highlight w:val="none"/>
                <w:lang w:val="en-US" w:eastAsia="zh-CN"/>
                <w14:textFill>
                  <w14:solidFill>
                    <w14:schemeClr w14:val="tx1"/>
                  </w14:solidFill>
                </w14:textFill>
              </w:rPr>
              <w:t>13507200342</w:t>
            </w:r>
          </w:p>
        </w:tc>
      </w:tr>
      <w:tr w14:paraId="72636241">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71490F8A">
            <w:pPr>
              <w:spacing w:line="360" w:lineRule="auto"/>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8.2</w:t>
            </w:r>
          </w:p>
        </w:tc>
        <w:tc>
          <w:tcPr>
            <w:tcW w:w="3090" w:type="dxa"/>
            <w:tcBorders>
              <w:top w:val="single" w:color="auto" w:sz="4" w:space="0"/>
              <w:left w:val="single" w:color="auto" w:sz="4" w:space="0"/>
              <w:bottom w:val="single" w:color="auto" w:sz="4" w:space="0"/>
              <w:right w:val="single" w:color="auto" w:sz="4" w:space="0"/>
            </w:tcBorders>
            <w:vAlign w:val="center"/>
          </w:tcPr>
          <w:p w14:paraId="020BBC8A">
            <w:pPr>
              <w:spacing w:line="360" w:lineRule="auto"/>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可以调解异议争议的行业组织或专业咨询机构</w:t>
            </w:r>
          </w:p>
        </w:tc>
        <w:tc>
          <w:tcPr>
            <w:tcW w:w="5349" w:type="dxa"/>
            <w:tcBorders>
              <w:top w:val="single" w:color="auto" w:sz="4" w:space="0"/>
              <w:left w:val="single" w:color="auto" w:sz="4" w:space="0"/>
              <w:bottom w:val="single" w:color="auto" w:sz="4" w:space="0"/>
              <w:right w:val="single" w:color="auto" w:sz="4" w:space="0"/>
            </w:tcBorders>
            <w:vAlign w:val="center"/>
          </w:tcPr>
          <w:p w14:paraId="19A4E1FD">
            <w:pPr>
              <w:wordWrap w:val="0"/>
              <w:spacing w:line="360" w:lineRule="auto"/>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p>
        </w:tc>
      </w:tr>
      <w:tr w14:paraId="254E7E48">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4AC38677">
            <w:pPr>
              <w:spacing w:line="360" w:lineRule="auto"/>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10.1</w:t>
            </w:r>
          </w:p>
        </w:tc>
        <w:tc>
          <w:tcPr>
            <w:tcW w:w="3090" w:type="dxa"/>
            <w:tcBorders>
              <w:top w:val="single" w:color="auto" w:sz="4" w:space="0"/>
              <w:left w:val="single" w:color="auto" w:sz="4" w:space="0"/>
              <w:bottom w:val="single" w:color="auto" w:sz="4" w:space="0"/>
              <w:right w:val="single" w:color="auto" w:sz="4" w:space="0"/>
            </w:tcBorders>
            <w:vAlign w:val="center"/>
          </w:tcPr>
          <w:p w14:paraId="53AABF7A">
            <w:pPr>
              <w:spacing w:line="360" w:lineRule="auto"/>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采购代理服务费</w:t>
            </w:r>
          </w:p>
        </w:tc>
        <w:tc>
          <w:tcPr>
            <w:tcW w:w="5349" w:type="dxa"/>
            <w:tcBorders>
              <w:top w:val="single" w:color="auto" w:sz="4" w:space="0"/>
              <w:left w:val="single" w:color="auto" w:sz="4" w:space="0"/>
              <w:bottom w:val="single" w:color="auto" w:sz="4" w:space="0"/>
              <w:right w:val="single" w:color="auto" w:sz="4" w:space="0"/>
            </w:tcBorders>
            <w:vAlign w:val="center"/>
          </w:tcPr>
          <w:p w14:paraId="13EF7CDD">
            <w:pPr>
              <w:wordWrap w:val="0"/>
              <w:spacing w:line="360" w:lineRule="auto"/>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□不要求承担</w:t>
            </w:r>
          </w:p>
          <w:p w14:paraId="4BAC0269">
            <w:pPr>
              <w:wordWrap w:val="0"/>
              <w:spacing w:line="360" w:lineRule="auto"/>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要求承担</w:t>
            </w:r>
          </w:p>
          <w:p w14:paraId="5C8D873A">
            <w:pPr>
              <w:wordWrap w:val="0"/>
              <w:spacing w:line="360" w:lineRule="auto"/>
              <w:jc w:val="both"/>
              <w:rPr>
                <w:rFonts w:hint="eastAsia"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费用标准或金额：</w:t>
            </w:r>
            <w:r>
              <w:rPr>
                <w:rFonts w:hint="eastAsia" w:ascii="宋体" w:hAnsi="宋体" w:cs="宋体"/>
                <w:color w:val="000000" w:themeColor="text1"/>
                <w:szCs w:val="21"/>
                <w:highlight w:val="none"/>
                <w:u w:val="single"/>
                <w14:textFill>
                  <w14:solidFill>
                    <w14:schemeClr w14:val="tx1"/>
                  </w14:solidFill>
                </w14:textFill>
              </w:rPr>
              <w:t>见采购公告</w:t>
            </w:r>
          </w:p>
          <w:p w14:paraId="370168F1">
            <w:pPr>
              <w:wordWrap w:val="0"/>
              <w:spacing w:line="360" w:lineRule="auto"/>
              <w:jc w:val="both"/>
              <w:rPr>
                <w:rFonts w:hint="eastAsia"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交费时间：</w:t>
            </w:r>
            <w:r>
              <w:rPr>
                <w:rFonts w:hint="eastAsia" w:ascii="宋体" w:hAnsi="宋体" w:cs="宋体"/>
                <w:color w:val="000000" w:themeColor="text1"/>
                <w:szCs w:val="21"/>
                <w:highlight w:val="none"/>
                <w:u w:val="single"/>
                <w14:textFill>
                  <w14:solidFill>
                    <w14:schemeClr w14:val="tx1"/>
                  </w14:solidFill>
                </w14:textFill>
              </w:rPr>
              <w:t>见采购公告</w:t>
            </w:r>
          </w:p>
          <w:p w14:paraId="3A4D6245">
            <w:pPr>
              <w:wordWrap w:val="0"/>
              <w:spacing w:line="360" w:lineRule="auto"/>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交费方式：</w:t>
            </w:r>
            <w:r>
              <w:rPr>
                <w:rFonts w:hint="eastAsia" w:ascii="宋体" w:hAnsi="宋体" w:cs="宋体"/>
                <w:color w:val="000000" w:themeColor="text1"/>
                <w:szCs w:val="21"/>
                <w:highlight w:val="none"/>
                <w:u w:val="single"/>
                <w14:textFill>
                  <w14:solidFill>
                    <w14:schemeClr w14:val="tx1"/>
                  </w14:solidFill>
                </w14:textFill>
              </w:rPr>
              <w:t>见采购公告</w:t>
            </w:r>
          </w:p>
        </w:tc>
      </w:tr>
      <w:tr w14:paraId="2D348322">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6CE3F45A">
            <w:pPr>
              <w:spacing w:line="360" w:lineRule="auto"/>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10.2</w:t>
            </w:r>
          </w:p>
        </w:tc>
        <w:tc>
          <w:tcPr>
            <w:tcW w:w="3090" w:type="dxa"/>
            <w:tcBorders>
              <w:top w:val="single" w:color="auto" w:sz="4" w:space="0"/>
              <w:left w:val="single" w:color="auto" w:sz="4" w:space="0"/>
              <w:bottom w:val="single" w:color="auto" w:sz="4" w:space="0"/>
              <w:right w:val="single" w:color="auto" w:sz="4" w:space="0"/>
            </w:tcBorders>
            <w:vAlign w:val="center"/>
          </w:tcPr>
          <w:p w14:paraId="7AC1E5EE">
            <w:pPr>
              <w:spacing w:line="360" w:lineRule="auto"/>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需要补充的其他内容</w:t>
            </w:r>
          </w:p>
        </w:tc>
        <w:tc>
          <w:tcPr>
            <w:tcW w:w="5349" w:type="dxa"/>
            <w:tcBorders>
              <w:top w:val="single" w:color="auto" w:sz="4" w:space="0"/>
              <w:left w:val="single" w:color="auto" w:sz="4" w:space="0"/>
              <w:bottom w:val="single" w:color="auto" w:sz="4" w:space="0"/>
              <w:right w:val="single" w:color="auto" w:sz="4" w:space="0"/>
            </w:tcBorders>
            <w:vAlign w:val="center"/>
          </w:tcPr>
          <w:p w14:paraId="7D68DCF7">
            <w:pPr>
              <w:wordWrap w:val="0"/>
              <w:spacing w:line="360" w:lineRule="auto"/>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p>
        </w:tc>
      </w:tr>
    </w:tbl>
    <w:p w14:paraId="45C273F1">
      <w:pPr>
        <w:pStyle w:val="66"/>
        <w:spacing w:line="300" w:lineRule="atLeast"/>
        <w:jc w:val="center"/>
        <w:rPr>
          <w:rFonts w:ascii="黑体" w:hAnsi="Times New Roman" w:eastAsia="黑体" w:cs="Times New Roman"/>
          <w:color w:val="000000" w:themeColor="text1"/>
          <w:sz w:val="28"/>
          <w:szCs w:val="28"/>
          <w:highlight w:val="none"/>
          <w14:textFill>
            <w14:solidFill>
              <w14:schemeClr w14:val="tx1"/>
            </w14:solidFill>
          </w14:textFill>
        </w:rPr>
      </w:pPr>
    </w:p>
    <w:p w14:paraId="0BA57A1A">
      <w:pPr>
        <w:pStyle w:val="66"/>
        <w:spacing w:line="300" w:lineRule="atLeast"/>
        <w:jc w:val="center"/>
        <w:rPr>
          <w:rFonts w:ascii="黑体" w:hAnsi="Times New Roman" w:eastAsia="黑体" w:cs="Times New Roman"/>
          <w:color w:val="000000" w:themeColor="text1"/>
          <w:sz w:val="28"/>
          <w:szCs w:val="28"/>
          <w:highlight w:val="none"/>
          <w14:textFill>
            <w14:solidFill>
              <w14:schemeClr w14:val="tx1"/>
            </w14:solidFill>
          </w14:textFill>
        </w:rPr>
      </w:pPr>
    </w:p>
    <w:p w14:paraId="6818D9CF">
      <w:pPr>
        <w:pStyle w:val="66"/>
        <w:spacing w:line="300" w:lineRule="atLeast"/>
        <w:jc w:val="center"/>
        <w:rPr>
          <w:rFonts w:ascii="黑体" w:hAnsi="Times New Roman" w:eastAsia="黑体" w:cs="Times New Roman"/>
          <w:color w:val="000000" w:themeColor="text1"/>
          <w:sz w:val="28"/>
          <w:szCs w:val="28"/>
          <w:highlight w:val="none"/>
          <w14:textFill>
            <w14:solidFill>
              <w14:schemeClr w14:val="tx1"/>
            </w14:solidFill>
          </w14:textFill>
        </w:rPr>
      </w:pPr>
    </w:p>
    <w:p w14:paraId="061631F9">
      <w:pPr>
        <w:rPr>
          <w:rFonts w:ascii="黑体" w:eastAsia="黑体"/>
          <w:color w:val="000000" w:themeColor="text1"/>
          <w:sz w:val="28"/>
          <w:szCs w:val="28"/>
          <w:highlight w:val="none"/>
          <w14:textFill>
            <w14:solidFill>
              <w14:schemeClr w14:val="tx1"/>
            </w14:solidFill>
          </w14:textFill>
        </w:rPr>
      </w:pPr>
      <w:r>
        <w:rPr>
          <w:rFonts w:hint="eastAsia" w:ascii="黑体" w:eastAsia="黑体"/>
          <w:color w:val="000000" w:themeColor="text1"/>
          <w:sz w:val="28"/>
          <w:szCs w:val="28"/>
          <w:highlight w:val="none"/>
          <w14:textFill>
            <w14:solidFill>
              <w14:schemeClr w14:val="tx1"/>
            </w14:solidFill>
          </w14:textFill>
        </w:rPr>
        <w:br w:type="page"/>
      </w:r>
    </w:p>
    <w:p w14:paraId="5C65FC4E">
      <w:pPr>
        <w:pStyle w:val="66"/>
        <w:spacing w:line="300" w:lineRule="atLeast"/>
        <w:jc w:val="center"/>
        <w:rPr>
          <w:rFonts w:ascii="黑体" w:hAnsi="Times New Roman" w:eastAsia="黑体" w:cs="Times New Roman"/>
          <w:color w:val="000000" w:themeColor="text1"/>
          <w:sz w:val="28"/>
          <w:szCs w:val="28"/>
          <w:highlight w:val="none"/>
          <w14:textFill>
            <w14:solidFill>
              <w14:schemeClr w14:val="tx1"/>
            </w14:solidFill>
          </w14:textFill>
        </w:rPr>
      </w:pPr>
      <w:r>
        <w:rPr>
          <w:rFonts w:hint="eastAsia" w:ascii="黑体" w:hAnsi="Times New Roman" w:eastAsia="黑体" w:cs="Times New Roman"/>
          <w:color w:val="000000" w:themeColor="text1"/>
          <w:sz w:val="28"/>
          <w:szCs w:val="28"/>
          <w:highlight w:val="none"/>
          <w14:textFill>
            <w14:solidFill>
              <w14:schemeClr w14:val="tx1"/>
            </w14:solidFill>
          </w14:textFill>
        </w:rPr>
        <w:t>附录1   资格审查条件（资质最低条件）</w:t>
      </w:r>
    </w:p>
    <w:p w14:paraId="142D5765">
      <w:pPr>
        <w:pStyle w:val="66"/>
        <w:spacing w:line="300" w:lineRule="atLeast"/>
        <w:ind w:left="0" w:firstLine="0"/>
        <w:jc w:val="both"/>
        <w:rPr>
          <w:rFonts w:ascii="黑体" w:hAnsi="Times New Roman" w:eastAsia="黑体" w:cs="Times New Roman"/>
          <w:color w:val="000000" w:themeColor="text1"/>
          <w:sz w:val="28"/>
          <w:szCs w:val="28"/>
          <w:highlight w:val="none"/>
          <w14:textFill>
            <w14:solidFill>
              <w14:schemeClr w14:val="tx1"/>
            </w14:solidFill>
          </w14:textFill>
        </w:rPr>
      </w:pPr>
    </w:p>
    <w:tbl>
      <w:tblPr>
        <w:tblStyle w:val="86"/>
        <w:tblW w:w="4998" w:type="pct"/>
        <w:jc w:val="center"/>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788"/>
        <w:gridCol w:w="8032"/>
      </w:tblGrid>
      <w:tr w14:paraId="36A7568A">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803" w:hRule="atLeast"/>
          <w:jc w:val="center"/>
        </w:trPr>
        <w:tc>
          <w:tcPr>
            <w:tcW w:w="910" w:type="pct"/>
            <w:tcBorders>
              <w:top w:val="single" w:color="000000" w:sz="4" w:space="0"/>
              <w:left w:val="single" w:color="000000" w:sz="4" w:space="0"/>
              <w:bottom w:val="single" w:color="000000" w:sz="4" w:space="0"/>
              <w:right w:val="single" w:color="000000" w:sz="4" w:space="0"/>
            </w:tcBorders>
            <w:vAlign w:val="center"/>
          </w:tcPr>
          <w:p w14:paraId="3753F77B">
            <w:pPr>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项目名称</w:t>
            </w:r>
          </w:p>
        </w:tc>
        <w:tc>
          <w:tcPr>
            <w:tcW w:w="4089" w:type="pct"/>
            <w:tcBorders>
              <w:top w:val="single" w:color="000000" w:sz="4" w:space="0"/>
              <w:left w:val="single" w:color="000000" w:sz="4" w:space="0"/>
              <w:bottom w:val="single" w:color="000000" w:sz="4" w:space="0"/>
              <w:right w:val="single" w:color="000000" w:sz="4" w:space="0"/>
            </w:tcBorders>
            <w:vAlign w:val="center"/>
          </w:tcPr>
          <w:p w14:paraId="617A417D">
            <w:pPr>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企业资质等级要求</w:t>
            </w:r>
          </w:p>
        </w:tc>
      </w:tr>
      <w:tr w14:paraId="7DCBB6C6">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910" w:type="pct"/>
            <w:tcBorders>
              <w:top w:val="single" w:color="000000" w:sz="4" w:space="0"/>
              <w:left w:val="single" w:color="000000" w:sz="4" w:space="0"/>
              <w:bottom w:val="single" w:color="000000" w:sz="4" w:space="0"/>
              <w:right w:val="single" w:color="000000" w:sz="4" w:space="0"/>
            </w:tcBorders>
            <w:vAlign w:val="center"/>
          </w:tcPr>
          <w:p w14:paraId="7DBE63D5">
            <w:pPr>
              <w:jc w:val="center"/>
              <w:rPr>
                <w:color w:val="000000" w:themeColor="text1"/>
                <w:highlight w:val="none"/>
                <w14:textFill>
                  <w14:solidFill>
                    <w14:schemeClr w14:val="tx1"/>
                  </w14:solidFill>
                </w14:textFill>
              </w:rPr>
            </w:pPr>
            <w:r>
              <w:rPr>
                <w:rFonts w:hint="eastAsia" w:ascii="宋体" w:hAnsi="宋体" w:cs="宋体"/>
                <w:bCs/>
                <w:color w:val="000000" w:themeColor="text1"/>
                <w:szCs w:val="21"/>
                <w:highlight w:val="none"/>
                <w:shd w:val="clear" w:color="auto" w:fill="FFFFFF"/>
                <w:lang w:val="en-US" w:eastAsia="zh-CN"/>
                <w14:textFill>
                  <w14:solidFill>
                    <w14:schemeClr w14:val="tx1"/>
                  </w14:solidFill>
                </w14:textFill>
              </w:rPr>
              <w:t>G59呼北高速张家界至官庄段第二标段镰刀湾特大桥施工监控技术咨询服务</w:t>
            </w:r>
            <w:r>
              <w:rPr>
                <w:rFonts w:hint="eastAsia" w:ascii="宋体" w:hAnsi="宋体" w:cs="宋体"/>
                <w:bCs/>
                <w:color w:val="000000" w:themeColor="text1"/>
                <w:szCs w:val="21"/>
                <w:highlight w:val="none"/>
                <w:shd w:val="clear" w:color="auto" w:fill="FFFFFF"/>
                <w14:textFill>
                  <w14:solidFill>
                    <w14:schemeClr w14:val="tx1"/>
                  </w14:solidFill>
                </w14:textFill>
              </w:rPr>
              <w:t>采购</w:t>
            </w:r>
          </w:p>
        </w:tc>
        <w:tc>
          <w:tcPr>
            <w:tcW w:w="4089" w:type="pct"/>
            <w:tcBorders>
              <w:top w:val="single" w:color="000000" w:sz="4" w:space="0"/>
              <w:left w:val="single" w:color="000000" w:sz="4" w:space="0"/>
              <w:bottom w:val="single" w:color="000000" w:sz="4" w:space="0"/>
              <w:right w:val="single" w:color="000000" w:sz="4" w:space="0"/>
            </w:tcBorders>
            <w:vAlign w:val="center"/>
          </w:tcPr>
          <w:p w14:paraId="115986B4">
            <w:pPr>
              <w:rPr>
                <w:rFonts w:hint="eastAsia"/>
                <w:color w:val="000000" w:themeColor="text1"/>
                <w:highlight w:val="none"/>
                <w:lang w:val="zh-CN"/>
                <w14:textFill>
                  <w14:solidFill>
                    <w14:schemeClr w14:val="tx1"/>
                  </w14:solidFill>
                </w14:textFill>
              </w:rPr>
            </w:pPr>
            <w:r>
              <w:rPr>
                <w:rFonts w:hint="eastAsia"/>
                <w:color w:val="000000" w:themeColor="text1"/>
                <w:highlight w:val="none"/>
                <w:lang w:val="zh-CN"/>
                <w14:textFill>
                  <w14:solidFill>
                    <w14:schemeClr w14:val="tx1"/>
                  </w14:solidFill>
                </w14:textFill>
              </w:rPr>
              <w:t>应同时满足：</w:t>
            </w:r>
          </w:p>
          <w:p w14:paraId="5D01A1B4">
            <w:pPr>
              <w:numPr>
                <w:ilvl w:val="0"/>
                <w:numId w:val="17"/>
              </w:numPr>
              <w:rPr>
                <w:rFonts w:hint="eastAsia"/>
                <w:color w:val="000000" w:themeColor="text1"/>
                <w:highlight w:val="none"/>
                <w:lang w:val="zh-CN"/>
                <w14:textFill>
                  <w14:solidFill>
                    <w14:schemeClr w14:val="tx1"/>
                  </w14:solidFill>
                </w14:textFill>
              </w:rPr>
            </w:pPr>
            <w:r>
              <w:rPr>
                <w:rFonts w:hint="eastAsia"/>
                <w:color w:val="000000" w:themeColor="text1"/>
                <w:highlight w:val="none"/>
                <w:lang w:val="zh-CN"/>
                <w14:textFill>
                  <w14:solidFill>
                    <w14:schemeClr w14:val="tx1"/>
                  </w14:solidFill>
                </w14:textFill>
              </w:rPr>
              <w:t xml:space="preserve">具有独立法人资格，持有有效的营业执照（或事业单位法人证书或社会团体法人登；记证书） (供应商为企业的，还应具备组织机构代码证，按照“三证合一”或“五证合一”登记制度进行登记的，可仅提供营业执照副本)。 </w:t>
            </w:r>
          </w:p>
          <w:p w14:paraId="0F32D9D6">
            <w:pPr>
              <w:widowControl w:val="0"/>
              <w:numPr>
                <w:ilvl w:val="0"/>
                <w:numId w:val="17"/>
              </w:numPr>
              <w:spacing w:line="360" w:lineRule="auto"/>
              <w:jc w:val="both"/>
              <w:rPr>
                <w:rFonts w:hint="eastAsia" w:ascii="宋体" w:hAnsi="宋体" w:eastAsia="宋体" w:cs="宋体"/>
                <w:bCs/>
                <w:color w:val="000000" w:themeColor="text1"/>
                <w:szCs w:val="21"/>
                <w:highlight w:val="none"/>
                <w:lang w:val="en-US" w:eastAsia="zh-CN"/>
                <w14:textFill>
                  <w14:solidFill>
                    <w14:schemeClr w14:val="tx1"/>
                  </w14:solidFill>
                </w14:textFill>
              </w:rPr>
            </w:pPr>
            <w:r>
              <w:rPr>
                <w:rFonts w:hint="eastAsia" w:ascii="宋体" w:hAnsi="宋体" w:eastAsia="宋体" w:cs="宋体"/>
                <w:bCs/>
                <w:color w:val="000000" w:themeColor="text1"/>
                <w:szCs w:val="21"/>
                <w:highlight w:val="none"/>
                <w:lang w:val="en-US" w:eastAsia="zh-CN"/>
                <w14:textFill>
                  <w14:solidFill>
                    <w14:schemeClr w14:val="tx1"/>
                  </w14:solidFill>
                </w14:textFill>
              </w:rPr>
              <w:t>具有交通运输主管部门认定的《公路水运工程试验检测机构等级证书》公路工程综合甲级资质或交通运输主管部门认定的《公路水运工程试验检测机构等级证书》公路工程桥梁隧道工程专项资质</w:t>
            </w:r>
            <w:r>
              <w:rPr>
                <w:rFonts w:hint="eastAsia" w:ascii="宋体" w:hAnsi="宋体" w:cs="宋体"/>
                <w:bCs/>
                <w:color w:val="000000" w:themeColor="text1"/>
                <w:szCs w:val="21"/>
                <w:highlight w:val="none"/>
                <w:lang w:val="en-US" w:eastAsia="zh-CN"/>
                <w14:textFill>
                  <w14:solidFill>
                    <w14:schemeClr w14:val="tx1"/>
                  </w14:solidFill>
                </w14:textFill>
              </w:rPr>
              <w:t xml:space="preserve">或具有交通运输主管部门认定的《公路水运工程试验检测机构资质证书》公路工程甲级资质 </w:t>
            </w:r>
            <w:r>
              <w:rPr>
                <w:rFonts w:hint="eastAsia" w:ascii="宋体" w:hAnsi="宋体" w:eastAsia="宋体" w:cs="宋体"/>
                <w:bCs/>
                <w:color w:val="000000" w:themeColor="text1"/>
                <w:szCs w:val="21"/>
                <w:highlight w:val="none"/>
                <w:lang w:val="en-US" w:eastAsia="zh-CN"/>
                <w14:textFill>
                  <w14:solidFill>
                    <w14:schemeClr w14:val="tx1"/>
                  </w14:solidFill>
                </w14:textFill>
              </w:rPr>
              <w:t>，且授予检测项目及参数中包含相关检测项目及相关参数；</w:t>
            </w:r>
          </w:p>
          <w:p w14:paraId="69218AAA">
            <w:pPr>
              <w:widowControl w:val="0"/>
              <w:numPr>
                <w:ilvl w:val="-1"/>
                <w:numId w:val="0"/>
              </w:numPr>
              <w:spacing w:line="360" w:lineRule="auto"/>
              <w:jc w:val="both"/>
              <w:rPr>
                <w:rFonts w:hint="eastAsia" w:eastAsia="宋体"/>
                <w:color w:val="000000" w:themeColor="text1"/>
                <w:highlight w:val="none"/>
                <w:lang w:val="en-US" w:eastAsia="zh-CN"/>
                <w14:textFill>
                  <w14:solidFill>
                    <w14:schemeClr w14:val="tx1"/>
                  </w14:solidFill>
                </w14:textFill>
              </w:rPr>
            </w:pPr>
            <w:r>
              <w:rPr>
                <w:rFonts w:hint="eastAsia" w:ascii="宋体" w:hAnsi="宋体" w:eastAsia="宋体" w:cs="宋体"/>
                <w:bCs/>
                <w:color w:val="000000" w:themeColor="text1"/>
                <w:szCs w:val="21"/>
                <w:highlight w:val="none"/>
                <w:lang w:val="en-US" w:eastAsia="zh-CN"/>
                <w14:textFill>
                  <w14:solidFill>
                    <w14:schemeClr w14:val="tx1"/>
                  </w14:solidFill>
                </w14:textFill>
              </w:rPr>
              <w:t>3、具有</w:t>
            </w:r>
            <w:r>
              <w:rPr>
                <w:rFonts w:hint="eastAsia" w:ascii="宋体" w:hAnsi="宋体" w:cs="宋体"/>
                <w:bCs/>
                <w:color w:val="000000" w:themeColor="text1"/>
                <w:szCs w:val="21"/>
                <w:highlight w:val="none"/>
                <w:lang w:val="en-US" w:eastAsia="zh-CN"/>
                <w14:textFill>
                  <w14:solidFill>
                    <w14:schemeClr w14:val="tx1"/>
                  </w14:solidFill>
                </w14:textFill>
              </w:rPr>
              <w:t>有效</w:t>
            </w:r>
            <w:r>
              <w:rPr>
                <w:rFonts w:hint="eastAsia" w:ascii="宋体" w:hAnsi="宋体" w:eastAsia="宋体" w:cs="宋体"/>
                <w:bCs/>
                <w:color w:val="000000" w:themeColor="text1"/>
                <w:szCs w:val="21"/>
                <w:highlight w:val="none"/>
                <w:lang w:val="en-US" w:eastAsia="zh-CN"/>
                <w14:textFill>
                  <w14:solidFill>
                    <w14:schemeClr w14:val="tx1"/>
                  </w14:solidFill>
                </w14:textFill>
              </w:rPr>
              <w:t>的CMA计量认证合格证书，CMA认证范围应含有相关检测参数且在有效期内。</w:t>
            </w:r>
          </w:p>
        </w:tc>
      </w:tr>
    </w:tbl>
    <w:p w14:paraId="28CBD9BE">
      <w:pPr>
        <w:jc w:val="center"/>
        <w:rPr>
          <w:rFonts w:ascii="黑体" w:eastAsia="黑体"/>
          <w:color w:val="000000" w:themeColor="text1"/>
          <w:sz w:val="28"/>
          <w:szCs w:val="28"/>
          <w:highlight w:val="none"/>
          <w14:textFill>
            <w14:solidFill>
              <w14:schemeClr w14:val="tx1"/>
            </w14:solidFill>
          </w14:textFill>
        </w:rPr>
      </w:pPr>
      <w:bookmarkStart w:id="8" w:name="_Toc337561661"/>
      <w:bookmarkStart w:id="9" w:name="_Toc237060980"/>
      <w:bookmarkStart w:id="10" w:name="_Toc337747187"/>
    </w:p>
    <w:p w14:paraId="10919453">
      <w:pPr>
        <w:jc w:val="center"/>
        <w:rPr>
          <w:rFonts w:ascii="黑体" w:eastAsia="黑体"/>
          <w:color w:val="000000" w:themeColor="text1"/>
          <w:sz w:val="28"/>
          <w:szCs w:val="28"/>
          <w:highlight w:val="none"/>
          <w14:textFill>
            <w14:solidFill>
              <w14:schemeClr w14:val="tx1"/>
            </w14:solidFill>
          </w14:textFill>
        </w:rPr>
      </w:pPr>
    </w:p>
    <w:p w14:paraId="597D8605">
      <w:pPr>
        <w:jc w:val="center"/>
        <w:rPr>
          <w:rFonts w:ascii="黑体" w:eastAsia="黑体"/>
          <w:color w:val="000000" w:themeColor="text1"/>
          <w:sz w:val="28"/>
          <w:szCs w:val="28"/>
          <w:highlight w:val="none"/>
          <w14:textFill>
            <w14:solidFill>
              <w14:schemeClr w14:val="tx1"/>
            </w14:solidFill>
          </w14:textFill>
        </w:rPr>
      </w:pPr>
    </w:p>
    <w:p w14:paraId="1D5C4EBD">
      <w:pPr>
        <w:jc w:val="center"/>
        <w:rPr>
          <w:rFonts w:ascii="黑体" w:eastAsia="黑体"/>
          <w:color w:val="000000" w:themeColor="text1"/>
          <w:sz w:val="28"/>
          <w:szCs w:val="28"/>
          <w:highlight w:val="none"/>
          <w14:textFill>
            <w14:solidFill>
              <w14:schemeClr w14:val="tx1"/>
            </w14:solidFill>
          </w14:textFill>
        </w:rPr>
      </w:pPr>
    </w:p>
    <w:p w14:paraId="6EF8051B">
      <w:pPr>
        <w:jc w:val="center"/>
        <w:rPr>
          <w:color w:val="000000" w:themeColor="text1"/>
          <w:highlight w:val="none"/>
          <w14:textFill>
            <w14:solidFill>
              <w14:schemeClr w14:val="tx1"/>
            </w14:solidFill>
          </w14:textFill>
        </w:rPr>
      </w:pPr>
      <w:r>
        <w:rPr>
          <w:rFonts w:hint="eastAsia" w:ascii="黑体" w:eastAsia="黑体"/>
          <w:color w:val="000000" w:themeColor="text1"/>
          <w:sz w:val="28"/>
          <w:szCs w:val="28"/>
          <w:highlight w:val="none"/>
          <w14:textFill>
            <w14:solidFill>
              <w14:schemeClr w14:val="tx1"/>
            </w14:solidFill>
          </w14:textFill>
        </w:rPr>
        <w:t xml:space="preserve">附录2   </w:t>
      </w:r>
      <w:bookmarkEnd w:id="8"/>
      <w:bookmarkEnd w:id="9"/>
      <w:bookmarkEnd w:id="10"/>
      <w:bookmarkStart w:id="11" w:name="_Toc337561662"/>
      <w:bookmarkStart w:id="12" w:name="_Toc337747188"/>
      <w:r>
        <w:rPr>
          <w:rFonts w:hint="eastAsia" w:ascii="黑体" w:eastAsia="黑体"/>
          <w:color w:val="000000" w:themeColor="text1"/>
          <w:sz w:val="28"/>
          <w:szCs w:val="28"/>
          <w:highlight w:val="none"/>
          <w14:textFill>
            <w14:solidFill>
              <w14:schemeClr w14:val="tx1"/>
            </w14:solidFill>
          </w14:textFill>
        </w:rPr>
        <w:t xml:space="preserve"> 资格审查条件（业绩最低条件）</w:t>
      </w:r>
      <w:bookmarkEnd w:id="11"/>
      <w:bookmarkEnd w:id="12"/>
    </w:p>
    <w:p w14:paraId="401FBF8D">
      <w:pPr>
        <w:pStyle w:val="148"/>
        <w:rPr>
          <w:color w:val="000000" w:themeColor="text1"/>
          <w:highlight w:val="none"/>
          <w14:textFill>
            <w14:solidFill>
              <w14:schemeClr w14:val="tx1"/>
            </w14:solidFill>
          </w14:textFill>
        </w:rPr>
      </w:pPr>
    </w:p>
    <w:tbl>
      <w:tblPr>
        <w:tblStyle w:val="86"/>
        <w:tblW w:w="4998" w:type="pct"/>
        <w:jc w:val="center"/>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656"/>
        <w:gridCol w:w="8164"/>
      </w:tblGrid>
      <w:tr w14:paraId="36475F5F">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848" w:hRule="atLeast"/>
          <w:jc w:val="center"/>
        </w:trPr>
        <w:tc>
          <w:tcPr>
            <w:tcW w:w="843" w:type="pct"/>
            <w:tcBorders>
              <w:top w:val="single" w:color="000000" w:sz="4" w:space="0"/>
              <w:left w:val="single" w:color="000000" w:sz="4" w:space="0"/>
              <w:bottom w:val="single" w:color="000000" w:sz="4" w:space="0"/>
              <w:right w:val="single" w:color="000000" w:sz="4" w:space="0"/>
            </w:tcBorders>
            <w:vAlign w:val="center"/>
          </w:tcPr>
          <w:p w14:paraId="74D703E2">
            <w:pPr>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项目名称</w:t>
            </w:r>
          </w:p>
        </w:tc>
        <w:tc>
          <w:tcPr>
            <w:tcW w:w="4156" w:type="pct"/>
            <w:tcBorders>
              <w:top w:val="single" w:color="000000" w:sz="4" w:space="0"/>
              <w:left w:val="single" w:color="000000" w:sz="4" w:space="0"/>
              <w:bottom w:val="single" w:color="000000" w:sz="4" w:space="0"/>
              <w:right w:val="single" w:color="000000" w:sz="4" w:space="0"/>
            </w:tcBorders>
            <w:vAlign w:val="center"/>
          </w:tcPr>
          <w:p w14:paraId="3AA3B0A8">
            <w:pPr>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业 绩 要 求</w:t>
            </w:r>
          </w:p>
        </w:tc>
      </w:tr>
      <w:tr w14:paraId="56DC2BD4">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1785" w:hRule="atLeast"/>
          <w:jc w:val="center"/>
        </w:trPr>
        <w:tc>
          <w:tcPr>
            <w:tcW w:w="843" w:type="pct"/>
            <w:tcBorders>
              <w:top w:val="single" w:color="000000" w:sz="4" w:space="0"/>
              <w:left w:val="single" w:color="000000" w:sz="4" w:space="0"/>
              <w:bottom w:val="single" w:color="000000" w:sz="4" w:space="0"/>
              <w:right w:val="single" w:color="000000" w:sz="4" w:space="0"/>
            </w:tcBorders>
            <w:vAlign w:val="center"/>
          </w:tcPr>
          <w:p w14:paraId="4805B73A">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shd w:val="clear" w:color="auto" w:fill="FFFFFF"/>
                <w:lang w:val="en-US" w:eastAsia="zh-CN"/>
                <w14:textFill>
                  <w14:solidFill>
                    <w14:schemeClr w14:val="tx1"/>
                  </w14:solidFill>
                </w14:textFill>
              </w:rPr>
              <w:t>G59呼北高速张家界至官庄段第二标段镰刀湾特大桥施工监控技术咨询服务</w:t>
            </w:r>
            <w:r>
              <w:rPr>
                <w:rFonts w:hint="eastAsia" w:ascii="宋体" w:hAnsi="宋体" w:cs="宋体"/>
                <w:bCs/>
                <w:color w:val="000000" w:themeColor="text1"/>
                <w:szCs w:val="21"/>
                <w:highlight w:val="none"/>
                <w:shd w:val="clear" w:color="auto" w:fill="FFFFFF"/>
                <w14:textFill>
                  <w14:solidFill>
                    <w14:schemeClr w14:val="tx1"/>
                  </w14:solidFill>
                </w14:textFill>
              </w:rPr>
              <w:t>采购</w:t>
            </w:r>
          </w:p>
        </w:tc>
        <w:tc>
          <w:tcPr>
            <w:tcW w:w="4156" w:type="pct"/>
            <w:tcBorders>
              <w:top w:val="single" w:color="000000" w:sz="4" w:space="0"/>
              <w:left w:val="single" w:color="000000" w:sz="4" w:space="0"/>
              <w:bottom w:val="single" w:color="000000" w:sz="4" w:space="0"/>
              <w:right w:val="single" w:color="000000" w:sz="4" w:space="0"/>
            </w:tcBorders>
            <w:vAlign w:val="center"/>
          </w:tcPr>
          <w:p w14:paraId="4A0A9D8E">
            <w:pP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zh-CN"/>
                <w14:textFill>
                  <w14:solidFill>
                    <w14:schemeClr w14:val="tx1"/>
                  </w14:solidFill>
                </w14:textFill>
              </w:rPr>
              <w:t xml:space="preserve">近5年（指递交响应文件截止之日前一日回溯 5年，以合同签订时间为准）至少独立承担过 1 </w:t>
            </w:r>
            <w:r>
              <w:rPr>
                <w:rFonts w:hint="eastAsia" w:ascii="宋体" w:hAnsi="宋体" w:cs="宋体"/>
                <w:color w:val="000000" w:themeColor="text1"/>
                <w:szCs w:val="21"/>
                <w:highlight w:val="none"/>
                <w:lang w:val="en-US" w:eastAsia="zh-CN"/>
                <w14:textFill>
                  <w14:solidFill>
                    <w14:schemeClr w14:val="tx1"/>
                  </w14:solidFill>
                </w14:textFill>
              </w:rPr>
              <w:t>个</w:t>
            </w:r>
            <w:r>
              <w:rPr>
                <w:rFonts w:hint="eastAsia" w:ascii="宋体" w:hAnsi="宋体" w:cs="宋体"/>
                <w:color w:val="000000" w:themeColor="text1"/>
                <w:szCs w:val="21"/>
                <w:highlight w:val="none"/>
                <w:lang w:val="zh-CN" w:eastAsia="zh-CN"/>
                <w14:textFill>
                  <w14:solidFill>
                    <w14:schemeClr w14:val="tx1"/>
                  </w14:solidFill>
                </w14:textFill>
              </w:rPr>
              <w:t>桥梁施工监控服务</w:t>
            </w:r>
            <w:r>
              <w:rPr>
                <w:rFonts w:hint="eastAsia" w:ascii="宋体" w:hAnsi="宋体" w:cs="宋体"/>
                <w:color w:val="000000" w:themeColor="text1"/>
                <w:szCs w:val="21"/>
                <w:highlight w:val="none"/>
                <w:lang w:val="zh-CN"/>
                <w14:textFill>
                  <w14:solidFill>
                    <w14:schemeClr w14:val="tx1"/>
                  </w14:solidFill>
                </w14:textFill>
              </w:rPr>
              <w:t>项目业绩。</w:t>
            </w:r>
            <w:r>
              <w:rPr>
                <w:rFonts w:hint="eastAsia" w:ascii="宋体" w:hAnsi="宋体" w:cs="宋体"/>
                <w:color w:val="000000" w:themeColor="text1"/>
                <w:szCs w:val="21"/>
                <w:highlight w:val="none"/>
                <w:lang w:val="en-US" w:eastAsia="zh-CN"/>
                <w14:textFill>
                  <w14:solidFill>
                    <w14:schemeClr w14:val="tx1"/>
                  </w14:solidFill>
                </w14:textFill>
              </w:rPr>
              <w:t xml:space="preserve"> </w:t>
            </w:r>
            <w:r>
              <w:rPr>
                <w:rFonts w:hint="eastAsia" w:ascii="宋体" w:hAnsi="宋体" w:cs="宋体"/>
                <w:color w:val="000000" w:themeColor="text1"/>
                <w:szCs w:val="21"/>
                <w:highlight w:val="none"/>
                <w:lang w:val="zh-CN"/>
                <w14:textFill>
                  <w14:solidFill>
                    <w14:schemeClr w14:val="tx1"/>
                  </w14:solidFill>
                </w14:textFill>
              </w:rPr>
              <w:t xml:space="preserve"> </w:t>
            </w:r>
          </w:p>
          <w:p w14:paraId="5DEF9F0D">
            <w:pPr>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注：</w:t>
            </w:r>
            <w:r>
              <w:rPr>
                <w:rFonts w:hint="eastAsia" w:ascii="宋体" w:hAnsi="宋体" w:cs="宋体"/>
                <w:color w:val="000000" w:themeColor="text1"/>
                <w:szCs w:val="21"/>
                <w:highlight w:val="none"/>
                <w:lang w:val="en-US" w:eastAsia="zh-CN"/>
                <w14:textFill>
                  <w14:solidFill>
                    <w14:schemeClr w14:val="tx1"/>
                  </w14:solidFill>
                </w14:textFill>
              </w:rPr>
              <w:t>1、业绩证明材料须提供合同/订单，如合同/订单无法证实业绩满足采购文件要求，还须提供委托人出具的证明材料或设计图纸等相关证明材料。</w:t>
            </w:r>
          </w:p>
          <w:p w14:paraId="00AC808D">
            <w:pPr>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2、业绩计算：在建项目以合同签订时间为准，已完工项目以完成时间为准。</w:t>
            </w:r>
          </w:p>
          <w:p w14:paraId="00CF9D41">
            <w:pP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3、如近年来，响应人法人机构发生合法变更或重组或法人名称变更时，应提供相关部门的合法批件或其他相关证明材料来证明其所附业绩的继承性。</w:t>
            </w:r>
          </w:p>
        </w:tc>
      </w:tr>
    </w:tbl>
    <w:p w14:paraId="4F4F334B">
      <w:pPr>
        <w:jc w:val="center"/>
        <w:rPr>
          <w:rFonts w:ascii="黑体" w:eastAsia="黑体"/>
          <w:color w:val="000000" w:themeColor="text1"/>
          <w:sz w:val="28"/>
          <w:szCs w:val="28"/>
          <w:highlight w:val="none"/>
          <w14:textFill>
            <w14:solidFill>
              <w14:schemeClr w14:val="tx1"/>
            </w14:solidFill>
          </w14:textFill>
        </w:rPr>
      </w:pPr>
      <w:bookmarkStart w:id="13" w:name="_Toc337561663"/>
      <w:bookmarkStart w:id="14" w:name="_Toc337747189"/>
      <w:bookmarkStart w:id="15" w:name="_Toc12182"/>
      <w:bookmarkStart w:id="16" w:name="_Toc21791"/>
    </w:p>
    <w:p w14:paraId="2142956C">
      <w:pPr>
        <w:jc w:val="center"/>
        <w:rPr>
          <w:rFonts w:ascii="黑体" w:eastAsia="黑体"/>
          <w:color w:val="000000" w:themeColor="text1"/>
          <w:sz w:val="28"/>
          <w:szCs w:val="28"/>
          <w:highlight w:val="none"/>
          <w14:textFill>
            <w14:solidFill>
              <w14:schemeClr w14:val="tx1"/>
            </w14:solidFill>
          </w14:textFill>
        </w:rPr>
      </w:pPr>
    </w:p>
    <w:p w14:paraId="3DBC39C4">
      <w:pPr>
        <w:jc w:val="center"/>
        <w:rPr>
          <w:rFonts w:ascii="黑体" w:eastAsia="黑体"/>
          <w:color w:val="000000" w:themeColor="text1"/>
          <w:sz w:val="28"/>
          <w:szCs w:val="28"/>
          <w:highlight w:val="none"/>
          <w14:textFill>
            <w14:solidFill>
              <w14:schemeClr w14:val="tx1"/>
            </w14:solidFill>
          </w14:textFill>
        </w:rPr>
      </w:pPr>
    </w:p>
    <w:p w14:paraId="3112CF0C">
      <w:pPr>
        <w:jc w:val="center"/>
        <w:rPr>
          <w:rFonts w:ascii="黑体" w:eastAsia="黑体"/>
          <w:color w:val="000000" w:themeColor="text1"/>
          <w:sz w:val="28"/>
          <w:szCs w:val="28"/>
          <w:highlight w:val="none"/>
          <w14:textFill>
            <w14:solidFill>
              <w14:schemeClr w14:val="tx1"/>
            </w14:solidFill>
          </w14:textFill>
        </w:rPr>
      </w:pPr>
    </w:p>
    <w:p w14:paraId="0779559C">
      <w:pPr>
        <w:jc w:val="center"/>
        <w:rPr>
          <w:rFonts w:ascii="黑体" w:eastAsia="黑体"/>
          <w:color w:val="000000" w:themeColor="text1"/>
          <w:sz w:val="28"/>
          <w:szCs w:val="28"/>
          <w:highlight w:val="none"/>
          <w14:textFill>
            <w14:solidFill>
              <w14:schemeClr w14:val="tx1"/>
            </w14:solidFill>
          </w14:textFill>
        </w:rPr>
      </w:pPr>
    </w:p>
    <w:p w14:paraId="7D66A6E9">
      <w:pPr>
        <w:pStyle w:val="72"/>
        <w:rPr>
          <w:rFonts w:ascii="黑体" w:eastAsia="黑体"/>
          <w:color w:val="000000" w:themeColor="text1"/>
          <w:sz w:val="28"/>
          <w:szCs w:val="28"/>
          <w:highlight w:val="none"/>
          <w14:textFill>
            <w14:solidFill>
              <w14:schemeClr w14:val="tx1"/>
            </w14:solidFill>
          </w14:textFill>
        </w:rPr>
      </w:pPr>
    </w:p>
    <w:p w14:paraId="1A6E1934">
      <w:pPr>
        <w:rPr>
          <w:rFonts w:ascii="黑体" w:eastAsia="黑体"/>
          <w:color w:val="000000" w:themeColor="text1"/>
          <w:sz w:val="28"/>
          <w:szCs w:val="28"/>
          <w:highlight w:val="none"/>
          <w14:textFill>
            <w14:solidFill>
              <w14:schemeClr w14:val="tx1"/>
            </w14:solidFill>
          </w14:textFill>
        </w:rPr>
      </w:pPr>
    </w:p>
    <w:p w14:paraId="616E897F">
      <w:pPr>
        <w:rPr>
          <w:rFonts w:ascii="黑体" w:eastAsia="黑体"/>
          <w:color w:val="000000" w:themeColor="text1"/>
          <w:sz w:val="28"/>
          <w:szCs w:val="28"/>
          <w:highlight w:val="none"/>
          <w14:textFill>
            <w14:solidFill>
              <w14:schemeClr w14:val="tx1"/>
            </w14:solidFill>
          </w14:textFill>
        </w:rPr>
      </w:pPr>
    </w:p>
    <w:p w14:paraId="4C323BC2">
      <w:pPr>
        <w:rPr>
          <w:rFonts w:ascii="黑体" w:eastAsia="黑体"/>
          <w:color w:val="000000" w:themeColor="text1"/>
          <w:sz w:val="28"/>
          <w:szCs w:val="28"/>
          <w:highlight w:val="none"/>
          <w14:textFill>
            <w14:solidFill>
              <w14:schemeClr w14:val="tx1"/>
            </w14:solidFill>
          </w14:textFill>
        </w:rPr>
      </w:pPr>
    </w:p>
    <w:p w14:paraId="556C2F81">
      <w:pPr>
        <w:rPr>
          <w:rFonts w:ascii="黑体" w:eastAsia="黑体"/>
          <w:color w:val="000000" w:themeColor="text1"/>
          <w:sz w:val="28"/>
          <w:szCs w:val="28"/>
          <w:highlight w:val="none"/>
          <w14:textFill>
            <w14:solidFill>
              <w14:schemeClr w14:val="tx1"/>
            </w14:solidFill>
          </w14:textFill>
        </w:rPr>
      </w:pPr>
    </w:p>
    <w:p w14:paraId="06FF234F">
      <w:pPr>
        <w:rPr>
          <w:rFonts w:ascii="黑体" w:eastAsia="黑体"/>
          <w:color w:val="000000" w:themeColor="text1"/>
          <w:sz w:val="28"/>
          <w:szCs w:val="28"/>
          <w:highlight w:val="none"/>
          <w14:textFill>
            <w14:solidFill>
              <w14:schemeClr w14:val="tx1"/>
            </w14:solidFill>
          </w14:textFill>
        </w:rPr>
      </w:pPr>
    </w:p>
    <w:p w14:paraId="40C17B20">
      <w:pPr>
        <w:rPr>
          <w:rFonts w:ascii="黑体" w:eastAsia="黑体"/>
          <w:color w:val="000000" w:themeColor="text1"/>
          <w:sz w:val="28"/>
          <w:szCs w:val="28"/>
          <w:highlight w:val="none"/>
          <w14:textFill>
            <w14:solidFill>
              <w14:schemeClr w14:val="tx1"/>
            </w14:solidFill>
          </w14:textFill>
        </w:rPr>
      </w:pPr>
    </w:p>
    <w:p w14:paraId="0603E7C9">
      <w:pPr>
        <w:rPr>
          <w:color w:val="000000" w:themeColor="text1"/>
          <w:highlight w:val="none"/>
          <w14:textFill>
            <w14:solidFill>
              <w14:schemeClr w14:val="tx1"/>
            </w14:solidFill>
          </w14:textFill>
        </w:rPr>
      </w:pPr>
    </w:p>
    <w:p w14:paraId="67776432">
      <w:pPr>
        <w:rPr>
          <w:color w:val="000000" w:themeColor="text1"/>
          <w:highlight w:val="none"/>
          <w14:textFill>
            <w14:solidFill>
              <w14:schemeClr w14:val="tx1"/>
            </w14:solidFill>
          </w14:textFill>
        </w:rPr>
      </w:pPr>
    </w:p>
    <w:p w14:paraId="179A0869">
      <w:pPr>
        <w:rPr>
          <w:color w:val="000000" w:themeColor="text1"/>
          <w:highlight w:val="none"/>
          <w14:textFill>
            <w14:solidFill>
              <w14:schemeClr w14:val="tx1"/>
            </w14:solidFill>
          </w14:textFill>
        </w:rPr>
      </w:pPr>
    </w:p>
    <w:p w14:paraId="0BFF6BFD">
      <w:pPr>
        <w:jc w:val="center"/>
        <w:rPr>
          <w:rFonts w:ascii="黑体" w:eastAsia="黑体"/>
          <w:color w:val="000000" w:themeColor="text1"/>
          <w:sz w:val="28"/>
          <w:szCs w:val="28"/>
          <w:highlight w:val="none"/>
          <w14:textFill>
            <w14:solidFill>
              <w14:schemeClr w14:val="tx1"/>
            </w14:solidFill>
          </w14:textFill>
        </w:rPr>
      </w:pPr>
      <w:r>
        <w:rPr>
          <w:rFonts w:hint="eastAsia" w:ascii="黑体" w:eastAsia="黑体"/>
          <w:color w:val="000000" w:themeColor="text1"/>
          <w:sz w:val="28"/>
          <w:szCs w:val="28"/>
          <w:highlight w:val="none"/>
          <w14:textFill>
            <w14:solidFill>
              <w14:schemeClr w14:val="tx1"/>
            </w14:solidFill>
          </w14:textFill>
        </w:rPr>
        <w:t>附录3   资格审查条件（信誉最低条件）</w:t>
      </w:r>
      <w:bookmarkEnd w:id="13"/>
      <w:bookmarkEnd w:id="14"/>
      <w:bookmarkEnd w:id="15"/>
      <w:bookmarkEnd w:id="16"/>
    </w:p>
    <w:p w14:paraId="460B3E3B">
      <w:pPr>
        <w:pStyle w:val="72"/>
        <w:ind w:left="840" w:hanging="420"/>
        <w:rPr>
          <w:color w:val="000000" w:themeColor="text1"/>
          <w:highlight w:val="none"/>
          <w14:textFill>
            <w14:solidFill>
              <w14:schemeClr w14:val="tx1"/>
            </w14:solidFill>
          </w14:textFill>
        </w:rPr>
      </w:pPr>
    </w:p>
    <w:tbl>
      <w:tblPr>
        <w:tblStyle w:val="86"/>
        <w:tblW w:w="4974" w:type="pct"/>
        <w:jc w:val="center"/>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413"/>
        <w:gridCol w:w="8360"/>
      </w:tblGrid>
      <w:tr w14:paraId="35036344">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945" w:hRule="atLeast"/>
          <w:jc w:val="center"/>
        </w:trPr>
        <w:tc>
          <w:tcPr>
            <w:tcW w:w="723" w:type="pct"/>
            <w:tcBorders>
              <w:top w:val="single" w:color="000000" w:sz="4" w:space="0"/>
              <w:left w:val="single" w:color="000000" w:sz="4" w:space="0"/>
              <w:bottom w:val="single" w:color="000000" w:sz="4" w:space="0"/>
              <w:right w:val="single" w:color="000000" w:sz="4" w:space="0"/>
            </w:tcBorders>
            <w:vAlign w:val="center"/>
          </w:tcPr>
          <w:p w14:paraId="5E7F6737">
            <w:pPr>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项目名称</w:t>
            </w:r>
          </w:p>
        </w:tc>
        <w:tc>
          <w:tcPr>
            <w:tcW w:w="4276" w:type="pct"/>
            <w:tcBorders>
              <w:top w:val="single" w:color="000000" w:sz="4" w:space="0"/>
              <w:left w:val="single" w:color="000000" w:sz="4" w:space="0"/>
              <w:bottom w:val="single" w:color="000000" w:sz="4" w:space="0"/>
              <w:right w:val="single" w:color="000000" w:sz="4" w:space="0"/>
            </w:tcBorders>
            <w:vAlign w:val="center"/>
          </w:tcPr>
          <w:p w14:paraId="3EDC2314">
            <w:pPr>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信 誉 要 求</w:t>
            </w:r>
          </w:p>
        </w:tc>
      </w:tr>
      <w:tr w14:paraId="271DA87D">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1470" w:hRule="atLeast"/>
          <w:jc w:val="center"/>
        </w:trPr>
        <w:tc>
          <w:tcPr>
            <w:tcW w:w="723" w:type="pct"/>
            <w:tcBorders>
              <w:top w:val="single" w:color="000000" w:sz="4" w:space="0"/>
              <w:left w:val="single" w:color="000000" w:sz="4" w:space="0"/>
              <w:bottom w:val="single" w:color="000000" w:sz="4" w:space="0"/>
              <w:right w:val="single" w:color="000000" w:sz="4" w:space="0"/>
            </w:tcBorders>
            <w:vAlign w:val="center"/>
          </w:tcPr>
          <w:p w14:paraId="1A6A90DB">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shd w:val="clear" w:color="auto" w:fill="FFFFFF"/>
                <w:lang w:val="en-US" w:eastAsia="zh-CN"/>
                <w14:textFill>
                  <w14:solidFill>
                    <w14:schemeClr w14:val="tx1"/>
                  </w14:solidFill>
                </w14:textFill>
              </w:rPr>
              <w:t>G59呼北高速张家界至官庄段第二标段镰刀湾特大桥施工监控技术咨询服务</w:t>
            </w:r>
            <w:r>
              <w:rPr>
                <w:rFonts w:hint="eastAsia" w:ascii="宋体" w:hAnsi="宋体" w:cs="宋体"/>
                <w:bCs/>
                <w:color w:val="000000" w:themeColor="text1"/>
                <w:szCs w:val="21"/>
                <w:highlight w:val="none"/>
                <w:shd w:val="clear" w:color="auto" w:fill="FFFFFF"/>
                <w14:textFill>
                  <w14:solidFill>
                    <w14:schemeClr w14:val="tx1"/>
                  </w14:solidFill>
                </w14:textFill>
              </w:rPr>
              <w:t>采购</w:t>
            </w:r>
          </w:p>
        </w:tc>
        <w:tc>
          <w:tcPr>
            <w:tcW w:w="4276" w:type="pct"/>
            <w:tcBorders>
              <w:top w:val="single" w:color="000000" w:sz="4" w:space="0"/>
              <w:left w:val="single" w:color="000000" w:sz="4" w:space="0"/>
              <w:bottom w:val="single" w:color="000000" w:sz="4" w:space="0"/>
              <w:right w:val="single" w:color="000000" w:sz="4" w:space="0"/>
            </w:tcBorders>
            <w:vAlign w:val="center"/>
          </w:tcPr>
          <w:p w14:paraId="6BD049B8">
            <w:pPr>
              <w:jc w:val="both"/>
              <w:rPr>
                <w:rFonts w:hint="eastAsia" w:ascii="宋体" w:hAnsi="宋体" w:cs="宋体"/>
                <w:color w:val="000000" w:themeColor="text1"/>
                <w:szCs w:val="21"/>
                <w:highlight w:val="none"/>
                <w14:textFill>
                  <w14:solidFill>
                    <w14:schemeClr w14:val="tx1"/>
                  </w14:solidFill>
                </w14:textFill>
              </w:rPr>
            </w:pPr>
            <w:r>
              <w:rPr>
                <w:rStyle w:val="129"/>
                <w:rFonts w:hint="eastAsia" w:ascii="宋体" w:hAnsi="宋体" w:cs="宋体"/>
                <w:b w:val="0"/>
                <w:color w:val="000000" w:themeColor="text1"/>
                <w:szCs w:val="21"/>
                <w:highlight w:val="none"/>
                <w:u w:val="single"/>
                <w:lang w:val="en-US" w:eastAsia="zh-CN"/>
                <w14:textFill>
                  <w14:solidFill>
                    <w14:schemeClr w14:val="tx1"/>
                  </w14:solidFill>
                </w14:textFill>
              </w:rPr>
              <w:t>未在国家企业信用信息公示系统（http://www.gsxt.gov.cn）中被列入严重违法失信企业名单的或未在“信用中国”网站（www.creditchina.gov.cn）中被列入失信被执行人名单的。</w:t>
            </w:r>
          </w:p>
        </w:tc>
      </w:tr>
    </w:tbl>
    <w:p w14:paraId="56E30204">
      <w:pPr>
        <w:jc w:val="center"/>
        <w:rPr>
          <w:rFonts w:ascii="黑体" w:eastAsia="黑体"/>
          <w:color w:val="000000" w:themeColor="text1"/>
          <w:sz w:val="28"/>
          <w:szCs w:val="28"/>
          <w:highlight w:val="none"/>
          <w14:textFill>
            <w14:solidFill>
              <w14:schemeClr w14:val="tx1"/>
            </w14:solidFill>
          </w14:textFill>
        </w:rPr>
      </w:pPr>
      <w:bookmarkStart w:id="17" w:name="_Toc337747190"/>
      <w:bookmarkStart w:id="18" w:name="_Toc337561664"/>
    </w:p>
    <w:p w14:paraId="415A8796">
      <w:pPr>
        <w:rPr>
          <w:rFonts w:hint="eastAsia" w:ascii="黑体" w:eastAsia="黑体"/>
          <w:color w:val="000000" w:themeColor="text1"/>
          <w:sz w:val="28"/>
          <w:szCs w:val="28"/>
          <w:highlight w:val="none"/>
          <w14:textFill>
            <w14:solidFill>
              <w14:schemeClr w14:val="tx1"/>
            </w14:solidFill>
          </w14:textFill>
        </w:rPr>
      </w:pPr>
    </w:p>
    <w:p w14:paraId="0E0FA27E">
      <w:pPr>
        <w:rPr>
          <w:rFonts w:hint="eastAsia" w:ascii="黑体" w:eastAsia="黑体"/>
          <w:color w:val="000000" w:themeColor="text1"/>
          <w:sz w:val="28"/>
          <w:szCs w:val="28"/>
          <w:highlight w:val="none"/>
          <w14:textFill>
            <w14:solidFill>
              <w14:schemeClr w14:val="tx1"/>
            </w14:solidFill>
          </w14:textFill>
        </w:rPr>
      </w:pPr>
    </w:p>
    <w:p w14:paraId="25FC4D1E">
      <w:pPr>
        <w:rPr>
          <w:rFonts w:hint="eastAsia" w:ascii="黑体" w:eastAsia="黑体"/>
          <w:color w:val="000000" w:themeColor="text1"/>
          <w:sz w:val="28"/>
          <w:szCs w:val="28"/>
          <w:highlight w:val="none"/>
          <w14:textFill>
            <w14:solidFill>
              <w14:schemeClr w14:val="tx1"/>
            </w14:solidFill>
          </w14:textFill>
        </w:rPr>
      </w:pPr>
    </w:p>
    <w:p w14:paraId="37D45A9C">
      <w:pPr>
        <w:rPr>
          <w:rFonts w:hint="eastAsia" w:ascii="黑体" w:eastAsia="黑体"/>
          <w:color w:val="000000" w:themeColor="text1"/>
          <w:sz w:val="28"/>
          <w:szCs w:val="28"/>
          <w:highlight w:val="none"/>
          <w14:textFill>
            <w14:solidFill>
              <w14:schemeClr w14:val="tx1"/>
            </w14:solidFill>
          </w14:textFill>
        </w:rPr>
      </w:pPr>
    </w:p>
    <w:p w14:paraId="3D738088">
      <w:pPr>
        <w:rPr>
          <w:rFonts w:hint="eastAsia" w:ascii="黑体" w:eastAsia="黑体"/>
          <w:color w:val="000000" w:themeColor="text1"/>
          <w:sz w:val="28"/>
          <w:szCs w:val="28"/>
          <w:highlight w:val="none"/>
          <w14:textFill>
            <w14:solidFill>
              <w14:schemeClr w14:val="tx1"/>
            </w14:solidFill>
          </w14:textFill>
        </w:rPr>
      </w:pPr>
    </w:p>
    <w:p w14:paraId="1B3283FF">
      <w:pPr>
        <w:rPr>
          <w:rFonts w:hint="eastAsia" w:ascii="黑体" w:eastAsia="黑体"/>
          <w:color w:val="000000" w:themeColor="text1"/>
          <w:sz w:val="28"/>
          <w:szCs w:val="28"/>
          <w:highlight w:val="none"/>
          <w14:textFill>
            <w14:solidFill>
              <w14:schemeClr w14:val="tx1"/>
            </w14:solidFill>
          </w14:textFill>
        </w:rPr>
      </w:pPr>
    </w:p>
    <w:p w14:paraId="3895392B">
      <w:pPr>
        <w:jc w:val="center"/>
        <w:rPr>
          <w:rFonts w:ascii="黑体" w:eastAsia="黑体"/>
          <w:color w:val="000000" w:themeColor="text1"/>
          <w:sz w:val="28"/>
          <w:szCs w:val="28"/>
          <w:highlight w:val="none"/>
          <w14:textFill>
            <w14:solidFill>
              <w14:schemeClr w14:val="tx1"/>
            </w14:solidFill>
          </w14:textFill>
        </w:rPr>
      </w:pPr>
      <w:r>
        <w:rPr>
          <w:rFonts w:hint="eastAsia" w:ascii="黑体" w:eastAsia="黑体"/>
          <w:color w:val="000000" w:themeColor="text1"/>
          <w:sz w:val="28"/>
          <w:szCs w:val="28"/>
          <w:highlight w:val="none"/>
          <w:lang w:val="en-US" w:eastAsia="zh-CN"/>
          <w14:textFill>
            <w14:solidFill>
              <w14:schemeClr w14:val="tx1"/>
            </w14:solidFill>
          </w14:textFill>
        </w:rPr>
        <w:t xml:space="preserve"> </w:t>
      </w:r>
      <w:r>
        <w:rPr>
          <w:rFonts w:hint="eastAsia" w:ascii="黑体" w:eastAsia="黑体"/>
          <w:color w:val="000000" w:themeColor="text1"/>
          <w:sz w:val="28"/>
          <w:szCs w:val="28"/>
          <w:highlight w:val="none"/>
          <w14:textFill>
            <w14:solidFill>
              <w14:schemeClr w14:val="tx1"/>
            </w14:solidFill>
          </w14:textFill>
        </w:rPr>
        <w:t>附录4   资格审查条件（项目负责人最低要求）</w:t>
      </w:r>
      <w:bookmarkEnd w:id="17"/>
      <w:bookmarkEnd w:id="18"/>
    </w:p>
    <w:p w14:paraId="6C877D24">
      <w:pPr>
        <w:pStyle w:val="148"/>
        <w:ind w:left="0" w:firstLine="0"/>
        <w:rPr>
          <w:color w:val="000000" w:themeColor="text1"/>
          <w:highlight w:val="none"/>
          <w14:textFill>
            <w14:solidFill>
              <w14:schemeClr w14:val="tx1"/>
            </w14:solidFill>
          </w14:textFill>
        </w:rPr>
      </w:pPr>
    </w:p>
    <w:tbl>
      <w:tblPr>
        <w:tblStyle w:val="86"/>
        <w:tblW w:w="4883" w:type="pct"/>
        <w:jc w:val="center"/>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016"/>
        <w:gridCol w:w="835"/>
        <w:gridCol w:w="4960"/>
        <w:gridCol w:w="1783"/>
      </w:tblGrid>
      <w:tr w14:paraId="3EBFC7AD">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1147" w:hRule="atLeast"/>
          <w:jc w:val="center"/>
        </w:trPr>
        <w:tc>
          <w:tcPr>
            <w:tcW w:w="1050" w:type="pct"/>
            <w:tcBorders>
              <w:top w:val="single" w:color="000000" w:sz="4" w:space="0"/>
              <w:left w:val="single" w:color="000000" w:sz="4" w:space="0"/>
              <w:bottom w:val="single" w:color="000000" w:sz="4" w:space="0"/>
              <w:right w:val="single" w:color="000000" w:sz="4" w:space="0"/>
            </w:tcBorders>
            <w:vAlign w:val="center"/>
          </w:tcPr>
          <w:p w14:paraId="0A486F48">
            <w:pPr>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人员</w:t>
            </w:r>
          </w:p>
        </w:tc>
        <w:tc>
          <w:tcPr>
            <w:tcW w:w="434" w:type="pct"/>
            <w:tcBorders>
              <w:top w:val="single" w:color="000000" w:sz="4" w:space="0"/>
              <w:left w:val="single" w:color="000000" w:sz="4" w:space="0"/>
              <w:bottom w:val="single" w:color="000000" w:sz="4" w:space="0"/>
              <w:right w:val="single" w:color="000000" w:sz="4" w:space="0"/>
            </w:tcBorders>
            <w:vAlign w:val="center"/>
          </w:tcPr>
          <w:p w14:paraId="4A701645">
            <w:pPr>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数量</w:t>
            </w:r>
          </w:p>
        </w:tc>
        <w:tc>
          <w:tcPr>
            <w:tcW w:w="2585" w:type="pct"/>
            <w:tcBorders>
              <w:top w:val="single" w:color="000000" w:sz="4" w:space="0"/>
              <w:left w:val="single" w:color="000000" w:sz="4" w:space="0"/>
              <w:bottom w:val="single" w:color="000000" w:sz="4" w:space="0"/>
              <w:right w:val="single" w:color="000000" w:sz="4" w:space="0"/>
            </w:tcBorders>
            <w:vAlign w:val="center"/>
          </w:tcPr>
          <w:p w14:paraId="0A054C3F">
            <w:pPr>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资 格 要 求</w:t>
            </w:r>
          </w:p>
        </w:tc>
        <w:tc>
          <w:tcPr>
            <w:tcW w:w="929" w:type="pct"/>
            <w:tcBorders>
              <w:top w:val="single" w:color="000000" w:sz="4" w:space="0"/>
              <w:left w:val="single" w:color="000000" w:sz="4" w:space="0"/>
              <w:bottom w:val="single" w:color="000000" w:sz="4" w:space="0"/>
              <w:right w:val="single" w:color="000000" w:sz="4" w:space="0"/>
            </w:tcBorders>
            <w:vAlign w:val="center"/>
          </w:tcPr>
          <w:p w14:paraId="71F2851C">
            <w:pPr>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备注</w:t>
            </w:r>
          </w:p>
        </w:tc>
      </w:tr>
      <w:tr w14:paraId="7286765B">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2235" w:hRule="atLeast"/>
          <w:jc w:val="center"/>
        </w:trPr>
        <w:tc>
          <w:tcPr>
            <w:tcW w:w="1050" w:type="pct"/>
            <w:tcBorders>
              <w:top w:val="single" w:color="000000" w:sz="4" w:space="0"/>
              <w:left w:val="single" w:color="000000" w:sz="4" w:space="0"/>
              <w:bottom w:val="single" w:color="000000" w:sz="4" w:space="0"/>
              <w:right w:val="single" w:color="000000" w:sz="4" w:space="0"/>
            </w:tcBorders>
            <w:vAlign w:val="center"/>
          </w:tcPr>
          <w:p w14:paraId="01499AC2">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项目负责人</w:t>
            </w:r>
          </w:p>
        </w:tc>
        <w:tc>
          <w:tcPr>
            <w:tcW w:w="434" w:type="pct"/>
            <w:tcBorders>
              <w:top w:val="single" w:color="000000" w:sz="4" w:space="0"/>
              <w:left w:val="single" w:color="000000" w:sz="4" w:space="0"/>
              <w:bottom w:val="single" w:color="000000" w:sz="4" w:space="0"/>
              <w:right w:val="single" w:color="000000" w:sz="4" w:space="0"/>
            </w:tcBorders>
            <w:vAlign w:val="center"/>
          </w:tcPr>
          <w:p w14:paraId="6E812F2C">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p>
        </w:tc>
        <w:tc>
          <w:tcPr>
            <w:tcW w:w="2585" w:type="pct"/>
            <w:tcBorders>
              <w:top w:val="single" w:color="000000" w:sz="4" w:space="0"/>
              <w:left w:val="single" w:color="000000" w:sz="4" w:space="0"/>
              <w:bottom w:val="single" w:color="000000" w:sz="4" w:space="0"/>
              <w:right w:val="single" w:color="000000" w:sz="4" w:space="0"/>
            </w:tcBorders>
            <w:vAlign w:val="center"/>
          </w:tcPr>
          <w:p w14:paraId="27BAA5C4">
            <w:pPr>
              <w:widowControl w:val="0"/>
              <w:spacing w:line="360" w:lineRule="auto"/>
              <w:jc w:val="both"/>
              <w:rPr>
                <w:rFonts w:hint="eastAsia" w:ascii="宋体" w:hAnsi="宋体" w:cs="宋体"/>
                <w:color w:val="000000" w:themeColor="text1"/>
                <w:szCs w:val="21"/>
                <w:highlight w:val="none"/>
                <w:u w:val="single"/>
                <w:lang w:val="en-US" w:eastAsia="zh-CN"/>
                <w14:textFill>
                  <w14:solidFill>
                    <w14:schemeClr w14:val="tx1"/>
                  </w14:solidFill>
                </w14:textFill>
              </w:rPr>
            </w:pPr>
            <w:r>
              <w:rPr>
                <w:rFonts w:hint="eastAsia" w:ascii="宋体" w:hAnsi="宋体" w:cs="宋体"/>
                <w:color w:val="000000" w:themeColor="text1"/>
                <w:szCs w:val="21"/>
                <w:highlight w:val="none"/>
                <w:u w:val="single"/>
                <w:lang w:val="en-US" w:eastAsia="zh-CN"/>
                <w14:textFill>
                  <w14:solidFill>
                    <w14:schemeClr w14:val="tx1"/>
                  </w14:solidFill>
                </w14:textFill>
              </w:rPr>
              <w:t>拟委派本项目的项目负责人应具备：</w:t>
            </w:r>
          </w:p>
          <w:p w14:paraId="328018E8">
            <w:pPr>
              <w:widowControl w:val="0"/>
              <w:numPr>
                <w:ilvl w:val="0"/>
                <w:numId w:val="0"/>
              </w:numPr>
              <w:spacing w:line="360" w:lineRule="auto"/>
              <w:ind w:leftChars="0"/>
              <w:jc w:val="both"/>
              <w:rPr>
                <w:rFonts w:hint="eastAsia" w:ascii="宋体" w:hAnsi="宋体" w:cs="宋体"/>
                <w:color w:val="000000" w:themeColor="text1"/>
                <w:szCs w:val="21"/>
                <w:highlight w:val="none"/>
                <w:u w:val="single"/>
                <w:lang w:val="en-US" w:eastAsia="zh-CN"/>
                <w14:textFill>
                  <w14:solidFill>
                    <w14:schemeClr w14:val="tx1"/>
                  </w14:solidFill>
                </w14:textFill>
              </w:rPr>
            </w:pPr>
            <w:r>
              <w:rPr>
                <w:rFonts w:hint="eastAsia" w:ascii="宋体" w:hAnsi="宋体" w:cs="宋体"/>
                <w:color w:val="000000" w:themeColor="text1"/>
                <w:szCs w:val="21"/>
                <w:highlight w:val="none"/>
                <w:u w:val="single"/>
                <w:lang w:val="en-US" w:eastAsia="zh-CN"/>
                <w14:textFill>
                  <w14:solidFill>
                    <w14:schemeClr w14:val="tx1"/>
                  </w14:solidFill>
                </w14:textFill>
              </w:rPr>
              <w:t xml:space="preserve"> 1、持有</w:t>
            </w:r>
            <w:r>
              <w:rPr>
                <w:rFonts w:hint="eastAsia" w:ascii="宋体" w:hAnsi="宋体" w:cs="宋体"/>
                <w:color w:val="000000" w:themeColor="text1"/>
                <w:szCs w:val="21"/>
                <w:highlight w:val="none"/>
                <w:u w:val="single"/>
                <w14:textFill>
                  <w14:solidFill>
                    <w14:schemeClr w14:val="tx1"/>
                  </w14:solidFill>
                </w14:textFill>
              </w:rPr>
              <w:t>交通行政主管颁发的试验检测工程师证书（桥梁专业或桥隧专业）</w:t>
            </w:r>
            <w:r>
              <w:rPr>
                <w:rFonts w:hint="eastAsia" w:ascii="宋体" w:hAnsi="宋体" w:cs="宋体"/>
                <w:color w:val="000000" w:themeColor="text1"/>
                <w:szCs w:val="21"/>
                <w:highlight w:val="none"/>
                <w:u w:val="single"/>
                <w:lang w:eastAsia="zh-CN"/>
                <w14:textFill>
                  <w14:solidFill>
                    <w14:schemeClr w14:val="tx1"/>
                  </w14:solidFill>
                </w14:textFill>
              </w:rPr>
              <w:t>，</w:t>
            </w:r>
            <w:r>
              <w:rPr>
                <w:rFonts w:hint="eastAsia" w:ascii="宋体" w:hAnsi="宋体" w:cs="宋体"/>
                <w:color w:val="000000" w:themeColor="text1"/>
                <w:szCs w:val="21"/>
                <w:highlight w:val="none"/>
                <w:u w:val="single"/>
                <w:lang w:val="en-US" w:eastAsia="zh-CN"/>
                <w14:textFill>
                  <w14:solidFill>
                    <w14:schemeClr w14:val="tx1"/>
                  </w14:solidFill>
                </w14:textFill>
              </w:rPr>
              <w:t>且注册单位名称必须与响应人名称一致；</w:t>
            </w:r>
          </w:p>
          <w:p w14:paraId="2C36A3A5">
            <w:pPr>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u w:val="single"/>
                <w:lang w:val="en-US" w:eastAsia="zh-CN"/>
                <w14:textFill>
                  <w14:solidFill>
                    <w14:schemeClr w14:val="tx1"/>
                  </w14:solidFill>
                </w14:textFill>
              </w:rPr>
              <w:t>2、至少担任过</w:t>
            </w:r>
            <w:r>
              <w:rPr>
                <w:rFonts w:hint="eastAsia" w:ascii="宋体" w:hAnsi="宋体" w:cs="宋体"/>
                <w:color w:val="000000" w:themeColor="text1"/>
                <w:szCs w:val="21"/>
                <w:highlight w:val="none"/>
                <w:u w:val="single"/>
                <w14:textFill>
                  <w14:solidFill>
                    <w14:schemeClr w14:val="tx1"/>
                  </w14:solidFill>
                </w14:textFill>
              </w:rPr>
              <w:t>1</w:t>
            </w:r>
            <w:r>
              <w:rPr>
                <w:rFonts w:hint="eastAsia" w:ascii="宋体" w:hAnsi="宋体" w:cs="宋体"/>
                <w:color w:val="000000" w:themeColor="text1"/>
                <w:szCs w:val="21"/>
                <w:highlight w:val="none"/>
                <w:u w:val="single"/>
                <w:lang w:val="en-US" w:eastAsia="zh-CN"/>
                <w14:textFill>
                  <w14:solidFill>
                    <w14:schemeClr w14:val="tx1"/>
                  </w14:solidFill>
                </w14:textFill>
              </w:rPr>
              <w:t>个桥梁施工监控服务</w:t>
            </w:r>
            <w:r>
              <w:rPr>
                <w:rFonts w:hint="eastAsia" w:ascii="宋体" w:hAnsi="宋体" w:cs="宋体"/>
                <w:color w:val="000000" w:themeColor="text1"/>
                <w:szCs w:val="21"/>
                <w:highlight w:val="none"/>
                <w:u w:val="single"/>
                <w14:textFill>
                  <w14:solidFill>
                    <w14:schemeClr w14:val="tx1"/>
                  </w14:solidFill>
                </w14:textFill>
              </w:rPr>
              <w:t>项目</w:t>
            </w:r>
            <w:r>
              <w:rPr>
                <w:rFonts w:hint="eastAsia" w:ascii="宋体" w:hAnsi="宋体" w:cs="宋体"/>
                <w:color w:val="000000" w:themeColor="text1"/>
                <w:szCs w:val="21"/>
                <w:highlight w:val="none"/>
                <w:u w:val="single"/>
                <w:lang w:val="en-US" w:eastAsia="zh-CN"/>
                <w14:textFill>
                  <w14:solidFill>
                    <w14:schemeClr w14:val="tx1"/>
                  </w14:solidFill>
                </w14:textFill>
              </w:rPr>
              <w:t>的项目负责人或技术负责人职务。</w:t>
            </w:r>
          </w:p>
        </w:tc>
        <w:tc>
          <w:tcPr>
            <w:tcW w:w="929" w:type="pct"/>
            <w:tcBorders>
              <w:top w:val="single" w:color="000000" w:sz="4" w:space="0"/>
              <w:left w:val="single" w:color="000000" w:sz="4" w:space="0"/>
              <w:bottom w:val="single" w:color="000000" w:sz="4" w:space="0"/>
              <w:right w:val="single" w:color="000000" w:sz="4" w:space="0"/>
            </w:tcBorders>
            <w:vAlign w:val="center"/>
          </w:tcPr>
          <w:p w14:paraId="7F658DD6">
            <w:pPr>
              <w:jc w:val="center"/>
              <w:rPr>
                <w:rFonts w:hint="eastAsia" w:ascii="宋体" w:hAnsi="宋体" w:cs="宋体"/>
                <w:color w:val="000000" w:themeColor="text1"/>
                <w:sz w:val="24"/>
                <w:highlight w:val="none"/>
                <w14:textFill>
                  <w14:solidFill>
                    <w14:schemeClr w14:val="tx1"/>
                  </w14:solidFill>
                </w14:textFill>
              </w:rPr>
            </w:pPr>
          </w:p>
        </w:tc>
      </w:tr>
    </w:tbl>
    <w:p w14:paraId="32898B8F">
      <w:pPr>
        <w:jc w:val="center"/>
        <w:rPr>
          <w:rFonts w:ascii="黑体" w:eastAsia="黑体"/>
          <w:bCs/>
          <w:color w:val="000000" w:themeColor="text1"/>
          <w:sz w:val="28"/>
          <w:szCs w:val="28"/>
          <w:highlight w:val="none"/>
          <w14:textFill>
            <w14:solidFill>
              <w14:schemeClr w14:val="tx1"/>
            </w14:solidFill>
          </w14:textFill>
        </w:rPr>
      </w:pPr>
    </w:p>
    <w:p w14:paraId="60424230">
      <w:pPr>
        <w:rPr>
          <w:rFonts w:hint="eastAsia" w:ascii="黑体" w:eastAsia="黑体"/>
          <w:bCs/>
          <w:color w:val="000000" w:themeColor="text1"/>
          <w:sz w:val="28"/>
          <w:szCs w:val="28"/>
          <w:highlight w:val="none"/>
          <w14:textFill>
            <w14:solidFill>
              <w14:schemeClr w14:val="tx1"/>
            </w14:solidFill>
          </w14:textFill>
        </w:rPr>
      </w:pPr>
    </w:p>
    <w:p w14:paraId="261BFD44">
      <w:pPr>
        <w:rPr>
          <w:rFonts w:hint="eastAsia" w:ascii="黑体" w:eastAsia="黑体"/>
          <w:bCs/>
          <w:color w:val="000000" w:themeColor="text1"/>
          <w:sz w:val="28"/>
          <w:szCs w:val="28"/>
          <w:highlight w:val="none"/>
          <w14:textFill>
            <w14:solidFill>
              <w14:schemeClr w14:val="tx1"/>
            </w14:solidFill>
          </w14:textFill>
        </w:rPr>
      </w:pPr>
    </w:p>
    <w:p w14:paraId="02571552">
      <w:pPr>
        <w:spacing w:line="360" w:lineRule="auto"/>
        <w:jc w:val="center"/>
        <w:rPr>
          <w:rFonts w:hint="eastAsia" w:ascii="宋体" w:hAnsi="宋体" w:cs="宋体"/>
          <w:b/>
          <w:bCs/>
          <w:color w:val="000000" w:themeColor="text1"/>
          <w:sz w:val="30"/>
          <w:szCs w:val="30"/>
          <w:highlight w:val="none"/>
          <w14:textFill>
            <w14:solidFill>
              <w14:schemeClr w14:val="tx1"/>
            </w14:solidFill>
          </w14:textFill>
        </w:rPr>
      </w:pPr>
    </w:p>
    <w:p w14:paraId="2E968AF3">
      <w:pPr>
        <w:spacing w:line="240" w:lineRule="auto"/>
        <w:jc w:val="left"/>
        <w:rPr>
          <w:rFonts w:hint="eastAsia" w:ascii="宋体" w:hAnsi="宋体" w:cs="宋体"/>
          <w:b/>
          <w:bCs/>
          <w:color w:val="000000" w:themeColor="text1"/>
          <w:sz w:val="30"/>
          <w:szCs w:val="30"/>
          <w:highlight w:val="none"/>
          <w14:textFill>
            <w14:solidFill>
              <w14:schemeClr w14:val="tx1"/>
            </w14:solidFill>
          </w14:textFill>
        </w:rPr>
      </w:pPr>
      <w:r>
        <w:rPr>
          <w:rFonts w:hint="eastAsia" w:ascii="宋体" w:hAnsi="宋体" w:cs="宋体"/>
          <w:b/>
          <w:bCs/>
          <w:color w:val="000000" w:themeColor="text1"/>
          <w:sz w:val="30"/>
          <w:szCs w:val="30"/>
          <w:highlight w:val="none"/>
          <w14:textFill>
            <w14:solidFill>
              <w14:schemeClr w14:val="tx1"/>
            </w14:solidFill>
          </w14:textFill>
        </w:rPr>
        <w:br w:type="page"/>
      </w:r>
    </w:p>
    <w:p w14:paraId="1F49C8F0">
      <w:pPr>
        <w:spacing w:line="360" w:lineRule="auto"/>
        <w:jc w:val="center"/>
        <w:rPr>
          <w:rFonts w:hint="eastAsia" w:ascii="宋体" w:hAnsi="宋体" w:cs="宋体"/>
          <w:color w:val="000000" w:themeColor="text1"/>
          <w:sz w:val="30"/>
          <w:szCs w:val="30"/>
          <w:highlight w:val="none"/>
          <w14:textFill>
            <w14:solidFill>
              <w14:schemeClr w14:val="tx1"/>
            </w14:solidFill>
          </w14:textFill>
        </w:rPr>
      </w:pPr>
      <w:r>
        <w:rPr>
          <w:rFonts w:hint="eastAsia" w:ascii="宋体" w:hAnsi="宋体" w:cs="宋体"/>
          <w:b/>
          <w:bCs/>
          <w:color w:val="000000" w:themeColor="text1"/>
          <w:sz w:val="30"/>
          <w:szCs w:val="30"/>
          <w:highlight w:val="none"/>
          <w14:textFill>
            <w14:solidFill>
              <w14:schemeClr w14:val="tx1"/>
            </w14:solidFill>
          </w14:textFill>
        </w:rPr>
        <w:t>第二章 供应商须知正文</w:t>
      </w:r>
    </w:p>
    <w:p w14:paraId="6812C8A0">
      <w:pPr>
        <w:adjustRightInd w:val="0"/>
        <w:snapToGrid w:val="0"/>
        <w:spacing w:before="120" w:beforeLines="50" w:after="120" w:afterLines="50" w:line="360" w:lineRule="auto"/>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1 总则</w:t>
      </w:r>
    </w:p>
    <w:p w14:paraId="2C7AC8A8">
      <w:pPr>
        <w:adjustRightInd w:val="0"/>
        <w:snapToGrid w:val="0"/>
        <w:spacing w:line="360" w:lineRule="auto"/>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1.1采购方法和评审办法</w:t>
      </w:r>
    </w:p>
    <w:p w14:paraId="37699435">
      <w:pPr>
        <w:adjustRightInd w:val="0"/>
        <w:snapToGri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本项目采用供应商须知前附表规定的采购方式和评审办法。</w:t>
      </w:r>
    </w:p>
    <w:p w14:paraId="71195312">
      <w:pPr>
        <w:adjustRightInd w:val="0"/>
        <w:snapToGri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1.1.1采购方法</w:t>
      </w:r>
    </w:p>
    <w:p w14:paraId="1165332B">
      <w:pPr>
        <w:adjustRightInd w:val="0"/>
        <w:snapToGri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询价采购，是指按照规定程序就采购项目向符合资格要求的供应商进行询价，通过评审、比较确定成交供应商的采购方式。</w:t>
      </w:r>
    </w:p>
    <w:p w14:paraId="1E7D1CF1">
      <w:pPr>
        <w:adjustRightInd w:val="0"/>
        <w:snapToGri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竞争性谈判采购，是指按照规定程序通过与符合资格要求的供应商谈判确定成交供应商的采购方式。</w:t>
      </w:r>
    </w:p>
    <w:p w14:paraId="01A06027">
      <w:pPr>
        <w:adjustRightInd w:val="0"/>
        <w:snapToGri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竞争性磋商采购，是指按照规定程序通过与符合资格要求的供应商磋商确定成交供应商的采购方式。</w:t>
      </w:r>
    </w:p>
    <w:p w14:paraId="532C7468">
      <w:pPr>
        <w:adjustRightInd w:val="0"/>
        <w:snapToGri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单一来源采购，是指按照规定程序向单一供应商直接购买的采购方式。</w:t>
      </w:r>
    </w:p>
    <w:p w14:paraId="7FCEE461">
      <w:pPr>
        <w:adjustRightInd w:val="0"/>
        <w:snapToGri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直接采购，是指按照规定程序与符合资格要求的供应商谈判确定成交供应商的采购方法。</w:t>
      </w:r>
    </w:p>
    <w:p w14:paraId="66A57212">
      <w:pPr>
        <w:adjustRightInd w:val="0"/>
        <w:snapToGri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1.1.2评审办法</w:t>
      </w:r>
    </w:p>
    <w:p w14:paraId="333B3FF6">
      <w:pPr>
        <w:adjustRightInd w:val="0"/>
        <w:snapToGri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最低价法，是指在资质、业绩、信誉等条件均满足询价文件要求的前提下，按单项或总价价格最低原则确定成交供应商。包括同质比价法和同价比质法。</w:t>
      </w:r>
    </w:p>
    <w:p w14:paraId="3F7C88BE">
      <w:pPr>
        <w:adjustRightInd w:val="0"/>
        <w:snapToGri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同质比价法，遵循最低价法评审原则，在资质、业绩、信誉等条件均满足询价文件要求的前提下，按价格最低原则确定成交供应商。</w:t>
      </w:r>
    </w:p>
    <w:p w14:paraId="600BA1A1">
      <w:pPr>
        <w:adjustRightInd w:val="0"/>
        <w:snapToGri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同价比质法，遵循最低价法评审原则，若报价相同，应选择质量、服务承诺及优惠条件较优的供应商。</w:t>
      </w:r>
    </w:p>
    <w:p w14:paraId="78842FDE">
      <w:pPr>
        <w:adjustRightInd w:val="0"/>
        <w:snapToGri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综合评分法（性价比法），潜在供应商服务水平有较大差别的，可采用综合评分法，在最大限度地满足采购文件实质性要求前提下，按照采购文件规定的要求对供应商的商务、技术和价格等进行综合评审，根据需求，按评审最终得分排名先后顺序依次推荐中选供应商的评审办法。按综合性能最优原则确定成交供应商。</w:t>
      </w:r>
    </w:p>
    <w:p w14:paraId="10659C3F">
      <w:pPr>
        <w:adjustRightInd w:val="0"/>
        <w:snapToGrid w:val="0"/>
        <w:spacing w:line="360" w:lineRule="auto"/>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1.2采购项目概况和供应商资格要求</w:t>
      </w:r>
    </w:p>
    <w:p w14:paraId="09653298">
      <w:pPr>
        <w:adjustRightInd w:val="0"/>
        <w:snapToGrid w:val="0"/>
        <w:spacing w:line="360" w:lineRule="auto"/>
        <w:ind w:firstLine="453" w:firstLineChars="189"/>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采购项目概况和供应商资格要求见第一章“采购公告”。</w:t>
      </w:r>
    </w:p>
    <w:p w14:paraId="34580109">
      <w:pPr>
        <w:adjustRightInd w:val="0"/>
        <w:snapToGrid w:val="0"/>
        <w:spacing w:line="360" w:lineRule="auto"/>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1.3 费用承担</w:t>
      </w:r>
    </w:p>
    <w:p w14:paraId="102F84A8">
      <w:pPr>
        <w:adjustRightInd w:val="0"/>
        <w:snapToGrid w:val="0"/>
        <w:spacing w:line="360" w:lineRule="auto"/>
        <w:ind w:firstLine="453" w:firstLineChars="189"/>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供应商准备和参加采购活动所发生的各种费用由供应商自行承担。</w:t>
      </w:r>
    </w:p>
    <w:p w14:paraId="172BC6A0">
      <w:pPr>
        <w:adjustRightInd w:val="0"/>
        <w:snapToGrid w:val="0"/>
        <w:spacing w:line="360" w:lineRule="auto"/>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1.4保密</w:t>
      </w:r>
    </w:p>
    <w:p w14:paraId="1B6E16ED">
      <w:pPr>
        <w:adjustRightInd w:val="0"/>
        <w:snapToGrid w:val="0"/>
        <w:spacing w:line="360" w:lineRule="auto"/>
        <w:ind w:firstLine="453" w:firstLineChars="189"/>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参加采购活动的各方应对采购文件和响应文件中的商业和技术等秘密保密，否则应承担相应的法律责任。</w:t>
      </w:r>
    </w:p>
    <w:p w14:paraId="3A172821">
      <w:pPr>
        <w:adjustRightInd w:val="0"/>
        <w:snapToGrid w:val="0"/>
        <w:spacing w:line="360" w:lineRule="auto"/>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1.5语言文字</w:t>
      </w:r>
    </w:p>
    <w:p w14:paraId="1FA53B64">
      <w:pPr>
        <w:adjustRightInd w:val="0"/>
        <w:snapToGrid w:val="0"/>
        <w:spacing w:line="360" w:lineRule="auto"/>
        <w:ind w:firstLine="453" w:firstLineChars="189"/>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采购文件和响应文件使用的语言文字为中文。专用术语使用外文的，应附有中文注释。</w:t>
      </w:r>
    </w:p>
    <w:p w14:paraId="7561A52B">
      <w:pPr>
        <w:adjustRightInd w:val="0"/>
        <w:snapToGrid w:val="0"/>
        <w:spacing w:line="360" w:lineRule="auto"/>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1.6计量单位</w:t>
      </w:r>
    </w:p>
    <w:p w14:paraId="79CA7DAA">
      <w:pPr>
        <w:adjustRightInd w:val="0"/>
        <w:snapToGrid w:val="0"/>
        <w:spacing w:line="360" w:lineRule="auto"/>
        <w:ind w:firstLine="453" w:firstLineChars="189"/>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所有计量均采用中华人民共和国法定计量单位。</w:t>
      </w:r>
    </w:p>
    <w:p w14:paraId="0E04208A">
      <w:pPr>
        <w:adjustRightInd w:val="0"/>
        <w:snapToGrid w:val="0"/>
        <w:spacing w:line="360" w:lineRule="auto"/>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1.7踏勘现场</w:t>
      </w:r>
    </w:p>
    <w:p w14:paraId="7E4E5C23">
      <w:pPr>
        <w:adjustRightInd w:val="0"/>
        <w:snapToGri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1.7.1供应商须知前附表规定组织踏勘现场的，采购人应按供应商须知前附表规定的时间、地点组织供应商踏勘项目现场。部分供应商未按时参加踏勘现场的，不影响踏勘现场的正常进行。</w:t>
      </w:r>
    </w:p>
    <w:p w14:paraId="186C4857">
      <w:pPr>
        <w:adjustRightInd w:val="0"/>
        <w:snapToGri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1.7.2供应商可自愿参加踏勘现场活动。除采购人的原因外，采购人对供应商参加踏勘现场中所发生的人员伤亡和财产损失不承担责任。</w:t>
      </w:r>
    </w:p>
    <w:p w14:paraId="4E697487">
      <w:pPr>
        <w:adjustRightInd w:val="0"/>
        <w:snapToGri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1.7.3采购人在踏勘现场中介绍的工程场地和相关的周边环境情况，仅作为供应商编制响应文件的参考，采购人不对供应商据此作出的判断和决策负责。</w:t>
      </w:r>
    </w:p>
    <w:p w14:paraId="064215D8">
      <w:pPr>
        <w:adjustRightInd w:val="0"/>
        <w:snapToGrid w:val="0"/>
        <w:spacing w:line="360" w:lineRule="auto"/>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1.8采购预备会</w:t>
      </w:r>
    </w:p>
    <w:p w14:paraId="6BD7963F">
      <w:pPr>
        <w:adjustRightInd w:val="0"/>
        <w:snapToGrid w:val="0"/>
        <w:spacing w:line="360" w:lineRule="auto"/>
        <w:ind w:firstLine="453" w:firstLineChars="189"/>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供应商须知前附表规定召开采购预备会的，采购人按供应商须知前附表规定的时间和地点召开采购预备会。</w:t>
      </w:r>
    </w:p>
    <w:p w14:paraId="62890985">
      <w:pPr>
        <w:adjustRightInd w:val="0"/>
        <w:snapToGrid w:val="0"/>
        <w:spacing w:line="360" w:lineRule="auto"/>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1.9分包(A、C)</w:t>
      </w:r>
    </w:p>
    <w:p w14:paraId="0DFF0025">
      <w:pPr>
        <w:adjustRightInd w:val="0"/>
        <w:snapToGri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供应商拟在成交后将成交项目的部分工作进行分包的，应符合供应商须知前附表的规定，并在响应文件中作出说明。</w:t>
      </w:r>
    </w:p>
    <w:p w14:paraId="2AD82A68">
      <w:pPr>
        <w:adjustRightInd w:val="0"/>
        <w:snapToGri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分包供应商不得将分包项目再次分包。成交供应商就应当就分包项目向采购人负责，分包供应商就分包项目承担连带责任。</w:t>
      </w:r>
    </w:p>
    <w:p w14:paraId="66EBB9D2">
      <w:pPr>
        <w:adjustRightInd w:val="0"/>
        <w:snapToGrid w:val="0"/>
        <w:spacing w:line="360" w:lineRule="auto"/>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1.9 主要材料和关键部件外购(B)</w:t>
      </w:r>
    </w:p>
    <w:p w14:paraId="7BFBBF0F">
      <w:pPr>
        <w:adjustRightInd w:val="0"/>
        <w:snapToGri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供应商拟对主要材料和关键部件进行外购的，应符合第五章“采购需求”中提出的或允许外购的相关规定，并在响应文件中作出说明。</w:t>
      </w:r>
    </w:p>
    <w:p w14:paraId="672BB4B2">
      <w:pPr>
        <w:adjustRightInd w:val="0"/>
        <w:snapToGrid w:val="0"/>
        <w:spacing w:line="360" w:lineRule="auto"/>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1.10响应和偏差</w:t>
      </w:r>
    </w:p>
    <w:p w14:paraId="56FD8700">
      <w:pPr>
        <w:adjustRightInd w:val="0"/>
        <w:snapToGri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1.10.1 采购需求和合同草案中的关键条款均以“*”符号标记。响应文件应当对采购需求和合同草案的关键条款作出满足性或更有利于采购人的响应，否则，供应商的响应文件将被视为无效。</w:t>
      </w:r>
    </w:p>
    <w:p w14:paraId="5CCF0C13">
      <w:pPr>
        <w:adjustRightInd w:val="0"/>
        <w:snapToGri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1.10.2供应商须知前附表规定了对非关键条款允许偏差的范围和可以偏差的项数的，如响应文件存在的偏差超出上述范围或项数，将被视为无效。</w:t>
      </w:r>
    </w:p>
    <w:p w14:paraId="73DA43A4">
      <w:pPr>
        <w:adjustRightInd w:val="0"/>
        <w:snapToGrid w:val="0"/>
        <w:spacing w:line="360" w:lineRule="auto"/>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2采购文件</w:t>
      </w:r>
    </w:p>
    <w:p w14:paraId="4FD07BBB">
      <w:pPr>
        <w:adjustRightInd w:val="0"/>
        <w:snapToGrid w:val="0"/>
        <w:spacing w:line="360" w:lineRule="auto"/>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2.1采购文件的组成</w:t>
      </w:r>
    </w:p>
    <w:p w14:paraId="29374B99">
      <w:pPr>
        <w:adjustRightInd w:val="0"/>
        <w:snapToGri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本采购文件包括：</w:t>
      </w:r>
    </w:p>
    <w:p w14:paraId="518666D1">
      <w:pPr>
        <w:adjustRightInd w:val="0"/>
        <w:snapToGri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(1)采购公告(或邀请书)：</w:t>
      </w:r>
    </w:p>
    <w:p w14:paraId="280CE617">
      <w:pPr>
        <w:adjustRightInd w:val="0"/>
        <w:snapToGri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(2)供应商须知；</w:t>
      </w:r>
    </w:p>
    <w:p w14:paraId="2DC94B5E">
      <w:pPr>
        <w:adjustRightInd w:val="0"/>
        <w:snapToGri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(3)评审办法；</w:t>
      </w:r>
    </w:p>
    <w:p w14:paraId="73F84995">
      <w:pPr>
        <w:adjustRightInd w:val="0"/>
        <w:snapToGri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(4)合同条款及格式；</w:t>
      </w:r>
    </w:p>
    <w:p w14:paraId="4F9C9341">
      <w:pPr>
        <w:adjustRightInd w:val="0"/>
        <w:snapToGri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(5)采购需求；</w:t>
      </w:r>
    </w:p>
    <w:p w14:paraId="5F693EE8">
      <w:pPr>
        <w:adjustRightInd w:val="0"/>
        <w:snapToGri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(6)响应文件格式；</w:t>
      </w:r>
    </w:p>
    <w:p w14:paraId="4A699EC7">
      <w:pPr>
        <w:adjustRightInd w:val="0"/>
        <w:snapToGri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(7)供应商须知前附表规定的其他资料。</w:t>
      </w:r>
    </w:p>
    <w:p w14:paraId="5323AC36">
      <w:pPr>
        <w:adjustRightInd w:val="0"/>
        <w:snapToGri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采购人依照本章规定，对采购文件所作的澄清、修改，构成采购文件的组成部分。</w:t>
      </w:r>
    </w:p>
    <w:p w14:paraId="229FEF9C">
      <w:pPr>
        <w:adjustRightInd w:val="0"/>
        <w:snapToGrid w:val="0"/>
        <w:spacing w:line="360" w:lineRule="auto"/>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 2.2 采购文件的澄清和修改</w:t>
      </w:r>
    </w:p>
    <w:p w14:paraId="6380E8C3">
      <w:pPr>
        <w:adjustRightInd w:val="0"/>
        <w:snapToGri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2.2.1供应商应仔细阅读和检查采购文件的全部内容。如发现缺页或内容不全，应及时向采购人提出，以便补齐。如有疑问，应在供应商须知前附表规定的时间前，以书面形式要求采购人对采购文件予以澄清。</w:t>
      </w:r>
    </w:p>
    <w:p w14:paraId="0D7AEE56">
      <w:pPr>
        <w:adjustRightInd w:val="0"/>
        <w:snapToGri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2.2.2采购人可根据供应商的要求或主动对采购文件进行澄清或修改。澄清或修改的内容以补充文件的形式发给所有获取采购文件的供应商。采购人可视具体情况在补充文件中通知供应商推迟递交响应文件的截止时间。</w:t>
      </w:r>
    </w:p>
    <w:p w14:paraId="5323A812">
      <w:pPr>
        <w:adjustRightInd w:val="0"/>
        <w:snapToGri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2.2.3供应商在收到补充文件后，应按供应商须知前附表规定的时间和方式通知采购人，确认已收到该补充文件。</w:t>
      </w:r>
    </w:p>
    <w:p w14:paraId="37ED357E">
      <w:pPr>
        <w:adjustRightInd w:val="0"/>
        <w:snapToGri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2.2.4除非确有必要，采购人有权拒绝回复供应商在本章第2.2.1项规定的时间后提出的任何澄清要求。</w:t>
      </w:r>
    </w:p>
    <w:p w14:paraId="6B502239">
      <w:pPr>
        <w:adjustRightInd w:val="0"/>
        <w:snapToGrid w:val="0"/>
        <w:spacing w:line="360" w:lineRule="auto"/>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3响应文件</w:t>
      </w:r>
    </w:p>
    <w:p w14:paraId="5B8033E1">
      <w:pPr>
        <w:adjustRightInd w:val="0"/>
        <w:snapToGrid w:val="0"/>
        <w:spacing w:line="360" w:lineRule="auto"/>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3.1响应文件的组成</w:t>
      </w:r>
    </w:p>
    <w:p w14:paraId="722AB29E">
      <w:pPr>
        <w:adjustRightInd w:val="0"/>
        <w:snapToGri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3.1.1响应文件应包括下列内容：</w:t>
      </w:r>
    </w:p>
    <w:p w14:paraId="2609AB01">
      <w:pPr>
        <w:adjustRightInd w:val="0"/>
        <w:snapToGri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(1)响应函；</w:t>
      </w:r>
    </w:p>
    <w:p w14:paraId="16CB091D">
      <w:pPr>
        <w:adjustRightInd w:val="0"/>
        <w:snapToGri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(2)授权委托书(如有)；</w:t>
      </w:r>
    </w:p>
    <w:p w14:paraId="58722E85">
      <w:pPr>
        <w:adjustRightInd w:val="0"/>
        <w:snapToGri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(3)联合体协议书(如有)；</w:t>
      </w:r>
    </w:p>
    <w:p w14:paraId="3C3147BC">
      <w:pPr>
        <w:adjustRightInd w:val="0"/>
        <w:snapToGri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(4)响应保证金(如有)；</w:t>
      </w:r>
    </w:p>
    <w:p w14:paraId="30A04D4D">
      <w:pPr>
        <w:adjustRightInd w:val="0"/>
        <w:snapToGri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(5)商务和技术偏差表；</w:t>
      </w:r>
    </w:p>
    <w:p w14:paraId="294EFA74">
      <w:pPr>
        <w:adjustRightInd w:val="0"/>
        <w:snapToGri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(6)报价表；</w:t>
      </w:r>
    </w:p>
    <w:p w14:paraId="73F4D015">
      <w:pPr>
        <w:adjustRightInd w:val="0"/>
        <w:snapToGri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(7)资格审查资料；</w:t>
      </w:r>
    </w:p>
    <w:p w14:paraId="2A98D3D4">
      <w:pPr>
        <w:adjustRightInd w:val="0"/>
        <w:snapToGri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(8)响应方案；</w:t>
      </w:r>
    </w:p>
    <w:p w14:paraId="1A30919D">
      <w:pPr>
        <w:adjustRightInd w:val="0"/>
        <w:snapToGri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(9)供应商须知前附表规定的其他资料。</w:t>
      </w:r>
    </w:p>
    <w:p w14:paraId="79AD58BC">
      <w:pPr>
        <w:adjustRightInd w:val="0"/>
        <w:snapToGri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供应商在评审过程中作出的符合采购文件要求的澄清、说明和补正，构成响应文件的组成部分。</w:t>
      </w:r>
    </w:p>
    <w:p w14:paraId="45A4C2E2">
      <w:pPr>
        <w:adjustRightInd w:val="0"/>
        <w:snapToGri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3.1.2供应商的法定代表人(单位负责人)亲自签署响应文件、亲自参加采购的，响应文件不包括第3.1.1(2)目所指的授权委托书。第一章“采购公告”规定不接受联合体的，或供应商没有组成联合体的，响应文件不包括第3.1.1(3</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目所指的联合体协议书。供应商须知前附表未要求供应商递交响应保证金的，响应文件不包括第3.1.1(4)目所指的响应保证金。</w:t>
      </w:r>
    </w:p>
    <w:p w14:paraId="4635E1E5">
      <w:pPr>
        <w:adjustRightInd w:val="0"/>
        <w:snapToGrid w:val="0"/>
        <w:spacing w:line="360" w:lineRule="auto"/>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3.2 报价</w:t>
      </w:r>
    </w:p>
    <w:p w14:paraId="2E85772F">
      <w:pPr>
        <w:adjustRightInd w:val="0"/>
        <w:snapToGri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3.2.1供应商应按采购文件提供的格式(见第六章“响应文件格式”)在响应函和报价表中进行报价。响应函中报价应为包含国家规定的增值税在内的含税价格，同时应列明不含税价格和增值税税额，采购人将根据项目情况，在第三章“评审办法"第2.2.2项中选择按照含税价格或不含税价格对供应商进行价格评审。</w:t>
      </w:r>
    </w:p>
    <w:p w14:paraId="540BD42F">
      <w:pPr>
        <w:adjustRightInd w:val="0"/>
        <w:snapToGri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3.2.2供应商应充分了解采购项目的总体情况以及影响报价的其他要素。对于货物和服务采购项目，采购人在签署采购合同时及合同履行过程中，有权在供应商须知前附表规定的幅度内对采购标的数量进行增加或减少。</w:t>
      </w:r>
    </w:p>
    <w:p w14:paraId="60E5B0A6">
      <w:pPr>
        <w:adjustRightInd w:val="0"/>
        <w:snapToGri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3.2.3采购人设有最高限价的，供应商的报价不得超过最高限价。最高限价或最高限价计算方法在供应商须知前附表中载明。</w:t>
      </w:r>
    </w:p>
    <w:p w14:paraId="25940DBA">
      <w:pPr>
        <w:adjustRightInd w:val="0"/>
        <w:snapToGri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3.2.4报价的其他要求见供应商须知前附表。</w:t>
      </w:r>
    </w:p>
    <w:p w14:paraId="0D44D9DE">
      <w:pPr>
        <w:adjustRightInd w:val="0"/>
        <w:snapToGrid w:val="0"/>
        <w:spacing w:line="360" w:lineRule="auto"/>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3.3响应文件有效期</w:t>
      </w:r>
    </w:p>
    <w:p w14:paraId="7C5A3080">
      <w:pPr>
        <w:adjustRightInd w:val="0"/>
        <w:snapToGri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3.3.1除供应商须知前附表另有规定外，响应文件有效期应为90日，从采购文件规定的递交响应文件的截止时间开始计算。</w:t>
      </w:r>
    </w:p>
    <w:p w14:paraId="3784E4B8">
      <w:pPr>
        <w:adjustRightInd w:val="0"/>
        <w:snapToGri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3.3.2出现特殊情况需要延长响应文件有效期，采购人以书面形式通知所有供应商延长响应文件有效期的，供应商应予以书面答复。同意延长的，应相应延长其响应保证金的有效期，但不得修改其响应文件；供应商拒绝延长的，其响应文件在原有效期届满后失效，但供应商有权收回其响应保证金。</w:t>
      </w:r>
    </w:p>
    <w:p w14:paraId="47FEED6D">
      <w:pPr>
        <w:adjustRightInd w:val="0"/>
        <w:snapToGrid w:val="0"/>
        <w:spacing w:line="360" w:lineRule="auto"/>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3.4响应保证金</w:t>
      </w:r>
    </w:p>
    <w:p w14:paraId="6221C863">
      <w:pPr>
        <w:adjustRightInd w:val="0"/>
        <w:snapToGri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3.4.1供应商须知前附表规定要求提交响应保证金的。供应商在递交响应文件的同时，应按供应商须知前附表规定的金额、形式和采购文件提供的格式（见第六章“响应文件格式”四、响应保证金）递交响应保证金，并作为其响应文件的组成部分。供应商不按要求递交响应保证金的，其响应文件被视为无效。</w:t>
      </w:r>
    </w:p>
    <w:p w14:paraId="52643064">
      <w:pPr>
        <w:adjustRightInd w:val="0"/>
        <w:snapToGri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3.4.2除供应商须知前附表另有规定外，采购人将在发出成交通知书后5日内向除成交供应商外的其他供应商原额退还响应保证金，并在采购合同签订后5日内向成交供应商和未成交的其他候选供应商原额退还响应保证金。采用银行保函、担保机构担保函、保险机构保险单形式递交的响应保证金，经供应商同意后采购人可以不再退还。</w:t>
      </w:r>
    </w:p>
    <w:p w14:paraId="3F360797">
      <w:pPr>
        <w:adjustRightInd w:val="0"/>
        <w:snapToGri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3.4.3有下列情形之一的，响应保证金将不予退还：</w:t>
      </w:r>
    </w:p>
    <w:p w14:paraId="5090FAFE">
      <w:pPr>
        <w:adjustRightInd w:val="0"/>
        <w:snapToGrid w:val="0"/>
        <w:spacing w:line="360" w:lineRule="auto"/>
        <w:ind w:firstLine="453" w:firstLineChars="189"/>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(1)供应商在响应文件有效期内撤销响应文件；</w:t>
      </w:r>
    </w:p>
    <w:p w14:paraId="2AE16DE8">
      <w:pPr>
        <w:adjustRightInd w:val="0"/>
        <w:snapToGrid w:val="0"/>
        <w:spacing w:line="360" w:lineRule="auto"/>
        <w:ind w:firstLine="453" w:firstLineChars="189"/>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(2)成交供应商在收到成交通知书后，无正当理由不与采购人订立合同，在签订合同时向采购人提出附加条件，或者不按照采购文件要求递交履约保证金；</w:t>
      </w:r>
    </w:p>
    <w:p w14:paraId="04F45A55">
      <w:pPr>
        <w:adjustRightInd w:val="0"/>
        <w:snapToGrid w:val="0"/>
        <w:spacing w:line="360" w:lineRule="auto"/>
        <w:ind w:firstLine="453" w:firstLineChars="189"/>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(3)发生供应商须知前附表规定的其他不予退还响应保证金的情形。</w:t>
      </w:r>
    </w:p>
    <w:p w14:paraId="12B1B183">
      <w:pPr>
        <w:adjustRightInd w:val="0"/>
        <w:snapToGrid w:val="0"/>
        <w:spacing w:line="360" w:lineRule="auto"/>
        <w:ind w:left="120" w:hanging="120" w:hangingChars="50"/>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3.5资格审查资料</w:t>
      </w:r>
    </w:p>
    <w:p w14:paraId="276E363B">
      <w:pPr>
        <w:adjustRightInd w:val="0"/>
        <w:snapToGri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供应商应提供供应商须知前附表3.5(1)-3.5(9)中规定的资格审查资料，以证明其满足第一章“采购公告”对供应商的各项资格要求。</w:t>
      </w:r>
    </w:p>
    <w:p w14:paraId="6F0C5F1C">
      <w:pPr>
        <w:adjustRightInd w:val="0"/>
        <w:snapToGrid w:val="0"/>
        <w:spacing w:line="360" w:lineRule="auto"/>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3.6响应方案</w:t>
      </w:r>
    </w:p>
    <w:p w14:paraId="18088049">
      <w:pPr>
        <w:adjustRightInd w:val="0"/>
        <w:snapToGri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3.6.1响应文件应当对采购文件中的实质性内容作出响应。采购需求中明确为关键条款(标记“*”)的，供应商还应按照供应商须知前附表的规定提供有关证据或证明材料。</w:t>
      </w:r>
    </w:p>
    <w:p w14:paraId="0A66E2E0">
      <w:pPr>
        <w:adjustRightInd w:val="0"/>
        <w:snapToGri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3.6.2供应商只能提出唯一的响应方案。供应商在响应文件中提出多个响应方案的，其响应文件将被视为无效。</w:t>
      </w:r>
    </w:p>
    <w:p w14:paraId="465730BA">
      <w:pPr>
        <w:adjustRightInd w:val="0"/>
        <w:snapToGri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3.6.3响应文件对采购文件的全部偏差，均应在响应文件的商务和技术偏差表中列明。响应文件偏差表中未列明的内容，将视为供应商响应采购文件的要求：但如发现响应文件的其他部分与商务和技术偏差表的描述不一致或供应商的响应缺乏支持性文件，则评审小组有权要求供应商对相关问题进行澄清，并根据澄清结果对供应商的响应文件进行评审。</w:t>
      </w:r>
    </w:p>
    <w:p w14:paraId="0E71CA7F">
      <w:pPr>
        <w:adjustRightInd w:val="0"/>
        <w:snapToGrid w:val="0"/>
        <w:spacing w:line="360" w:lineRule="auto"/>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3.7响应文件的编制</w:t>
      </w:r>
    </w:p>
    <w:p w14:paraId="1DA79E10">
      <w:pPr>
        <w:adjustRightInd w:val="0"/>
        <w:snapToGri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3.7.1响应文件应按第六章“响应文件格式”进行编写，如有必要，可以增加附件作为响应文件的组成部分。</w:t>
      </w:r>
    </w:p>
    <w:p w14:paraId="7056803B">
      <w:pPr>
        <w:adjustRightInd w:val="0"/>
        <w:snapToGri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3.7.2响应文件应用不褪色的材料书写或打印。</w:t>
      </w:r>
    </w:p>
    <w:p w14:paraId="4A38D788">
      <w:pPr>
        <w:adjustRightInd w:val="0"/>
        <w:snapToGri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响应函应由供应商的法定代表人(单位负责人)或其授权的代理人签字并加盖单位章。联合体协议书(如有)应由联合体各方的法定代表人(单位负责人)或其授权的代理人签字并加盖单位章。</w:t>
      </w:r>
    </w:p>
    <w:p w14:paraId="597F6877">
      <w:pPr>
        <w:adjustRightInd w:val="0"/>
        <w:snapToGri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响应函或联合体协议书(如有)由代理人签字的，应在响应文件中附授权委托书，授权委托书应由供应商或联合体各方的法定代表人(单位负责人)签字并加盖单位章。</w:t>
      </w:r>
    </w:p>
    <w:p w14:paraId="6F684E96">
      <w:pPr>
        <w:adjustRightInd w:val="0"/>
        <w:snapToGri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3.7.3评审过程中供应商对响应文件的澄清、说明和补正应由供应商的法定代表人(单位负责人)或其授权的代理人签字或加盖单位章。</w:t>
      </w:r>
    </w:p>
    <w:p w14:paraId="4AB506BF">
      <w:pPr>
        <w:adjustRightInd w:val="0"/>
        <w:snapToGri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3.7.4响应文件应尽量避免涂改、行间插字或删除。如果出现上述情况，改动之处应由供应商的法定代表人(单位负责人)或其授权的代理人签字或加盖单位章。</w:t>
      </w:r>
    </w:p>
    <w:p w14:paraId="5F4E8189">
      <w:pPr>
        <w:adjustRightInd w:val="0"/>
        <w:snapToGri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3.7.5响应文件正本一份， 副本份数见供应商须知前附表。正本和副本的封面右上角应清楚地标记“正本”或“副本”的字样。供应商应根据供应商须知前附表要求提供电子版文件。当副本和正本不致，或电子版文件和纸质正本文件不一致时，以纸质正本文件为准。</w:t>
      </w:r>
    </w:p>
    <w:p w14:paraId="49385F7A">
      <w:pPr>
        <w:adjustRightInd w:val="0"/>
        <w:snapToGri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3.7.6响应文件的正本与副本应分别装订，并编制目录。响应文件需分册装订的，具体分册装订要求见供应商须知前附表规定。</w:t>
      </w:r>
    </w:p>
    <w:p w14:paraId="24786291">
      <w:pPr>
        <w:adjustRightInd w:val="0"/>
        <w:snapToGrid w:val="0"/>
        <w:spacing w:line="360" w:lineRule="auto"/>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4响应文件的递交</w:t>
      </w:r>
    </w:p>
    <w:p w14:paraId="09D63D60">
      <w:pPr>
        <w:adjustRightInd w:val="0"/>
        <w:snapToGrid w:val="0"/>
        <w:spacing w:line="360" w:lineRule="auto"/>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4.1响应文件的包装与标记</w:t>
      </w:r>
    </w:p>
    <w:p w14:paraId="56C530C8">
      <w:pPr>
        <w:adjustRightInd w:val="0"/>
        <w:snapToGri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4.1.1响应文件应</w:t>
      </w:r>
      <w:r>
        <w:rPr>
          <w:rFonts w:hint="eastAsia" w:ascii="宋体" w:hAnsi="宋体" w:cs="宋体"/>
          <w:color w:val="000000" w:themeColor="text1"/>
          <w:sz w:val="24"/>
          <w:highlight w:val="none"/>
          <w:lang w:eastAsia="zh-CN"/>
          <w14:textFill>
            <w14:solidFill>
              <w14:schemeClr w14:val="tx1"/>
            </w14:solidFill>
          </w14:textFill>
        </w:rPr>
        <w:t>妥善</w:t>
      </w:r>
      <w:r>
        <w:rPr>
          <w:rFonts w:hint="eastAsia" w:ascii="宋体" w:hAnsi="宋体" w:cs="宋体"/>
          <w:color w:val="000000" w:themeColor="text1"/>
          <w:sz w:val="24"/>
          <w:highlight w:val="none"/>
          <w14:textFill>
            <w14:solidFill>
              <w14:schemeClr w14:val="tx1"/>
            </w14:solidFill>
          </w14:textFill>
        </w:rPr>
        <w:t>包装。供应商须知前附表规定响应文件应密封的，响应文件应按要求密封。</w:t>
      </w:r>
    </w:p>
    <w:p w14:paraId="5AAF9644">
      <w:pPr>
        <w:adjustRightInd w:val="0"/>
        <w:snapToGri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4.1.2响应文件封套上应载明的内容见供应商须知前附表。</w:t>
      </w:r>
    </w:p>
    <w:p w14:paraId="70A20DA9">
      <w:pPr>
        <w:adjustRightInd w:val="0"/>
        <w:snapToGrid w:val="0"/>
        <w:spacing w:line="360" w:lineRule="auto"/>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4.2 响应文件的递交</w:t>
      </w:r>
    </w:p>
    <w:p w14:paraId="1FB89674">
      <w:pPr>
        <w:adjustRightInd w:val="0"/>
        <w:snapToGri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4.2.1供应商应在供应商须知前附表规定的递交响应文件的截止时间前，将响应文件递交到供应商须知前附表规定的地点。逾期送达的或者未送达指定地点的响应文件，采购人将拒绝接收。采购人收到响应文件后，向供应商出具接收凭证。</w:t>
      </w:r>
    </w:p>
    <w:p w14:paraId="7115CABA">
      <w:pPr>
        <w:adjustRightInd w:val="0"/>
        <w:snapToGri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4.2.2除供应商须知前附表另有规定外，供应商所提交的响应文件</w:t>
      </w:r>
      <w:r>
        <w:rPr>
          <w:rFonts w:hint="eastAsia" w:ascii="宋体" w:hAnsi="宋体" w:cs="宋体"/>
          <w:color w:val="000000" w:themeColor="text1"/>
          <w:sz w:val="24"/>
          <w:highlight w:val="none"/>
          <w:lang w:eastAsia="zh-CN"/>
          <w14:textFill>
            <w14:solidFill>
              <w14:schemeClr w14:val="tx1"/>
            </w14:solidFill>
          </w14:textFill>
        </w:rPr>
        <w:t>不予</w:t>
      </w:r>
      <w:r>
        <w:rPr>
          <w:rFonts w:hint="eastAsia" w:ascii="宋体" w:hAnsi="宋体" w:cs="宋体"/>
          <w:color w:val="000000" w:themeColor="text1"/>
          <w:sz w:val="24"/>
          <w:highlight w:val="none"/>
          <w14:textFill>
            <w14:solidFill>
              <w14:schemeClr w14:val="tx1"/>
            </w14:solidFill>
          </w14:textFill>
        </w:rPr>
        <w:t>退还。</w:t>
      </w:r>
    </w:p>
    <w:p w14:paraId="7F45250E">
      <w:pPr>
        <w:adjustRightInd w:val="0"/>
        <w:snapToGrid w:val="0"/>
        <w:spacing w:line="360" w:lineRule="auto"/>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4.3响应文件的修改与撤回</w:t>
      </w:r>
    </w:p>
    <w:p w14:paraId="2CDB9799">
      <w:pPr>
        <w:adjustRightInd w:val="0"/>
        <w:snapToGri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4.3.1在本章第4.2.1项规定的递交响应文件的截止时间前，供应商可以修改或撤回已递交的响应文件。</w:t>
      </w:r>
    </w:p>
    <w:p w14:paraId="1B4164D5">
      <w:pPr>
        <w:adjustRightInd w:val="0"/>
        <w:snapToGri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4.3.2响应文件的修改文件或供应商撤回已递交响应文件的书面通知应由供应商的法定代表人(单位负责人)或其授权的代理人签字并加盖单位章。采购人收到供应商修改响应文件的书面文件后，向供应商出具接收凭证；采购人收到供应商撤回响应文件的书面通知后，退回供应商的响应文件。</w:t>
      </w:r>
    </w:p>
    <w:p w14:paraId="0CC2C083">
      <w:pPr>
        <w:adjustRightInd w:val="0"/>
        <w:snapToGri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4.3.3除供应商须知前附表另有规定外，供应商撤回响应文件的，采购人应在5日内退还已收取的响应保证金。</w:t>
      </w:r>
    </w:p>
    <w:p w14:paraId="27A4FF0A">
      <w:pPr>
        <w:adjustRightInd w:val="0"/>
        <w:snapToGri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4.3.4修改的内容为响应文件的组成部分。响应文件的修改文件应按照本章第3条、第4条的规定进行编制、包装、标记和递交，并注明“修改”字样。</w:t>
      </w:r>
    </w:p>
    <w:p w14:paraId="40F76525">
      <w:pPr>
        <w:adjustRightInd w:val="0"/>
        <w:snapToGrid w:val="0"/>
        <w:spacing w:line="360" w:lineRule="auto"/>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5开启响应文件</w:t>
      </w:r>
    </w:p>
    <w:p w14:paraId="2A85A6B6">
      <w:pPr>
        <w:adjustRightInd w:val="0"/>
        <w:snapToGri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采购人根据采购项目的市场供应情况确定是否公开开启响应文件。供应商须知前附表规定公开开启响应文件的，开启活动应按本条规定执行。</w:t>
      </w:r>
    </w:p>
    <w:p w14:paraId="65A704E9">
      <w:pPr>
        <w:adjustRightInd w:val="0"/>
        <w:snapToGrid w:val="0"/>
        <w:spacing w:line="360" w:lineRule="auto"/>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5.1开启响应文件的时间和地点</w:t>
      </w:r>
    </w:p>
    <w:p w14:paraId="7ADCFA0A">
      <w:pPr>
        <w:adjustRightInd w:val="0"/>
        <w:snapToGri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采购人在本章第4.2.1项规定的递交响应文件的截止时间和地点公开开启响应文件，并邀请所有供应商的法定代表人(单位负责人)或其授权的代理人参加开启会议，供应商未派代表参加的，视为默认开启结果。</w:t>
      </w:r>
    </w:p>
    <w:p w14:paraId="32473490">
      <w:pPr>
        <w:adjustRightInd w:val="0"/>
        <w:snapToGrid w:val="0"/>
        <w:spacing w:line="360" w:lineRule="auto"/>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5.2开启程序</w:t>
      </w:r>
    </w:p>
    <w:p w14:paraId="06777504">
      <w:pPr>
        <w:adjustRightInd w:val="0"/>
        <w:snapToGri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主持人按下列程序公开开启响应文件：</w:t>
      </w:r>
    </w:p>
    <w:p w14:paraId="6DA28435">
      <w:pPr>
        <w:adjustRightInd w:val="0"/>
        <w:snapToGri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(1)按照供应商须知前附表规定的开启顺序开启响应文件，公布递交响应文件的供应商名称、响应报价及供应商须知前附表规定的其他应公布的信息，并记录在案；</w:t>
      </w:r>
    </w:p>
    <w:p w14:paraId="6BA56DB5">
      <w:pPr>
        <w:adjustRightInd w:val="0"/>
        <w:snapToGri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(2)开启会议结束。</w:t>
      </w:r>
    </w:p>
    <w:p w14:paraId="214608B8">
      <w:pPr>
        <w:adjustRightInd w:val="0"/>
        <w:snapToGrid w:val="0"/>
        <w:spacing w:line="360" w:lineRule="auto"/>
        <w:ind w:firstLine="482"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5.3递交响应文件的供应商不足的情形</w:t>
      </w:r>
    </w:p>
    <w:p w14:paraId="002D899B">
      <w:pPr>
        <w:adjustRightInd w:val="0"/>
        <w:snapToGri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采购项目选择一家成交供应商时，递交响应文件的供应商数量不足三家的，或采购项目选择多家成交供应商时，递交响应文件的供应商数量少于供应商须知前附表规定数量的，采购人可按照下述情形分别处理：</w:t>
      </w:r>
    </w:p>
    <w:p w14:paraId="4CFD4E86">
      <w:pPr>
        <w:adjustRightInd w:val="0"/>
        <w:snapToGri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(1)终止采购并重新组织采购</w:t>
      </w:r>
    </w:p>
    <w:p w14:paraId="402DC804">
      <w:pPr>
        <w:adjustRightInd w:val="0"/>
        <w:snapToGri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采购项目存在影响公平竞争情形的，采购人应当终止采购，并根据不同情形和原因，采取相应纠正措施，重新组织采购。</w:t>
      </w:r>
    </w:p>
    <w:p w14:paraId="5DD158EA">
      <w:pPr>
        <w:adjustRightInd w:val="0"/>
        <w:snapToGri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采购项目不存在影响公平竞争情形的，采购人也可以选择终止采购，采取相应完善措施，重新组织采购。</w:t>
      </w:r>
    </w:p>
    <w:p w14:paraId="26F6BC1F">
      <w:pPr>
        <w:adjustRightInd w:val="0"/>
        <w:snapToGri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(2)继续采购</w:t>
      </w:r>
    </w:p>
    <w:p w14:paraId="0026CB1E">
      <w:pPr>
        <w:adjustRightInd w:val="0"/>
        <w:snapToGri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采购项目不存在应该终止采购情形，且采购人也没有自行选择终止采购的，采购人应按照本章第5.2款规定的程序继续开启响应文件，并按第三章“评审办法”规定的规则组织响应文件评审，完成采购后续程序。</w:t>
      </w:r>
    </w:p>
    <w:p w14:paraId="435A0AC8">
      <w:pPr>
        <w:adjustRightInd w:val="0"/>
        <w:snapToGrid w:val="0"/>
        <w:spacing w:line="360" w:lineRule="auto"/>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6评审</w:t>
      </w:r>
    </w:p>
    <w:p w14:paraId="5D0CB5C3">
      <w:pPr>
        <w:adjustRightInd w:val="0"/>
        <w:snapToGrid w:val="0"/>
        <w:spacing w:line="360" w:lineRule="auto"/>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6.1评审小组</w:t>
      </w:r>
    </w:p>
    <w:p w14:paraId="2C14C67D">
      <w:pPr>
        <w:adjustRightInd w:val="0"/>
        <w:snapToGri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6.1.1评审由采购人组建的评审小组负责。</w:t>
      </w:r>
    </w:p>
    <w:p w14:paraId="63B266BB">
      <w:pPr>
        <w:adjustRightInd w:val="0"/>
        <w:snapToGri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6.1.2评审小组成员有下列情形之的，应当回避：</w:t>
      </w:r>
    </w:p>
    <w:p w14:paraId="1C7BB31F">
      <w:pPr>
        <w:adjustRightInd w:val="0"/>
        <w:snapToGri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（1）供应商主要负责人或供应商主要负责人的近亲属；</w:t>
      </w:r>
    </w:p>
    <w:p w14:paraId="32535BF3">
      <w:pPr>
        <w:adjustRightInd w:val="0"/>
        <w:snapToGri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(2)与供应商有经济利益关系或其他利害关系，可能影响公正评审的。</w:t>
      </w:r>
    </w:p>
    <w:p w14:paraId="7FA92BAC">
      <w:pPr>
        <w:adjustRightInd w:val="0"/>
        <w:snapToGri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6.1.3评审小组组建后，评审小组成员共同推选或由采购人指定评审小组组长，评审小组组长负责组织评审工作。</w:t>
      </w:r>
    </w:p>
    <w:p w14:paraId="55C8C773">
      <w:pPr>
        <w:adjustRightInd w:val="0"/>
        <w:snapToGri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6.1.4在评审过程中，评审小组成员对需要共同认定的事项存在争议的，将按照少数服从多数的原则作出结论。持不同意见的评审小组成员应当在评审报告上签署不同意见及理由，否则视为同意评审报告。</w:t>
      </w:r>
    </w:p>
    <w:p w14:paraId="39FC5005">
      <w:pPr>
        <w:adjustRightInd w:val="0"/>
        <w:snapToGrid w:val="0"/>
        <w:spacing w:line="360" w:lineRule="auto"/>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6.2评审</w:t>
      </w:r>
    </w:p>
    <w:p w14:paraId="7BBFD6D5">
      <w:pPr>
        <w:adjustRightInd w:val="0"/>
        <w:snapToGri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6.2.1评审小组按照第三章“评审办法”规定的评审标准和程序对响应文件进行评审和比较。</w:t>
      </w:r>
    </w:p>
    <w:p w14:paraId="05D25A90">
      <w:pPr>
        <w:adjustRightInd w:val="0"/>
        <w:snapToGri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6.2.2评审完成后，评审小组应当向采购人提交书面评审报告和候选成交供应商名单。评审小组推荐候选成交供应商的排序要求及数量见供应商须知前附表。</w:t>
      </w:r>
    </w:p>
    <w:p w14:paraId="47FAC694">
      <w:pPr>
        <w:adjustRightInd w:val="0"/>
        <w:snapToGrid w:val="0"/>
        <w:spacing w:line="360" w:lineRule="auto"/>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6谈判和评审（适用于有谈判程序的采购办法）</w:t>
      </w:r>
    </w:p>
    <w:p w14:paraId="5B8E389C">
      <w:pPr>
        <w:adjustRightInd w:val="0"/>
        <w:snapToGrid w:val="0"/>
        <w:spacing w:line="360" w:lineRule="auto"/>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6.1谈判小组</w:t>
      </w:r>
    </w:p>
    <w:p w14:paraId="775791DE">
      <w:pPr>
        <w:adjustRightInd w:val="0"/>
        <w:snapToGri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6.1.1采购人将组建谈判小组，由谈判小组按照本条规定的程序以及第三章“评审办法”的规定与供应商进行谈判，对响应文件进行评审和比较。</w:t>
      </w:r>
    </w:p>
    <w:p w14:paraId="7031ADA4">
      <w:pPr>
        <w:adjustRightInd w:val="0"/>
        <w:snapToGri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6.1.2谈判小组成员有下列情形之的，应当回避：</w:t>
      </w:r>
    </w:p>
    <w:p w14:paraId="04378AC1">
      <w:pPr>
        <w:adjustRightInd w:val="0"/>
        <w:snapToGri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（1）供应商主要负责人或供应商主要负责人的近亲属；</w:t>
      </w:r>
    </w:p>
    <w:p w14:paraId="646E8A99">
      <w:pPr>
        <w:adjustRightInd w:val="0"/>
        <w:snapToGri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（2）与供应商有经济利益关系或其他利害关系，可能影响公正评审的。</w:t>
      </w:r>
    </w:p>
    <w:p w14:paraId="08AAB10E">
      <w:pPr>
        <w:adjustRightInd w:val="0"/>
        <w:snapToGri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6.1.3谈判小组组建后，谈判小组成员共同推选或由采购人指定谈判小组组长负责组织谈判及评审工作。</w:t>
      </w:r>
    </w:p>
    <w:p w14:paraId="281FD68E">
      <w:pPr>
        <w:adjustRightInd w:val="0"/>
        <w:snapToGri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6.1.4在谈判和评审过程中，谈判小组成员对需要共同认认定的事项存在争议的，将按照少数服从多数的原则作出结论。持不同意见的谈判小组成员应当在评审报告上签署不同意见及理由，否则视为同意评审报告。</w:t>
      </w:r>
    </w:p>
    <w:p w14:paraId="47789040">
      <w:pPr>
        <w:adjustRightInd w:val="0"/>
        <w:snapToGrid w:val="0"/>
        <w:spacing w:line="360" w:lineRule="auto"/>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6.2 初步评审</w:t>
      </w:r>
    </w:p>
    <w:p w14:paraId="3C6D6D46">
      <w:pPr>
        <w:adjustRightInd w:val="0"/>
        <w:snapToGri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6.2.1谈判小组按照第三章“评审办法”规定的评审标准和程序对供应商递交的响应文件进行初步评审。初步评审主要对响应文件的形式、供应商的资格和响应文件的响应性进行审查，以判断响应文件的形式是否符合要求、供应商是否符合资格条件、响应文件是否实质性响应采购文件的要求。</w:t>
      </w:r>
    </w:p>
    <w:p w14:paraId="2C381AF0">
      <w:pPr>
        <w:adjustRightInd w:val="0"/>
        <w:snapToGri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6.2.2响应文件的形式或供应商资格不符合采购文件的要求、响应文件未实质性响应采购文件的要求，或响应文件中有含义不正确、同类问题表述不一致或有明显文字和计算错误的内容，谈判小组应要求供应商在规定时间内进行澄清、说明和补正。供应商澄清、说明和补正的内容应由法定代表人（单位负责人）或其授权的代理人签字或加盖单位章。澄清、说明和补正的内容作为响应文件的组成部分。</w:t>
      </w:r>
    </w:p>
    <w:p w14:paraId="258DC03B">
      <w:pPr>
        <w:adjustRightInd w:val="0"/>
        <w:snapToGri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6.2.3只有形式评审和资格评审合格且实质性响应采购文件要求的供应商才可通过初步评审。经供应商澄清、说明和补正后仍未通过初步评审的响应文件将被视为无效，谈判小组应告知有关供应商。</w:t>
      </w:r>
    </w:p>
    <w:p w14:paraId="5ECBCEE8">
      <w:pPr>
        <w:adjustRightInd w:val="0"/>
        <w:snapToGrid w:val="0"/>
        <w:spacing w:line="360" w:lineRule="auto"/>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6.3谈判</w:t>
      </w:r>
    </w:p>
    <w:p w14:paraId="788C50B0">
      <w:pPr>
        <w:adjustRightInd w:val="0"/>
        <w:snapToGri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6.3.1谈判小组应按照供应商须知前附表规定的谈判轮次及谈判顺序与通过初步评审的供应商逐一进行谈判。</w:t>
      </w:r>
    </w:p>
    <w:p w14:paraId="1E6EE43C">
      <w:pPr>
        <w:adjustRightInd w:val="0"/>
        <w:snapToGri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6.3.2通过公告方式邀请供应商且通过初步评审的供应商数量超过供应商须知前附表规定的预定参加谈判的供应商数量的，谈判小组按照供应商须知前附表规定的选择方法，从通过初步评审的供应商中选择预定数量的供应商进行谈判。未被选择的供应商不再参加后续的谈判活动，谈判小组应对其进行告知；除供应商须知前附表另有规定外，其响应保证金应在5日内原额退还。</w:t>
      </w:r>
    </w:p>
    <w:p w14:paraId="1D6DEDE8">
      <w:pPr>
        <w:adjustRightInd w:val="0"/>
        <w:snapToGri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6.3.3谈判小组所有成员应集中与单一供应商逐一进行谈判，并给予所有参加谈判的供应商平等的谈判机会。供应商的法定代表人(单位负责人)或其授权的代理人应参加谈判。供应商的法定代表人(单位负责人)或其授权的代理人在谈判中作出的承诺构成响应文件的组成部分。</w:t>
      </w:r>
    </w:p>
    <w:p w14:paraId="27508AB5">
      <w:pPr>
        <w:adjustRightInd w:val="0"/>
        <w:snapToGri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6.3.4除供应商须知前附表另有规定外，递交响应文件的供应商未准时参加某一轮次谈判的，视为其放弃参加该轮次谈判，但其仍有权参加后续谈判采购活动。</w:t>
      </w:r>
    </w:p>
    <w:p w14:paraId="7A28F43D">
      <w:pPr>
        <w:adjustRightInd w:val="0"/>
        <w:snapToGrid w:val="0"/>
        <w:spacing w:line="360" w:lineRule="auto"/>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6.4 递交补充响应文件</w:t>
      </w:r>
    </w:p>
    <w:p w14:paraId="0BC906EF">
      <w:pPr>
        <w:adjustRightInd w:val="0"/>
        <w:snapToGri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6.4.1在谈判过程中，谈判小组可根据谈判情况修改和补充采购文件中采购需求部分的技术、服务要求以及合同草案条款等内容，但不得实质性改变评审标准或改变可能影响初步评审结果的内容。谈判小组修改和补充采购文件的，应当以书面形式将修改和补充的内容通知所有参加谈判的供应商。修改和补充的内容构成采购文件的组成部分。</w:t>
      </w:r>
    </w:p>
    <w:p w14:paraId="16215614">
      <w:pPr>
        <w:adjustRightInd w:val="0"/>
        <w:snapToGri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6.4.2谈判小组修改和补充采购文件后，应要求供应商修改和补充响应文件。供应商应按照采购文件修改和补充的内容及要求相应地对已经递交的响应文件进行修改和补充(即补充响应文件)。补充响应文件应由供应商的法定代表人(单位负责人)或其授权的代理人签字或加盖单位章，并对采购文件修改和补充的内容作出实质性的响应。补充响应文件与首次递交的响应文件共同构成供应商响应文件的组成部分，二者内容不一致的，以补充响应文件内容为准。</w:t>
      </w:r>
    </w:p>
    <w:p w14:paraId="78FA968D">
      <w:pPr>
        <w:adjustRightInd w:val="0"/>
        <w:snapToGri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6.4.3谈判小组审查供应商补充响应文件，对其响应性进行评审。补充响应文件实质性响应采购文件及其修改和补充内容的，</w:t>
      </w:r>
      <w:r>
        <w:rPr>
          <w:rFonts w:hint="eastAsia" w:ascii="宋体" w:hAnsi="宋体" w:cs="宋体"/>
          <w:color w:val="000000" w:themeColor="text1"/>
          <w:sz w:val="24"/>
          <w:highlight w:val="none"/>
          <w:lang w:eastAsia="zh-CN"/>
          <w14:textFill>
            <w14:solidFill>
              <w14:schemeClr w14:val="tx1"/>
            </w14:solidFill>
          </w14:textFill>
        </w:rPr>
        <w:t>谈判</w:t>
      </w:r>
      <w:r>
        <w:rPr>
          <w:rFonts w:hint="eastAsia" w:ascii="宋体" w:hAnsi="宋体" w:cs="宋体"/>
          <w:color w:val="000000" w:themeColor="text1"/>
          <w:sz w:val="24"/>
          <w:highlight w:val="none"/>
          <w14:textFill>
            <w14:solidFill>
              <w14:schemeClr w14:val="tx1"/>
            </w14:solidFill>
          </w14:textFill>
        </w:rPr>
        <w:t>小组应要求供应商在规定时间内递交最终报价；补充响应文件未能实质性响应采购文件及其修改和补充内容的，该响应文件将被视为无效，谈判小组应取消供应商的谈判资格并对其进行告知。</w:t>
      </w:r>
    </w:p>
    <w:p w14:paraId="3912740D">
      <w:pPr>
        <w:adjustRightInd w:val="0"/>
        <w:snapToGrid w:val="0"/>
        <w:spacing w:line="360" w:lineRule="auto"/>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6.5递交最终报价</w:t>
      </w:r>
    </w:p>
    <w:p w14:paraId="0D0272C6">
      <w:pPr>
        <w:adjustRightInd w:val="0"/>
        <w:snapToGri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谈判小组在谈判中未修改或补充采购文件的，</w:t>
      </w:r>
      <w:r>
        <w:rPr>
          <w:rFonts w:hint="eastAsia" w:ascii="宋体" w:hAnsi="宋体" w:cs="宋体"/>
          <w:color w:val="000000" w:themeColor="text1"/>
          <w:sz w:val="24"/>
          <w:highlight w:val="none"/>
          <w:lang w:eastAsia="zh-CN"/>
          <w14:textFill>
            <w14:solidFill>
              <w14:schemeClr w14:val="tx1"/>
            </w14:solidFill>
          </w14:textFill>
        </w:rPr>
        <w:t>谈判</w:t>
      </w:r>
      <w:r>
        <w:rPr>
          <w:rFonts w:hint="eastAsia" w:ascii="宋体" w:hAnsi="宋体" w:cs="宋体"/>
          <w:color w:val="000000" w:themeColor="text1"/>
          <w:sz w:val="24"/>
          <w:highlight w:val="none"/>
          <w14:textFill>
            <w14:solidFill>
              <w14:schemeClr w14:val="tx1"/>
            </w14:solidFill>
          </w14:textFill>
        </w:rPr>
        <w:t>结束后，谈判小组将要求所有参加谈判的供应商在规定时间内递交最终报价：谈判小组修改和补充了采购文件的，谈判小组应要求按照本章第6.4款规定递交了实质性响应的补充响应文件的供应商在规定时间内递交最终报价。最终报价应由供应商的法定代表人(单位负责人)或其授权的代理人签字或加盖单位章。最终报价是供应商响应文件的组成部分。</w:t>
      </w:r>
    </w:p>
    <w:p w14:paraId="5AD94659">
      <w:pPr>
        <w:adjustRightInd w:val="0"/>
        <w:snapToGrid w:val="0"/>
        <w:spacing w:line="360" w:lineRule="auto"/>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6.6 公开开启最终报价</w:t>
      </w:r>
    </w:p>
    <w:p w14:paraId="4E1EC3DB">
      <w:pPr>
        <w:adjustRightInd w:val="0"/>
        <w:snapToGri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供应商须知前附表规定公开开启最终报价的，采购人将在供应商递交最终报价的截止时间，公开开启并公布所有供应商的最终报价。</w:t>
      </w:r>
    </w:p>
    <w:p w14:paraId="7A272BBB">
      <w:pPr>
        <w:adjustRightInd w:val="0"/>
        <w:snapToGrid w:val="0"/>
        <w:spacing w:line="360" w:lineRule="auto"/>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6.7详细评审及推荐候选成交供应商</w:t>
      </w:r>
    </w:p>
    <w:p w14:paraId="6F37E73D">
      <w:pPr>
        <w:adjustRightInd w:val="0"/>
        <w:snapToGri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6.7.1谈判小组按照第三章“评审办法”规定的评审方法、评审因素、评审标准和程序对响应文件进行详细评审。第三章“评审办法”没有规定的方法、因素和标准，不作为评审依据。</w:t>
      </w:r>
    </w:p>
    <w:p w14:paraId="6FD57AF4">
      <w:pPr>
        <w:adjustRightInd w:val="0"/>
        <w:snapToGri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6.7.2评审完成后，谈判小组应当向采购人提交书面评审报告和候选成交供应商名单。谈判小组推荐候选成交供应商的排序要求及数量见供应商须知前附表。</w:t>
      </w:r>
    </w:p>
    <w:p w14:paraId="17324752">
      <w:pPr>
        <w:adjustRightInd w:val="0"/>
        <w:snapToGri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6.7.3所有供应商最终报价均明显不合理的，采购人将终止谈判活动。</w:t>
      </w:r>
    </w:p>
    <w:p w14:paraId="27BCDF88">
      <w:pPr>
        <w:adjustRightInd w:val="0"/>
        <w:snapToGrid w:val="0"/>
        <w:spacing w:line="360" w:lineRule="auto"/>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6.8特殊情形处理</w:t>
      </w:r>
    </w:p>
    <w:p w14:paraId="0CA4DCE3">
      <w:pPr>
        <w:adjustRightInd w:val="0"/>
        <w:snapToGri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通过初步评审的供应商或递交最终报价的供应商数量与采购文件规定的成交供应商数量相等时，采购人可根据不同的情况决定继续或终止谈判活动；通过初步评审的供应商或递交最终报价的供应商数量少于采购文件规定的成交供应商数量的，采购人将终止谈判活动。</w:t>
      </w:r>
    </w:p>
    <w:p w14:paraId="17BCFF79">
      <w:pPr>
        <w:adjustRightInd w:val="0"/>
        <w:snapToGri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决定终止谈判活动的，采购人将向谈判小组出具停止谈判通知书。</w:t>
      </w:r>
    </w:p>
    <w:p w14:paraId="0289068B">
      <w:pPr>
        <w:adjustRightInd w:val="0"/>
        <w:snapToGrid w:val="0"/>
        <w:spacing w:line="360" w:lineRule="auto"/>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7合同授予</w:t>
      </w:r>
    </w:p>
    <w:p w14:paraId="67A2E7A2">
      <w:pPr>
        <w:adjustRightInd w:val="0"/>
        <w:snapToGrid w:val="0"/>
        <w:spacing w:line="360" w:lineRule="auto"/>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7.1候选成交供应商履约能力核查</w:t>
      </w:r>
    </w:p>
    <w:p w14:paraId="715990C0">
      <w:pPr>
        <w:adjustRightInd w:val="0"/>
        <w:snapToGri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采购人可对候选成交供应商的相关证明材料原件进行核验或组织现场考察，以确认候选成交供应商的生产经营、财务等实际状况与响应文件是否一致及是否存在其他可能影响供应商履约能力的情况。核查结果将作为采购人选择确定预成交供应商的依据之一。</w:t>
      </w:r>
    </w:p>
    <w:p w14:paraId="404D4E89">
      <w:pPr>
        <w:adjustRightInd w:val="0"/>
        <w:snapToGrid w:val="0"/>
        <w:spacing w:line="360" w:lineRule="auto"/>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7.2候选成交供应商报价核查(B)</w:t>
      </w:r>
    </w:p>
    <w:p w14:paraId="12A69214">
      <w:pPr>
        <w:adjustRightInd w:val="0"/>
        <w:snapToGri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项目评审后，如果采购人认为推荐的候选成交供应商报价明显偏离市场价格时，采购人可以对该报价进行验证，验证后，对明显偏离市场价格的报价不予接受。</w:t>
      </w:r>
    </w:p>
    <w:p w14:paraId="10B98A2B">
      <w:pPr>
        <w:adjustRightInd w:val="0"/>
        <w:snapToGrid w:val="0"/>
        <w:spacing w:line="360" w:lineRule="auto"/>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7.3确定预成交供应商</w:t>
      </w:r>
    </w:p>
    <w:p w14:paraId="49D2DB6A">
      <w:pPr>
        <w:adjustRightInd w:val="0"/>
        <w:snapToGri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采购人将根据评审报告及核查结果(如有)，对候选成交供应商综合评估后从中选择确定预成交供应商。</w:t>
      </w:r>
    </w:p>
    <w:p w14:paraId="0B2ACD6B">
      <w:pPr>
        <w:adjustRightInd w:val="0"/>
        <w:snapToGrid w:val="0"/>
        <w:spacing w:line="360" w:lineRule="auto"/>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7.4预成交结果公示</w:t>
      </w:r>
    </w:p>
    <w:p w14:paraId="363B4899">
      <w:pPr>
        <w:adjustRightInd w:val="0"/>
        <w:snapToGri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预成交供应商选定后，采购人将按照供应商须知前附表规定的公示媒介和公示期限进行公示，公示信息包括如下内容：</w:t>
      </w:r>
    </w:p>
    <w:p w14:paraId="647EF755">
      <w:pPr>
        <w:adjustRightInd w:val="0"/>
        <w:snapToGri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(1)所有候选成交供应商名称、响应价格及工期/交货期/服务期限；</w:t>
      </w:r>
    </w:p>
    <w:p w14:paraId="547DC2D3">
      <w:pPr>
        <w:adjustRightInd w:val="0"/>
        <w:snapToGri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(2)预成交供应商名称、预成交份额(如有)及选择原因；</w:t>
      </w:r>
    </w:p>
    <w:p w14:paraId="372F42CD">
      <w:pPr>
        <w:adjustRightInd w:val="0"/>
        <w:snapToGri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(3)供应商须知前附表规定的其他内容。</w:t>
      </w:r>
    </w:p>
    <w:p w14:paraId="054A4784">
      <w:pPr>
        <w:adjustRightInd w:val="0"/>
        <w:snapToGrid w:val="0"/>
        <w:spacing w:line="360" w:lineRule="auto"/>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7.5发出成交通知书</w:t>
      </w:r>
    </w:p>
    <w:p w14:paraId="4565A46C">
      <w:pPr>
        <w:adjustRightInd w:val="0"/>
        <w:snapToGri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公示期结束后，在本章第3.3款规定的响应文件有效期内，采购人以书面形式向预成交供应商发出成交通知书。</w:t>
      </w:r>
    </w:p>
    <w:p w14:paraId="0DE7CF12">
      <w:pPr>
        <w:adjustRightInd w:val="0"/>
        <w:snapToGrid w:val="0"/>
        <w:spacing w:line="360" w:lineRule="auto"/>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7.6发布成交公告</w:t>
      </w:r>
    </w:p>
    <w:p w14:paraId="5A7D23BF">
      <w:pPr>
        <w:adjustRightInd w:val="0"/>
        <w:snapToGri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在发出成交通知书的同时，采购人将在供应商须知前附表规定的公告媒介发布成交公告，公告信息包括成交供应商名称、响应价格及工期/交货期/服务期限、成交份额(如有)及供应商须知前附表规定的其他内容。</w:t>
      </w:r>
    </w:p>
    <w:p w14:paraId="06CB34EB">
      <w:pPr>
        <w:adjustRightInd w:val="0"/>
        <w:snapToGrid w:val="0"/>
        <w:spacing w:line="360" w:lineRule="auto"/>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7.7履约保证金</w:t>
      </w:r>
    </w:p>
    <w:p w14:paraId="16216849">
      <w:pPr>
        <w:adjustRightInd w:val="0"/>
        <w:snapToGrid w:val="0"/>
        <w:spacing w:line="360" w:lineRule="auto"/>
        <w:ind w:firstLine="453" w:firstLineChars="189"/>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供应商须知前附表规定递交履约保证金的，成交供应商应按供应商须知前附表规定的形式、有效期限和递交时间向采购人递交履约保证金。除供应商须知前附表另有规定外，履约保证金为采购合同金额的5%。</w:t>
      </w:r>
    </w:p>
    <w:p w14:paraId="3D2380FC">
      <w:pPr>
        <w:adjustRightInd w:val="0"/>
        <w:snapToGrid w:val="0"/>
        <w:spacing w:line="360" w:lineRule="auto"/>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7.8签订合同</w:t>
      </w:r>
    </w:p>
    <w:p w14:paraId="7208743C">
      <w:pPr>
        <w:adjustRightInd w:val="0"/>
        <w:snapToGri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7.8.1采购人和成交供应商应当在成交通知书规定的期限内，根据采购文件和成交供应商的响应文件订立书面合同。成交供应商无正当理由拒绝签订合同，在签订合同时向采购人提出附加条件，或者不按照采购文件要求递交履约保证金的，采购人取消其成交资格，其响应保证金不予退还；给采购人造成的损失超过响应保证金数额的，成交供应商还应当对超过部分予以赔偿。</w:t>
      </w:r>
    </w:p>
    <w:p w14:paraId="02CA9B01">
      <w:pPr>
        <w:adjustRightInd w:val="0"/>
        <w:snapToGri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7.8.2发出成交通知书后，采购人无正当理由拒绝签订合同，或者在签订合同时向成交供应商提出附加条件的，采购人向成交供应商退还响应保证金；给成交供应商造成损失的，还应当赔偿损失。</w:t>
      </w:r>
    </w:p>
    <w:p w14:paraId="1E15BEA8">
      <w:pPr>
        <w:adjustRightInd w:val="0"/>
        <w:snapToGri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7.8.3联合体成交的，联合体各方应当共同与采购人签订合同，就成交项目向采购人承担连带责任。</w:t>
      </w:r>
    </w:p>
    <w:p w14:paraId="5D69B536">
      <w:pPr>
        <w:adjustRightInd w:val="0"/>
        <w:snapToGri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7.8.4除供应商须知前附表另有规定外，按照第三章“评审办法”第2.2.3项规定对响应报价进行修正后，若修正后的响应报价小于按照第三章“评审办法”第2.2.2项规定确定的评审价格，则签订合同时以修正后的响应报价为准；若修正后的响应报价大于评审价格，则签订合同时以评审价格为准。同时按比例修正相应子目的单价或合价(采购文件不允许调整的费率和金额除外)。</w:t>
      </w:r>
    </w:p>
    <w:p w14:paraId="4D3E45C4">
      <w:pPr>
        <w:adjustRightInd w:val="0"/>
        <w:snapToGrid w:val="0"/>
        <w:spacing w:line="360" w:lineRule="auto"/>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7.9特殊情形处理</w:t>
      </w:r>
    </w:p>
    <w:p w14:paraId="77C9E2D7">
      <w:pPr>
        <w:adjustRightInd w:val="0"/>
        <w:snapToGri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因供应商对预成交结果提出异议、成交供应商无正当理由拒绝签订合同、成交供应商在签订合同时向采购人提出附加条件或者不按照采购文件要求递交履约保证金等导致采购人变更成交结果的，采购人应按照本条规定的程序重新选择预成交供应商、进行公示并公告。</w:t>
      </w:r>
    </w:p>
    <w:p w14:paraId="6FC884C3">
      <w:pPr>
        <w:adjustRightInd w:val="0"/>
        <w:snapToGrid w:val="0"/>
        <w:spacing w:line="360" w:lineRule="auto"/>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8异议</w:t>
      </w:r>
    </w:p>
    <w:p w14:paraId="02D668ED">
      <w:pPr>
        <w:adjustRightInd w:val="0"/>
        <w:snapToGrid w:val="0"/>
        <w:spacing w:line="360" w:lineRule="auto"/>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8.1提出异议</w:t>
      </w:r>
    </w:p>
    <w:p w14:paraId="1126C867">
      <w:pPr>
        <w:adjustRightInd w:val="0"/>
        <w:snapToGri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供应商或者其他利害关系人可以对预成交结果提出异议。异议应在预成交结果公示期间通过供应商须知前附表规定的异议渠道提出，并递交异议函和必要的证明材料。异议函包括但不限于下列内容：</w:t>
      </w:r>
    </w:p>
    <w:p w14:paraId="6026CD52">
      <w:pPr>
        <w:adjustRightInd w:val="0"/>
        <w:snapToGri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(1)异议人名称、地址、邮政编码、联系人及联系电话；</w:t>
      </w:r>
    </w:p>
    <w:p w14:paraId="2B0C7AA1">
      <w:pPr>
        <w:adjustRightInd w:val="0"/>
        <w:snapToGri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(2)具体、明确的异议事项、事实依据及与异议事项相关的请求。</w:t>
      </w:r>
    </w:p>
    <w:p w14:paraId="1ED8F265">
      <w:pPr>
        <w:adjustRightInd w:val="0"/>
        <w:snapToGri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异议函应由异议人的法定代表人(单位负责人)或其授权的代理人签字并加盖单位章。</w:t>
      </w:r>
    </w:p>
    <w:p w14:paraId="2E42EE23">
      <w:pPr>
        <w:adjustRightInd w:val="0"/>
        <w:snapToGrid w:val="0"/>
        <w:spacing w:line="360" w:lineRule="auto"/>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8.2异议处理</w:t>
      </w:r>
    </w:p>
    <w:p w14:paraId="6918DF61">
      <w:pPr>
        <w:adjustRightInd w:val="0"/>
        <w:snapToGri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采购人将针对异议事项进行核查，经过核查，发现异议人对相关问题理解有误的，应作出解释；发现采购活动中确实存在错误或不当行为的，应及时予以改正或补救。 </w:t>
      </w:r>
    </w:p>
    <w:p w14:paraId="3D160F77">
      <w:pPr>
        <w:adjustRightInd w:val="0"/>
        <w:snapToGri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异议人与采购人对异议事项无法达成一致的，异议人可向供应商须知前附表规定的行业组织或专业咨询机构申请调解或进行反映。</w:t>
      </w:r>
    </w:p>
    <w:p w14:paraId="3B7CEAF5">
      <w:pPr>
        <w:adjustRightInd w:val="0"/>
        <w:snapToGri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采购人认为异议不成立或不影响采购结果的，可以继续进行采购活动。</w:t>
      </w:r>
    </w:p>
    <w:p w14:paraId="2AC6BDA1">
      <w:pPr>
        <w:adjustRightInd w:val="0"/>
        <w:snapToGrid w:val="0"/>
        <w:spacing w:line="360" w:lineRule="auto"/>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9纪律要求</w:t>
      </w:r>
    </w:p>
    <w:p w14:paraId="18BE50A4">
      <w:pPr>
        <w:adjustRightInd w:val="0"/>
        <w:snapToGrid w:val="0"/>
        <w:spacing w:line="360" w:lineRule="auto"/>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9.1对采购人的纪律要求</w:t>
      </w:r>
    </w:p>
    <w:p w14:paraId="1EFE3871">
      <w:pPr>
        <w:adjustRightInd w:val="0"/>
        <w:snapToGrid w:val="0"/>
        <w:spacing w:line="360" w:lineRule="auto"/>
        <w:ind w:firstLine="453" w:firstLineChars="189"/>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采购人不得泄露采购活动中应当保密的情况和资料，不得与供应商串通损害国家利益、社会公共利益或者他人合法权益。</w:t>
      </w:r>
    </w:p>
    <w:p w14:paraId="2A86F2D0">
      <w:pPr>
        <w:adjustRightInd w:val="0"/>
        <w:snapToGrid w:val="0"/>
        <w:spacing w:line="360" w:lineRule="auto"/>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9.2对供应商的纪律要求</w:t>
      </w:r>
    </w:p>
    <w:p w14:paraId="5739BD67">
      <w:pPr>
        <w:adjustRightInd w:val="0"/>
        <w:snapToGri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供应商不得相互串通或者与采购人串通，不得向采购人或者评审小组成员行贿谋取成交，不得以他人名义参加采购活动或者以其他方式弄虚作假骗取成交；供应商不得以任何方式干扰、影响评审工作。</w:t>
      </w:r>
    </w:p>
    <w:p w14:paraId="69D8DD1E">
      <w:pPr>
        <w:adjustRightInd w:val="0"/>
        <w:snapToGrid w:val="0"/>
        <w:spacing w:line="360" w:lineRule="auto"/>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9.3对评审小组成员的纪律要求</w:t>
      </w:r>
    </w:p>
    <w:p w14:paraId="5F3EA026">
      <w:pPr>
        <w:adjustRightInd w:val="0"/>
        <w:snapToGri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评审小组成员不得收受他人的财物或者其他好处，不得向他人透露对响应文件的评审和比较、候选成交供应商的推荐情况以及评审有关的其他情况。在评审活动中，评审小组成员应当客观、公正地履行职责，遵守职业道德，不得擅离职守，影响评审 工作正常进行，不得使用第三章“评审办法”没有规定的评审因素和标准进行评审。</w:t>
      </w:r>
    </w:p>
    <w:p w14:paraId="3A14A700">
      <w:pPr>
        <w:adjustRightInd w:val="0"/>
        <w:snapToGrid w:val="0"/>
        <w:spacing w:line="360" w:lineRule="auto"/>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9.4对与采购活动有关的工作人员的纪律要求</w:t>
      </w:r>
    </w:p>
    <w:p w14:paraId="06954863">
      <w:pPr>
        <w:adjustRightInd w:val="0"/>
        <w:snapToGri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与采购活动有关的工作人员不得收受他人的财物或者其他好处，不得向他人透露对响应文件的评审和比较、候选成交供应商的推荐情况以及采购有关的其他情况。在采购活动中，与采购活动有关的工作人员不得擅离职守，影响评审工作正常进行。</w:t>
      </w:r>
    </w:p>
    <w:p w14:paraId="1ACAFC41">
      <w:pPr>
        <w:adjustRightInd w:val="0"/>
        <w:snapToGrid w:val="0"/>
        <w:spacing w:line="360" w:lineRule="auto"/>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9.5对集采平台运营机构的纪律要求</w:t>
      </w:r>
    </w:p>
    <w:p w14:paraId="210CB001">
      <w:pPr>
        <w:adjustRightInd w:val="0"/>
        <w:snapToGri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集采平台运营机构不得收受他人的财物或者好处，不得向他人透露其他应保密的情况，不得以任何方式干扰、影响采购活动。</w:t>
      </w:r>
    </w:p>
    <w:p w14:paraId="5EB7A042">
      <w:pPr>
        <w:adjustRightInd w:val="0"/>
        <w:snapToGrid w:val="0"/>
        <w:spacing w:line="360" w:lineRule="auto"/>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10需要补充的其他内容</w:t>
      </w:r>
    </w:p>
    <w:p w14:paraId="00FD7972">
      <w:pPr>
        <w:adjustRightInd w:val="0"/>
        <w:snapToGrid w:val="0"/>
        <w:spacing w:line="360" w:lineRule="auto"/>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10.1采购代理服务费</w:t>
      </w:r>
    </w:p>
    <w:p w14:paraId="1A04A174">
      <w:pPr>
        <w:adjustRightInd w:val="0"/>
        <w:snapToGri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供应商须知前附表规定由供应商承担采购代理服务费的，供应商应按照供应商须知前附表规定的费用标准或金额、交费时间和方式向采购代理机构支付代理服务费。</w:t>
      </w:r>
    </w:p>
    <w:p w14:paraId="4E40518A">
      <w:pPr>
        <w:adjustRightInd w:val="0"/>
        <w:snapToGrid w:val="0"/>
        <w:spacing w:line="360" w:lineRule="auto"/>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10.2其他</w:t>
      </w:r>
    </w:p>
    <w:p w14:paraId="403E3C56">
      <w:pPr>
        <w:adjustRightInd w:val="0"/>
        <w:snapToGrid w:val="0"/>
        <w:spacing w:line="360" w:lineRule="auto"/>
        <w:ind w:firstLine="453" w:firstLineChars="189"/>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需</w:t>
      </w:r>
      <w:r>
        <w:rPr>
          <w:rFonts w:hint="eastAsia" w:ascii="宋体" w:hAnsi="宋体" w:cs="宋体"/>
          <w:color w:val="000000" w:themeColor="text1"/>
          <w:sz w:val="24"/>
          <w:highlight w:val="none"/>
          <w:lang w:val="en-US" w:eastAsia="zh-CN"/>
          <w14:textFill>
            <w14:solidFill>
              <w14:schemeClr w14:val="tx1"/>
            </w14:solidFill>
          </w14:textFill>
        </w:rPr>
        <w:t>要</w:t>
      </w:r>
      <w:r>
        <w:rPr>
          <w:rFonts w:hint="eastAsia" w:ascii="宋体" w:hAnsi="宋体" w:cs="宋体"/>
          <w:color w:val="000000" w:themeColor="text1"/>
          <w:sz w:val="24"/>
          <w:highlight w:val="none"/>
          <w14:textFill>
            <w14:solidFill>
              <w14:schemeClr w14:val="tx1"/>
            </w14:solidFill>
          </w14:textFill>
        </w:rPr>
        <w:t>补充的其他内容：见供应商须知前附表。</w:t>
      </w:r>
    </w:p>
    <w:p w14:paraId="49389B9C">
      <w:pPr>
        <w:adjustRightInd w:val="0"/>
        <w:snapToGrid w:val="0"/>
        <w:spacing w:line="360" w:lineRule="auto"/>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10.3电子采购</w:t>
      </w:r>
    </w:p>
    <w:p w14:paraId="3A11AAD1">
      <w:pPr>
        <w:adjustRightInd w:val="0"/>
        <w:snapToGri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若采用电子采购的，有关响应文件的包装与密封等条款不适用，供应商应按平台要求分册上传供电子版响应文件，递交和签收时间均以平台接收时间为准。当电子版响应文件报价和平台报价不一致时，以平台报价为准。</w:t>
      </w:r>
    </w:p>
    <w:p w14:paraId="420CCBBF">
      <w:pPr>
        <w:adjustRightInd w:val="0"/>
        <w:snapToGrid w:val="0"/>
        <w:spacing w:line="600" w:lineRule="exact"/>
        <w:ind w:firstLine="453" w:firstLineChars="189"/>
        <w:rPr>
          <w:rFonts w:hint="eastAsia" w:ascii="宋体" w:hAnsi="宋体" w:cs="宋体"/>
          <w:color w:val="000000" w:themeColor="text1"/>
          <w:sz w:val="24"/>
          <w:highlight w:val="none"/>
          <w14:textFill>
            <w14:solidFill>
              <w14:schemeClr w14:val="tx1"/>
            </w14:solidFill>
          </w14:textFill>
        </w:rPr>
      </w:pPr>
    </w:p>
    <w:p w14:paraId="619725D4">
      <w:pPr>
        <w:spacing w:line="600" w:lineRule="exact"/>
        <w:rPr>
          <w:rFonts w:hint="eastAsia" w:ascii="宋体" w:hAnsi="宋体" w:cs="宋体"/>
          <w:color w:val="000000" w:themeColor="text1"/>
          <w:sz w:val="30"/>
          <w:szCs w:val="30"/>
          <w:highlight w:val="none"/>
          <w14:textFill>
            <w14:solidFill>
              <w14:schemeClr w14:val="tx1"/>
            </w14:solidFill>
          </w14:textFill>
        </w:rPr>
      </w:pPr>
      <w:r>
        <w:rPr>
          <w:rFonts w:hint="eastAsia" w:ascii="宋体" w:hAnsi="宋体" w:cs="宋体"/>
          <w:color w:val="000000" w:themeColor="text1"/>
          <w:sz w:val="30"/>
          <w:szCs w:val="30"/>
          <w:highlight w:val="none"/>
          <w14:textFill>
            <w14:solidFill>
              <w14:schemeClr w14:val="tx1"/>
            </w14:solidFill>
          </w14:textFill>
        </w:rPr>
        <w:br w:type="page"/>
      </w:r>
    </w:p>
    <w:p w14:paraId="6B66F27B">
      <w:pPr>
        <w:adjustRightInd w:val="0"/>
        <w:snapToGrid w:val="0"/>
        <w:spacing w:line="600" w:lineRule="exact"/>
        <w:ind w:firstLine="600" w:firstLineChars="200"/>
        <w:rPr>
          <w:rFonts w:hint="eastAsia" w:ascii="宋体" w:hAnsi="宋体" w:cs="宋体"/>
          <w:color w:val="000000" w:themeColor="text1"/>
          <w:sz w:val="30"/>
          <w:szCs w:val="30"/>
          <w:highlight w:val="none"/>
          <w14:textFill>
            <w14:solidFill>
              <w14:schemeClr w14:val="tx1"/>
            </w14:solidFill>
          </w14:textFill>
        </w:rPr>
      </w:pPr>
      <w:r>
        <w:rPr>
          <w:rFonts w:hint="eastAsia" w:ascii="宋体" w:hAnsi="宋体" w:cs="宋体"/>
          <w:color w:val="000000" w:themeColor="text1"/>
          <w:sz w:val="30"/>
          <w:szCs w:val="30"/>
          <w:highlight w:val="none"/>
          <w14:textFill>
            <w14:solidFill>
              <w14:schemeClr w14:val="tx1"/>
            </w14:solidFill>
          </w14:textFill>
        </w:rPr>
        <w:t>附件1  开启记录表</w:t>
      </w:r>
    </w:p>
    <w:p w14:paraId="3B9D3B1C">
      <w:pPr>
        <w:adjustRightInd w:val="0"/>
        <w:snapToGrid w:val="0"/>
        <w:spacing w:line="600" w:lineRule="exact"/>
        <w:ind w:firstLine="723" w:firstLineChars="200"/>
        <w:jc w:val="center"/>
        <w:rPr>
          <w:rFonts w:hint="eastAsia" w:ascii="宋体" w:hAnsi="宋体" w:cs="宋体"/>
          <w:b/>
          <w:bCs/>
          <w:color w:val="000000" w:themeColor="text1"/>
          <w:sz w:val="36"/>
          <w:szCs w:val="36"/>
          <w:highlight w:val="none"/>
          <w14:textFill>
            <w14:solidFill>
              <w14:schemeClr w14:val="tx1"/>
            </w14:solidFill>
          </w14:textFill>
        </w:rPr>
      </w:pPr>
    </w:p>
    <w:p w14:paraId="390F3642">
      <w:pPr>
        <w:adjustRightInd w:val="0"/>
        <w:snapToGrid w:val="0"/>
        <w:spacing w:line="600" w:lineRule="exact"/>
        <w:ind w:firstLine="723" w:firstLineChars="200"/>
        <w:jc w:val="center"/>
        <w:rPr>
          <w:rFonts w:hint="eastAsia" w:ascii="宋体" w:hAnsi="宋体" w:cs="宋体"/>
          <w:b/>
          <w:bCs/>
          <w:color w:val="000000" w:themeColor="text1"/>
          <w:sz w:val="36"/>
          <w:szCs w:val="36"/>
          <w:highlight w:val="none"/>
          <w14:textFill>
            <w14:solidFill>
              <w14:schemeClr w14:val="tx1"/>
            </w14:solidFill>
          </w14:textFill>
        </w:rPr>
      </w:pPr>
    </w:p>
    <w:p w14:paraId="415A791A">
      <w:pPr>
        <w:adjustRightInd w:val="0"/>
        <w:snapToGrid w:val="0"/>
        <w:spacing w:line="600" w:lineRule="exact"/>
        <w:ind w:firstLine="723" w:firstLineChars="200"/>
        <w:jc w:val="center"/>
        <w:rPr>
          <w:rFonts w:hint="eastAsia" w:ascii="宋体" w:hAnsi="宋体" w:cs="宋体"/>
          <w:b/>
          <w:bCs/>
          <w:color w:val="000000" w:themeColor="text1"/>
          <w:sz w:val="36"/>
          <w:szCs w:val="36"/>
          <w:highlight w:val="none"/>
          <w14:textFill>
            <w14:solidFill>
              <w14:schemeClr w14:val="tx1"/>
            </w14:solidFill>
          </w14:textFill>
        </w:rPr>
      </w:pPr>
      <w:r>
        <w:rPr>
          <w:rFonts w:hint="eastAsia" w:ascii="宋体" w:hAnsi="宋体" w:cs="宋体"/>
          <w:b/>
          <w:bCs/>
          <w:color w:val="000000" w:themeColor="text1"/>
          <w:sz w:val="36"/>
          <w:szCs w:val="36"/>
          <w:highlight w:val="none"/>
          <w14:textFill>
            <w14:solidFill>
              <w14:schemeClr w14:val="tx1"/>
            </w14:solidFill>
          </w14:textFill>
        </w:rPr>
        <w:t>开启记录表</w:t>
      </w:r>
    </w:p>
    <w:p w14:paraId="7428E7C5">
      <w:pPr>
        <w:adjustRightInd w:val="0"/>
        <w:snapToGrid w:val="0"/>
        <w:spacing w:line="600" w:lineRule="exact"/>
        <w:ind w:firstLine="723" w:firstLineChars="200"/>
        <w:jc w:val="center"/>
        <w:rPr>
          <w:rFonts w:hint="eastAsia" w:ascii="宋体" w:hAnsi="宋体" w:cs="宋体"/>
          <w:b/>
          <w:bCs/>
          <w:color w:val="000000" w:themeColor="text1"/>
          <w:sz w:val="36"/>
          <w:szCs w:val="36"/>
          <w:highlight w:val="none"/>
          <w14:textFill>
            <w14:solidFill>
              <w14:schemeClr w14:val="tx1"/>
            </w14:solidFill>
          </w14:textFill>
        </w:rPr>
      </w:pPr>
    </w:p>
    <w:p w14:paraId="09A7A2B7">
      <w:pPr>
        <w:spacing w:line="240" w:lineRule="auto"/>
        <w:jc w:val="center"/>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开启时间：</w:t>
      </w:r>
      <w:r>
        <w:rPr>
          <w:rFonts w:hint="eastAsia" w:ascii="宋体" w:hAnsi="宋体" w:cs="宋体"/>
          <w:color w:val="000000" w:themeColor="text1"/>
          <w:sz w:val="28"/>
          <w:szCs w:val="28"/>
          <w:highlight w:val="none"/>
          <w:u w:val="single"/>
          <w14:textFill>
            <w14:solidFill>
              <w14:schemeClr w14:val="tx1"/>
            </w14:solidFill>
          </w14:textFill>
        </w:rPr>
        <w:t xml:space="preserve">  </w:t>
      </w:r>
      <w:r>
        <w:rPr>
          <w:rFonts w:hint="eastAsia" w:ascii="宋体" w:hAnsi="宋体" w:cs="宋体"/>
          <w:color w:val="000000" w:themeColor="text1"/>
          <w:sz w:val="28"/>
          <w:szCs w:val="28"/>
          <w:highlight w:val="none"/>
          <w14:textFill>
            <w14:solidFill>
              <w14:schemeClr w14:val="tx1"/>
            </w14:solidFill>
          </w14:textFill>
        </w:rPr>
        <w:t>年</w:t>
      </w:r>
      <w:r>
        <w:rPr>
          <w:rFonts w:hint="eastAsia" w:ascii="宋体" w:hAnsi="宋体" w:cs="宋体"/>
          <w:color w:val="000000" w:themeColor="text1"/>
          <w:sz w:val="28"/>
          <w:szCs w:val="28"/>
          <w:highlight w:val="none"/>
          <w:u w:val="single"/>
          <w14:textFill>
            <w14:solidFill>
              <w14:schemeClr w14:val="tx1"/>
            </w14:solidFill>
          </w14:textFill>
        </w:rPr>
        <w:t xml:space="preserve">  </w:t>
      </w:r>
      <w:r>
        <w:rPr>
          <w:rFonts w:hint="eastAsia" w:ascii="宋体" w:hAnsi="宋体" w:cs="宋体"/>
          <w:color w:val="000000" w:themeColor="text1"/>
          <w:sz w:val="28"/>
          <w:szCs w:val="28"/>
          <w:highlight w:val="none"/>
          <w14:textFill>
            <w14:solidFill>
              <w14:schemeClr w14:val="tx1"/>
            </w14:solidFill>
          </w14:textFill>
        </w:rPr>
        <w:t>月</w:t>
      </w:r>
      <w:r>
        <w:rPr>
          <w:rFonts w:hint="eastAsia" w:ascii="宋体" w:hAnsi="宋体" w:cs="宋体"/>
          <w:color w:val="000000" w:themeColor="text1"/>
          <w:sz w:val="28"/>
          <w:szCs w:val="28"/>
          <w:highlight w:val="none"/>
          <w:u w:val="single"/>
          <w14:textFill>
            <w14:solidFill>
              <w14:schemeClr w14:val="tx1"/>
            </w14:solidFill>
          </w14:textFill>
        </w:rPr>
        <w:t xml:space="preserve">  </w:t>
      </w:r>
      <w:r>
        <w:rPr>
          <w:rFonts w:hint="eastAsia" w:ascii="宋体" w:hAnsi="宋体" w:cs="宋体"/>
          <w:color w:val="000000" w:themeColor="text1"/>
          <w:sz w:val="28"/>
          <w:szCs w:val="28"/>
          <w:highlight w:val="none"/>
          <w14:textFill>
            <w14:solidFill>
              <w14:schemeClr w14:val="tx1"/>
            </w14:solidFill>
          </w14:textFill>
        </w:rPr>
        <w:t>日</w:t>
      </w:r>
      <w:r>
        <w:rPr>
          <w:rFonts w:hint="eastAsia" w:ascii="宋体" w:hAnsi="宋体" w:cs="宋体"/>
          <w:color w:val="000000" w:themeColor="text1"/>
          <w:sz w:val="28"/>
          <w:szCs w:val="28"/>
          <w:highlight w:val="none"/>
          <w:u w:val="single"/>
          <w14:textFill>
            <w14:solidFill>
              <w14:schemeClr w14:val="tx1"/>
            </w14:solidFill>
          </w14:textFill>
        </w:rPr>
        <w:t xml:space="preserve">  </w:t>
      </w:r>
      <w:r>
        <w:rPr>
          <w:rFonts w:hint="eastAsia" w:ascii="宋体" w:hAnsi="宋体" w:cs="宋体"/>
          <w:color w:val="000000" w:themeColor="text1"/>
          <w:sz w:val="28"/>
          <w:szCs w:val="28"/>
          <w:highlight w:val="none"/>
          <w14:textFill>
            <w14:solidFill>
              <w14:schemeClr w14:val="tx1"/>
            </w14:solidFill>
          </w14:textFill>
        </w:rPr>
        <w:t>时</w:t>
      </w:r>
      <w:r>
        <w:rPr>
          <w:rFonts w:hint="eastAsia" w:ascii="宋体" w:hAnsi="宋体" w:cs="宋体"/>
          <w:color w:val="000000" w:themeColor="text1"/>
          <w:sz w:val="28"/>
          <w:szCs w:val="28"/>
          <w:highlight w:val="none"/>
          <w:u w:val="single"/>
          <w14:textFill>
            <w14:solidFill>
              <w14:schemeClr w14:val="tx1"/>
            </w14:solidFill>
          </w14:textFill>
        </w:rPr>
        <w:t xml:space="preserve">  </w:t>
      </w:r>
      <w:r>
        <w:rPr>
          <w:rFonts w:hint="eastAsia" w:ascii="宋体" w:hAnsi="宋体" w:cs="宋体"/>
          <w:color w:val="000000" w:themeColor="text1"/>
          <w:sz w:val="28"/>
          <w:szCs w:val="28"/>
          <w:highlight w:val="none"/>
          <w14:textFill>
            <w14:solidFill>
              <w14:schemeClr w14:val="tx1"/>
            </w14:solidFill>
          </w14:textFill>
        </w:rPr>
        <w:t>分</w:t>
      </w:r>
    </w:p>
    <w:tbl>
      <w:tblPr>
        <w:tblStyle w:val="87"/>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0"/>
        <w:gridCol w:w="1971"/>
        <w:gridCol w:w="1971"/>
        <w:gridCol w:w="1971"/>
        <w:gridCol w:w="1971"/>
      </w:tblGrid>
      <w:tr w14:paraId="0BCAD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0" w:type="dxa"/>
          </w:tcPr>
          <w:p w14:paraId="4496EC61">
            <w:pPr>
              <w:widowControl w:val="0"/>
              <w:spacing w:line="240" w:lineRule="auto"/>
              <w:jc w:val="center"/>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序号</w:t>
            </w:r>
          </w:p>
        </w:tc>
        <w:tc>
          <w:tcPr>
            <w:tcW w:w="1971" w:type="dxa"/>
          </w:tcPr>
          <w:p w14:paraId="4E48DAE7">
            <w:pPr>
              <w:widowControl w:val="0"/>
              <w:spacing w:line="240" w:lineRule="auto"/>
              <w:jc w:val="center"/>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供应商</w:t>
            </w:r>
          </w:p>
        </w:tc>
        <w:tc>
          <w:tcPr>
            <w:tcW w:w="1971" w:type="dxa"/>
          </w:tcPr>
          <w:p w14:paraId="728EDF2A">
            <w:pPr>
              <w:widowControl w:val="0"/>
              <w:spacing w:line="240" w:lineRule="auto"/>
              <w:jc w:val="center"/>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（供应商须知前附表规定的其他应公布的信息）</w:t>
            </w:r>
          </w:p>
        </w:tc>
        <w:tc>
          <w:tcPr>
            <w:tcW w:w="1971" w:type="dxa"/>
          </w:tcPr>
          <w:p w14:paraId="4DC66466">
            <w:pPr>
              <w:widowControl w:val="0"/>
              <w:spacing w:line="240" w:lineRule="auto"/>
              <w:jc w:val="center"/>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w:t>
            </w:r>
          </w:p>
        </w:tc>
        <w:tc>
          <w:tcPr>
            <w:tcW w:w="1971" w:type="dxa"/>
          </w:tcPr>
          <w:p w14:paraId="4AA81FBC">
            <w:pPr>
              <w:widowControl w:val="0"/>
              <w:spacing w:line="240" w:lineRule="auto"/>
              <w:jc w:val="center"/>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备注</w:t>
            </w:r>
          </w:p>
        </w:tc>
      </w:tr>
      <w:tr w14:paraId="25522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0" w:type="dxa"/>
          </w:tcPr>
          <w:p w14:paraId="27E090AA">
            <w:pPr>
              <w:widowControl w:val="0"/>
              <w:spacing w:line="240" w:lineRule="auto"/>
              <w:jc w:val="center"/>
              <w:rPr>
                <w:rFonts w:hint="eastAsia" w:ascii="宋体" w:hAnsi="宋体" w:cs="宋体"/>
                <w:color w:val="000000" w:themeColor="text1"/>
                <w:sz w:val="28"/>
                <w:szCs w:val="28"/>
                <w:highlight w:val="none"/>
                <w14:textFill>
                  <w14:solidFill>
                    <w14:schemeClr w14:val="tx1"/>
                  </w14:solidFill>
                </w14:textFill>
              </w:rPr>
            </w:pPr>
          </w:p>
        </w:tc>
        <w:tc>
          <w:tcPr>
            <w:tcW w:w="1971" w:type="dxa"/>
          </w:tcPr>
          <w:p w14:paraId="3D8F70B0">
            <w:pPr>
              <w:widowControl w:val="0"/>
              <w:spacing w:line="240" w:lineRule="auto"/>
              <w:jc w:val="center"/>
              <w:rPr>
                <w:rFonts w:hint="eastAsia" w:ascii="宋体" w:hAnsi="宋体" w:cs="宋体"/>
                <w:color w:val="000000" w:themeColor="text1"/>
                <w:sz w:val="28"/>
                <w:szCs w:val="28"/>
                <w:highlight w:val="none"/>
                <w14:textFill>
                  <w14:solidFill>
                    <w14:schemeClr w14:val="tx1"/>
                  </w14:solidFill>
                </w14:textFill>
              </w:rPr>
            </w:pPr>
          </w:p>
        </w:tc>
        <w:tc>
          <w:tcPr>
            <w:tcW w:w="1971" w:type="dxa"/>
          </w:tcPr>
          <w:p w14:paraId="3BC1A085">
            <w:pPr>
              <w:widowControl w:val="0"/>
              <w:spacing w:line="240" w:lineRule="auto"/>
              <w:jc w:val="center"/>
              <w:rPr>
                <w:rFonts w:hint="eastAsia" w:ascii="宋体" w:hAnsi="宋体" w:cs="宋体"/>
                <w:color w:val="000000" w:themeColor="text1"/>
                <w:sz w:val="28"/>
                <w:szCs w:val="28"/>
                <w:highlight w:val="none"/>
                <w14:textFill>
                  <w14:solidFill>
                    <w14:schemeClr w14:val="tx1"/>
                  </w14:solidFill>
                </w14:textFill>
              </w:rPr>
            </w:pPr>
          </w:p>
        </w:tc>
        <w:tc>
          <w:tcPr>
            <w:tcW w:w="1971" w:type="dxa"/>
          </w:tcPr>
          <w:p w14:paraId="6DB604D9">
            <w:pPr>
              <w:widowControl w:val="0"/>
              <w:spacing w:line="240" w:lineRule="auto"/>
              <w:jc w:val="center"/>
              <w:rPr>
                <w:rFonts w:hint="eastAsia" w:ascii="宋体" w:hAnsi="宋体" w:cs="宋体"/>
                <w:color w:val="000000" w:themeColor="text1"/>
                <w:sz w:val="28"/>
                <w:szCs w:val="28"/>
                <w:highlight w:val="none"/>
                <w14:textFill>
                  <w14:solidFill>
                    <w14:schemeClr w14:val="tx1"/>
                  </w14:solidFill>
                </w14:textFill>
              </w:rPr>
            </w:pPr>
          </w:p>
        </w:tc>
        <w:tc>
          <w:tcPr>
            <w:tcW w:w="1971" w:type="dxa"/>
          </w:tcPr>
          <w:p w14:paraId="0D4D9FE1">
            <w:pPr>
              <w:widowControl w:val="0"/>
              <w:spacing w:line="240" w:lineRule="auto"/>
              <w:jc w:val="center"/>
              <w:rPr>
                <w:rFonts w:hint="eastAsia" w:ascii="宋体" w:hAnsi="宋体" w:cs="宋体"/>
                <w:color w:val="000000" w:themeColor="text1"/>
                <w:sz w:val="28"/>
                <w:szCs w:val="28"/>
                <w:highlight w:val="none"/>
                <w14:textFill>
                  <w14:solidFill>
                    <w14:schemeClr w14:val="tx1"/>
                  </w14:solidFill>
                </w14:textFill>
              </w:rPr>
            </w:pPr>
          </w:p>
        </w:tc>
      </w:tr>
      <w:tr w14:paraId="0139F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0" w:type="dxa"/>
          </w:tcPr>
          <w:p w14:paraId="70C20ADE">
            <w:pPr>
              <w:widowControl w:val="0"/>
              <w:spacing w:line="240" w:lineRule="auto"/>
              <w:jc w:val="center"/>
              <w:rPr>
                <w:rFonts w:hint="eastAsia" w:ascii="宋体" w:hAnsi="宋体" w:cs="宋体"/>
                <w:color w:val="000000" w:themeColor="text1"/>
                <w:sz w:val="28"/>
                <w:szCs w:val="28"/>
                <w:highlight w:val="none"/>
                <w14:textFill>
                  <w14:solidFill>
                    <w14:schemeClr w14:val="tx1"/>
                  </w14:solidFill>
                </w14:textFill>
              </w:rPr>
            </w:pPr>
          </w:p>
        </w:tc>
        <w:tc>
          <w:tcPr>
            <w:tcW w:w="1971" w:type="dxa"/>
          </w:tcPr>
          <w:p w14:paraId="65485C24">
            <w:pPr>
              <w:widowControl w:val="0"/>
              <w:spacing w:line="240" w:lineRule="auto"/>
              <w:jc w:val="center"/>
              <w:rPr>
                <w:rFonts w:hint="eastAsia" w:ascii="宋体" w:hAnsi="宋体" w:cs="宋体"/>
                <w:color w:val="000000" w:themeColor="text1"/>
                <w:sz w:val="28"/>
                <w:szCs w:val="28"/>
                <w:highlight w:val="none"/>
                <w14:textFill>
                  <w14:solidFill>
                    <w14:schemeClr w14:val="tx1"/>
                  </w14:solidFill>
                </w14:textFill>
              </w:rPr>
            </w:pPr>
          </w:p>
        </w:tc>
        <w:tc>
          <w:tcPr>
            <w:tcW w:w="1971" w:type="dxa"/>
          </w:tcPr>
          <w:p w14:paraId="43227375">
            <w:pPr>
              <w:widowControl w:val="0"/>
              <w:spacing w:line="240" w:lineRule="auto"/>
              <w:jc w:val="center"/>
              <w:rPr>
                <w:rFonts w:hint="eastAsia" w:ascii="宋体" w:hAnsi="宋体" w:cs="宋体"/>
                <w:color w:val="000000" w:themeColor="text1"/>
                <w:sz w:val="28"/>
                <w:szCs w:val="28"/>
                <w:highlight w:val="none"/>
                <w14:textFill>
                  <w14:solidFill>
                    <w14:schemeClr w14:val="tx1"/>
                  </w14:solidFill>
                </w14:textFill>
              </w:rPr>
            </w:pPr>
          </w:p>
        </w:tc>
        <w:tc>
          <w:tcPr>
            <w:tcW w:w="1971" w:type="dxa"/>
          </w:tcPr>
          <w:p w14:paraId="7CAA452E">
            <w:pPr>
              <w:widowControl w:val="0"/>
              <w:spacing w:line="240" w:lineRule="auto"/>
              <w:jc w:val="center"/>
              <w:rPr>
                <w:rFonts w:hint="eastAsia" w:ascii="宋体" w:hAnsi="宋体" w:cs="宋体"/>
                <w:color w:val="000000" w:themeColor="text1"/>
                <w:sz w:val="28"/>
                <w:szCs w:val="28"/>
                <w:highlight w:val="none"/>
                <w14:textFill>
                  <w14:solidFill>
                    <w14:schemeClr w14:val="tx1"/>
                  </w14:solidFill>
                </w14:textFill>
              </w:rPr>
            </w:pPr>
          </w:p>
        </w:tc>
        <w:tc>
          <w:tcPr>
            <w:tcW w:w="1971" w:type="dxa"/>
          </w:tcPr>
          <w:p w14:paraId="7C847A3F">
            <w:pPr>
              <w:widowControl w:val="0"/>
              <w:spacing w:line="240" w:lineRule="auto"/>
              <w:jc w:val="center"/>
              <w:rPr>
                <w:rFonts w:hint="eastAsia" w:ascii="宋体" w:hAnsi="宋体" w:cs="宋体"/>
                <w:color w:val="000000" w:themeColor="text1"/>
                <w:sz w:val="28"/>
                <w:szCs w:val="28"/>
                <w:highlight w:val="none"/>
                <w14:textFill>
                  <w14:solidFill>
                    <w14:schemeClr w14:val="tx1"/>
                  </w14:solidFill>
                </w14:textFill>
              </w:rPr>
            </w:pPr>
          </w:p>
        </w:tc>
      </w:tr>
      <w:tr w14:paraId="32723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0" w:type="dxa"/>
          </w:tcPr>
          <w:p w14:paraId="1A695568">
            <w:pPr>
              <w:widowControl w:val="0"/>
              <w:spacing w:line="240" w:lineRule="auto"/>
              <w:jc w:val="center"/>
              <w:rPr>
                <w:rFonts w:hint="eastAsia" w:ascii="宋体" w:hAnsi="宋体" w:cs="宋体"/>
                <w:color w:val="000000" w:themeColor="text1"/>
                <w:sz w:val="28"/>
                <w:szCs w:val="28"/>
                <w:highlight w:val="none"/>
                <w14:textFill>
                  <w14:solidFill>
                    <w14:schemeClr w14:val="tx1"/>
                  </w14:solidFill>
                </w14:textFill>
              </w:rPr>
            </w:pPr>
          </w:p>
        </w:tc>
        <w:tc>
          <w:tcPr>
            <w:tcW w:w="1971" w:type="dxa"/>
          </w:tcPr>
          <w:p w14:paraId="2820C7F8">
            <w:pPr>
              <w:widowControl w:val="0"/>
              <w:spacing w:line="240" w:lineRule="auto"/>
              <w:jc w:val="center"/>
              <w:rPr>
                <w:rFonts w:hint="eastAsia" w:ascii="宋体" w:hAnsi="宋体" w:cs="宋体"/>
                <w:color w:val="000000" w:themeColor="text1"/>
                <w:sz w:val="28"/>
                <w:szCs w:val="28"/>
                <w:highlight w:val="none"/>
                <w14:textFill>
                  <w14:solidFill>
                    <w14:schemeClr w14:val="tx1"/>
                  </w14:solidFill>
                </w14:textFill>
              </w:rPr>
            </w:pPr>
          </w:p>
        </w:tc>
        <w:tc>
          <w:tcPr>
            <w:tcW w:w="1971" w:type="dxa"/>
          </w:tcPr>
          <w:p w14:paraId="3C5CBC0D">
            <w:pPr>
              <w:widowControl w:val="0"/>
              <w:spacing w:line="240" w:lineRule="auto"/>
              <w:jc w:val="center"/>
              <w:rPr>
                <w:rFonts w:hint="eastAsia" w:ascii="宋体" w:hAnsi="宋体" w:cs="宋体"/>
                <w:color w:val="000000" w:themeColor="text1"/>
                <w:sz w:val="28"/>
                <w:szCs w:val="28"/>
                <w:highlight w:val="none"/>
                <w14:textFill>
                  <w14:solidFill>
                    <w14:schemeClr w14:val="tx1"/>
                  </w14:solidFill>
                </w14:textFill>
              </w:rPr>
            </w:pPr>
          </w:p>
        </w:tc>
        <w:tc>
          <w:tcPr>
            <w:tcW w:w="1971" w:type="dxa"/>
          </w:tcPr>
          <w:p w14:paraId="725BA46B">
            <w:pPr>
              <w:widowControl w:val="0"/>
              <w:spacing w:line="240" w:lineRule="auto"/>
              <w:jc w:val="center"/>
              <w:rPr>
                <w:rFonts w:hint="eastAsia" w:ascii="宋体" w:hAnsi="宋体" w:cs="宋体"/>
                <w:color w:val="000000" w:themeColor="text1"/>
                <w:sz w:val="28"/>
                <w:szCs w:val="28"/>
                <w:highlight w:val="none"/>
                <w14:textFill>
                  <w14:solidFill>
                    <w14:schemeClr w14:val="tx1"/>
                  </w14:solidFill>
                </w14:textFill>
              </w:rPr>
            </w:pPr>
          </w:p>
        </w:tc>
        <w:tc>
          <w:tcPr>
            <w:tcW w:w="1971" w:type="dxa"/>
          </w:tcPr>
          <w:p w14:paraId="06C98D4C">
            <w:pPr>
              <w:widowControl w:val="0"/>
              <w:spacing w:line="240" w:lineRule="auto"/>
              <w:jc w:val="center"/>
              <w:rPr>
                <w:rFonts w:hint="eastAsia" w:ascii="宋体" w:hAnsi="宋体" w:cs="宋体"/>
                <w:color w:val="000000" w:themeColor="text1"/>
                <w:sz w:val="28"/>
                <w:szCs w:val="28"/>
                <w:highlight w:val="none"/>
                <w14:textFill>
                  <w14:solidFill>
                    <w14:schemeClr w14:val="tx1"/>
                  </w14:solidFill>
                </w14:textFill>
              </w:rPr>
            </w:pPr>
          </w:p>
        </w:tc>
      </w:tr>
      <w:tr w14:paraId="74EB8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0" w:type="dxa"/>
          </w:tcPr>
          <w:p w14:paraId="4B81F5E0">
            <w:pPr>
              <w:widowControl w:val="0"/>
              <w:spacing w:line="240" w:lineRule="auto"/>
              <w:jc w:val="center"/>
              <w:rPr>
                <w:rFonts w:hint="eastAsia" w:ascii="宋体" w:hAnsi="宋体" w:cs="宋体"/>
                <w:color w:val="000000" w:themeColor="text1"/>
                <w:sz w:val="28"/>
                <w:szCs w:val="28"/>
                <w:highlight w:val="none"/>
                <w14:textFill>
                  <w14:solidFill>
                    <w14:schemeClr w14:val="tx1"/>
                  </w14:solidFill>
                </w14:textFill>
              </w:rPr>
            </w:pPr>
          </w:p>
        </w:tc>
        <w:tc>
          <w:tcPr>
            <w:tcW w:w="1971" w:type="dxa"/>
          </w:tcPr>
          <w:p w14:paraId="5B4AAB59">
            <w:pPr>
              <w:widowControl w:val="0"/>
              <w:spacing w:line="240" w:lineRule="auto"/>
              <w:jc w:val="center"/>
              <w:rPr>
                <w:rFonts w:hint="eastAsia" w:ascii="宋体" w:hAnsi="宋体" w:cs="宋体"/>
                <w:color w:val="000000" w:themeColor="text1"/>
                <w:sz w:val="28"/>
                <w:szCs w:val="28"/>
                <w:highlight w:val="none"/>
                <w14:textFill>
                  <w14:solidFill>
                    <w14:schemeClr w14:val="tx1"/>
                  </w14:solidFill>
                </w14:textFill>
              </w:rPr>
            </w:pPr>
          </w:p>
        </w:tc>
        <w:tc>
          <w:tcPr>
            <w:tcW w:w="1971" w:type="dxa"/>
          </w:tcPr>
          <w:p w14:paraId="2F6B5729">
            <w:pPr>
              <w:widowControl w:val="0"/>
              <w:spacing w:line="240" w:lineRule="auto"/>
              <w:jc w:val="center"/>
              <w:rPr>
                <w:rFonts w:hint="eastAsia" w:ascii="宋体" w:hAnsi="宋体" w:cs="宋体"/>
                <w:color w:val="000000" w:themeColor="text1"/>
                <w:sz w:val="28"/>
                <w:szCs w:val="28"/>
                <w:highlight w:val="none"/>
                <w14:textFill>
                  <w14:solidFill>
                    <w14:schemeClr w14:val="tx1"/>
                  </w14:solidFill>
                </w14:textFill>
              </w:rPr>
            </w:pPr>
          </w:p>
        </w:tc>
        <w:tc>
          <w:tcPr>
            <w:tcW w:w="1971" w:type="dxa"/>
          </w:tcPr>
          <w:p w14:paraId="39094CA1">
            <w:pPr>
              <w:widowControl w:val="0"/>
              <w:spacing w:line="240" w:lineRule="auto"/>
              <w:jc w:val="center"/>
              <w:rPr>
                <w:rFonts w:hint="eastAsia" w:ascii="宋体" w:hAnsi="宋体" w:cs="宋体"/>
                <w:color w:val="000000" w:themeColor="text1"/>
                <w:sz w:val="28"/>
                <w:szCs w:val="28"/>
                <w:highlight w:val="none"/>
                <w14:textFill>
                  <w14:solidFill>
                    <w14:schemeClr w14:val="tx1"/>
                  </w14:solidFill>
                </w14:textFill>
              </w:rPr>
            </w:pPr>
          </w:p>
        </w:tc>
        <w:tc>
          <w:tcPr>
            <w:tcW w:w="1971" w:type="dxa"/>
          </w:tcPr>
          <w:p w14:paraId="0565142B">
            <w:pPr>
              <w:widowControl w:val="0"/>
              <w:spacing w:line="240" w:lineRule="auto"/>
              <w:jc w:val="center"/>
              <w:rPr>
                <w:rFonts w:hint="eastAsia" w:ascii="宋体" w:hAnsi="宋体" w:cs="宋体"/>
                <w:color w:val="000000" w:themeColor="text1"/>
                <w:sz w:val="28"/>
                <w:szCs w:val="28"/>
                <w:highlight w:val="none"/>
                <w14:textFill>
                  <w14:solidFill>
                    <w14:schemeClr w14:val="tx1"/>
                  </w14:solidFill>
                </w14:textFill>
              </w:rPr>
            </w:pPr>
          </w:p>
        </w:tc>
      </w:tr>
      <w:tr w14:paraId="6F2F6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0" w:type="dxa"/>
          </w:tcPr>
          <w:p w14:paraId="46EB7843">
            <w:pPr>
              <w:widowControl w:val="0"/>
              <w:spacing w:line="240" w:lineRule="auto"/>
              <w:jc w:val="center"/>
              <w:rPr>
                <w:rFonts w:hint="eastAsia" w:ascii="宋体" w:hAnsi="宋体" w:cs="宋体"/>
                <w:color w:val="000000" w:themeColor="text1"/>
                <w:sz w:val="28"/>
                <w:szCs w:val="28"/>
                <w:highlight w:val="none"/>
                <w14:textFill>
                  <w14:solidFill>
                    <w14:schemeClr w14:val="tx1"/>
                  </w14:solidFill>
                </w14:textFill>
              </w:rPr>
            </w:pPr>
          </w:p>
        </w:tc>
        <w:tc>
          <w:tcPr>
            <w:tcW w:w="1971" w:type="dxa"/>
          </w:tcPr>
          <w:p w14:paraId="15DE39BE">
            <w:pPr>
              <w:widowControl w:val="0"/>
              <w:spacing w:line="240" w:lineRule="auto"/>
              <w:jc w:val="center"/>
              <w:rPr>
                <w:rFonts w:hint="eastAsia" w:ascii="宋体" w:hAnsi="宋体" w:cs="宋体"/>
                <w:color w:val="000000" w:themeColor="text1"/>
                <w:sz w:val="28"/>
                <w:szCs w:val="28"/>
                <w:highlight w:val="none"/>
                <w14:textFill>
                  <w14:solidFill>
                    <w14:schemeClr w14:val="tx1"/>
                  </w14:solidFill>
                </w14:textFill>
              </w:rPr>
            </w:pPr>
          </w:p>
        </w:tc>
        <w:tc>
          <w:tcPr>
            <w:tcW w:w="1971" w:type="dxa"/>
          </w:tcPr>
          <w:p w14:paraId="3E0466BB">
            <w:pPr>
              <w:widowControl w:val="0"/>
              <w:spacing w:line="240" w:lineRule="auto"/>
              <w:jc w:val="center"/>
              <w:rPr>
                <w:rFonts w:hint="eastAsia" w:ascii="宋体" w:hAnsi="宋体" w:cs="宋体"/>
                <w:color w:val="000000" w:themeColor="text1"/>
                <w:sz w:val="28"/>
                <w:szCs w:val="28"/>
                <w:highlight w:val="none"/>
                <w14:textFill>
                  <w14:solidFill>
                    <w14:schemeClr w14:val="tx1"/>
                  </w14:solidFill>
                </w14:textFill>
              </w:rPr>
            </w:pPr>
          </w:p>
        </w:tc>
        <w:tc>
          <w:tcPr>
            <w:tcW w:w="1971" w:type="dxa"/>
          </w:tcPr>
          <w:p w14:paraId="4490F7E2">
            <w:pPr>
              <w:widowControl w:val="0"/>
              <w:spacing w:line="240" w:lineRule="auto"/>
              <w:jc w:val="center"/>
              <w:rPr>
                <w:rFonts w:hint="eastAsia" w:ascii="宋体" w:hAnsi="宋体" w:cs="宋体"/>
                <w:color w:val="000000" w:themeColor="text1"/>
                <w:sz w:val="28"/>
                <w:szCs w:val="28"/>
                <w:highlight w:val="none"/>
                <w14:textFill>
                  <w14:solidFill>
                    <w14:schemeClr w14:val="tx1"/>
                  </w14:solidFill>
                </w14:textFill>
              </w:rPr>
            </w:pPr>
          </w:p>
        </w:tc>
        <w:tc>
          <w:tcPr>
            <w:tcW w:w="1971" w:type="dxa"/>
          </w:tcPr>
          <w:p w14:paraId="592A0C9B">
            <w:pPr>
              <w:widowControl w:val="0"/>
              <w:spacing w:line="240" w:lineRule="auto"/>
              <w:jc w:val="center"/>
              <w:rPr>
                <w:rFonts w:hint="eastAsia" w:ascii="宋体" w:hAnsi="宋体" w:cs="宋体"/>
                <w:color w:val="000000" w:themeColor="text1"/>
                <w:sz w:val="28"/>
                <w:szCs w:val="28"/>
                <w:highlight w:val="none"/>
                <w14:textFill>
                  <w14:solidFill>
                    <w14:schemeClr w14:val="tx1"/>
                  </w14:solidFill>
                </w14:textFill>
              </w:rPr>
            </w:pPr>
          </w:p>
        </w:tc>
      </w:tr>
    </w:tbl>
    <w:p w14:paraId="00A62B78">
      <w:pPr>
        <w:spacing w:line="240" w:lineRule="auto"/>
        <w:jc w:val="center"/>
        <w:rPr>
          <w:rFonts w:hint="eastAsia" w:ascii="宋体" w:hAnsi="宋体" w:cs="宋体"/>
          <w:color w:val="000000" w:themeColor="text1"/>
          <w:sz w:val="28"/>
          <w:szCs w:val="28"/>
          <w:highlight w:val="none"/>
          <w14:textFill>
            <w14:solidFill>
              <w14:schemeClr w14:val="tx1"/>
            </w14:solidFill>
          </w14:textFill>
        </w:rPr>
      </w:pPr>
    </w:p>
    <w:p w14:paraId="6BE4EEB5">
      <w:pPr>
        <w:spacing w:line="240" w:lineRule="auto"/>
        <w:rPr>
          <w:rFonts w:hint="eastAsia" w:ascii="宋体" w:hAnsi="宋体" w:cs="宋体"/>
          <w:color w:val="000000" w:themeColor="text1"/>
          <w:sz w:val="28"/>
          <w:szCs w:val="28"/>
          <w:highlight w:val="none"/>
          <w:u w:val="singl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采购人代表：</w:t>
      </w:r>
      <w:r>
        <w:rPr>
          <w:rFonts w:hint="eastAsia" w:ascii="宋体" w:hAnsi="宋体" w:cs="宋体"/>
          <w:color w:val="000000" w:themeColor="text1"/>
          <w:sz w:val="28"/>
          <w:szCs w:val="28"/>
          <w:highlight w:val="none"/>
          <w:u w:val="single"/>
          <w14:textFill>
            <w14:solidFill>
              <w14:schemeClr w14:val="tx1"/>
            </w14:solidFill>
          </w14:textFill>
        </w:rPr>
        <w:t xml:space="preserve">      </w:t>
      </w:r>
      <w:r>
        <w:rPr>
          <w:rFonts w:hint="eastAsia" w:ascii="宋体" w:hAnsi="宋体" w:cs="宋体"/>
          <w:color w:val="000000" w:themeColor="text1"/>
          <w:sz w:val="28"/>
          <w:szCs w:val="28"/>
          <w:highlight w:val="none"/>
          <w14:textFill>
            <w14:solidFill>
              <w14:schemeClr w14:val="tx1"/>
            </w14:solidFill>
          </w14:textFill>
        </w:rPr>
        <w:t xml:space="preserve">                记录人：</w:t>
      </w:r>
      <w:r>
        <w:rPr>
          <w:rFonts w:hint="eastAsia" w:ascii="宋体" w:hAnsi="宋体" w:cs="宋体"/>
          <w:color w:val="000000" w:themeColor="text1"/>
          <w:sz w:val="28"/>
          <w:szCs w:val="28"/>
          <w:highlight w:val="none"/>
          <w:u w:val="single"/>
          <w14:textFill>
            <w14:solidFill>
              <w14:schemeClr w14:val="tx1"/>
            </w14:solidFill>
          </w14:textFill>
        </w:rPr>
        <w:t xml:space="preserve">        </w:t>
      </w:r>
    </w:p>
    <w:p w14:paraId="119E1E21">
      <w:pPr>
        <w:spacing w:line="240" w:lineRule="auto"/>
        <w:rPr>
          <w:rFonts w:hint="eastAsia" w:ascii="宋体" w:hAnsi="宋体" w:cs="宋体"/>
          <w:color w:val="000000" w:themeColor="text1"/>
          <w:sz w:val="28"/>
          <w:szCs w:val="28"/>
          <w:highlight w:val="none"/>
          <w14:textFill>
            <w14:solidFill>
              <w14:schemeClr w14:val="tx1"/>
            </w14:solidFill>
          </w14:textFill>
        </w:rPr>
      </w:pPr>
    </w:p>
    <w:p w14:paraId="229CED2A">
      <w:pPr>
        <w:spacing w:line="240" w:lineRule="auto"/>
        <w:rPr>
          <w:rFonts w:hint="eastAsia" w:ascii="宋体" w:hAnsi="宋体" w:cs="宋体"/>
          <w:color w:val="000000" w:themeColor="text1"/>
          <w:sz w:val="30"/>
          <w:szCs w:val="30"/>
          <w:highlight w:val="none"/>
          <w14:textFill>
            <w14:solidFill>
              <w14:schemeClr w14:val="tx1"/>
            </w14:solidFill>
          </w14:textFill>
        </w:rPr>
      </w:pPr>
    </w:p>
    <w:p w14:paraId="518EF083">
      <w:pPr>
        <w:spacing w:line="240" w:lineRule="auto"/>
        <w:rPr>
          <w:rFonts w:hint="eastAsia" w:ascii="宋体" w:hAnsi="宋体" w:cs="宋体"/>
          <w:color w:val="000000" w:themeColor="text1"/>
          <w:sz w:val="30"/>
          <w:szCs w:val="30"/>
          <w:highlight w:val="none"/>
          <w14:textFill>
            <w14:solidFill>
              <w14:schemeClr w14:val="tx1"/>
            </w14:solidFill>
          </w14:textFill>
        </w:rPr>
      </w:pPr>
      <w:r>
        <w:rPr>
          <w:rFonts w:hint="eastAsia" w:ascii="宋体" w:hAnsi="宋体" w:cs="宋体"/>
          <w:color w:val="000000" w:themeColor="text1"/>
          <w:sz w:val="30"/>
          <w:szCs w:val="30"/>
          <w:highlight w:val="none"/>
          <w14:textFill>
            <w14:solidFill>
              <w14:schemeClr w14:val="tx1"/>
            </w14:solidFill>
          </w14:textFill>
        </w:rPr>
        <w:br w:type="page"/>
      </w:r>
    </w:p>
    <w:p w14:paraId="64C0C255">
      <w:pPr>
        <w:adjustRightInd w:val="0"/>
        <w:snapToGrid w:val="0"/>
        <w:spacing w:line="600" w:lineRule="exact"/>
        <w:ind w:firstLine="600" w:firstLineChars="200"/>
        <w:rPr>
          <w:rFonts w:hint="eastAsia" w:ascii="宋体" w:hAnsi="宋体" w:cs="宋体"/>
          <w:color w:val="000000" w:themeColor="text1"/>
          <w:sz w:val="30"/>
          <w:szCs w:val="30"/>
          <w:highlight w:val="none"/>
          <w14:textFill>
            <w14:solidFill>
              <w14:schemeClr w14:val="tx1"/>
            </w14:solidFill>
          </w14:textFill>
        </w:rPr>
      </w:pPr>
      <w:r>
        <w:rPr>
          <w:rFonts w:hint="eastAsia" w:ascii="宋体" w:hAnsi="宋体" w:cs="宋体"/>
          <w:color w:val="000000" w:themeColor="text1"/>
          <w:sz w:val="30"/>
          <w:szCs w:val="30"/>
          <w:highlight w:val="none"/>
          <w14:textFill>
            <w14:solidFill>
              <w14:schemeClr w14:val="tx1"/>
            </w14:solidFill>
          </w14:textFill>
        </w:rPr>
        <w:t>附件2  问题澄清通知</w:t>
      </w:r>
    </w:p>
    <w:p w14:paraId="26558D1A">
      <w:pPr>
        <w:adjustRightInd w:val="0"/>
        <w:snapToGrid w:val="0"/>
        <w:spacing w:line="600" w:lineRule="exact"/>
        <w:ind w:firstLine="723" w:firstLineChars="200"/>
        <w:jc w:val="center"/>
        <w:rPr>
          <w:rFonts w:hint="eastAsia" w:ascii="宋体" w:hAnsi="宋体" w:cs="宋体"/>
          <w:b/>
          <w:bCs/>
          <w:color w:val="000000" w:themeColor="text1"/>
          <w:sz w:val="36"/>
          <w:szCs w:val="36"/>
          <w:highlight w:val="none"/>
          <w14:textFill>
            <w14:solidFill>
              <w14:schemeClr w14:val="tx1"/>
            </w14:solidFill>
          </w14:textFill>
        </w:rPr>
      </w:pPr>
    </w:p>
    <w:p w14:paraId="7E46AB2B">
      <w:pPr>
        <w:adjustRightInd w:val="0"/>
        <w:snapToGrid w:val="0"/>
        <w:spacing w:line="600" w:lineRule="exact"/>
        <w:ind w:firstLine="723" w:firstLineChars="200"/>
        <w:jc w:val="center"/>
        <w:rPr>
          <w:rFonts w:hint="eastAsia" w:ascii="宋体" w:hAnsi="宋体" w:cs="宋体"/>
          <w:b/>
          <w:bCs/>
          <w:color w:val="000000" w:themeColor="text1"/>
          <w:sz w:val="36"/>
          <w:szCs w:val="36"/>
          <w:highlight w:val="none"/>
          <w14:textFill>
            <w14:solidFill>
              <w14:schemeClr w14:val="tx1"/>
            </w14:solidFill>
          </w14:textFill>
        </w:rPr>
      </w:pPr>
      <w:r>
        <w:rPr>
          <w:rFonts w:hint="eastAsia" w:ascii="宋体" w:hAnsi="宋体" w:cs="宋体"/>
          <w:b/>
          <w:bCs/>
          <w:color w:val="000000" w:themeColor="text1"/>
          <w:sz w:val="36"/>
          <w:szCs w:val="36"/>
          <w:highlight w:val="none"/>
          <w14:textFill>
            <w14:solidFill>
              <w14:schemeClr w14:val="tx1"/>
            </w14:solidFill>
          </w14:textFill>
        </w:rPr>
        <w:t>问题澄清通知</w:t>
      </w:r>
    </w:p>
    <w:p w14:paraId="0D197D5F">
      <w:pPr>
        <w:adjustRightInd w:val="0"/>
        <w:snapToGrid w:val="0"/>
        <w:spacing w:line="600" w:lineRule="exact"/>
        <w:ind w:firstLine="723" w:firstLineChars="200"/>
        <w:jc w:val="center"/>
        <w:rPr>
          <w:rFonts w:hint="eastAsia" w:ascii="宋体" w:hAnsi="宋体" w:cs="宋体"/>
          <w:b/>
          <w:bCs/>
          <w:color w:val="000000" w:themeColor="text1"/>
          <w:sz w:val="36"/>
          <w:szCs w:val="36"/>
          <w:highlight w:val="none"/>
          <w14:textFill>
            <w14:solidFill>
              <w14:schemeClr w14:val="tx1"/>
            </w14:solidFill>
          </w14:textFill>
        </w:rPr>
      </w:pPr>
    </w:p>
    <w:p w14:paraId="098AF744">
      <w:pPr>
        <w:adjustRightInd w:val="0"/>
        <w:snapToGrid w:val="0"/>
        <w:spacing w:line="600" w:lineRule="exact"/>
        <w:ind w:firstLine="600" w:firstLineChars="200"/>
        <w:jc w:val="center"/>
        <w:rPr>
          <w:rFonts w:hint="eastAsia" w:ascii="宋体" w:hAnsi="宋体" w:cs="宋体"/>
          <w:color w:val="000000" w:themeColor="text1"/>
          <w:sz w:val="30"/>
          <w:szCs w:val="30"/>
          <w:highlight w:val="none"/>
          <w14:textFill>
            <w14:solidFill>
              <w14:schemeClr w14:val="tx1"/>
            </w14:solidFill>
          </w14:textFill>
        </w:rPr>
      </w:pPr>
      <w:r>
        <w:rPr>
          <w:rFonts w:hint="eastAsia" w:ascii="宋体" w:hAnsi="宋体" w:cs="宋体"/>
          <w:color w:val="000000" w:themeColor="text1"/>
          <w:sz w:val="30"/>
          <w:szCs w:val="30"/>
          <w:highlight w:val="none"/>
          <w14:textFill>
            <w14:solidFill>
              <w14:schemeClr w14:val="tx1"/>
            </w14:solidFill>
          </w14:textFill>
        </w:rPr>
        <w:t>(编号：</w:t>
      </w:r>
      <w:r>
        <w:rPr>
          <w:rFonts w:hint="eastAsia" w:ascii="宋体" w:hAnsi="宋体" w:cs="宋体"/>
          <w:color w:val="000000" w:themeColor="text1"/>
          <w:sz w:val="30"/>
          <w:szCs w:val="30"/>
          <w:highlight w:val="none"/>
          <w:u w:val="single"/>
          <w14:textFill>
            <w14:solidFill>
              <w14:schemeClr w14:val="tx1"/>
            </w14:solidFill>
          </w14:textFill>
        </w:rPr>
        <w:t xml:space="preserve">          </w:t>
      </w:r>
      <w:r>
        <w:rPr>
          <w:rFonts w:hint="eastAsia" w:ascii="宋体" w:hAnsi="宋体" w:cs="宋体"/>
          <w:color w:val="000000" w:themeColor="text1"/>
          <w:sz w:val="30"/>
          <w:szCs w:val="30"/>
          <w:highlight w:val="none"/>
          <w14:textFill>
            <w14:solidFill>
              <w14:schemeClr w14:val="tx1"/>
            </w14:solidFill>
          </w14:textFill>
        </w:rPr>
        <w:t>）</w:t>
      </w:r>
    </w:p>
    <w:p w14:paraId="08157A24">
      <w:pPr>
        <w:adjustRightInd w:val="0"/>
        <w:snapToGrid w:val="0"/>
        <w:spacing w:line="600" w:lineRule="exact"/>
        <w:ind w:left="210" w:leftChars="100" w:firstLine="280" w:firstLineChars="100"/>
        <w:rPr>
          <w:rFonts w:hint="eastAsia" w:ascii="宋体" w:hAnsi="宋体" w:cs="宋体"/>
          <w:color w:val="000000" w:themeColor="text1"/>
          <w:sz w:val="28"/>
          <w:szCs w:val="28"/>
          <w:highlight w:val="none"/>
          <w:u w:val="single"/>
          <w14:textFill>
            <w14:solidFill>
              <w14:schemeClr w14:val="tx1"/>
            </w14:solidFill>
          </w14:textFill>
        </w:rPr>
      </w:pPr>
      <w:r>
        <w:rPr>
          <w:rFonts w:hint="eastAsia" w:ascii="宋体" w:hAnsi="宋体" w:cs="宋体"/>
          <w:color w:val="000000" w:themeColor="text1"/>
          <w:sz w:val="28"/>
          <w:szCs w:val="28"/>
          <w:highlight w:val="none"/>
          <w:u w:val="single"/>
          <w14:textFill>
            <w14:solidFill>
              <w14:schemeClr w14:val="tx1"/>
            </w14:solidFill>
          </w14:textFill>
        </w:rPr>
        <w:t>(供应商名称)：</w:t>
      </w:r>
    </w:p>
    <w:p w14:paraId="4D8965F0">
      <w:pPr>
        <w:adjustRightInd w:val="0"/>
        <w:snapToGrid w:val="0"/>
        <w:spacing w:line="600" w:lineRule="exact"/>
        <w:ind w:left="210" w:leftChars="100" w:firstLine="840" w:firstLineChars="300"/>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评审小组对你方的响应文件进行了仔细的审查，现需你方对下列问题以书面形式予以澄清、说明和补正：</w:t>
      </w:r>
    </w:p>
    <w:p w14:paraId="76BA3F05">
      <w:pPr>
        <w:adjustRightInd w:val="0"/>
        <w:snapToGrid w:val="0"/>
        <w:spacing w:line="600" w:lineRule="exact"/>
        <w:ind w:left="210" w:leftChars="100" w:firstLine="280" w:firstLineChars="100"/>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1.</w:t>
      </w:r>
    </w:p>
    <w:p w14:paraId="3C65C6C3">
      <w:pPr>
        <w:adjustRightInd w:val="0"/>
        <w:snapToGrid w:val="0"/>
        <w:spacing w:line="600" w:lineRule="exact"/>
        <w:ind w:left="210" w:leftChars="100" w:firstLine="280" w:firstLineChars="100"/>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2.</w:t>
      </w:r>
    </w:p>
    <w:p w14:paraId="6C42561F">
      <w:pPr>
        <w:adjustRightInd w:val="0"/>
        <w:snapToGrid w:val="0"/>
        <w:spacing w:line="600" w:lineRule="exact"/>
        <w:ind w:left="508" w:leftChars="242"/>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w:t>
      </w:r>
    </w:p>
    <w:p w14:paraId="45AECE69">
      <w:pPr>
        <w:adjustRightInd w:val="0"/>
        <w:snapToGrid w:val="0"/>
        <w:spacing w:line="600" w:lineRule="exact"/>
        <w:ind w:left="508" w:leftChars="242" w:firstLine="560" w:firstLineChars="200"/>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请将上述问题的澄清、说明和补正于</w:t>
      </w:r>
      <w:r>
        <w:rPr>
          <w:rFonts w:hint="eastAsia" w:ascii="宋体" w:hAnsi="宋体" w:cs="宋体"/>
          <w:color w:val="000000" w:themeColor="text1"/>
          <w:sz w:val="28"/>
          <w:szCs w:val="28"/>
          <w:highlight w:val="none"/>
          <w:u w:val="single"/>
          <w14:textFill>
            <w14:solidFill>
              <w14:schemeClr w14:val="tx1"/>
            </w14:solidFill>
          </w14:textFill>
        </w:rPr>
        <w:t xml:space="preserve">  </w:t>
      </w:r>
      <w:r>
        <w:rPr>
          <w:rFonts w:hint="eastAsia" w:ascii="宋体" w:hAnsi="宋体" w:cs="宋体"/>
          <w:color w:val="000000" w:themeColor="text1"/>
          <w:sz w:val="28"/>
          <w:szCs w:val="28"/>
          <w:highlight w:val="none"/>
          <w14:textFill>
            <w14:solidFill>
              <w14:schemeClr w14:val="tx1"/>
            </w14:solidFill>
          </w14:textFill>
        </w:rPr>
        <w:t>年</w:t>
      </w:r>
      <w:r>
        <w:rPr>
          <w:rFonts w:hint="eastAsia" w:ascii="宋体" w:hAnsi="宋体" w:cs="宋体"/>
          <w:color w:val="000000" w:themeColor="text1"/>
          <w:sz w:val="28"/>
          <w:szCs w:val="28"/>
          <w:highlight w:val="none"/>
          <w:u w:val="single"/>
          <w14:textFill>
            <w14:solidFill>
              <w14:schemeClr w14:val="tx1"/>
            </w14:solidFill>
          </w14:textFill>
        </w:rPr>
        <w:t xml:space="preserve">  </w:t>
      </w:r>
      <w:r>
        <w:rPr>
          <w:rFonts w:hint="eastAsia" w:ascii="宋体" w:hAnsi="宋体" w:cs="宋体"/>
          <w:color w:val="000000" w:themeColor="text1"/>
          <w:sz w:val="28"/>
          <w:szCs w:val="28"/>
          <w:highlight w:val="none"/>
          <w14:textFill>
            <w14:solidFill>
              <w14:schemeClr w14:val="tx1"/>
            </w14:solidFill>
          </w14:textFill>
        </w:rPr>
        <w:t>月</w:t>
      </w:r>
      <w:r>
        <w:rPr>
          <w:rFonts w:hint="eastAsia" w:ascii="宋体" w:hAnsi="宋体" w:cs="宋体"/>
          <w:color w:val="000000" w:themeColor="text1"/>
          <w:sz w:val="28"/>
          <w:szCs w:val="28"/>
          <w:highlight w:val="none"/>
          <w:u w:val="single"/>
          <w14:textFill>
            <w14:solidFill>
              <w14:schemeClr w14:val="tx1"/>
            </w14:solidFill>
          </w14:textFill>
        </w:rPr>
        <w:t xml:space="preserve">  </w:t>
      </w:r>
      <w:r>
        <w:rPr>
          <w:rFonts w:hint="eastAsia" w:ascii="宋体" w:hAnsi="宋体" w:cs="宋体"/>
          <w:color w:val="000000" w:themeColor="text1"/>
          <w:sz w:val="28"/>
          <w:szCs w:val="28"/>
          <w:highlight w:val="none"/>
          <w14:textFill>
            <w14:solidFill>
              <w14:schemeClr w14:val="tx1"/>
            </w14:solidFill>
          </w14:textFill>
        </w:rPr>
        <w:t>日</w:t>
      </w:r>
      <w:r>
        <w:rPr>
          <w:rFonts w:hint="eastAsia" w:ascii="宋体" w:hAnsi="宋体" w:cs="宋体"/>
          <w:color w:val="000000" w:themeColor="text1"/>
          <w:sz w:val="28"/>
          <w:szCs w:val="28"/>
          <w:highlight w:val="none"/>
          <w:u w:val="single"/>
          <w14:textFill>
            <w14:solidFill>
              <w14:schemeClr w14:val="tx1"/>
            </w14:solidFill>
          </w14:textFill>
        </w:rPr>
        <w:t xml:space="preserve">  </w:t>
      </w:r>
      <w:r>
        <w:rPr>
          <w:rFonts w:hint="eastAsia" w:ascii="宋体" w:hAnsi="宋体" w:cs="宋体"/>
          <w:color w:val="000000" w:themeColor="text1"/>
          <w:sz w:val="28"/>
          <w:szCs w:val="28"/>
          <w:highlight w:val="none"/>
          <w14:textFill>
            <w14:solidFill>
              <w14:schemeClr w14:val="tx1"/>
            </w14:solidFill>
          </w14:textFill>
        </w:rPr>
        <w:t>时前递交至</w:t>
      </w:r>
      <w:r>
        <w:rPr>
          <w:rFonts w:hint="eastAsia" w:ascii="宋体" w:hAnsi="宋体" w:cs="宋体"/>
          <w:color w:val="000000" w:themeColor="text1"/>
          <w:sz w:val="28"/>
          <w:szCs w:val="28"/>
          <w:highlight w:val="none"/>
          <w:u w:val="single"/>
          <w14:textFill>
            <w14:solidFill>
              <w14:schemeClr w14:val="tx1"/>
            </w14:solidFill>
          </w14:textFill>
        </w:rPr>
        <w:t>(详细地址)</w:t>
      </w:r>
      <w:r>
        <w:rPr>
          <w:rFonts w:hint="eastAsia" w:ascii="宋体" w:hAnsi="宋体" w:cs="宋体"/>
          <w:color w:val="000000" w:themeColor="text1"/>
          <w:sz w:val="28"/>
          <w:szCs w:val="28"/>
          <w:highlight w:val="none"/>
          <w14:textFill>
            <w14:solidFill>
              <w14:schemeClr w14:val="tx1"/>
            </w14:solidFill>
          </w14:textFill>
        </w:rPr>
        <w:t>或发电子邮件至</w:t>
      </w:r>
      <w:r>
        <w:rPr>
          <w:rFonts w:hint="eastAsia" w:ascii="宋体" w:hAnsi="宋体" w:cs="宋体"/>
          <w:color w:val="000000" w:themeColor="text1"/>
          <w:sz w:val="28"/>
          <w:szCs w:val="28"/>
          <w:highlight w:val="none"/>
          <w:u w:val="single"/>
          <w14:textFill>
            <w14:solidFill>
              <w14:schemeClr w14:val="tx1"/>
            </w14:solidFill>
          </w14:textFill>
        </w:rPr>
        <w:t>(电子邮箱地址)</w:t>
      </w:r>
      <w:r>
        <w:rPr>
          <w:rFonts w:hint="eastAsia" w:ascii="宋体" w:hAnsi="宋体" w:cs="宋体"/>
          <w:color w:val="000000" w:themeColor="text1"/>
          <w:sz w:val="28"/>
          <w:szCs w:val="28"/>
          <w:highlight w:val="none"/>
          <w14:textFill>
            <w14:solidFill>
              <w14:schemeClr w14:val="tx1"/>
            </w14:solidFill>
          </w14:textFill>
        </w:rPr>
        <w:t>。采用电子邮件方式的，应在</w:t>
      </w:r>
      <w:r>
        <w:rPr>
          <w:rFonts w:hint="eastAsia" w:ascii="宋体" w:hAnsi="宋体" w:cs="宋体"/>
          <w:color w:val="000000" w:themeColor="text1"/>
          <w:sz w:val="28"/>
          <w:szCs w:val="28"/>
          <w:highlight w:val="none"/>
          <w:u w:val="single"/>
          <w14:textFill>
            <w14:solidFill>
              <w14:schemeClr w14:val="tx1"/>
            </w14:solidFill>
          </w14:textFill>
        </w:rPr>
        <w:t xml:space="preserve">  </w:t>
      </w:r>
      <w:r>
        <w:rPr>
          <w:rFonts w:hint="eastAsia" w:ascii="宋体" w:hAnsi="宋体" w:cs="宋体"/>
          <w:color w:val="000000" w:themeColor="text1"/>
          <w:sz w:val="28"/>
          <w:szCs w:val="28"/>
          <w:highlight w:val="none"/>
          <w14:textFill>
            <w14:solidFill>
              <w14:schemeClr w14:val="tx1"/>
            </w14:solidFill>
          </w14:textFill>
        </w:rPr>
        <w:t>年</w:t>
      </w:r>
      <w:r>
        <w:rPr>
          <w:rFonts w:hint="eastAsia" w:ascii="宋体" w:hAnsi="宋体" w:cs="宋体"/>
          <w:color w:val="000000" w:themeColor="text1"/>
          <w:sz w:val="28"/>
          <w:szCs w:val="28"/>
          <w:highlight w:val="none"/>
          <w:u w:val="single"/>
          <w14:textFill>
            <w14:solidFill>
              <w14:schemeClr w14:val="tx1"/>
            </w14:solidFill>
          </w14:textFill>
        </w:rPr>
        <w:t xml:space="preserve">  </w:t>
      </w:r>
      <w:r>
        <w:rPr>
          <w:rFonts w:hint="eastAsia" w:ascii="宋体" w:hAnsi="宋体" w:cs="宋体"/>
          <w:color w:val="000000" w:themeColor="text1"/>
          <w:sz w:val="28"/>
          <w:szCs w:val="28"/>
          <w:highlight w:val="none"/>
          <w14:textFill>
            <w14:solidFill>
              <w14:schemeClr w14:val="tx1"/>
            </w14:solidFill>
          </w14:textFill>
        </w:rPr>
        <w:t>月</w:t>
      </w:r>
      <w:r>
        <w:rPr>
          <w:rFonts w:hint="eastAsia" w:ascii="宋体" w:hAnsi="宋体" w:cs="宋体"/>
          <w:color w:val="000000" w:themeColor="text1"/>
          <w:sz w:val="28"/>
          <w:szCs w:val="28"/>
          <w:highlight w:val="none"/>
          <w:u w:val="single"/>
          <w14:textFill>
            <w14:solidFill>
              <w14:schemeClr w14:val="tx1"/>
            </w14:solidFill>
          </w14:textFill>
        </w:rPr>
        <w:t xml:space="preserve">  </w:t>
      </w:r>
      <w:r>
        <w:rPr>
          <w:rFonts w:hint="eastAsia" w:ascii="宋体" w:hAnsi="宋体" w:cs="宋体"/>
          <w:color w:val="000000" w:themeColor="text1"/>
          <w:sz w:val="28"/>
          <w:szCs w:val="28"/>
          <w:highlight w:val="none"/>
          <w14:textFill>
            <w14:solidFill>
              <w14:schemeClr w14:val="tx1"/>
            </w14:solidFill>
          </w14:textFill>
        </w:rPr>
        <w:t>日_时前将原件递交至</w:t>
      </w:r>
      <w:r>
        <w:rPr>
          <w:rFonts w:hint="eastAsia" w:ascii="宋体" w:hAnsi="宋体" w:cs="宋体"/>
          <w:color w:val="000000" w:themeColor="text1"/>
          <w:sz w:val="28"/>
          <w:szCs w:val="28"/>
          <w:highlight w:val="none"/>
          <w:u w:val="single"/>
          <w14:textFill>
            <w14:solidFill>
              <w14:schemeClr w14:val="tx1"/>
            </w14:solidFill>
          </w14:textFill>
        </w:rPr>
        <w:t>(详细地址)</w:t>
      </w:r>
      <w:r>
        <w:rPr>
          <w:rFonts w:hint="eastAsia" w:ascii="宋体" w:hAnsi="宋体" w:cs="宋体"/>
          <w:color w:val="000000" w:themeColor="text1"/>
          <w:sz w:val="28"/>
          <w:szCs w:val="28"/>
          <w:highlight w:val="none"/>
          <w14:textFill>
            <w14:solidFill>
              <w14:schemeClr w14:val="tx1"/>
            </w14:solidFill>
          </w14:textFill>
        </w:rPr>
        <w:t>。</w:t>
      </w:r>
    </w:p>
    <w:p w14:paraId="506E9675">
      <w:pPr>
        <w:adjustRightInd w:val="0"/>
        <w:snapToGrid w:val="0"/>
        <w:spacing w:line="600" w:lineRule="exact"/>
        <w:ind w:left="210" w:leftChars="100" w:firstLine="280" w:firstLineChars="100"/>
        <w:rPr>
          <w:rFonts w:hint="eastAsia" w:ascii="宋体" w:hAnsi="宋体" w:cs="宋体"/>
          <w:color w:val="000000" w:themeColor="text1"/>
          <w:sz w:val="28"/>
          <w:szCs w:val="28"/>
          <w:highlight w:val="none"/>
          <w14:textFill>
            <w14:solidFill>
              <w14:schemeClr w14:val="tx1"/>
            </w14:solidFill>
          </w14:textFill>
        </w:rPr>
      </w:pPr>
    </w:p>
    <w:p w14:paraId="7678998E">
      <w:pPr>
        <w:adjustRightInd w:val="0"/>
        <w:snapToGrid w:val="0"/>
        <w:spacing w:line="600" w:lineRule="exact"/>
        <w:ind w:left="210" w:leftChars="100" w:firstLine="280" w:firstLineChars="100"/>
        <w:rPr>
          <w:rFonts w:hint="eastAsia" w:ascii="宋体" w:hAnsi="宋体" w:cs="宋体"/>
          <w:color w:val="000000" w:themeColor="text1"/>
          <w:sz w:val="28"/>
          <w:szCs w:val="28"/>
          <w:highlight w:val="none"/>
          <w14:textFill>
            <w14:solidFill>
              <w14:schemeClr w14:val="tx1"/>
            </w14:solidFill>
          </w14:textFill>
        </w:rPr>
      </w:pPr>
    </w:p>
    <w:p w14:paraId="1AC2F53F">
      <w:pPr>
        <w:adjustRightInd w:val="0"/>
        <w:snapToGrid w:val="0"/>
        <w:spacing w:line="600" w:lineRule="exact"/>
        <w:ind w:left="210" w:leftChars="100" w:firstLine="280" w:firstLineChars="100"/>
        <w:rPr>
          <w:rFonts w:hint="eastAsia" w:ascii="宋体" w:hAnsi="宋体" w:cs="宋体"/>
          <w:color w:val="000000" w:themeColor="text1"/>
          <w:sz w:val="28"/>
          <w:szCs w:val="28"/>
          <w:highlight w:val="none"/>
          <w14:textFill>
            <w14:solidFill>
              <w14:schemeClr w14:val="tx1"/>
            </w14:solidFill>
          </w14:textFill>
        </w:rPr>
      </w:pPr>
    </w:p>
    <w:p w14:paraId="5518951E">
      <w:pPr>
        <w:adjustRightInd w:val="0"/>
        <w:snapToGrid w:val="0"/>
        <w:spacing w:line="600" w:lineRule="exact"/>
        <w:ind w:left="210" w:leftChars="100" w:firstLine="280" w:firstLineChars="100"/>
        <w:jc w:val="right"/>
        <w:rPr>
          <w:rFonts w:hint="eastAsia" w:ascii="宋体" w:hAnsi="宋体" w:cs="宋体"/>
          <w:color w:val="000000" w:themeColor="text1"/>
          <w:sz w:val="28"/>
          <w:szCs w:val="28"/>
          <w:highlight w:val="none"/>
          <w:u w:val="singl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采购人(或采购代理机构)：</w:t>
      </w:r>
      <w:r>
        <w:rPr>
          <w:rFonts w:hint="eastAsia" w:ascii="宋体" w:hAnsi="宋体" w:cs="宋体"/>
          <w:color w:val="000000" w:themeColor="text1"/>
          <w:sz w:val="28"/>
          <w:szCs w:val="28"/>
          <w:highlight w:val="none"/>
          <w:u w:val="single"/>
          <w14:textFill>
            <w14:solidFill>
              <w14:schemeClr w14:val="tx1"/>
            </w14:solidFill>
          </w14:textFill>
        </w:rPr>
        <w:t> (签字或盖单位章)</w:t>
      </w:r>
    </w:p>
    <w:p w14:paraId="1A1A7088">
      <w:pPr>
        <w:spacing w:line="600" w:lineRule="exact"/>
        <w:jc w:val="right"/>
        <w:rPr>
          <w:rFonts w:hint="eastAsia" w:ascii="宋体" w:hAnsi="宋体" w:cs="宋体"/>
          <w:color w:val="000000" w:themeColor="text1"/>
          <w:sz w:val="30"/>
          <w:szCs w:val="30"/>
          <w:highlight w:val="none"/>
          <w14:textFill>
            <w14:solidFill>
              <w14:schemeClr w14:val="tx1"/>
            </w14:solidFill>
          </w14:textFill>
        </w:rPr>
      </w:pPr>
      <w:r>
        <w:rPr>
          <w:rFonts w:hint="eastAsia" w:ascii="宋体" w:hAnsi="宋体" w:cs="宋体"/>
          <w:color w:val="000000" w:themeColor="text1"/>
          <w:sz w:val="28"/>
          <w:szCs w:val="28"/>
          <w:highlight w:val="none"/>
          <w:u w:val="single"/>
          <w14:textFill>
            <w14:solidFill>
              <w14:schemeClr w14:val="tx1"/>
            </w14:solidFill>
          </w14:textFill>
        </w:rPr>
        <w:t xml:space="preserve">  </w:t>
      </w:r>
      <w:r>
        <w:rPr>
          <w:rFonts w:hint="eastAsia" w:ascii="宋体" w:hAnsi="宋体" w:cs="宋体"/>
          <w:color w:val="000000" w:themeColor="text1"/>
          <w:sz w:val="28"/>
          <w:szCs w:val="28"/>
          <w:highlight w:val="none"/>
          <w14:textFill>
            <w14:solidFill>
              <w14:schemeClr w14:val="tx1"/>
            </w14:solidFill>
          </w14:textFill>
        </w:rPr>
        <w:t>年</w:t>
      </w:r>
      <w:r>
        <w:rPr>
          <w:rFonts w:hint="eastAsia" w:ascii="宋体" w:hAnsi="宋体" w:cs="宋体"/>
          <w:color w:val="000000" w:themeColor="text1"/>
          <w:sz w:val="28"/>
          <w:szCs w:val="28"/>
          <w:highlight w:val="none"/>
          <w:u w:val="single"/>
          <w14:textFill>
            <w14:solidFill>
              <w14:schemeClr w14:val="tx1"/>
            </w14:solidFill>
          </w14:textFill>
        </w:rPr>
        <w:t xml:space="preserve">  </w:t>
      </w:r>
      <w:r>
        <w:rPr>
          <w:rFonts w:hint="eastAsia" w:ascii="宋体" w:hAnsi="宋体" w:cs="宋体"/>
          <w:color w:val="000000" w:themeColor="text1"/>
          <w:sz w:val="28"/>
          <w:szCs w:val="28"/>
          <w:highlight w:val="none"/>
          <w14:textFill>
            <w14:solidFill>
              <w14:schemeClr w14:val="tx1"/>
            </w14:solidFill>
          </w14:textFill>
        </w:rPr>
        <w:t>月</w:t>
      </w:r>
      <w:r>
        <w:rPr>
          <w:rFonts w:hint="eastAsia" w:ascii="宋体" w:hAnsi="宋体" w:cs="宋体"/>
          <w:color w:val="000000" w:themeColor="text1"/>
          <w:sz w:val="28"/>
          <w:szCs w:val="28"/>
          <w:highlight w:val="none"/>
          <w:u w:val="single"/>
          <w14:textFill>
            <w14:solidFill>
              <w14:schemeClr w14:val="tx1"/>
            </w14:solidFill>
          </w14:textFill>
        </w:rPr>
        <w:t xml:space="preserve">  </w:t>
      </w:r>
      <w:r>
        <w:rPr>
          <w:rFonts w:hint="eastAsia" w:ascii="宋体" w:hAnsi="宋体" w:cs="宋体"/>
          <w:color w:val="000000" w:themeColor="text1"/>
          <w:sz w:val="28"/>
          <w:szCs w:val="28"/>
          <w:highlight w:val="none"/>
          <w14:textFill>
            <w14:solidFill>
              <w14:schemeClr w14:val="tx1"/>
            </w14:solidFill>
          </w14:textFill>
        </w:rPr>
        <w:t>日</w:t>
      </w:r>
      <w:r>
        <w:rPr>
          <w:rFonts w:hint="eastAsia" w:ascii="宋体" w:hAnsi="宋体" w:cs="宋体"/>
          <w:color w:val="000000" w:themeColor="text1"/>
          <w:sz w:val="30"/>
          <w:szCs w:val="30"/>
          <w:highlight w:val="none"/>
          <w14:textFill>
            <w14:solidFill>
              <w14:schemeClr w14:val="tx1"/>
            </w14:solidFill>
          </w14:textFill>
        </w:rPr>
        <w:br w:type="page"/>
      </w:r>
    </w:p>
    <w:p w14:paraId="3D84E99A">
      <w:pPr>
        <w:adjustRightInd w:val="0"/>
        <w:snapToGrid w:val="0"/>
        <w:spacing w:line="600" w:lineRule="exact"/>
        <w:ind w:firstLine="600" w:firstLineChars="200"/>
        <w:rPr>
          <w:rFonts w:hint="eastAsia" w:ascii="宋体" w:hAnsi="宋体" w:cs="宋体"/>
          <w:color w:val="000000" w:themeColor="text1"/>
          <w:sz w:val="30"/>
          <w:szCs w:val="30"/>
          <w:highlight w:val="none"/>
          <w14:textFill>
            <w14:solidFill>
              <w14:schemeClr w14:val="tx1"/>
            </w14:solidFill>
          </w14:textFill>
        </w:rPr>
      </w:pPr>
      <w:r>
        <w:rPr>
          <w:rFonts w:hint="eastAsia" w:ascii="宋体" w:hAnsi="宋体" w:cs="宋体"/>
          <w:color w:val="000000" w:themeColor="text1"/>
          <w:sz w:val="30"/>
          <w:szCs w:val="30"/>
          <w:highlight w:val="none"/>
          <w14:textFill>
            <w14:solidFill>
              <w14:schemeClr w14:val="tx1"/>
            </w14:solidFill>
          </w14:textFill>
        </w:rPr>
        <w:t>附件3  问题的澄清</w:t>
      </w:r>
    </w:p>
    <w:p w14:paraId="474F6290">
      <w:pPr>
        <w:adjustRightInd w:val="0"/>
        <w:snapToGrid w:val="0"/>
        <w:spacing w:line="600" w:lineRule="exact"/>
        <w:ind w:firstLine="723" w:firstLineChars="200"/>
        <w:jc w:val="center"/>
        <w:rPr>
          <w:rFonts w:hint="eastAsia" w:ascii="宋体" w:hAnsi="宋体" w:cs="宋体"/>
          <w:b/>
          <w:bCs/>
          <w:color w:val="000000" w:themeColor="text1"/>
          <w:sz w:val="36"/>
          <w:szCs w:val="36"/>
          <w:highlight w:val="none"/>
          <w14:textFill>
            <w14:solidFill>
              <w14:schemeClr w14:val="tx1"/>
            </w14:solidFill>
          </w14:textFill>
        </w:rPr>
      </w:pPr>
    </w:p>
    <w:p w14:paraId="6B1AB485">
      <w:pPr>
        <w:adjustRightInd w:val="0"/>
        <w:snapToGrid w:val="0"/>
        <w:spacing w:line="600" w:lineRule="exact"/>
        <w:ind w:firstLine="723" w:firstLineChars="200"/>
        <w:jc w:val="center"/>
        <w:rPr>
          <w:rFonts w:hint="eastAsia" w:ascii="宋体" w:hAnsi="宋体" w:cs="宋体"/>
          <w:b/>
          <w:bCs/>
          <w:color w:val="000000" w:themeColor="text1"/>
          <w:sz w:val="36"/>
          <w:szCs w:val="36"/>
          <w:highlight w:val="none"/>
          <w14:textFill>
            <w14:solidFill>
              <w14:schemeClr w14:val="tx1"/>
            </w14:solidFill>
          </w14:textFill>
        </w:rPr>
      </w:pPr>
      <w:r>
        <w:rPr>
          <w:rFonts w:hint="eastAsia" w:ascii="宋体" w:hAnsi="宋体" w:cs="宋体"/>
          <w:b/>
          <w:bCs/>
          <w:color w:val="000000" w:themeColor="text1"/>
          <w:sz w:val="36"/>
          <w:szCs w:val="36"/>
          <w:highlight w:val="none"/>
          <w14:textFill>
            <w14:solidFill>
              <w14:schemeClr w14:val="tx1"/>
            </w14:solidFill>
          </w14:textFill>
        </w:rPr>
        <w:t>问题的澄清</w:t>
      </w:r>
    </w:p>
    <w:p w14:paraId="2575A100">
      <w:pPr>
        <w:adjustRightInd w:val="0"/>
        <w:snapToGrid w:val="0"/>
        <w:spacing w:line="600" w:lineRule="exact"/>
        <w:ind w:firstLine="723" w:firstLineChars="200"/>
        <w:jc w:val="center"/>
        <w:rPr>
          <w:rFonts w:hint="eastAsia" w:ascii="宋体" w:hAnsi="宋体" w:cs="宋体"/>
          <w:b/>
          <w:bCs/>
          <w:color w:val="000000" w:themeColor="text1"/>
          <w:sz w:val="36"/>
          <w:szCs w:val="36"/>
          <w:highlight w:val="none"/>
          <w14:textFill>
            <w14:solidFill>
              <w14:schemeClr w14:val="tx1"/>
            </w14:solidFill>
          </w14:textFill>
        </w:rPr>
      </w:pPr>
    </w:p>
    <w:p w14:paraId="2E6670B6">
      <w:pPr>
        <w:adjustRightInd w:val="0"/>
        <w:snapToGrid w:val="0"/>
        <w:spacing w:line="600" w:lineRule="exact"/>
        <w:ind w:firstLine="600" w:firstLineChars="200"/>
        <w:jc w:val="center"/>
        <w:rPr>
          <w:rFonts w:hint="eastAsia" w:ascii="宋体" w:hAnsi="宋体" w:cs="宋体"/>
          <w:color w:val="000000" w:themeColor="text1"/>
          <w:sz w:val="30"/>
          <w:szCs w:val="30"/>
          <w:highlight w:val="none"/>
          <w14:textFill>
            <w14:solidFill>
              <w14:schemeClr w14:val="tx1"/>
            </w14:solidFill>
          </w14:textFill>
        </w:rPr>
      </w:pPr>
      <w:r>
        <w:rPr>
          <w:rFonts w:hint="eastAsia" w:ascii="宋体" w:hAnsi="宋体" w:cs="宋体"/>
          <w:color w:val="000000" w:themeColor="text1"/>
          <w:sz w:val="30"/>
          <w:szCs w:val="30"/>
          <w:highlight w:val="none"/>
          <w14:textFill>
            <w14:solidFill>
              <w14:schemeClr w14:val="tx1"/>
            </w14:solidFill>
          </w14:textFill>
        </w:rPr>
        <w:t>(编号：</w:t>
      </w:r>
      <w:r>
        <w:rPr>
          <w:rFonts w:hint="eastAsia" w:ascii="宋体" w:hAnsi="宋体" w:cs="宋体"/>
          <w:color w:val="000000" w:themeColor="text1"/>
          <w:sz w:val="30"/>
          <w:szCs w:val="30"/>
          <w:highlight w:val="none"/>
          <w:u w:val="single"/>
          <w14:textFill>
            <w14:solidFill>
              <w14:schemeClr w14:val="tx1"/>
            </w14:solidFill>
          </w14:textFill>
        </w:rPr>
        <w:t xml:space="preserve">                 </w:t>
      </w:r>
      <w:r>
        <w:rPr>
          <w:rFonts w:hint="eastAsia" w:ascii="宋体" w:hAnsi="宋体" w:cs="宋体"/>
          <w:color w:val="000000" w:themeColor="text1"/>
          <w:sz w:val="30"/>
          <w:szCs w:val="30"/>
          <w:highlight w:val="none"/>
          <w14:textFill>
            <w14:solidFill>
              <w14:schemeClr w14:val="tx1"/>
            </w14:solidFill>
          </w14:textFill>
        </w:rPr>
        <w:t>)</w:t>
      </w:r>
    </w:p>
    <w:p w14:paraId="4D8E0E91">
      <w:pPr>
        <w:adjustRightInd w:val="0"/>
        <w:snapToGrid w:val="0"/>
        <w:spacing w:line="600" w:lineRule="exact"/>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评审小组：</w:t>
      </w:r>
    </w:p>
    <w:p w14:paraId="18308ACF">
      <w:pPr>
        <w:adjustRightInd w:val="0"/>
        <w:snapToGrid w:val="0"/>
        <w:spacing w:line="600" w:lineRule="exact"/>
        <w:ind w:firstLine="560" w:firstLineChars="200"/>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问题澄清通知(编号：</w:t>
      </w:r>
      <w:r>
        <w:rPr>
          <w:rFonts w:hint="eastAsia" w:ascii="宋体" w:hAnsi="宋体" w:cs="宋体"/>
          <w:color w:val="000000" w:themeColor="text1"/>
          <w:sz w:val="28"/>
          <w:szCs w:val="28"/>
          <w:highlight w:val="none"/>
          <w:u w:val="single"/>
          <w14:textFill>
            <w14:solidFill>
              <w14:schemeClr w14:val="tx1"/>
            </w14:solidFill>
          </w14:textFill>
        </w:rPr>
        <w:t xml:space="preserve">                </w:t>
      </w:r>
      <w:r>
        <w:rPr>
          <w:rFonts w:hint="eastAsia" w:ascii="宋体" w:hAnsi="宋体" w:cs="宋体"/>
          <w:color w:val="000000" w:themeColor="text1"/>
          <w:sz w:val="28"/>
          <w:szCs w:val="28"/>
          <w:highlight w:val="none"/>
          <w14:textFill>
            <w14:solidFill>
              <w14:schemeClr w14:val="tx1"/>
            </w14:solidFill>
          </w14:textFill>
        </w:rPr>
        <w:t>) 已收悉， 现澄清、说明和补正如下：</w:t>
      </w:r>
    </w:p>
    <w:p w14:paraId="7B00F19E">
      <w:pPr>
        <w:adjustRightInd w:val="0"/>
        <w:snapToGrid w:val="0"/>
        <w:spacing w:line="600" w:lineRule="exact"/>
        <w:ind w:firstLine="560" w:firstLineChars="200"/>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1.</w:t>
      </w:r>
    </w:p>
    <w:p w14:paraId="0D04A653">
      <w:pPr>
        <w:adjustRightInd w:val="0"/>
        <w:snapToGrid w:val="0"/>
        <w:spacing w:line="600" w:lineRule="exact"/>
        <w:ind w:firstLine="560" w:firstLineChars="200"/>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2.</w:t>
      </w:r>
    </w:p>
    <w:p w14:paraId="5C3CBA9E">
      <w:pPr>
        <w:adjustRightInd w:val="0"/>
        <w:snapToGrid w:val="0"/>
        <w:spacing w:line="600" w:lineRule="exact"/>
        <w:ind w:firstLine="560" w:firstLineChars="200"/>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w:t>
      </w:r>
    </w:p>
    <w:p w14:paraId="6A98FCAE">
      <w:pPr>
        <w:adjustRightInd w:val="0"/>
        <w:snapToGrid w:val="0"/>
        <w:spacing w:line="600" w:lineRule="exact"/>
        <w:ind w:firstLine="560" w:firstLineChars="200"/>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上述问题澄清、说明和补正，构成我方响应文件的组成部分。</w:t>
      </w:r>
    </w:p>
    <w:p w14:paraId="7E3FFA32">
      <w:pPr>
        <w:adjustRightInd w:val="0"/>
        <w:snapToGrid w:val="0"/>
        <w:spacing w:line="600" w:lineRule="exact"/>
        <w:ind w:firstLine="560" w:firstLineChars="200"/>
        <w:rPr>
          <w:rFonts w:hint="eastAsia" w:ascii="宋体" w:hAnsi="宋体" w:cs="宋体"/>
          <w:color w:val="000000" w:themeColor="text1"/>
          <w:sz w:val="28"/>
          <w:szCs w:val="28"/>
          <w:highlight w:val="none"/>
          <w14:textFill>
            <w14:solidFill>
              <w14:schemeClr w14:val="tx1"/>
            </w14:solidFill>
          </w14:textFill>
        </w:rPr>
      </w:pPr>
    </w:p>
    <w:p w14:paraId="3428F9B2">
      <w:pPr>
        <w:adjustRightInd w:val="0"/>
        <w:snapToGrid w:val="0"/>
        <w:spacing w:line="600" w:lineRule="exact"/>
        <w:ind w:firstLine="560" w:firstLineChars="200"/>
        <w:jc w:val="center"/>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供应商：</w:t>
      </w:r>
      <w:r>
        <w:rPr>
          <w:rFonts w:hint="eastAsia" w:ascii="宋体" w:hAnsi="宋体" w:cs="宋体"/>
          <w:color w:val="000000" w:themeColor="text1"/>
          <w:sz w:val="28"/>
          <w:szCs w:val="28"/>
          <w:highlight w:val="none"/>
          <w:u w:val="single"/>
          <w14:textFill>
            <w14:solidFill>
              <w14:schemeClr w14:val="tx1"/>
            </w14:solidFill>
          </w14:textFill>
        </w:rPr>
        <w:t>(盖单位章)</w:t>
      </w:r>
      <w:r>
        <w:rPr>
          <w:rFonts w:hint="eastAsia" w:ascii="宋体" w:hAnsi="宋体" w:cs="宋体"/>
          <w:color w:val="000000" w:themeColor="text1"/>
          <w:sz w:val="28"/>
          <w:szCs w:val="28"/>
          <w:highlight w:val="none"/>
          <w14:textFill>
            <w14:solidFill>
              <w14:schemeClr w14:val="tx1"/>
            </w14:solidFill>
          </w14:textFill>
        </w:rPr>
        <w:t>或</w:t>
      </w:r>
    </w:p>
    <w:p w14:paraId="64FB2E30">
      <w:pPr>
        <w:adjustRightInd w:val="0"/>
        <w:snapToGrid w:val="0"/>
        <w:spacing w:line="600" w:lineRule="exact"/>
        <w:ind w:firstLine="560" w:firstLineChars="200"/>
        <w:jc w:val="center"/>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 xml:space="preserve">      法定代表人 (单位负责人) </w:t>
      </w:r>
    </w:p>
    <w:p w14:paraId="2DF3DBAA">
      <w:pPr>
        <w:adjustRightInd w:val="0"/>
        <w:snapToGrid w:val="0"/>
        <w:spacing w:line="600" w:lineRule="exact"/>
        <w:ind w:firstLine="560" w:firstLineChars="200"/>
        <w:jc w:val="center"/>
        <w:rPr>
          <w:rFonts w:hint="eastAsia" w:ascii="宋体" w:hAnsi="宋体" w:cs="宋体"/>
          <w:color w:val="000000" w:themeColor="text1"/>
          <w:sz w:val="28"/>
          <w:szCs w:val="28"/>
          <w:highlight w:val="none"/>
          <w:u w:val="singl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 xml:space="preserve">      或其授权的代理人： </w:t>
      </w:r>
      <w:r>
        <w:rPr>
          <w:rFonts w:hint="eastAsia" w:ascii="宋体" w:hAnsi="宋体" w:cs="宋体"/>
          <w:color w:val="000000" w:themeColor="text1"/>
          <w:sz w:val="28"/>
          <w:szCs w:val="28"/>
          <w:highlight w:val="none"/>
          <w:u w:val="single"/>
          <w14:textFill>
            <w14:solidFill>
              <w14:schemeClr w14:val="tx1"/>
            </w14:solidFill>
          </w14:textFill>
        </w:rPr>
        <w:t>(签字)</w:t>
      </w:r>
    </w:p>
    <w:p w14:paraId="686C4A7B">
      <w:pPr>
        <w:spacing w:line="600" w:lineRule="exact"/>
        <w:jc w:val="right"/>
        <w:rPr>
          <w:rFonts w:hint="eastAsia" w:ascii="宋体" w:hAnsi="宋体" w:cs="宋体"/>
          <w:color w:val="000000" w:themeColor="text1"/>
          <w:sz w:val="30"/>
          <w:szCs w:val="30"/>
          <w:highlight w:val="none"/>
          <w14:textFill>
            <w14:solidFill>
              <w14:schemeClr w14:val="tx1"/>
            </w14:solidFill>
          </w14:textFill>
        </w:rPr>
      </w:pPr>
      <w:r>
        <w:rPr>
          <w:rFonts w:hint="eastAsia" w:ascii="宋体" w:hAnsi="宋体" w:cs="宋体"/>
          <w:color w:val="000000" w:themeColor="text1"/>
          <w:sz w:val="28"/>
          <w:szCs w:val="28"/>
          <w:highlight w:val="none"/>
          <w:u w:val="single"/>
          <w14:textFill>
            <w14:solidFill>
              <w14:schemeClr w14:val="tx1"/>
            </w14:solidFill>
          </w14:textFill>
        </w:rPr>
        <w:t xml:space="preserve">  </w:t>
      </w:r>
      <w:r>
        <w:rPr>
          <w:rFonts w:hint="eastAsia" w:ascii="宋体" w:hAnsi="宋体" w:cs="宋体"/>
          <w:color w:val="000000" w:themeColor="text1"/>
          <w:sz w:val="28"/>
          <w:szCs w:val="28"/>
          <w:highlight w:val="none"/>
          <w14:textFill>
            <w14:solidFill>
              <w14:schemeClr w14:val="tx1"/>
            </w14:solidFill>
          </w14:textFill>
        </w:rPr>
        <w:t>年</w:t>
      </w:r>
      <w:r>
        <w:rPr>
          <w:rFonts w:hint="eastAsia" w:ascii="宋体" w:hAnsi="宋体" w:cs="宋体"/>
          <w:color w:val="000000" w:themeColor="text1"/>
          <w:sz w:val="28"/>
          <w:szCs w:val="28"/>
          <w:highlight w:val="none"/>
          <w:u w:val="single"/>
          <w14:textFill>
            <w14:solidFill>
              <w14:schemeClr w14:val="tx1"/>
            </w14:solidFill>
          </w14:textFill>
        </w:rPr>
        <w:t xml:space="preserve">  </w:t>
      </w:r>
      <w:r>
        <w:rPr>
          <w:rFonts w:hint="eastAsia" w:ascii="宋体" w:hAnsi="宋体" w:cs="宋体"/>
          <w:color w:val="000000" w:themeColor="text1"/>
          <w:sz w:val="28"/>
          <w:szCs w:val="28"/>
          <w:highlight w:val="none"/>
          <w14:textFill>
            <w14:solidFill>
              <w14:schemeClr w14:val="tx1"/>
            </w14:solidFill>
          </w14:textFill>
        </w:rPr>
        <w:t>月</w:t>
      </w:r>
      <w:r>
        <w:rPr>
          <w:rFonts w:hint="eastAsia" w:ascii="宋体" w:hAnsi="宋体" w:cs="宋体"/>
          <w:color w:val="000000" w:themeColor="text1"/>
          <w:sz w:val="28"/>
          <w:szCs w:val="28"/>
          <w:highlight w:val="none"/>
          <w:u w:val="single"/>
          <w14:textFill>
            <w14:solidFill>
              <w14:schemeClr w14:val="tx1"/>
            </w14:solidFill>
          </w14:textFill>
        </w:rPr>
        <w:t xml:space="preserve">  </w:t>
      </w:r>
      <w:r>
        <w:rPr>
          <w:rFonts w:hint="eastAsia" w:ascii="宋体" w:hAnsi="宋体" w:cs="宋体"/>
          <w:color w:val="000000" w:themeColor="text1"/>
          <w:sz w:val="28"/>
          <w:szCs w:val="28"/>
          <w:highlight w:val="none"/>
          <w14:textFill>
            <w14:solidFill>
              <w14:schemeClr w14:val="tx1"/>
            </w14:solidFill>
          </w14:textFill>
        </w:rPr>
        <w:t>日</w:t>
      </w:r>
      <w:r>
        <w:rPr>
          <w:rFonts w:hint="eastAsia" w:ascii="宋体" w:hAnsi="宋体" w:cs="宋体"/>
          <w:color w:val="000000" w:themeColor="text1"/>
          <w:sz w:val="28"/>
          <w:szCs w:val="28"/>
          <w:highlight w:val="none"/>
          <w14:textFill>
            <w14:solidFill>
              <w14:schemeClr w14:val="tx1"/>
            </w14:solidFill>
          </w14:textFill>
        </w:rPr>
        <w:br w:type="page"/>
      </w:r>
    </w:p>
    <w:p w14:paraId="79DBF034">
      <w:pPr>
        <w:adjustRightInd w:val="0"/>
        <w:snapToGrid w:val="0"/>
        <w:spacing w:line="600" w:lineRule="exact"/>
        <w:ind w:firstLine="600" w:firstLineChars="200"/>
        <w:rPr>
          <w:rFonts w:hint="eastAsia" w:ascii="宋体" w:hAnsi="宋体" w:cs="宋体"/>
          <w:color w:val="000000" w:themeColor="text1"/>
          <w:sz w:val="30"/>
          <w:szCs w:val="30"/>
          <w:highlight w:val="none"/>
          <w14:textFill>
            <w14:solidFill>
              <w14:schemeClr w14:val="tx1"/>
            </w14:solidFill>
          </w14:textFill>
        </w:rPr>
      </w:pPr>
      <w:r>
        <w:rPr>
          <w:rFonts w:hint="eastAsia" w:ascii="宋体" w:hAnsi="宋体" w:cs="宋体"/>
          <w:color w:val="000000" w:themeColor="text1"/>
          <w:sz w:val="30"/>
          <w:szCs w:val="30"/>
          <w:highlight w:val="none"/>
          <w14:textFill>
            <w14:solidFill>
              <w14:schemeClr w14:val="tx1"/>
            </w14:solidFill>
          </w14:textFill>
        </w:rPr>
        <w:t>附件4  成交通知书</w:t>
      </w:r>
    </w:p>
    <w:p w14:paraId="7627239A">
      <w:pPr>
        <w:adjustRightInd w:val="0"/>
        <w:snapToGrid w:val="0"/>
        <w:spacing w:line="600" w:lineRule="exact"/>
        <w:ind w:firstLine="723" w:firstLineChars="200"/>
        <w:jc w:val="center"/>
        <w:rPr>
          <w:rFonts w:hint="eastAsia" w:ascii="宋体" w:hAnsi="宋体" w:cs="宋体"/>
          <w:b/>
          <w:bCs/>
          <w:color w:val="000000" w:themeColor="text1"/>
          <w:sz w:val="36"/>
          <w:szCs w:val="36"/>
          <w:highlight w:val="none"/>
          <w14:textFill>
            <w14:solidFill>
              <w14:schemeClr w14:val="tx1"/>
            </w14:solidFill>
          </w14:textFill>
        </w:rPr>
      </w:pPr>
    </w:p>
    <w:p w14:paraId="6AE4E904">
      <w:pPr>
        <w:adjustRightInd w:val="0"/>
        <w:snapToGrid w:val="0"/>
        <w:spacing w:line="600" w:lineRule="exact"/>
        <w:ind w:firstLine="723" w:firstLineChars="200"/>
        <w:jc w:val="center"/>
        <w:rPr>
          <w:rFonts w:hint="eastAsia" w:ascii="宋体" w:hAnsi="宋体" w:cs="宋体"/>
          <w:b/>
          <w:bCs/>
          <w:color w:val="000000" w:themeColor="text1"/>
          <w:sz w:val="36"/>
          <w:szCs w:val="36"/>
          <w:highlight w:val="none"/>
          <w14:textFill>
            <w14:solidFill>
              <w14:schemeClr w14:val="tx1"/>
            </w14:solidFill>
          </w14:textFill>
        </w:rPr>
      </w:pPr>
      <w:r>
        <w:rPr>
          <w:rFonts w:hint="eastAsia" w:ascii="宋体" w:hAnsi="宋体" w:cs="宋体"/>
          <w:b/>
          <w:bCs/>
          <w:color w:val="000000" w:themeColor="text1"/>
          <w:sz w:val="36"/>
          <w:szCs w:val="36"/>
          <w:highlight w:val="none"/>
          <w14:textFill>
            <w14:solidFill>
              <w14:schemeClr w14:val="tx1"/>
            </w14:solidFill>
          </w14:textFill>
        </w:rPr>
        <w:t>成交通知书</w:t>
      </w:r>
    </w:p>
    <w:p w14:paraId="398ECF30">
      <w:pPr>
        <w:adjustRightInd w:val="0"/>
        <w:snapToGrid w:val="0"/>
        <w:spacing w:line="600" w:lineRule="exact"/>
        <w:ind w:firstLine="723" w:firstLineChars="200"/>
        <w:jc w:val="center"/>
        <w:rPr>
          <w:rFonts w:hint="eastAsia" w:ascii="宋体" w:hAnsi="宋体" w:cs="宋体"/>
          <w:b/>
          <w:bCs/>
          <w:color w:val="000000" w:themeColor="text1"/>
          <w:sz w:val="36"/>
          <w:szCs w:val="36"/>
          <w:highlight w:val="none"/>
          <w14:textFill>
            <w14:solidFill>
              <w14:schemeClr w14:val="tx1"/>
            </w14:solidFill>
          </w14:textFill>
        </w:rPr>
      </w:pPr>
    </w:p>
    <w:p w14:paraId="49F48E7A">
      <w:pPr>
        <w:adjustRightInd w:val="0"/>
        <w:snapToGrid w:val="0"/>
        <w:spacing w:line="600" w:lineRule="exact"/>
        <w:ind w:firstLine="560" w:firstLineChars="200"/>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u w:val="single"/>
          <w14:textFill>
            <w14:solidFill>
              <w14:schemeClr w14:val="tx1"/>
            </w14:solidFill>
          </w14:textFill>
        </w:rPr>
        <w:t>(成交供应商名称)</w:t>
      </w:r>
      <w:r>
        <w:rPr>
          <w:rFonts w:hint="eastAsia" w:ascii="宋体" w:hAnsi="宋体" w:cs="宋体"/>
          <w:color w:val="000000" w:themeColor="text1"/>
          <w:sz w:val="28"/>
          <w:szCs w:val="28"/>
          <w:highlight w:val="none"/>
          <w14:textFill>
            <w14:solidFill>
              <w14:schemeClr w14:val="tx1"/>
            </w14:solidFill>
          </w14:textFill>
        </w:rPr>
        <w:t>：</w:t>
      </w:r>
    </w:p>
    <w:p w14:paraId="747A3629">
      <w:pPr>
        <w:adjustRightInd w:val="0"/>
        <w:snapToGrid w:val="0"/>
        <w:spacing w:line="600" w:lineRule="exact"/>
        <w:ind w:firstLine="560" w:firstLineChars="200"/>
        <w:jc w:val="both"/>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你方所递交的</w:t>
      </w:r>
      <w:r>
        <w:rPr>
          <w:rFonts w:hint="eastAsia" w:ascii="宋体" w:hAnsi="宋体" w:cs="宋体"/>
          <w:color w:val="000000" w:themeColor="text1"/>
          <w:sz w:val="28"/>
          <w:szCs w:val="28"/>
          <w:highlight w:val="none"/>
          <w:u w:val="single"/>
          <w14:textFill>
            <w14:solidFill>
              <w14:schemeClr w14:val="tx1"/>
            </w14:solidFill>
          </w14:textFill>
        </w:rPr>
        <w:t>(项目名称)</w:t>
      </w:r>
      <w:r>
        <w:rPr>
          <w:rFonts w:hint="eastAsia" w:ascii="宋体" w:hAnsi="宋体" w:cs="宋体"/>
          <w:color w:val="000000" w:themeColor="text1"/>
          <w:sz w:val="28"/>
          <w:szCs w:val="28"/>
          <w:highlight w:val="none"/>
          <w14:textFill>
            <w14:solidFill>
              <w14:schemeClr w14:val="tx1"/>
            </w14:solidFill>
          </w14:textFill>
        </w:rPr>
        <w:t>的响应文件已被我方接受，被确定为成交供应商。</w:t>
      </w:r>
    </w:p>
    <w:p w14:paraId="63FD6D5A">
      <w:pPr>
        <w:adjustRightInd w:val="0"/>
        <w:snapToGrid w:val="0"/>
        <w:spacing w:line="600" w:lineRule="exact"/>
        <w:ind w:firstLine="560" w:firstLineChars="200"/>
        <w:rPr>
          <w:rFonts w:hint="eastAsia" w:ascii="宋体" w:hAnsi="宋体" w:cs="宋体"/>
          <w:color w:val="000000" w:themeColor="text1"/>
          <w:sz w:val="28"/>
          <w:szCs w:val="28"/>
          <w:highlight w:val="none"/>
          <w:u w:val="singl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成交价：</w:t>
      </w:r>
      <w:r>
        <w:rPr>
          <w:rFonts w:hint="eastAsia" w:ascii="宋体" w:hAnsi="宋体" w:cs="宋体"/>
          <w:color w:val="000000" w:themeColor="text1"/>
          <w:sz w:val="28"/>
          <w:szCs w:val="28"/>
          <w:highlight w:val="none"/>
          <w:u w:val="single"/>
          <w14:textFill>
            <w14:solidFill>
              <w14:schemeClr w14:val="tx1"/>
            </w14:solidFill>
          </w14:textFill>
        </w:rPr>
        <w:t xml:space="preserve">         </w:t>
      </w:r>
      <w:r>
        <w:rPr>
          <w:rFonts w:hint="eastAsia" w:ascii="宋体" w:hAnsi="宋体" w:cs="宋体"/>
          <w:color w:val="000000" w:themeColor="text1"/>
          <w:sz w:val="28"/>
          <w:szCs w:val="28"/>
          <w:highlight w:val="none"/>
          <w14:textFill>
            <w14:solidFill>
              <w14:schemeClr w14:val="tx1"/>
            </w14:solidFill>
          </w14:textFill>
        </w:rPr>
        <w:t xml:space="preserve"> 。</w:t>
      </w:r>
    </w:p>
    <w:p w14:paraId="2D98BD8C">
      <w:pPr>
        <w:adjustRightInd w:val="0"/>
        <w:snapToGrid w:val="0"/>
        <w:spacing w:line="600" w:lineRule="exact"/>
        <w:ind w:firstLine="560" w:firstLineChars="200"/>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成交份额：</w:t>
      </w:r>
      <w:r>
        <w:rPr>
          <w:rFonts w:hint="eastAsia" w:ascii="宋体" w:hAnsi="宋体" w:cs="宋体"/>
          <w:color w:val="000000" w:themeColor="text1"/>
          <w:sz w:val="28"/>
          <w:szCs w:val="28"/>
          <w:highlight w:val="none"/>
          <w:u w:val="single"/>
          <w14:textFill>
            <w14:solidFill>
              <w14:schemeClr w14:val="tx1"/>
            </w14:solidFill>
          </w14:textFill>
        </w:rPr>
        <w:t xml:space="preserve">         </w:t>
      </w:r>
      <w:r>
        <w:rPr>
          <w:rFonts w:hint="eastAsia" w:ascii="宋体" w:hAnsi="宋体" w:cs="宋体"/>
          <w:color w:val="000000" w:themeColor="text1"/>
          <w:sz w:val="28"/>
          <w:szCs w:val="28"/>
          <w:highlight w:val="none"/>
          <w14:textFill>
            <w14:solidFill>
              <w14:schemeClr w14:val="tx1"/>
            </w14:solidFill>
          </w14:textFill>
        </w:rPr>
        <w:t xml:space="preserve"> 。(如有)</w:t>
      </w:r>
    </w:p>
    <w:p w14:paraId="53824AB7">
      <w:pPr>
        <w:adjustRightInd w:val="0"/>
        <w:snapToGrid w:val="0"/>
        <w:spacing w:line="600" w:lineRule="exact"/>
        <w:ind w:firstLine="560" w:firstLineChars="200"/>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请你方在接到本通知书后的</w:t>
      </w:r>
      <w:r>
        <w:rPr>
          <w:rFonts w:hint="eastAsia" w:ascii="宋体" w:hAnsi="宋体" w:cs="宋体"/>
          <w:color w:val="000000" w:themeColor="text1"/>
          <w:sz w:val="28"/>
          <w:szCs w:val="28"/>
          <w:highlight w:val="none"/>
          <w:u w:val="single"/>
          <w14:textFill>
            <w14:solidFill>
              <w14:schemeClr w14:val="tx1"/>
            </w14:solidFill>
          </w14:textFill>
        </w:rPr>
        <w:t xml:space="preserve">    </w:t>
      </w:r>
      <w:r>
        <w:rPr>
          <w:rFonts w:hint="eastAsia" w:ascii="宋体" w:hAnsi="宋体" w:cs="宋体"/>
          <w:color w:val="000000" w:themeColor="text1"/>
          <w:sz w:val="28"/>
          <w:szCs w:val="28"/>
          <w:highlight w:val="none"/>
          <w14:textFill>
            <w14:solidFill>
              <w14:schemeClr w14:val="tx1"/>
            </w14:solidFill>
          </w14:textFill>
        </w:rPr>
        <w:t>日内到</w:t>
      </w:r>
      <w:r>
        <w:rPr>
          <w:rFonts w:hint="eastAsia" w:ascii="宋体" w:hAnsi="宋体" w:cs="宋体"/>
          <w:color w:val="000000" w:themeColor="text1"/>
          <w:sz w:val="28"/>
          <w:szCs w:val="28"/>
          <w:highlight w:val="none"/>
          <w:u w:val="single"/>
          <w14:textFill>
            <w14:solidFill>
              <w14:schemeClr w14:val="tx1"/>
            </w14:solidFill>
          </w14:textFill>
        </w:rPr>
        <w:t>(指定地点)</w:t>
      </w:r>
      <w:r>
        <w:rPr>
          <w:rFonts w:hint="eastAsia" w:ascii="宋体" w:hAnsi="宋体" w:cs="宋体"/>
          <w:color w:val="000000" w:themeColor="text1"/>
          <w:sz w:val="28"/>
          <w:szCs w:val="28"/>
          <w:highlight w:val="none"/>
          <w14:textFill>
            <w14:solidFill>
              <w14:schemeClr w14:val="tx1"/>
            </w14:solidFill>
          </w14:textFill>
        </w:rPr>
        <w:t>与我方签订采购合同，并按采购文件第二章“供应商须知”第7.6款规定向我方递交履约保证金。</w:t>
      </w:r>
    </w:p>
    <w:p w14:paraId="668759E5">
      <w:pPr>
        <w:adjustRightInd w:val="0"/>
        <w:snapToGrid w:val="0"/>
        <w:spacing w:line="600" w:lineRule="exact"/>
        <w:ind w:firstLine="560" w:firstLineChars="200"/>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特此通知。</w:t>
      </w:r>
    </w:p>
    <w:p w14:paraId="2A627C4F">
      <w:pPr>
        <w:adjustRightInd w:val="0"/>
        <w:snapToGrid w:val="0"/>
        <w:spacing w:line="600" w:lineRule="exact"/>
        <w:ind w:firstLine="560" w:firstLineChars="200"/>
        <w:rPr>
          <w:rFonts w:hint="eastAsia" w:ascii="宋体" w:hAnsi="宋体" w:cs="宋体"/>
          <w:color w:val="000000" w:themeColor="text1"/>
          <w:sz w:val="28"/>
          <w:szCs w:val="28"/>
          <w:highlight w:val="none"/>
          <w14:textFill>
            <w14:solidFill>
              <w14:schemeClr w14:val="tx1"/>
            </w14:solidFill>
          </w14:textFill>
        </w:rPr>
      </w:pPr>
    </w:p>
    <w:p w14:paraId="5FD55875">
      <w:pPr>
        <w:adjustRightInd w:val="0"/>
        <w:snapToGrid w:val="0"/>
        <w:spacing w:line="600" w:lineRule="exact"/>
        <w:ind w:firstLine="560" w:firstLineChars="200"/>
        <w:rPr>
          <w:rFonts w:hint="eastAsia" w:ascii="宋体" w:hAnsi="宋体" w:cs="宋体"/>
          <w:color w:val="000000" w:themeColor="text1"/>
          <w:sz w:val="28"/>
          <w:szCs w:val="28"/>
          <w:highlight w:val="none"/>
          <w14:textFill>
            <w14:solidFill>
              <w14:schemeClr w14:val="tx1"/>
            </w14:solidFill>
          </w14:textFill>
        </w:rPr>
      </w:pPr>
    </w:p>
    <w:p w14:paraId="201064D1">
      <w:pPr>
        <w:adjustRightInd w:val="0"/>
        <w:snapToGrid w:val="0"/>
        <w:spacing w:line="600" w:lineRule="exact"/>
        <w:ind w:firstLine="560" w:firstLineChars="200"/>
        <w:jc w:val="right"/>
        <w:rPr>
          <w:rFonts w:hint="eastAsia" w:ascii="宋体" w:hAnsi="宋体" w:cs="宋体"/>
          <w:color w:val="000000" w:themeColor="text1"/>
          <w:sz w:val="28"/>
          <w:szCs w:val="28"/>
          <w:highlight w:val="none"/>
          <w:u w:val="singl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采购人(或采购代理机构)：</w:t>
      </w:r>
      <w:r>
        <w:rPr>
          <w:rFonts w:hint="eastAsia" w:ascii="宋体" w:hAnsi="宋体" w:cs="宋体"/>
          <w:color w:val="000000" w:themeColor="text1"/>
          <w:sz w:val="28"/>
          <w:szCs w:val="28"/>
          <w:highlight w:val="none"/>
          <w:u w:val="single"/>
          <w14:textFill>
            <w14:solidFill>
              <w14:schemeClr w14:val="tx1"/>
            </w14:solidFill>
          </w14:textFill>
        </w:rPr>
        <w:t>(盖单位章)</w:t>
      </w:r>
    </w:p>
    <w:p w14:paraId="762C6855">
      <w:pPr>
        <w:spacing w:line="600" w:lineRule="exact"/>
        <w:jc w:val="right"/>
        <w:rPr>
          <w:rFonts w:hint="eastAsia" w:ascii="宋体" w:hAnsi="宋体" w:cs="宋体"/>
          <w:color w:val="000000" w:themeColor="text1"/>
          <w:sz w:val="30"/>
          <w:szCs w:val="30"/>
          <w:highlight w:val="none"/>
          <w14:textFill>
            <w14:solidFill>
              <w14:schemeClr w14:val="tx1"/>
            </w14:solidFill>
          </w14:textFill>
        </w:rPr>
      </w:pPr>
      <w:r>
        <w:rPr>
          <w:rFonts w:hint="eastAsia" w:ascii="宋体" w:hAnsi="宋体" w:cs="宋体"/>
          <w:color w:val="000000" w:themeColor="text1"/>
          <w:sz w:val="28"/>
          <w:szCs w:val="28"/>
          <w:highlight w:val="none"/>
          <w:u w:val="single"/>
          <w14:textFill>
            <w14:solidFill>
              <w14:schemeClr w14:val="tx1"/>
            </w14:solidFill>
          </w14:textFill>
        </w:rPr>
        <w:t xml:space="preserve">  </w:t>
      </w:r>
      <w:r>
        <w:rPr>
          <w:rFonts w:hint="eastAsia" w:ascii="宋体" w:hAnsi="宋体" w:cs="宋体"/>
          <w:color w:val="000000" w:themeColor="text1"/>
          <w:sz w:val="28"/>
          <w:szCs w:val="28"/>
          <w:highlight w:val="none"/>
          <w14:textFill>
            <w14:solidFill>
              <w14:schemeClr w14:val="tx1"/>
            </w14:solidFill>
          </w14:textFill>
        </w:rPr>
        <w:t>年</w:t>
      </w:r>
      <w:r>
        <w:rPr>
          <w:rFonts w:hint="eastAsia" w:ascii="宋体" w:hAnsi="宋体" w:cs="宋体"/>
          <w:color w:val="000000" w:themeColor="text1"/>
          <w:sz w:val="28"/>
          <w:szCs w:val="28"/>
          <w:highlight w:val="none"/>
          <w:u w:val="single"/>
          <w14:textFill>
            <w14:solidFill>
              <w14:schemeClr w14:val="tx1"/>
            </w14:solidFill>
          </w14:textFill>
        </w:rPr>
        <w:t xml:space="preserve">  </w:t>
      </w:r>
      <w:r>
        <w:rPr>
          <w:rFonts w:hint="eastAsia" w:ascii="宋体" w:hAnsi="宋体" w:cs="宋体"/>
          <w:color w:val="000000" w:themeColor="text1"/>
          <w:sz w:val="28"/>
          <w:szCs w:val="28"/>
          <w:highlight w:val="none"/>
          <w14:textFill>
            <w14:solidFill>
              <w14:schemeClr w14:val="tx1"/>
            </w14:solidFill>
          </w14:textFill>
        </w:rPr>
        <w:t>月</w:t>
      </w:r>
      <w:r>
        <w:rPr>
          <w:rFonts w:hint="eastAsia" w:ascii="宋体" w:hAnsi="宋体" w:cs="宋体"/>
          <w:color w:val="000000" w:themeColor="text1"/>
          <w:sz w:val="28"/>
          <w:szCs w:val="28"/>
          <w:highlight w:val="none"/>
          <w:u w:val="single"/>
          <w14:textFill>
            <w14:solidFill>
              <w14:schemeClr w14:val="tx1"/>
            </w14:solidFill>
          </w14:textFill>
        </w:rPr>
        <w:t xml:space="preserve">  </w:t>
      </w:r>
      <w:r>
        <w:rPr>
          <w:rFonts w:hint="eastAsia" w:ascii="宋体" w:hAnsi="宋体" w:cs="宋体"/>
          <w:color w:val="000000" w:themeColor="text1"/>
          <w:sz w:val="28"/>
          <w:szCs w:val="28"/>
          <w:highlight w:val="none"/>
          <w14:textFill>
            <w14:solidFill>
              <w14:schemeClr w14:val="tx1"/>
            </w14:solidFill>
          </w14:textFill>
        </w:rPr>
        <w:t>日</w:t>
      </w:r>
      <w:r>
        <w:rPr>
          <w:rFonts w:hint="eastAsia" w:ascii="宋体" w:hAnsi="宋体" w:cs="宋体"/>
          <w:color w:val="000000" w:themeColor="text1"/>
          <w:sz w:val="30"/>
          <w:szCs w:val="30"/>
          <w:highlight w:val="none"/>
          <w14:textFill>
            <w14:solidFill>
              <w14:schemeClr w14:val="tx1"/>
            </w14:solidFill>
          </w14:textFill>
        </w:rPr>
        <w:br w:type="page"/>
      </w:r>
    </w:p>
    <w:p w14:paraId="067BB72D">
      <w:pPr>
        <w:adjustRightInd w:val="0"/>
        <w:snapToGrid w:val="0"/>
        <w:spacing w:line="600" w:lineRule="exact"/>
        <w:ind w:firstLine="600" w:firstLineChars="200"/>
        <w:rPr>
          <w:rFonts w:hint="eastAsia" w:ascii="宋体" w:hAnsi="宋体" w:cs="宋体"/>
          <w:color w:val="000000" w:themeColor="text1"/>
          <w:sz w:val="30"/>
          <w:szCs w:val="30"/>
          <w:highlight w:val="none"/>
          <w14:textFill>
            <w14:solidFill>
              <w14:schemeClr w14:val="tx1"/>
            </w14:solidFill>
          </w14:textFill>
        </w:rPr>
      </w:pPr>
      <w:r>
        <w:rPr>
          <w:rFonts w:hint="eastAsia" w:ascii="宋体" w:hAnsi="宋体" w:cs="宋体"/>
          <w:color w:val="000000" w:themeColor="text1"/>
          <w:sz w:val="30"/>
          <w:szCs w:val="30"/>
          <w:highlight w:val="none"/>
          <w14:textFill>
            <w14:solidFill>
              <w14:schemeClr w14:val="tx1"/>
            </w14:solidFill>
          </w14:textFill>
        </w:rPr>
        <w:t>附件5  确认通知</w:t>
      </w:r>
    </w:p>
    <w:p w14:paraId="0278BFFA">
      <w:pPr>
        <w:adjustRightInd w:val="0"/>
        <w:snapToGrid w:val="0"/>
        <w:spacing w:line="600" w:lineRule="exact"/>
        <w:ind w:firstLine="723" w:firstLineChars="200"/>
        <w:jc w:val="center"/>
        <w:rPr>
          <w:rFonts w:hint="eastAsia" w:ascii="宋体" w:hAnsi="宋体" w:cs="宋体"/>
          <w:b/>
          <w:bCs/>
          <w:color w:val="000000" w:themeColor="text1"/>
          <w:sz w:val="36"/>
          <w:szCs w:val="36"/>
          <w:highlight w:val="none"/>
          <w14:textFill>
            <w14:solidFill>
              <w14:schemeClr w14:val="tx1"/>
            </w14:solidFill>
          </w14:textFill>
        </w:rPr>
      </w:pPr>
    </w:p>
    <w:p w14:paraId="1F5152BC">
      <w:pPr>
        <w:adjustRightInd w:val="0"/>
        <w:snapToGrid w:val="0"/>
        <w:spacing w:line="600" w:lineRule="exact"/>
        <w:ind w:firstLine="723" w:firstLineChars="200"/>
        <w:jc w:val="center"/>
        <w:rPr>
          <w:rFonts w:hint="eastAsia" w:ascii="宋体" w:hAnsi="宋体" w:cs="宋体"/>
          <w:b/>
          <w:bCs/>
          <w:color w:val="000000" w:themeColor="text1"/>
          <w:sz w:val="36"/>
          <w:szCs w:val="36"/>
          <w:highlight w:val="none"/>
          <w14:textFill>
            <w14:solidFill>
              <w14:schemeClr w14:val="tx1"/>
            </w14:solidFill>
          </w14:textFill>
        </w:rPr>
      </w:pPr>
      <w:r>
        <w:rPr>
          <w:rFonts w:hint="eastAsia" w:ascii="宋体" w:hAnsi="宋体" w:cs="宋体"/>
          <w:b/>
          <w:bCs/>
          <w:color w:val="000000" w:themeColor="text1"/>
          <w:sz w:val="36"/>
          <w:szCs w:val="36"/>
          <w:highlight w:val="none"/>
          <w14:textFill>
            <w14:solidFill>
              <w14:schemeClr w14:val="tx1"/>
            </w14:solidFill>
          </w14:textFill>
        </w:rPr>
        <w:t>确认通知</w:t>
      </w:r>
    </w:p>
    <w:p w14:paraId="78316CE4">
      <w:pPr>
        <w:adjustRightInd w:val="0"/>
        <w:snapToGrid w:val="0"/>
        <w:spacing w:line="600" w:lineRule="exact"/>
        <w:ind w:firstLine="723" w:firstLineChars="200"/>
        <w:jc w:val="center"/>
        <w:rPr>
          <w:rFonts w:hint="eastAsia" w:ascii="宋体" w:hAnsi="宋体" w:cs="宋体"/>
          <w:b/>
          <w:bCs/>
          <w:color w:val="000000" w:themeColor="text1"/>
          <w:sz w:val="36"/>
          <w:szCs w:val="36"/>
          <w:highlight w:val="none"/>
          <w14:textFill>
            <w14:solidFill>
              <w14:schemeClr w14:val="tx1"/>
            </w14:solidFill>
          </w14:textFill>
        </w:rPr>
      </w:pPr>
    </w:p>
    <w:p w14:paraId="032C58D2">
      <w:pPr>
        <w:adjustRightInd w:val="0"/>
        <w:snapToGrid w:val="0"/>
        <w:spacing w:line="600" w:lineRule="exact"/>
        <w:ind w:firstLine="560" w:firstLineChars="200"/>
        <w:rPr>
          <w:rFonts w:hint="eastAsia" w:ascii="宋体" w:hAnsi="宋体" w:cs="宋体"/>
          <w:b/>
          <w:bCs/>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u w:val="single"/>
          <w14:textFill>
            <w14:solidFill>
              <w14:schemeClr w14:val="tx1"/>
            </w14:solidFill>
          </w14:textFill>
        </w:rPr>
        <w:t xml:space="preserve">           （采购人或采购代理机构名称)</w:t>
      </w:r>
      <w:r>
        <w:rPr>
          <w:rFonts w:hint="eastAsia" w:ascii="宋体" w:hAnsi="宋体" w:cs="宋体"/>
          <w:color w:val="000000" w:themeColor="text1"/>
          <w:sz w:val="28"/>
          <w:szCs w:val="28"/>
          <w:highlight w:val="none"/>
          <w14:textFill>
            <w14:solidFill>
              <w14:schemeClr w14:val="tx1"/>
            </w14:solidFill>
          </w14:textFill>
        </w:rPr>
        <w:t>：</w:t>
      </w:r>
    </w:p>
    <w:p w14:paraId="3CDC0D23">
      <w:pPr>
        <w:adjustRightInd w:val="0"/>
        <w:snapToGrid w:val="0"/>
        <w:spacing w:line="600" w:lineRule="exact"/>
        <w:ind w:firstLine="560" w:firstLineChars="200"/>
        <w:jc w:val="both"/>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你方于</w:t>
      </w:r>
      <w:r>
        <w:rPr>
          <w:rFonts w:hint="eastAsia" w:ascii="宋体" w:hAnsi="宋体" w:cs="宋体"/>
          <w:color w:val="000000" w:themeColor="text1"/>
          <w:sz w:val="28"/>
          <w:szCs w:val="28"/>
          <w:highlight w:val="none"/>
          <w:u w:val="single"/>
          <w14:textFill>
            <w14:solidFill>
              <w14:schemeClr w14:val="tx1"/>
            </w14:solidFill>
          </w14:textFill>
        </w:rPr>
        <w:t xml:space="preserve">  </w:t>
      </w:r>
      <w:r>
        <w:rPr>
          <w:rFonts w:hint="eastAsia" w:ascii="宋体" w:hAnsi="宋体" w:cs="宋体"/>
          <w:color w:val="000000" w:themeColor="text1"/>
          <w:sz w:val="28"/>
          <w:szCs w:val="28"/>
          <w:highlight w:val="none"/>
          <w14:textFill>
            <w14:solidFill>
              <w14:schemeClr w14:val="tx1"/>
            </w14:solidFill>
          </w14:textFill>
        </w:rPr>
        <w:t>年</w:t>
      </w:r>
      <w:r>
        <w:rPr>
          <w:rFonts w:hint="eastAsia" w:ascii="宋体" w:hAnsi="宋体" w:cs="宋体"/>
          <w:color w:val="000000" w:themeColor="text1"/>
          <w:sz w:val="28"/>
          <w:szCs w:val="28"/>
          <w:highlight w:val="none"/>
          <w:u w:val="single"/>
          <w14:textFill>
            <w14:solidFill>
              <w14:schemeClr w14:val="tx1"/>
            </w14:solidFill>
          </w14:textFill>
        </w:rPr>
        <w:t xml:space="preserve">  </w:t>
      </w:r>
      <w:r>
        <w:rPr>
          <w:rFonts w:hint="eastAsia" w:ascii="宋体" w:hAnsi="宋体" w:cs="宋体"/>
          <w:color w:val="000000" w:themeColor="text1"/>
          <w:sz w:val="28"/>
          <w:szCs w:val="28"/>
          <w:highlight w:val="none"/>
          <w14:textFill>
            <w14:solidFill>
              <w14:schemeClr w14:val="tx1"/>
            </w14:solidFill>
          </w14:textFill>
        </w:rPr>
        <w:t>月</w:t>
      </w:r>
      <w:r>
        <w:rPr>
          <w:rFonts w:hint="eastAsia" w:ascii="宋体" w:hAnsi="宋体" w:cs="宋体"/>
          <w:color w:val="000000" w:themeColor="text1"/>
          <w:sz w:val="28"/>
          <w:szCs w:val="28"/>
          <w:highlight w:val="none"/>
          <w:u w:val="single"/>
          <w14:textFill>
            <w14:solidFill>
              <w14:schemeClr w14:val="tx1"/>
            </w14:solidFill>
          </w14:textFill>
        </w:rPr>
        <w:t xml:space="preserve">  </w:t>
      </w:r>
      <w:r>
        <w:rPr>
          <w:rFonts w:hint="eastAsia" w:ascii="宋体" w:hAnsi="宋体" w:cs="宋体"/>
          <w:color w:val="000000" w:themeColor="text1"/>
          <w:sz w:val="28"/>
          <w:szCs w:val="28"/>
          <w:highlight w:val="none"/>
          <w14:textFill>
            <w14:solidFill>
              <w14:schemeClr w14:val="tx1"/>
            </w14:solidFill>
          </w14:textFill>
        </w:rPr>
        <w:t>日发出的</w:t>
      </w:r>
      <w:r>
        <w:rPr>
          <w:rFonts w:hint="eastAsia" w:ascii="宋体" w:hAnsi="宋体" w:cs="宋体"/>
          <w:color w:val="000000" w:themeColor="text1"/>
          <w:sz w:val="28"/>
          <w:szCs w:val="28"/>
          <w:highlight w:val="none"/>
          <w:u w:val="single"/>
          <w14:textFill>
            <w14:solidFill>
              <w14:schemeClr w14:val="tx1"/>
            </w14:solidFill>
          </w14:textFill>
        </w:rPr>
        <w:t>(项目名称)</w:t>
      </w:r>
      <w:r>
        <w:rPr>
          <w:rFonts w:hint="eastAsia" w:ascii="宋体" w:hAnsi="宋体" w:cs="宋体"/>
          <w:color w:val="000000" w:themeColor="text1"/>
          <w:sz w:val="28"/>
          <w:szCs w:val="28"/>
          <w:highlight w:val="none"/>
          <w14:textFill>
            <w14:solidFill>
              <w14:schemeClr w14:val="tx1"/>
            </w14:solidFill>
          </w14:textFill>
        </w:rPr>
        <w:t>采购文件的澄清/修改的通知，我方已于</w:t>
      </w:r>
      <w:r>
        <w:rPr>
          <w:rFonts w:hint="eastAsia" w:ascii="宋体" w:hAnsi="宋体" w:cs="宋体"/>
          <w:color w:val="000000" w:themeColor="text1"/>
          <w:sz w:val="28"/>
          <w:szCs w:val="28"/>
          <w:highlight w:val="none"/>
          <w:u w:val="single"/>
          <w14:textFill>
            <w14:solidFill>
              <w14:schemeClr w14:val="tx1"/>
            </w14:solidFill>
          </w14:textFill>
        </w:rPr>
        <w:t xml:space="preserve">  </w:t>
      </w:r>
      <w:r>
        <w:rPr>
          <w:rFonts w:hint="eastAsia" w:ascii="宋体" w:hAnsi="宋体" w:cs="宋体"/>
          <w:color w:val="000000" w:themeColor="text1"/>
          <w:sz w:val="28"/>
          <w:szCs w:val="28"/>
          <w:highlight w:val="none"/>
          <w14:textFill>
            <w14:solidFill>
              <w14:schemeClr w14:val="tx1"/>
            </w14:solidFill>
          </w14:textFill>
        </w:rPr>
        <w:t>年</w:t>
      </w:r>
      <w:r>
        <w:rPr>
          <w:rFonts w:hint="eastAsia" w:ascii="宋体" w:hAnsi="宋体" w:cs="宋体"/>
          <w:color w:val="000000" w:themeColor="text1"/>
          <w:sz w:val="28"/>
          <w:szCs w:val="28"/>
          <w:highlight w:val="none"/>
          <w:u w:val="single"/>
          <w14:textFill>
            <w14:solidFill>
              <w14:schemeClr w14:val="tx1"/>
            </w14:solidFill>
          </w14:textFill>
        </w:rPr>
        <w:t xml:space="preserve">  </w:t>
      </w:r>
      <w:r>
        <w:rPr>
          <w:rFonts w:hint="eastAsia" w:ascii="宋体" w:hAnsi="宋体" w:cs="宋体"/>
          <w:color w:val="000000" w:themeColor="text1"/>
          <w:sz w:val="28"/>
          <w:szCs w:val="28"/>
          <w:highlight w:val="none"/>
          <w14:textFill>
            <w14:solidFill>
              <w14:schemeClr w14:val="tx1"/>
            </w14:solidFill>
          </w14:textFill>
        </w:rPr>
        <w:t>月</w:t>
      </w:r>
      <w:r>
        <w:rPr>
          <w:rFonts w:hint="eastAsia" w:ascii="宋体" w:hAnsi="宋体" w:cs="宋体"/>
          <w:color w:val="000000" w:themeColor="text1"/>
          <w:sz w:val="28"/>
          <w:szCs w:val="28"/>
          <w:highlight w:val="none"/>
          <w:u w:val="single"/>
          <w14:textFill>
            <w14:solidFill>
              <w14:schemeClr w14:val="tx1"/>
            </w14:solidFill>
          </w14:textFill>
        </w:rPr>
        <w:t xml:space="preserve">  </w:t>
      </w:r>
      <w:r>
        <w:rPr>
          <w:rFonts w:hint="eastAsia" w:ascii="宋体" w:hAnsi="宋体" w:cs="宋体"/>
          <w:color w:val="000000" w:themeColor="text1"/>
          <w:sz w:val="28"/>
          <w:szCs w:val="28"/>
          <w:highlight w:val="none"/>
          <w14:textFill>
            <w14:solidFill>
              <w14:schemeClr w14:val="tx1"/>
            </w14:solidFill>
          </w14:textFill>
        </w:rPr>
        <w:t>日收到。</w:t>
      </w:r>
    </w:p>
    <w:p w14:paraId="2780EF9E">
      <w:pPr>
        <w:adjustRightInd w:val="0"/>
        <w:snapToGrid w:val="0"/>
        <w:spacing w:line="600" w:lineRule="exact"/>
        <w:ind w:firstLine="560" w:firstLineChars="200"/>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特此确认。</w:t>
      </w:r>
    </w:p>
    <w:p w14:paraId="24BDCD92">
      <w:pPr>
        <w:adjustRightInd w:val="0"/>
        <w:snapToGrid w:val="0"/>
        <w:spacing w:line="600" w:lineRule="exact"/>
        <w:ind w:firstLine="560" w:firstLineChars="200"/>
        <w:rPr>
          <w:rFonts w:hint="eastAsia" w:ascii="宋体" w:hAnsi="宋体" w:cs="宋体"/>
          <w:color w:val="000000" w:themeColor="text1"/>
          <w:sz w:val="28"/>
          <w:szCs w:val="28"/>
          <w:highlight w:val="none"/>
          <w14:textFill>
            <w14:solidFill>
              <w14:schemeClr w14:val="tx1"/>
            </w14:solidFill>
          </w14:textFill>
        </w:rPr>
      </w:pPr>
    </w:p>
    <w:p w14:paraId="1CD4FE10">
      <w:pPr>
        <w:adjustRightInd w:val="0"/>
        <w:snapToGrid w:val="0"/>
        <w:spacing w:line="600" w:lineRule="exact"/>
        <w:ind w:firstLine="560" w:firstLineChars="200"/>
        <w:rPr>
          <w:rFonts w:hint="eastAsia" w:ascii="宋体" w:hAnsi="宋体" w:cs="宋体"/>
          <w:color w:val="000000" w:themeColor="text1"/>
          <w:sz w:val="28"/>
          <w:szCs w:val="28"/>
          <w:highlight w:val="none"/>
          <w14:textFill>
            <w14:solidFill>
              <w14:schemeClr w14:val="tx1"/>
            </w14:solidFill>
          </w14:textFill>
        </w:rPr>
      </w:pPr>
    </w:p>
    <w:p w14:paraId="0090E579">
      <w:pPr>
        <w:adjustRightInd w:val="0"/>
        <w:snapToGrid w:val="0"/>
        <w:spacing w:line="600" w:lineRule="exact"/>
        <w:ind w:firstLine="560" w:firstLineChars="200"/>
        <w:jc w:val="right"/>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供应商：(盖单位章)</w:t>
      </w:r>
    </w:p>
    <w:p w14:paraId="72A3E294">
      <w:pPr>
        <w:pStyle w:val="152"/>
        <w:spacing w:line="600" w:lineRule="exact"/>
        <w:ind w:left="420" w:firstLine="0" w:firstLineChars="0"/>
        <w:jc w:val="right"/>
        <w:rPr>
          <w:rFonts w:hint="eastAsia"/>
          <w:b/>
          <w:color w:val="000000" w:themeColor="text1"/>
          <w:sz w:val="28"/>
          <w:szCs w:val="28"/>
          <w:highlight w:val="none"/>
          <w14:textFill>
            <w14:solidFill>
              <w14:schemeClr w14:val="tx1"/>
            </w14:solidFill>
          </w14:textFill>
        </w:rPr>
      </w:pPr>
      <w:r>
        <w:rPr>
          <w:rFonts w:hint="eastAsia"/>
          <w:color w:val="000000" w:themeColor="text1"/>
          <w:sz w:val="28"/>
          <w:szCs w:val="28"/>
          <w:highlight w:val="none"/>
          <w:u w:val="single"/>
          <w14:textFill>
            <w14:solidFill>
              <w14:schemeClr w14:val="tx1"/>
            </w14:solidFill>
          </w14:textFill>
        </w:rPr>
        <w:t xml:space="preserve">  </w:t>
      </w:r>
      <w:r>
        <w:rPr>
          <w:rFonts w:hint="eastAsia"/>
          <w:color w:val="000000" w:themeColor="text1"/>
          <w:sz w:val="28"/>
          <w:szCs w:val="28"/>
          <w:highlight w:val="none"/>
          <w14:textFill>
            <w14:solidFill>
              <w14:schemeClr w14:val="tx1"/>
            </w14:solidFill>
          </w14:textFill>
        </w:rPr>
        <w:t>年</w:t>
      </w:r>
      <w:r>
        <w:rPr>
          <w:rFonts w:hint="eastAsia"/>
          <w:color w:val="000000" w:themeColor="text1"/>
          <w:sz w:val="28"/>
          <w:szCs w:val="28"/>
          <w:highlight w:val="none"/>
          <w:u w:val="single"/>
          <w14:textFill>
            <w14:solidFill>
              <w14:schemeClr w14:val="tx1"/>
            </w14:solidFill>
          </w14:textFill>
        </w:rPr>
        <w:t xml:space="preserve">  </w:t>
      </w:r>
      <w:r>
        <w:rPr>
          <w:rFonts w:hint="eastAsia"/>
          <w:color w:val="000000" w:themeColor="text1"/>
          <w:sz w:val="28"/>
          <w:szCs w:val="28"/>
          <w:highlight w:val="none"/>
          <w14:textFill>
            <w14:solidFill>
              <w14:schemeClr w14:val="tx1"/>
            </w14:solidFill>
          </w14:textFill>
        </w:rPr>
        <w:t>月</w:t>
      </w:r>
      <w:r>
        <w:rPr>
          <w:rFonts w:hint="eastAsia"/>
          <w:color w:val="000000" w:themeColor="text1"/>
          <w:sz w:val="28"/>
          <w:szCs w:val="28"/>
          <w:highlight w:val="none"/>
          <w:u w:val="single"/>
          <w14:textFill>
            <w14:solidFill>
              <w14:schemeClr w14:val="tx1"/>
            </w14:solidFill>
          </w14:textFill>
        </w:rPr>
        <w:t xml:space="preserve">  </w:t>
      </w:r>
      <w:r>
        <w:rPr>
          <w:rFonts w:hint="eastAsia"/>
          <w:color w:val="000000" w:themeColor="text1"/>
          <w:sz w:val="28"/>
          <w:szCs w:val="28"/>
          <w:highlight w:val="none"/>
          <w14:textFill>
            <w14:solidFill>
              <w14:schemeClr w14:val="tx1"/>
            </w14:solidFill>
          </w14:textFill>
        </w:rPr>
        <w:t>日</w:t>
      </w:r>
    </w:p>
    <w:p w14:paraId="7AE0AC08">
      <w:pPr>
        <w:spacing w:line="240" w:lineRule="auto"/>
        <w:rPr>
          <w:rFonts w:hint="eastAsia" w:ascii="黑体" w:hAnsi="黑体" w:eastAsia="黑体" w:cs="仿宋"/>
          <w:b/>
          <w:color w:val="000000" w:themeColor="text1"/>
          <w:kern w:val="0"/>
          <w:sz w:val="44"/>
          <w:szCs w:val="44"/>
          <w:highlight w:val="none"/>
          <w14:textFill>
            <w14:solidFill>
              <w14:schemeClr w14:val="tx1"/>
            </w14:solidFill>
          </w14:textFill>
        </w:rPr>
      </w:pPr>
      <w:r>
        <w:rPr>
          <w:rFonts w:ascii="黑体" w:hAnsi="黑体" w:eastAsia="黑体" w:cs="仿宋"/>
          <w:b/>
          <w:color w:val="000000" w:themeColor="text1"/>
          <w:sz w:val="44"/>
          <w:szCs w:val="44"/>
          <w:highlight w:val="none"/>
          <w14:textFill>
            <w14:solidFill>
              <w14:schemeClr w14:val="tx1"/>
            </w14:solidFill>
          </w14:textFill>
        </w:rPr>
        <w:br w:type="page"/>
      </w:r>
    </w:p>
    <w:p w14:paraId="484F614E">
      <w:pPr>
        <w:pStyle w:val="152"/>
        <w:spacing w:line="600" w:lineRule="exact"/>
        <w:ind w:left="420" w:firstLine="0" w:firstLineChars="0"/>
        <w:rPr>
          <w:rFonts w:hint="eastAsia" w:ascii="黑体" w:hAnsi="黑体" w:eastAsia="黑体" w:cs="仿宋"/>
          <w:b/>
          <w:color w:val="000000" w:themeColor="text1"/>
          <w:sz w:val="44"/>
          <w:szCs w:val="44"/>
          <w:highlight w:val="none"/>
          <w14:textFill>
            <w14:solidFill>
              <w14:schemeClr w14:val="tx1"/>
            </w14:solidFill>
          </w14:textFill>
        </w:rPr>
      </w:pPr>
    </w:p>
    <w:p w14:paraId="688EAB30">
      <w:pPr>
        <w:pStyle w:val="152"/>
        <w:spacing w:line="600" w:lineRule="exact"/>
        <w:ind w:left="420" w:firstLine="0" w:firstLineChars="0"/>
        <w:rPr>
          <w:rFonts w:hint="eastAsia" w:ascii="黑体" w:hAnsi="黑体" w:eastAsia="黑体" w:cs="仿宋"/>
          <w:b/>
          <w:color w:val="000000" w:themeColor="text1"/>
          <w:sz w:val="44"/>
          <w:szCs w:val="44"/>
          <w:highlight w:val="none"/>
          <w14:textFill>
            <w14:solidFill>
              <w14:schemeClr w14:val="tx1"/>
            </w14:solidFill>
          </w14:textFill>
        </w:rPr>
      </w:pPr>
    </w:p>
    <w:p w14:paraId="7C47DCF8">
      <w:pPr>
        <w:pStyle w:val="152"/>
        <w:spacing w:line="600" w:lineRule="exact"/>
        <w:ind w:left="420" w:firstLine="0" w:firstLineChars="0"/>
        <w:rPr>
          <w:rFonts w:hint="eastAsia" w:ascii="黑体" w:hAnsi="黑体" w:eastAsia="黑体" w:cs="仿宋"/>
          <w:b/>
          <w:color w:val="000000" w:themeColor="text1"/>
          <w:sz w:val="44"/>
          <w:szCs w:val="44"/>
          <w:highlight w:val="none"/>
          <w14:textFill>
            <w14:solidFill>
              <w14:schemeClr w14:val="tx1"/>
            </w14:solidFill>
          </w14:textFill>
        </w:rPr>
      </w:pPr>
    </w:p>
    <w:p w14:paraId="3545589B">
      <w:pPr>
        <w:pStyle w:val="152"/>
        <w:spacing w:line="600" w:lineRule="exact"/>
        <w:ind w:left="420" w:firstLine="0" w:firstLineChars="0"/>
        <w:jc w:val="center"/>
        <w:rPr>
          <w:rFonts w:hint="eastAsia" w:ascii="黑体" w:hAnsi="黑体" w:eastAsia="黑体" w:cs="仿宋"/>
          <w:b/>
          <w:color w:val="000000" w:themeColor="text1"/>
          <w:sz w:val="44"/>
          <w:szCs w:val="44"/>
          <w:highlight w:val="none"/>
          <w14:textFill>
            <w14:solidFill>
              <w14:schemeClr w14:val="tx1"/>
            </w14:solidFill>
          </w14:textFill>
        </w:rPr>
      </w:pPr>
    </w:p>
    <w:p w14:paraId="5DE2A0B3">
      <w:pPr>
        <w:pStyle w:val="152"/>
        <w:spacing w:line="600" w:lineRule="exact"/>
        <w:ind w:left="420" w:firstLine="0" w:firstLineChars="0"/>
        <w:jc w:val="center"/>
        <w:rPr>
          <w:rFonts w:hint="eastAsia" w:ascii="黑体" w:hAnsi="黑体" w:eastAsia="黑体" w:cs="仿宋"/>
          <w:b/>
          <w:color w:val="000000" w:themeColor="text1"/>
          <w:sz w:val="44"/>
          <w:szCs w:val="44"/>
          <w:highlight w:val="none"/>
          <w14:textFill>
            <w14:solidFill>
              <w14:schemeClr w14:val="tx1"/>
            </w14:solidFill>
          </w14:textFill>
        </w:rPr>
      </w:pPr>
    </w:p>
    <w:p w14:paraId="0C132882">
      <w:pPr>
        <w:pStyle w:val="152"/>
        <w:spacing w:line="600" w:lineRule="exact"/>
        <w:ind w:left="420" w:firstLine="0" w:firstLineChars="0"/>
        <w:jc w:val="center"/>
        <w:rPr>
          <w:rFonts w:hint="eastAsia" w:ascii="黑体" w:hAnsi="黑体" w:eastAsia="黑体" w:cs="仿宋"/>
          <w:b/>
          <w:color w:val="000000" w:themeColor="text1"/>
          <w:sz w:val="44"/>
          <w:szCs w:val="44"/>
          <w:highlight w:val="none"/>
          <w14:textFill>
            <w14:solidFill>
              <w14:schemeClr w14:val="tx1"/>
            </w14:solidFill>
          </w14:textFill>
        </w:rPr>
      </w:pPr>
    </w:p>
    <w:p w14:paraId="0680E837">
      <w:pPr>
        <w:pStyle w:val="152"/>
        <w:spacing w:line="600" w:lineRule="exact"/>
        <w:ind w:left="420" w:firstLine="0" w:firstLineChars="0"/>
        <w:jc w:val="center"/>
        <w:rPr>
          <w:rFonts w:hint="eastAsia" w:ascii="黑体" w:hAnsi="黑体" w:eastAsia="黑体" w:cs="仿宋"/>
          <w:b/>
          <w:color w:val="000000" w:themeColor="text1"/>
          <w:sz w:val="44"/>
          <w:szCs w:val="44"/>
          <w:highlight w:val="none"/>
          <w14:textFill>
            <w14:solidFill>
              <w14:schemeClr w14:val="tx1"/>
            </w14:solidFill>
          </w14:textFill>
        </w:rPr>
      </w:pPr>
    </w:p>
    <w:p w14:paraId="6CCE7231">
      <w:pPr>
        <w:pStyle w:val="152"/>
        <w:spacing w:line="600" w:lineRule="exact"/>
        <w:ind w:left="420" w:firstLine="0" w:firstLineChars="0"/>
        <w:jc w:val="center"/>
        <w:rPr>
          <w:rFonts w:hint="eastAsia" w:ascii="黑体" w:hAnsi="黑体" w:eastAsia="黑体" w:cs="仿宋"/>
          <w:b/>
          <w:color w:val="000000" w:themeColor="text1"/>
          <w:sz w:val="44"/>
          <w:szCs w:val="44"/>
          <w:highlight w:val="none"/>
          <w14:textFill>
            <w14:solidFill>
              <w14:schemeClr w14:val="tx1"/>
            </w14:solidFill>
          </w14:textFill>
        </w:rPr>
      </w:pPr>
    </w:p>
    <w:p w14:paraId="1526BC20">
      <w:pPr>
        <w:pStyle w:val="152"/>
        <w:spacing w:line="600" w:lineRule="exact"/>
        <w:ind w:left="420" w:firstLine="0" w:firstLineChars="0"/>
        <w:jc w:val="center"/>
        <w:rPr>
          <w:rFonts w:hint="eastAsia" w:ascii="黑体" w:hAnsi="黑体" w:eastAsia="黑体" w:cs="仿宋"/>
          <w:b/>
          <w:color w:val="000000" w:themeColor="text1"/>
          <w:sz w:val="44"/>
          <w:szCs w:val="44"/>
          <w:highlight w:val="none"/>
          <w14:textFill>
            <w14:solidFill>
              <w14:schemeClr w14:val="tx1"/>
            </w14:solidFill>
          </w14:textFill>
        </w:rPr>
      </w:pPr>
      <w:r>
        <w:rPr>
          <w:rFonts w:hint="eastAsia" w:ascii="黑体" w:hAnsi="黑体" w:eastAsia="黑体" w:cs="仿宋"/>
          <w:b/>
          <w:color w:val="000000" w:themeColor="text1"/>
          <w:sz w:val="44"/>
          <w:szCs w:val="44"/>
          <w:highlight w:val="none"/>
          <w14:textFill>
            <w14:solidFill>
              <w14:schemeClr w14:val="tx1"/>
            </w14:solidFill>
          </w14:textFill>
        </w:rPr>
        <w:t>第三章  评审办法</w:t>
      </w:r>
    </w:p>
    <w:p w14:paraId="70BB35EA">
      <w:pPr>
        <w:spacing w:line="240" w:lineRule="auto"/>
        <w:jc w:val="center"/>
        <w:rPr>
          <w:rFonts w:hint="eastAsia" w:ascii="华文中宋" w:hAnsi="华文中宋" w:eastAsia="华文中宋" w:cs="仿宋"/>
          <w:b/>
          <w:bCs/>
          <w:color w:val="000000" w:themeColor="text1"/>
          <w:sz w:val="36"/>
          <w:szCs w:val="36"/>
          <w:highlight w:val="none"/>
          <w14:textFill>
            <w14:solidFill>
              <w14:schemeClr w14:val="tx1"/>
            </w14:solidFill>
          </w14:textFill>
        </w:rPr>
      </w:pPr>
      <w:r>
        <w:rPr>
          <w:rFonts w:ascii="黑体" w:hAnsi="黑体" w:eastAsia="黑体" w:cs="仿宋"/>
          <w:b/>
          <w:color w:val="000000" w:themeColor="text1"/>
          <w:sz w:val="44"/>
          <w:szCs w:val="44"/>
          <w:highlight w:val="none"/>
          <w14:textFill>
            <w14:solidFill>
              <w14:schemeClr w14:val="tx1"/>
            </w14:solidFill>
          </w14:textFill>
        </w:rPr>
        <w:br w:type="page"/>
      </w:r>
      <w:r>
        <w:rPr>
          <w:rFonts w:hint="eastAsia" w:ascii="华文中宋" w:hAnsi="华文中宋" w:eastAsia="华文中宋" w:cs="仿宋"/>
          <w:b/>
          <w:bCs/>
          <w:color w:val="000000" w:themeColor="text1"/>
          <w:sz w:val="36"/>
          <w:szCs w:val="36"/>
          <w:highlight w:val="none"/>
          <w14:textFill>
            <w14:solidFill>
              <w14:schemeClr w14:val="tx1"/>
            </w14:solidFill>
          </w14:textFill>
        </w:rPr>
        <w:t>第三章 评审办法</w:t>
      </w:r>
    </w:p>
    <w:p w14:paraId="580FEBDD">
      <w:pPr>
        <w:adjustRightInd w:val="0"/>
        <w:snapToGrid w:val="0"/>
        <w:spacing w:line="600" w:lineRule="exact"/>
        <w:jc w:val="center"/>
        <w:rPr>
          <w:rFonts w:hint="eastAsia" w:ascii="华文中宋" w:hAnsi="华文中宋" w:eastAsia="华文中宋" w:cs="仿宋"/>
          <w:b/>
          <w:bCs/>
          <w:color w:val="000000" w:themeColor="text1"/>
          <w:sz w:val="36"/>
          <w:szCs w:val="36"/>
          <w:highlight w:val="none"/>
          <w14:textFill>
            <w14:solidFill>
              <w14:schemeClr w14:val="tx1"/>
            </w14:solidFill>
          </w14:textFill>
        </w:rPr>
      </w:pPr>
      <w:r>
        <w:rPr>
          <w:rFonts w:hint="eastAsia" w:ascii="华文中宋" w:hAnsi="华文中宋" w:eastAsia="华文中宋" w:cs="仿宋"/>
          <w:b/>
          <w:bCs/>
          <w:color w:val="000000" w:themeColor="text1"/>
          <w:sz w:val="36"/>
          <w:szCs w:val="36"/>
          <w:highlight w:val="none"/>
          <w14:textFill>
            <w14:solidFill>
              <w14:schemeClr w14:val="tx1"/>
            </w14:solidFill>
          </w14:textFill>
        </w:rPr>
        <w:t>评审办法前附表</w:t>
      </w:r>
    </w:p>
    <w:tbl>
      <w:tblPr>
        <w:tblStyle w:val="87"/>
        <w:tblW w:w="97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
        <w:gridCol w:w="1461"/>
        <w:gridCol w:w="1904"/>
        <w:gridCol w:w="5576"/>
      </w:tblGrid>
      <w:tr w14:paraId="2891D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1" w:type="dxa"/>
            <w:gridSpan w:val="2"/>
          </w:tcPr>
          <w:p w14:paraId="63BB092A">
            <w:pPr>
              <w:widowControl/>
              <w:adjustRightInd w:val="0"/>
              <w:snapToGrid w:val="0"/>
              <w:spacing w:line="360" w:lineRule="auto"/>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条款号及名称</w:t>
            </w:r>
          </w:p>
        </w:tc>
        <w:tc>
          <w:tcPr>
            <w:tcW w:w="1904" w:type="dxa"/>
            <w:vAlign w:val="center"/>
          </w:tcPr>
          <w:p w14:paraId="6EE2FB7D">
            <w:pPr>
              <w:widowControl/>
              <w:adjustRightInd w:val="0"/>
              <w:snapToGrid w:val="0"/>
              <w:spacing w:line="360" w:lineRule="auto"/>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评审因素</w:t>
            </w:r>
          </w:p>
        </w:tc>
        <w:tc>
          <w:tcPr>
            <w:tcW w:w="5576" w:type="dxa"/>
            <w:vAlign w:val="center"/>
          </w:tcPr>
          <w:p w14:paraId="6312F7C1">
            <w:pPr>
              <w:widowControl/>
              <w:adjustRightInd w:val="0"/>
              <w:snapToGrid w:val="0"/>
              <w:spacing w:line="360" w:lineRule="auto"/>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评审标准</w:t>
            </w:r>
          </w:p>
        </w:tc>
      </w:tr>
      <w:tr w14:paraId="372E3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vAlign w:val="center"/>
          </w:tcPr>
          <w:p w14:paraId="716AC05B">
            <w:pPr>
              <w:widowControl/>
              <w:adjustRightInd w:val="0"/>
              <w:snapToGrid w:val="0"/>
              <w:spacing w:line="360" w:lineRule="auto"/>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p>
        </w:tc>
        <w:tc>
          <w:tcPr>
            <w:tcW w:w="1461" w:type="dxa"/>
          </w:tcPr>
          <w:p w14:paraId="5176AE63">
            <w:pPr>
              <w:widowControl/>
              <w:adjustRightInd w:val="0"/>
              <w:snapToGrid w:val="0"/>
              <w:spacing w:line="360" w:lineRule="auto"/>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评审方法</w:t>
            </w:r>
          </w:p>
        </w:tc>
        <w:tc>
          <w:tcPr>
            <w:tcW w:w="1904" w:type="dxa"/>
            <w:vAlign w:val="center"/>
          </w:tcPr>
          <w:p w14:paraId="0A207F11">
            <w:pPr>
              <w:widowControl/>
              <w:adjustRightInd w:val="0"/>
              <w:snapToGrid w:val="0"/>
              <w:spacing w:line="360" w:lineRule="auto"/>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评审方法</w:t>
            </w:r>
          </w:p>
        </w:tc>
        <w:tc>
          <w:tcPr>
            <w:tcW w:w="5576" w:type="dxa"/>
            <w:vAlign w:val="center"/>
          </w:tcPr>
          <w:p w14:paraId="691EA116">
            <w:pPr>
              <w:widowControl/>
              <w:adjustRightInd w:val="0"/>
              <w:snapToGrid w:val="0"/>
              <w:spacing w:line="360" w:lineRule="auto"/>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综合评分法</w:t>
            </w:r>
          </w:p>
        </w:tc>
      </w:tr>
      <w:tr w14:paraId="4DFA7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vMerge w:val="restart"/>
            <w:vAlign w:val="center"/>
          </w:tcPr>
          <w:p w14:paraId="234E6302">
            <w:pPr>
              <w:widowControl/>
              <w:adjustRightInd w:val="0"/>
              <w:snapToGrid w:val="0"/>
              <w:spacing w:line="360" w:lineRule="auto"/>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2.1.1</w:t>
            </w:r>
          </w:p>
        </w:tc>
        <w:tc>
          <w:tcPr>
            <w:tcW w:w="1461" w:type="dxa"/>
            <w:vMerge w:val="restart"/>
          </w:tcPr>
          <w:p w14:paraId="181E3430">
            <w:pPr>
              <w:widowControl/>
              <w:adjustRightInd w:val="0"/>
              <w:snapToGrid w:val="0"/>
              <w:spacing w:line="360" w:lineRule="auto"/>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形式评审标准</w:t>
            </w:r>
          </w:p>
        </w:tc>
        <w:tc>
          <w:tcPr>
            <w:tcW w:w="1904" w:type="dxa"/>
            <w:vAlign w:val="center"/>
          </w:tcPr>
          <w:p w14:paraId="2A1D9448">
            <w:pPr>
              <w:widowControl/>
              <w:adjustRightInd w:val="0"/>
              <w:snapToGrid w:val="0"/>
              <w:spacing w:line="360" w:lineRule="auto"/>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供应商名称</w:t>
            </w:r>
          </w:p>
        </w:tc>
        <w:tc>
          <w:tcPr>
            <w:tcW w:w="5576" w:type="dxa"/>
            <w:vAlign w:val="center"/>
          </w:tcPr>
          <w:p w14:paraId="38987B75">
            <w:pPr>
              <w:widowControl/>
              <w:adjustRightInd w:val="0"/>
              <w:snapToGrid w:val="0"/>
              <w:spacing w:line="360" w:lineRule="auto"/>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与市场监管部门或其他行政机关颁发的可以合法开展业务的执照或证书一致</w:t>
            </w:r>
          </w:p>
        </w:tc>
      </w:tr>
      <w:tr w14:paraId="5A849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vMerge w:val="continue"/>
            <w:vAlign w:val="center"/>
          </w:tcPr>
          <w:p w14:paraId="33CEEFFE">
            <w:pPr>
              <w:widowControl/>
              <w:adjustRightInd w:val="0"/>
              <w:snapToGrid w:val="0"/>
              <w:spacing w:line="360" w:lineRule="auto"/>
              <w:jc w:val="both"/>
              <w:rPr>
                <w:rFonts w:hint="eastAsia" w:ascii="宋体" w:hAnsi="宋体" w:cs="宋体"/>
                <w:color w:val="000000" w:themeColor="text1"/>
                <w:szCs w:val="21"/>
                <w:highlight w:val="none"/>
                <w14:textFill>
                  <w14:solidFill>
                    <w14:schemeClr w14:val="tx1"/>
                  </w14:solidFill>
                </w14:textFill>
              </w:rPr>
            </w:pPr>
          </w:p>
        </w:tc>
        <w:tc>
          <w:tcPr>
            <w:tcW w:w="1461" w:type="dxa"/>
            <w:vMerge w:val="continue"/>
          </w:tcPr>
          <w:p w14:paraId="63E1E858">
            <w:pPr>
              <w:widowControl/>
              <w:adjustRightInd w:val="0"/>
              <w:snapToGrid w:val="0"/>
              <w:spacing w:line="360" w:lineRule="auto"/>
              <w:jc w:val="both"/>
              <w:rPr>
                <w:rFonts w:hint="eastAsia" w:ascii="宋体" w:hAnsi="宋体" w:cs="宋体"/>
                <w:color w:val="000000" w:themeColor="text1"/>
                <w:szCs w:val="21"/>
                <w:highlight w:val="none"/>
                <w14:textFill>
                  <w14:solidFill>
                    <w14:schemeClr w14:val="tx1"/>
                  </w14:solidFill>
                </w14:textFill>
              </w:rPr>
            </w:pPr>
          </w:p>
        </w:tc>
        <w:tc>
          <w:tcPr>
            <w:tcW w:w="1904" w:type="dxa"/>
            <w:vAlign w:val="center"/>
          </w:tcPr>
          <w:p w14:paraId="331582BE">
            <w:pPr>
              <w:widowControl/>
              <w:adjustRightInd w:val="0"/>
              <w:snapToGrid w:val="0"/>
              <w:spacing w:line="360" w:lineRule="auto"/>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响应文件签字盖章</w:t>
            </w:r>
          </w:p>
        </w:tc>
        <w:tc>
          <w:tcPr>
            <w:tcW w:w="5576" w:type="dxa"/>
            <w:vAlign w:val="center"/>
          </w:tcPr>
          <w:p w14:paraId="14BE6EFE">
            <w:pPr>
              <w:widowControl/>
              <w:adjustRightInd w:val="0"/>
              <w:snapToGrid w:val="0"/>
              <w:spacing w:line="360" w:lineRule="auto"/>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符合第二章第3.7.2项及第3.7.3项的规定</w:t>
            </w:r>
          </w:p>
        </w:tc>
      </w:tr>
      <w:tr w14:paraId="2C153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830" w:type="dxa"/>
            <w:vMerge w:val="continue"/>
            <w:vAlign w:val="center"/>
          </w:tcPr>
          <w:p w14:paraId="2598A21A">
            <w:pPr>
              <w:widowControl/>
              <w:adjustRightInd w:val="0"/>
              <w:snapToGrid w:val="0"/>
              <w:spacing w:line="360" w:lineRule="auto"/>
              <w:jc w:val="both"/>
              <w:rPr>
                <w:rFonts w:hint="eastAsia" w:ascii="宋体" w:hAnsi="宋体" w:cs="宋体"/>
                <w:color w:val="000000" w:themeColor="text1"/>
                <w:szCs w:val="21"/>
                <w:highlight w:val="none"/>
                <w14:textFill>
                  <w14:solidFill>
                    <w14:schemeClr w14:val="tx1"/>
                  </w14:solidFill>
                </w14:textFill>
              </w:rPr>
            </w:pPr>
          </w:p>
        </w:tc>
        <w:tc>
          <w:tcPr>
            <w:tcW w:w="1461" w:type="dxa"/>
            <w:vMerge w:val="continue"/>
          </w:tcPr>
          <w:p w14:paraId="0A23B435">
            <w:pPr>
              <w:widowControl/>
              <w:adjustRightInd w:val="0"/>
              <w:snapToGrid w:val="0"/>
              <w:spacing w:line="360" w:lineRule="auto"/>
              <w:jc w:val="both"/>
              <w:rPr>
                <w:rFonts w:hint="eastAsia" w:ascii="宋体" w:hAnsi="宋体" w:cs="宋体"/>
                <w:color w:val="000000" w:themeColor="text1"/>
                <w:szCs w:val="21"/>
                <w:highlight w:val="none"/>
                <w14:textFill>
                  <w14:solidFill>
                    <w14:schemeClr w14:val="tx1"/>
                  </w14:solidFill>
                </w14:textFill>
              </w:rPr>
            </w:pPr>
          </w:p>
        </w:tc>
        <w:tc>
          <w:tcPr>
            <w:tcW w:w="1904" w:type="dxa"/>
            <w:vAlign w:val="center"/>
          </w:tcPr>
          <w:p w14:paraId="64E3D0CF">
            <w:pPr>
              <w:widowControl/>
              <w:adjustRightInd w:val="0"/>
              <w:snapToGrid w:val="0"/>
              <w:spacing w:line="360" w:lineRule="auto"/>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联合体协议书</w:t>
            </w:r>
          </w:p>
        </w:tc>
        <w:tc>
          <w:tcPr>
            <w:tcW w:w="5576" w:type="dxa"/>
            <w:vAlign w:val="center"/>
          </w:tcPr>
          <w:p w14:paraId="6DB07C0B">
            <w:pPr>
              <w:widowControl/>
              <w:adjustRightInd w:val="0"/>
              <w:snapToGrid w:val="0"/>
              <w:spacing w:line="360" w:lineRule="auto"/>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不适用</w:t>
            </w:r>
          </w:p>
        </w:tc>
      </w:tr>
      <w:tr w14:paraId="1227A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vMerge w:val="continue"/>
            <w:vAlign w:val="center"/>
          </w:tcPr>
          <w:p w14:paraId="2EBDE514">
            <w:pPr>
              <w:widowControl/>
              <w:adjustRightInd w:val="0"/>
              <w:snapToGrid w:val="0"/>
              <w:spacing w:line="360" w:lineRule="auto"/>
              <w:jc w:val="both"/>
              <w:rPr>
                <w:rFonts w:hint="eastAsia" w:ascii="宋体" w:hAnsi="宋体" w:cs="宋体"/>
                <w:color w:val="000000" w:themeColor="text1"/>
                <w:szCs w:val="21"/>
                <w:highlight w:val="none"/>
                <w14:textFill>
                  <w14:solidFill>
                    <w14:schemeClr w14:val="tx1"/>
                  </w14:solidFill>
                </w14:textFill>
              </w:rPr>
            </w:pPr>
          </w:p>
        </w:tc>
        <w:tc>
          <w:tcPr>
            <w:tcW w:w="1461" w:type="dxa"/>
            <w:vMerge w:val="continue"/>
          </w:tcPr>
          <w:p w14:paraId="10F56E88">
            <w:pPr>
              <w:widowControl/>
              <w:adjustRightInd w:val="0"/>
              <w:snapToGrid w:val="0"/>
              <w:spacing w:line="360" w:lineRule="auto"/>
              <w:jc w:val="both"/>
              <w:rPr>
                <w:rFonts w:hint="eastAsia" w:ascii="宋体" w:hAnsi="宋体" w:cs="宋体"/>
                <w:color w:val="000000" w:themeColor="text1"/>
                <w:szCs w:val="21"/>
                <w:highlight w:val="none"/>
                <w14:textFill>
                  <w14:solidFill>
                    <w14:schemeClr w14:val="tx1"/>
                  </w14:solidFill>
                </w14:textFill>
              </w:rPr>
            </w:pPr>
          </w:p>
        </w:tc>
        <w:tc>
          <w:tcPr>
            <w:tcW w:w="1904" w:type="dxa"/>
            <w:vAlign w:val="center"/>
          </w:tcPr>
          <w:p w14:paraId="6C8A69E9">
            <w:pPr>
              <w:widowControl/>
              <w:adjustRightInd w:val="0"/>
              <w:snapToGrid w:val="0"/>
              <w:spacing w:line="360" w:lineRule="auto"/>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响应函中实质性内容</w:t>
            </w:r>
          </w:p>
        </w:tc>
        <w:tc>
          <w:tcPr>
            <w:tcW w:w="5576" w:type="dxa"/>
            <w:vAlign w:val="center"/>
          </w:tcPr>
          <w:p w14:paraId="05B45244">
            <w:pPr>
              <w:widowControl/>
              <w:adjustRightInd w:val="0"/>
              <w:snapToGrid w:val="0"/>
              <w:spacing w:line="360" w:lineRule="auto"/>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项目负责人、服务期限、投标报价符合采购文件要求。</w:t>
            </w:r>
          </w:p>
        </w:tc>
      </w:tr>
      <w:tr w14:paraId="68223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vMerge w:val="restart"/>
            <w:vAlign w:val="center"/>
          </w:tcPr>
          <w:p w14:paraId="17D29E90">
            <w:pPr>
              <w:widowControl/>
              <w:adjustRightInd w:val="0"/>
              <w:snapToGrid w:val="0"/>
              <w:spacing w:line="360" w:lineRule="auto"/>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2.1.2</w:t>
            </w:r>
          </w:p>
        </w:tc>
        <w:tc>
          <w:tcPr>
            <w:tcW w:w="1461" w:type="dxa"/>
            <w:vMerge w:val="restart"/>
          </w:tcPr>
          <w:p w14:paraId="09CB1632">
            <w:pPr>
              <w:widowControl/>
              <w:adjustRightInd w:val="0"/>
              <w:snapToGrid w:val="0"/>
              <w:spacing w:line="360" w:lineRule="auto"/>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资格评审标准</w:t>
            </w:r>
          </w:p>
        </w:tc>
        <w:tc>
          <w:tcPr>
            <w:tcW w:w="1904" w:type="dxa"/>
            <w:vAlign w:val="center"/>
          </w:tcPr>
          <w:p w14:paraId="73F18B49">
            <w:pPr>
              <w:widowControl/>
              <w:adjustRightInd w:val="0"/>
              <w:snapToGrid w:val="0"/>
              <w:spacing w:line="360" w:lineRule="auto"/>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依法设立</w:t>
            </w:r>
          </w:p>
        </w:tc>
        <w:tc>
          <w:tcPr>
            <w:tcW w:w="5576" w:type="dxa"/>
            <w:vAlign w:val="center"/>
          </w:tcPr>
          <w:p w14:paraId="1C37C3ED">
            <w:pPr>
              <w:widowControl/>
              <w:adjustRightInd w:val="0"/>
              <w:snapToGrid w:val="0"/>
              <w:spacing w:line="360" w:lineRule="auto"/>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符合第一章第3.2款及供应商须知前附表第3.5（1）款规定</w:t>
            </w:r>
          </w:p>
        </w:tc>
      </w:tr>
      <w:tr w14:paraId="30425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vMerge w:val="continue"/>
            <w:vAlign w:val="center"/>
          </w:tcPr>
          <w:p w14:paraId="220459E2">
            <w:pPr>
              <w:widowControl/>
              <w:adjustRightInd w:val="0"/>
              <w:snapToGrid w:val="0"/>
              <w:spacing w:line="360" w:lineRule="auto"/>
              <w:jc w:val="both"/>
              <w:rPr>
                <w:rFonts w:hint="eastAsia" w:ascii="宋体" w:hAnsi="宋体" w:cs="宋体"/>
                <w:color w:val="000000" w:themeColor="text1"/>
                <w:szCs w:val="21"/>
                <w:highlight w:val="none"/>
                <w14:textFill>
                  <w14:solidFill>
                    <w14:schemeClr w14:val="tx1"/>
                  </w14:solidFill>
                </w14:textFill>
              </w:rPr>
            </w:pPr>
          </w:p>
        </w:tc>
        <w:tc>
          <w:tcPr>
            <w:tcW w:w="1461" w:type="dxa"/>
            <w:vMerge w:val="continue"/>
          </w:tcPr>
          <w:p w14:paraId="48C73B9F">
            <w:pPr>
              <w:widowControl/>
              <w:adjustRightInd w:val="0"/>
              <w:snapToGrid w:val="0"/>
              <w:spacing w:line="360" w:lineRule="auto"/>
              <w:jc w:val="both"/>
              <w:rPr>
                <w:rFonts w:hint="eastAsia" w:ascii="宋体" w:hAnsi="宋体" w:cs="宋体"/>
                <w:color w:val="000000" w:themeColor="text1"/>
                <w:szCs w:val="21"/>
                <w:highlight w:val="none"/>
                <w14:textFill>
                  <w14:solidFill>
                    <w14:schemeClr w14:val="tx1"/>
                  </w14:solidFill>
                </w14:textFill>
              </w:rPr>
            </w:pPr>
          </w:p>
        </w:tc>
        <w:tc>
          <w:tcPr>
            <w:tcW w:w="1904" w:type="dxa"/>
            <w:vAlign w:val="center"/>
          </w:tcPr>
          <w:p w14:paraId="480B617D">
            <w:pPr>
              <w:widowControl/>
              <w:adjustRightInd w:val="0"/>
              <w:snapToGrid w:val="0"/>
              <w:spacing w:line="360" w:lineRule="auto"/>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资质要求</w:t>
            </w:r>
          </w:p>
        </w:tc>
        <w:tc>
          <w:tcPr>
            <w:tcW w:w="5576" w:type="dxa"/>
            <w:vAlign w:val="center"/>
          </w:tcPr>
          <w:p w14:paraId="7DA9429A">
            <w:pPr>
              <w:widowControl/>
              <w:adjustRightInd w:val="0"/>
              <w:snapToGrid w:val="0"/>
              <w:spacing w:line="360" w:lineRule="auto"/>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符合第一章第3.2款及供应商须知前附表第3.5（2）款规定</w:t>
            </w:r>
          </w:p>
        </w:tc>
      </w:tr>
      <w:tr w14:paraId="7BC64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vMerge w:val="continue"/>
            <w:vAlign w:val="center"/>
          </w:tcPr>
          <w:p w14:paraId="16E46EC1">
            <w:pPr>
              <w:widowControl/>
              <w:adjustRightInd w:val="0"/>
              <w:snapToGrid w:val="0"/>
              <w:spacing w:line="360" w:lineRule="auto"/>
              <w:jc w:val="both"/>
              <w:rPr>
                <w:rFonts w:hint="eastAsia" w:ascii="宋体" w:hAnsi="宋体" w:cs="宋体"/>
                <w:color w:val="000000" w:themeColor="text1"/>
                <w:szCs w:val="21"/>
                <w:highlight w:val="none"/>
                <w14:textFill>
                  <w14:solidFill>
                    <w14:schemeClr w14:val="tx1"/>
                  </w14:solidFill>
                </w14:textFill>
              </w:rPr>
            </w:pPr>
          </w:p>
        </w:tc>
        <w:tc>
          <w:tcPr>
            <w:tcW w:w="1461" w:type="dxa"/>
            <w:vMerge w:val="continue"/>
          </w:tcPr>
          <w:p w14:paraId="6C994F67">
            <w:pPr>
              <w:widowControl/>
              <w:adjustRightInd w:val="0"/>
              <w:snapToGrid w:val="0"/>
              <w:spacing w:line="360" w:lineRule="auto"/>
              <w:jc w:val="both"/>
              <w:rPr>
                <w:rFonts w:hint="eastAsia" w:ascii="宋体" w:hAnsi="宋体" w:cs="宋体"/>
                <w:color w:val="000000" w:themeColor="text1"/>
                <w:szCs w:val="21"/>
                <w:highlight w:val="none"/>
                <w14:textFill>
                  <w14:solidFill>
                    <w14:schemeClr w14:val="tx1"/>
                  </w14:solidFill>
                </w14:textFill>
              </w:rPr>
            </w:pPr>
          </w:p>
        </w:tc>
        <w:tc>
          <w:tcPr>
            <w:tcW w:w="1904" w:type="dxa"/>
            <w:vAlign w:val="center"/>
          </w:tcPr>
          <w:p w14:paraId="308DFB4A">
            <w:pPr>
              <w:widowControl/>
              <w:adjustRightInd w:val="0"/>
              <w:snapToGrid w:val="0"/>
              <w:spacing w:line="360" w:lineRule="auto"/>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财务要求</w:t>
            </w:r>
          </w:p>
        </w:tc>
        <w:tc>
          <w:tcPr>
            <w:tcW w:w="5576" w:type="dxa"/>
            <w:vAlign w:val="center"/>
          </w:tcPr>
          <w:p w14:paraId="2AF6747B">
            <w:pPr>
              <w:widowControl/>
              <w:adjustRightInd w:val="0"/>
              <w:snapToGrid w:val="0"/>
              <w:spacing w:line="360" w:lineRule="auto"/>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符合第一章第3.2款及供应商须知前附表第3.5（3）款规定</w:t>
            </w:r>
          </w:p>
        </w:tc>
      </w:tr>
      <w:tr w14:paraId="4F006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vMerge w:val="continue"/>
            <w:vAlign w:val="center"/>
          </w:tcPr>
          <w:p w14:paraId="40AE1F7E">
            <w:pPr>
              <w:widowControl/>
              <w:adjustRightInd w:val="0"/>
              <w:snapToGrid w:val="0"/>
              <w:spacing w:line="360" w:lineRule="auto"/>
              <w:jc w:val="both"/>
              <w:rPr>
                <w:rFonts w:hint="eastAsia" w:ascii="宋体" w:hAnsi="宋体" w:cs="宋体"/>
                <w:color w:val="000000" w:themeColor="text1"/>
                <w:szCs w:val="21"/>
                <w:highlight w:val="none"/>
                <w14:textFill>
                  <w14:solidFill>
                    <w14:schemeClr w14:val="tx1"/>
                  </w14:solidFill>
                </w14:textFill>
              </w:rPr>
            </w:pPr>
          </w:p>
        </w:tc>
        <w:tc>
          <w:tcPr>
            <w:tcW w:w="1461" w:type="dxa"/>
            <w:vMerge w:val="continue"/>
          </w:tcPr>
          <w:p w14:paraId="145E054A">
            <w:pPr>
              <w:widowControl/>
              <w:adjustRightInd w:val="0"/>
              <w:snapToGrid w:val="0"/>
              <w:spacing w:line="360" w:lineRule="auto"/>
              <w:jc w:val="both"/>
              <w:rPr>
                <w:rFonts w:hint="eastAsia" w:ascii="宋体" w:hAnsi="宋体" w:cs="宋体"/>
                <w:color w:val="000000" w:themeColor="text1"/>
                <w:szCs w:val="21"/>
                <w:highlight w:val="none"/>
                <w14:textFill>
                  <w14:solidFill>
                    <w14:schemeClr w14:val="tx1"/>
                  </w14:solidFill>
                </w14:textFill>
              </w:rPr>
            </w:pPr>
          </w:p>
        </w:tc>
        <w:tc>
          <w:tcPr>
            <w:tcW w:w="1904" w:type="dxa"/>
            <w:vAlign w:val="center"/>
          </w:tcPr>
          <w:p w14:paraId="706A700F">
            <w:pPr>
              <w:widowControl/>
              <w:adjustRightInd w:val="0"/>
              <w:snapToGrid w:val="0"/>
              <w:spacing w:line="360" w:lineRule="auto"/>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业绩要求</w:t>
            </w:r>
          </w:p>
        </w:tc>
        <w:tc>
          <w:tcPr>
            <w:tcW w:w="5576" w:type="dxa"/>
            <w:vAlign w:val="center"/>
          </w:tcPr>
          <w:p w14:paraId="1D731C4E">
            <w:pPr>
              <w:widowControl/>
              <w:adjustRightInd w:val="0"/>
              <w:snapToGrid w:val="0"/>
              <w:spacing w:line="360" w:lineRule="auto"/>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符合第一章第3.2款及供应商须知前附表第3.5（4）款规定</w:t>
            </w:r>
          </w:p>
        </w:tc>
      </w:tr>
      <w:tr w14:paraId="43FDF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vMerge w:val="continue"/>
            <w:vAlign w:val="center"/>
          </w:tcPr>
          <w:p w14:paraId="2E2999C3">
            <w:pPr>
              <w:widowControl/>
              <w:adjustRightInd w:val="0"/>
              <w:snapToGrid w:val="0"/>
              <w:spacing w:line="360" w:lineRule="auto"/>
              <w:jc w:val="both"/>
              <w:rPr>
                <w:rFonts w:hint="eastAsia" w:ascii="宋体" w:hAnsi="宋体" w:cs="宋体"/>
                <w:color w:val="000000" w:themeColor="text1"/>
                <w:szCs w:val="21"/>
                <w:highlight w:val="none"/>
                <w14:textFill>
                  <w14:solidFill>
                    <w14:schemeClr w14:val="tx1"/>
                  </w14:solidFill>
                </w14:textFill>
              </w:rPr>
            </w:pPr>
          </w:p>
        </w:tc>
        <w:tc>
          <w:tcPr>
            <w:tcW w:w="1461" w:type="dxa"/>
            <w:vMerge w:val="continue"/>
          </w:tcPr>
          <w:p w14:paraId="39FA61B5">
            <w:pPr>
              <w:widowControl/>
              <w:adjustRightInd w:val="0"/>
              <w:snapToGrid w:val="0"/>
              <w:spacing w:line="360" w:lineRule="auto"/>
              <w:jc w:val="both"/>
              <w:rPr>
                <w:rFonts w:hint="eastAsia" w:ascii="宋体" w:hAnsi="宋体" w:cs="宋体"/>
                <w:color w:val="000000" w:themeColor="text1"/>
                <w:szCs w:val="21"/>
                <w:highlight w:val="none"/>
                <w14:textFill>
                  <w14:solidFill>
                    <w14:schemeClr w14:val="tx1"/>
                  </w14:solidFill>
                </w14:textFill>
              </w:rPr>
            </w:pPr>
          </w:p>
        </w:tc>
        <w:tc>
          <w:tcPr>
            <w:tcW w:w="1904" w:type="dxa"/>
            <w:vAlign w:val="center"/>
          </w:tcPr>
          <w:p w14:paraId="796517FF">
            <w:pPr>
              <w:widowControl/>
              <w:adjustRightInd w:val="0"/>
              <w:snapToGrid w:val="0"/>
              <w:spacing w:line="360" w:lineRule="auto"/>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信誉要求</w:t>
            </w:r>
          </w:p>
        </w:tc>
        <w:tc>
          <w:tcPr>
            <w:tcW w:w="5576" w:type="dxa"/>
            <w:vAlign w:val="center"/>
          </w:tcPr>
          <w:p w14:paraId="2625B9E9">
            <w:pPr>
              <w:widowControl/>
              <w:adjustRightInd w:val="0"/>
              <w:snapToGrid w:val="0"/>
              <w:spacing w:line="360" w:lineRule="auto"/>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符合第一章第3.2款及供应商须知前附表第3.5（5）款规定</w:t>
            </w:r>
          </w:p>
        </w:tc>
      </w:tr>
      <w:tr w14:paraId="07348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vMerge w:val="continue"/>
            <w:vAlign w:val="center"/>
          </w:tcPr>
          <w:p w14:paraId="38334C5C">
            <w:pPr>
              <w:widowControl/>
              <w:adjustRightInd w:val="0"/>
              <w:snapToGrid w:val="0"/>
              <w:spacing w:line="360" w:lineRule="auto"/>
              <w:jc w:val="both"/>
              <w:rPr>
                <w:rFonts w:hint="eastAsia" w:ascii="宋体" w:hAnsi="宋体" w:cs="宋体"/>
                <w:color w:val="000000" w:themeColor="text1"/>
                <w:szCs w:val="21"/>
                <w:highlight w:val="none"/>
                <w14:textFill>
                  <w14:solidFill>
                    <w14:schemeClr w14:val="tx1"/>
                  </w14:solidFill>
                </w14:textFill>
              </w:rPr>
            </w:pPr>
          </w:p>
        </w:tc>
        <w:tc>
          <w:tcPr>
            <w:tcW w:w="1461" w:type="dxa"/>
            <w:vMerge w:val="continue"/>
          </w:tcPr>
          <w:p w14:paraId="10D46328">
            <w:pPr>
              <w:widowControl/>
              <w:adjustRightInd w:val="0"/>
              <w:snapToGrid w:val="0"/>
              <w:spacing w:line="360" w:lineRule="auto"/>
              <w:jc w:val="both"/>
              <w:rPr>
                <w:rFonts w:hint="eastAsia" w:ascii="宋体" w:hAnsi="宋体" w:cs="宋体"/>
                <w:color w:val="000000" w:themeColor="text1"/>
                <w:szCs w:val="21"/>
                <w:highlight w:val="none"/>
                <w14:textFill>
                  <w14:solidFill>
                    <w14:schemeClr w14:val="tx1"/>
                  </w14:solidFill>
                </w14:textFill>
              </w:rPr>
            </w:pPr>
          </w:p>
        </w:tc>
        <w:tc>
          <w:tcPr>
            <w:tcW w:w="1904" w:type="dxa"/>
            <w:vAlign w:val="center"/>
          </w:tcPr>
          <w:p w14:paraId="16CC3721">
            <w:pPr>
              <w:widowControl/>
              <w:adjustRightInd w:val="0"/>
              <w:snapToGrid w:val="0"/>
              <w:spacing w:line="360" w:lineRule="auto"/>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人员要求</w:t>
            </w:r>
          </w:p>
        </w:tc>
        <w:tc>
          <w:tcPr>
            <w:tcW w:w="5576" w:type="dxa"/>
            <w:vAlign w:val="center"/>
          </w:tcPr>
          <w:p w14:paraId="65A833A2">
            <w:pPr>
              <w:widowControl/>
              <w:adjustRightInd w:val="0"/>
              <w:snapToGrid w:val="0"/>
              <w:spacing w:line="360" w:lineRule="auto"/>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符合第一章第3.2款及供应商须知前附表第3.5（6）款规定</w:t>
            </w:r>
          </w:p>
        </w:tc>
      </w:tr>
      <w:tr w14:paraId="4815F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vMerge w:val="continue"/>
            <w:vAlign w:val="center"/>
          </w:tcPr>
          <w:p w14:paraId="43920B57">
            <w:pPr>
              <w:widowControl/>
              <w:adjustRightInd w:val="0"/>
              <w:snapToGrid w:val="0"/>
              <w:spacing w:line="360" w:lineRule="auto"/>
              <w:jc w:val="both"/>
              <w:rPr>
                <w:rFonts w:hint="eastAsia" w:ascii="宋体" w:hAnsi="宋体" w:cs="宋体"/>
                <w:color w:val="000000" w:themeColor="text1"/>
                <w:szCs w:val="21"/>
                <w:highlight w:val="none"/>
                <w14:textFill>
                  <w14:solidFill>
                    <w14:schemeClr w14:val="tx1"/>
                  </w14:solidFill>
                </w14:textFill>
              </w:rPr>
            </w:pPr>
          </w:p>
        </w:tc>
        <w:tc>
          <w:tcPr>
            <w:tcW w:w="1461" w:type="dxa"/>
            <w:vMerge w:val="continue"/>
          </w:tcPr>
          <w:p w14:paraId="1FF5095E">
            <w:pPr>
              <w:widowControl/>
              <w:adjustRightInd w:val="0"/>
              <w:snapToGrid w:val="0"/>
              <w:spacing w:line="360" w:lineRule="auto"/>
              <w:jc w:val="both"/>
              <w:rPr>
                <w:rFonts w:hint="eastAsia" w:ascii="宋体" w:hAnsi="宋体" w:cs="宋体"/>
                <w:color w:val="000000" w:themeColor="text1"/>
                <w:szCs w:val="21"/>
                <w:highlight w:val="none"/>
                <w14:textFill>
                  <w14:solidFill>
                    <w14:schemeClr w14:val="tx1"/>
                  </w14:solidFill>
                </w14:textFill>
              </w:rPr>
            </w:pPr>
          </w:p>
        </w:tc>
        <w:tc>
          <w:tcPr>
            <w:tcW w:w="1904" w:type="dxa"/>
            <w:vAlign w:val="center"/>
          </w:tcPr>
          <w:p w14:paraId="38A4FF2F">
            <w:pPr>
              <w:widowControl/>
              <w:adjustRightInd w:val="0"/>
              <w:snapToGrid w:val="0"/>
              <w:spacing w:line="360" w:lineRule="auto"/>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其他要求</w:t>
            </w:r>
          </w:p>
        </w:tc>
        <w:tc>
          <w:tcPr>
            <w:tcW w:w="5576" w:type="dxa"/>
            <w:vAlign w:val="center"/>
          </w:tcPr>
          <w:p w14:paraId="21A876D0">
            <w:pPr>
              <w:widowControl/>
              <w:adjustRightInd w:val="0"/>
              <w:snapToGrid w:val="0"/>
              <w:spacing w:line="360" w:lineRule="auto"/>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符合第一章第3.2款及供应商须知前附表第3.5（7）款规定</w:t>
            </w:r>
          </w:p>
        </w:tc>
      </w:tr>
      <w:tr w14:paraId="47F97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vMerge w:val="continue"/>
            <w:vAlign w:val="center"/>
          </w:tcPr>
          <w:p w14:paraId="1B681FD3">
            <w:pPr>
              <w:widowControl/>
              <w:adjustRightInd w:val="0"/>
              <w:snapToGrid w:val="0"/>
              <w:spacing w:line="360" w:lineRule="auto"/>
              <w:jc w:val="both"/>
              <w:rPr>
                <w:rFonts w:hint="eastAsia" w:ascii="宋体" w:hAnsi="宋体" w:cs="宋体"/>
                <w:color w:val="000000" w:themeColor="text1"/>
                <w:szCs w:val="21"/>
                <w:highlight w:val="none"/>
                <w14:textFill>
                  <w14:solidFill>
                    <w14:schemeClr w14:val="tx1"/>
                  </w14:solidFill>
                </w14:textFill>
              </w:rPr>
            </w:pPr>
          </w:p>
        </w:tc>
        <w:tc>
          <w:tcPr>
            <w:tcW w:w="1461" w:type="dxa"/>
            <w:vMerge w:val="continue"/>
          </w:tcPr>
          <w:p w14:paraId="59E7295B">
            <w:pPr>
              <w:widowControl/>
              <w:adjustRightInd w:val="0"/>
              <w:snapToGrid w:val="0"/>
              <w:spacing w:line="360" w:lineRule="auto"/>
              <w:jc w:val="both"/>
              <w:rPr>
                <w:rFonts w:hint="eastAsia" w:ascii="宋体" w:hAnsi="宋体" w:cs="宋体"/>
                <w:color w:val="000000" w:themeColor="text1"/>
                <w:szCs w:val="21"/>
                <w:highlight w:val="none"/>
                <w14:textFill>
                  <w14:solidFill>
                    <w14:schemeClr w14:val="tx1"/>
                  </w14:solidFill>
                </w14:textFill>
              </w:rPr>
            </w:pPr>
          </w:p>
        </w:tc>
        <w:tc>
          <w:tcPr>
            <w:tcW w:w="1904" w:type="dxa"/>
            <w:vAlign w:val="center"/>
          </w:tcPr>
          <w:p w14:paraId="6741C967">
            <w:pPr>
              <w:widowControl/>
              <w:adjustRightInd w:val="0"/>
              <w:snapToGrid w:val="0"/>
              <w:spacing w:line="360" w:lineRule="auto"/>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不存在第一章第3.1款情形</w:t>
            </w:r>
          </w:p>
        </w:tc>
        <w:tc>
          <w:tcPr>
            <w:tcW w:w="5576" w:type="dxa"/>
            <w:vAlign w:val="center"/>
          </w:tcPr>
          <w:p w14:paraId="4B82F546">
            <w:pPr>
              <w:widowControl/>
              <w:adjustRightInd w:val="0"/>
              <w:snapToGrid w:val="0"/>
              <w:spacing w:line="360" w:lineRule="auto"/>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符合第一章第3.1款及供应商须知前附表第3.5（8）款规定</w:t>
            </w:r>
          </w:p>
        </w:tc>
      </w:tr>
      <w:tr w14:paraId="4F13C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vMerge w:val="continue"/>
            <w:vAlign w:val="center"/>
          </w:tcPr>
          <w:p w14:paraId="2E41EE4A">
            <w:pPr>
              <w:widowControl/>
              <w:adjustRightInd w:val="0"/>
              <w:snapToGrid w:val="0"/>
              <w:spacing w:line="360" w:lineRule="auto"/>
              <w:jc w:val="both"/>
              <w:rPr>
                <w:rFonts w:hint="eastAsia" w:ascii="宋体" w:hAnsi="宋体" w:cs="宋体"/>
                <w:color w:val="000000" w:themeColor="text1"/>
                <w:szCs w:val="21"/>
                <w:highlight w:val="none"/>
                <w14:textFill>
                  <w14:solidFill>
                    <w14:schemeClr w14:val="tx1"/>
                  </w14:solidFill>
                </w14:textFill>
              </w:rPr>
            </w:pPr>
          </w:p>
        </w:tc>
        <w:tc>
          <w:tcPr>
            <w:tcW w:w="1461" w:type="dxa"/>
            <w:vMerge w:val="continue"/>
          </w:tcPr>
          <w:p w14:paraId="383E212E">
            <w:pPr>
              <w:widowControl/>
              <w:adjustRightInd w:val="0"/>
              <w:snapToGrid w:val="0"/>
              <w:spacing w:line="360" w:lineRule="auto"/>
              <w:jc w:val="both"/>
              <w:rPr>
                <w:rFonts w:hint="eastAsia" w:ascii="宋体" w:hAnsi="宋体" w:cs="宋体"/>
                <w:color w:val="000000" w:themeColor="text1"/>
                <w:szCs w:val="21"/>
                <w:highlight w:val="none"/>
                <w14:textFill>
                  <w14:solidFill>
                    <w14:schemeClr w14:val="tx1"/>
                  </w14:solidFill>
                </w14:textFill>
              </w:rPr>
            </w:pPr>
          </w:p>
        </w:tc>
        <w:tc>
          <w:tcPr>
            <w:tcW w:w="1904" w:type="dxa"/>
            <w:vAlign w:val="center"/>
          </w:tcPr>
          <w:p w14:paraId="4EC69BDA">
            <w:pPr>
              <w:widowControl/>
              <w:adjustRightInd w:val="0"/>
              <w:snapToGrid w:val="0"/>
              <w:spacing w:line="360" w:lineRule="auto"/>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联合体供应商</w:t>
            </w:r>
          </w:p>
        </w:tc>
        <w:tc>
          <w:tcPr>
            <w:tcW w:w="5576" w:type="dxa"/>
            <w:vAlign w:val="center"/>
          </w:tcPr>
          <w:p w14:paraId="06434E0E">
            <w:pPr>
              <w:widowControl/>
              <w:adjustRightInd w:val="0"/>
              <w:snapToGrid w:val="0"/>
              <w:spacing w:line="360" w:lineRule="auto"/>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符合第一章第3.2款及供应商须知前附表第3.5（9）款规定</w:t>
            </w:r>
          </w:p>
        </w:tc>
      </w:tr>
      <w:tr w14:paraId="5B09A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0" w:type="dxa"/>
            <w:vMerge w:val="restart"/>
            <w:vAlign w:val="center"/>
          </w:tcPr>
          <w:p w14:paraId="3DA3B48D">
            <w:pPr>
              <w:widowControl/>
              <w:adjustRightInd w:val="0"/>
              <w:snapToGrid w:val="0"/>
              <w:spacing w:line="360" w:lineRule="auto"/>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2.1.3</w:t>
            </w:r>
          </w:p>
        </w:tc>
        <w:tc>
          <w:tcPr>
            <w:tcW w:w="1461" w:type="dxa"/>
            <w:vMerge w:val="restart"/>
          </w:tcPr>
          <w:p w14:paraId="17047ACE">
            <w:pPr>
              <w:widowControl/>
              <w:adjustRightInd w:val="0"/>
              <w:snapToGrid w:val="0"/>
              <w:spacing w:line="360" w:lineRule="auto"/>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响应性评审标准</w:t>
            </w:r>
          </w:p>
        </w:tc>
        <w:tc>
          <w:tcPr>
            <w:tcW w:w="1904" w:type="dxa"/>
            <w:vAlign w:val="center"/>
          </w:tcPr>
          <w:p w14:paraId="78918F68">
            <w:pPr>
              <w:widowControl/>
              <w:adjustRightInd w:val="0"/>
              <w:snapToGrid w:val="0"/>
              <w:spacing w:line="360" w:lineRule="auto"/>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报价</w:t>
            </w:r>
          </w:p>
        </w:tc>
        <w:tc>
          <w:tcPr>
            <w:tcW w:w="5576" w:type="dxa"/>
            <w:vAlign w:val="center"/>
          </w:tcPr>
          <w:p w14:paraId="7ABE4326">
            <w:pPr>
              <w:widowControl/>
              <w:adjustRightInd w:val="0"/>
              <w:snapToGrid w:val="0"/>
              <w:spacing w:line="360" w:lineRule="auto"/>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符合第二章第3.2款规定</w:t>
            </w:r>
          </w:p>
        </w:tc>
      </w:tr>
      <w:tr w14:paraId="204BD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vMerge w:val="continue"/>
            <w:vAlign w:val="center"/>
          </w:tcPr>
          <w:p w14:paraId="2AC730E7">
            <w:pPr>
              <w:widowControl/>
              <w:adjustRightInd w:val="0"/>
              <w:snapToGrid w:val="0"/>
              <w:spacing w:line="360" w:lineRule="auto"/>
              <w:jc w:val="both"/>
              <w:rPr>
                <w:rFonts w:hint="eastAsia" w:ascii="宋体" w:hAnsi="宋体" w:cs="宋体"/>
                <w:color w:val="000000" w:themeColor="text1"/>
                <w:szCs w:val="21"/>
                <w:highlight w:val="none"/>
                <w14:textFill>
                  <w14:solidFill>
                    <w14:schemeClr w14:val="tx1"/>
                  </w14:solidFill>
                </w14:textFill>
              </w:rPr>
            </w:pPr>
          </w:p>
        </w:tc>
        <w:tc>
          <w:tcPr>
            <w:tcW w:w="1461" w:type="dxa"/>
            <w:vMerge w:val="continue"/>
          </w:tcPr>
          <w:p w14:paraId="260A1D14">
            <w:pPr>
              <w:widowControl/>
              <w:adjustRightInd w:val="0"/>
              <w:snapToGrid w:val="0"/>
              <w:spacing w:line="360" w:lineRule="auto"/>
              <w:jc w:val="both"/>
              <w:rPr>
                <w:rFonts w:hint="eastAsia" w:ascii="宋体" w:hAnsi="宋体" w:cs="宋体"/>
                <w:color w:val="000000" w:themeColor="text1"/>
                <w:szCs w:val="21"/>
                <w:highlight w:val="none"/>
                <w14:textFill>
                  <w14:solidFill>
                    <w14:schemeClr w14:val="tx1"/>
                  </w14:solidFill>
                </w14:textFill>
              </w:rPr>
            </w:pPr>
          </w:p>
        </w:tc>
        <w:tc>
          <w:tcPr>
            <w:tcW w:w="1904" w:type="dxa"/>
            <w:vAlign w:val="center"/>
          </w:tcPr>
          <w:p w14:paraId="32C9850F">
            <w:pPr>
              <w:widowControl/>
              <w:adjustRightInd w:val="0"/>
              <w:snapToGrid w:val="0"/>
              <w:spacing w:line="360" w:lineRule="auto"/>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响应文件有效期</w:t>
            </w:r>
          </w:p>
        </w:tc>
        <w:tc>
          <w:tcPr>
            <w:tcW w:w="5576" w:type="dxa"/>
            <w:vAlign w:val="center"/>
          </w:tcPr>
          <w:p w14:paraId="0192A8BB">
            <w:pPr>
              <w:widowControl/>
              <w:adjustRightInd w:val="0"/>
              <w:snapToGrid w:val="0"/>
              <w:spacing w:line="360" w:lineRule="auto"/>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符合第二章第3.3.1项规定</w:t>
            </w:r>
          </w:p>
        </w:tc>
      </w:tr>
      <w:tr w14:paraId="58A39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vMerge w:val="continue"/>
            <w:vAlign w:val="center"/>
          </w:tcPr>
          <w:p w14:paraId="53C009E6">
            <w:pPr>
              <w:widowControl/>
              <w:adjustRightInd w:val="0"/>
              <w:snapToGrid w:val="0"/>
              <w:spacing w:line="360" w:lineRule="auto"/>
              <w:jc w:val="both"/>
              <w:rPr>
                <w:rFonts w:hint="eastAsia" w:ascii="宋体" w:hAnsi="宋体" w:cs="宋体"/>
                <w:color w:val="000000" w:themeColor="text1"/>
                <w:szCs w:val="21"/>
                <w:highlight w:val="none"/>
                <w14:textFill>
                  <w14:solidFill>
                    <w14:schemeClr w14:val="tx1"/>
                  </w14:solidFill>
                </w14:textFill>
              </w:rPr>
            </w:pPr>
          </w:p>
        </w:tc>
        <w:tc>
          <w:tcPr>
            <w:tcW w:w="1461" w:type="dxa"/>
            <w:vMerge w:val="continue"/>
          </w:tcPr>
          <w:p w14:paraId="74F9137C">
            <w:pPr>
              <w:widowControl/>
              <w:adjustRightInd w:val="0"/>
              <w:snapToGrid w:val="0"/>
              <w:spacing w:line="360" w:lineRule="auto"/>
              <w:jc w:val="both"/>
              <w:rPr>
                <w:rFonts w:hint="eastAsia" w:ascii="宋体" w:hAnsi="宋体" w:cs="宋体"/>
                <w:color w:val="000000" w:themeColor="text1"/>
                <w:szCs w:val="21"/>
                <w:highlight w:val="none"/>
                <w14:textFill>
                  <w14:solidFill>
                    <w14:schemeClr w14:val="tx1"/>
                  </w14:solidFill>
                </w14:textFill>
              </w:rPr>
            </w:pPr>
          </w:p>
        </w:tc>
        <w:tc>
          <w:tcPr>
            <w:tcW w:w="1904" w:type="dxa"/>
            <w:vAlign w:val="center"/>
          </w:tcPr>
          <w:p w14:paraId="172E8BB2">
            <w:pPr>
              <w:widowControl/>
              <w:adjustRightInd w:val="0"/>
              <w:snapToGrid w:val="0"/>
              <w:spacing w:line="360" w:lineRule="auto"/>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响应保证金</w:t>
            </w:r>
          </w:p>
        </w:tc>
        <w:tc>
          <w:tcPr>
            <w:tcW w:w="5576" w:type="dxa"/>
            <w:vAlign w:val="center"/>
          </w:tcPr>
          <w:p w14:paraId="35720454">
            <w:pPr>
              <w:widowControl/>
              <w:adjustRightInd w:val="0"/>
              <w:snapToGrid w:val="0"/>
              <w:spacing w:line="360" w:lineRule="auto"/>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符合第二章第3.4.1项规定</w:t>
            </w:r>
          </w:p>
        </w:tc>
      </w:tr>
      <w:tr w14:paraId="48ACB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vMerge w:val="continue"/>
            <w:vAlign w:val="center"/>
          </w:tcPr>
          <w:p w14:paraId="646AD95B">
            <w:pPr>
              <w:widowControl/>
              <w:adjustRightInd w:val="0"/>
              <w:snapToGrid w:val="0"/>
              <w:spacing w:line="360" w:lineRule="auto"/>
              <w:jc w:val="both"/>
              <w:rPr>
                <w:rFonts w:hint="eastAsia" w:ascii="宋体" w:hAnsi="宋体" w:cs="宋体"/>
                <w:color w:val="000000" w:themeColor="text1"/>
                <w:szCs w:val="21"/>
                <w:highlight w:val="none"/>
                <w14:textFill>
                  <w14:solidFill>
                    <w14:schemeClr w14:val="tx1"/>
                  </w14:solidFill>
                </w14:textFill>
              </w:rPr>
            </w:pPr>
          </w:p>
        </w:tc>
        <w:tc>
          <w:tcPr>
            <w:tcW w:w="1461" w:type="dxa"/>
            <w:vMerge w:val="continue"/>
          </w:tcPr>
          <w:p w14:paraId="7A30ED92">
            <w:pPr>
              <w:widowControl/>
              <w:adjustRightInd w:val="0"/>
              <w:snapToGrid w:val="0"/>
              <w:spacing w:line="360" w:lineRule="auto"/>
              <w:jc w:val="both"/>
              <w:rPr>
                <w:rFonts w:hint="eastAsia" w:ascii="宋体" w:hAnsi="宋体" w:cs="宋体"/>
                <w:color w:val="000000" w:themeColor="text1"/>
                <w:szCs w:val="21"/>
                <w:highlight w:val="none"/>
                <w14:textFill>
                  <w14:solidFill>
                    <w14:schemeClr w14:val="tx1"/>
                  </w14:solidFill>
                </w14:textFill>
              </w:rPr>
            </w:pPr>
          </w:p>
        </w:tc>
        <w:tc>
          <w:tcPr>
            <w:tcW w:w="1904" w:type="dxa"/>
            <w:vAlign w:val="center"/>
          </w:tcPr>
          <w:p w14:paraId="2864A19A">
            <w:pPr>
              <w:widowControl/>
              <w:adjustRightInd w:val="0"/>
              <w:snapToGrid w:val="0"/>
              <w:spacing w:line="360" w:lineRule="auto"/>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响应方案</w:t>
            </w:r>
          </w:p>
        </w:tc>
        <w:tc>
          <w:tcPr>
            <w:tcW w:w="5576" w:type="dxa"/>
            <w:vAlign w:val="center"/>
          </w:tcPr>
          <w:p w14:paraId="54AEF3FC">
            <w:pPr>
              <w:widowControl/>
              <w:adjustRightInd w:val="0"/>
              <w:snapToGrid w:val="0"/>
              <w:spacing w:line="360" w:lineRule="auto"/>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符合第二章第3.6款规定</w:t>
            </w:r>
          </w:p>
        </w:tc>
      </w:tr>
      <w:tr w14:paraId="2D29C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vMerge w:val="continue"/>
            <w:vAlign w:val="center"/>
          </w:tcPr>
          <w:p w14:paraId="7F504E2C">
            <w:pPr>
              <w:widowControl/>
              <w:adjustRightInd w:val="0"/>
              <w:snapToGrid w:val="0"/>
              <w:spacing w:line="360" w:lineRule="auto"/>
              <w:jc w:val="both"/>
              <w:rPr>
                <w:rFonts w:hint="eastAsia" w:ascii="宋体" w:hAnsi="宋体" w:cs="宋体"/>
                <w:color w:val="000000" w:themeColor="text1"/>
                <w:szCs w:val="21"/>
                <w:highlight w:val="none"/>
                <w14:textFill>
                  <w14:solidFill>
                    <w14:schemeClr w14:val="tx1"/>
                  </w14:solidFill>
                </w14:textFill>
              </w:rPr>
            </w:pPr>
          </w:p>
        </w:tc>
        <w:tc>
          <w:tcPr>
            <w:tcW w:w="1461" w:type="dxa"/>
            <w:vMerge w:val="continue"/>
          </w:tcPr>
          <w:p w14:paraId="2CD20208">
            <w:pPr>
              <w:widowControl/>
              <w:adjustRightInd w:val="0"/>
              <w:snapToGrid w:val="0"/>
              <w:spacing w:line="360" w:lineRule="auto"/>
              <w:jc w:val="both"/>
              <w:rPr>
                <w:rFonts w:hint="eastAsia" w:ascii="宋体" w:hAnsi="宋体" w:cs="宋体"/>
                <w:color w:val="000000" w:themeColor="text1"/>
                <w:szCs w:val="21"/>
                <w:highlight w:val="none"/>
                <w14:textFill>
                  <w14:solidFill>
                    <w14:schemeClr w14:val="tx1"/>
                  </w14:solidFill>
                </w14:textFill>
              </w:rPr>
            </w:pPr>
          </w:p>
        </w:tc>
        <w:tc>
          <w:tcPr>
            <w:tcW w:w="1904" w:type="dxa"/>
            <w:vAlign w:val="center"/>
          </w:tcPr>
          <w:p w14:paraId="0248F524">
            <w:pPr>
              <w:widowControl/>
              <w:adjustRightInd w:val="0"/>
              <w:snapToGrid w:val="0"/>
              <w:spacing w:line="360" w:lineRule="auto"/>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质量标准</w:t>
            </w:r>
          </w:p>
        </w:tc>
        <w:tc>
          <w:tcPr>
            <w:tcW w:w="5576" w:type="dxa"/>
            <w:vAlign w:val="center"/>
          </w:tcPr>
          <w:p w14:paraId="00FBCAEE">
            <w:pPr>
              <w:widowControl/>
              <w:adjustRightInd w:val="0"/>
              <w:snapToGrid w:val="0"/>
              <w:spacing w:line="360" w:lineRule="auto"/>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符合第一章第2条规定</w:t>
            </w:r>
          </w:p>
        </w:tc>
      </w:tr>
      <w:tr w14:paraId="0D77C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vMerge w:val="continue"/>
            <w:vAlign w:val="center"/>
          </w:tcPr>
          <w:p w14:paraId="12CE26E1">
            <w:pPr>
              <w:widowControl/>
              <w:adjustRightInd w:val="0"/>
              <w:snapToGrid w:val="0"/>
              <w:spacing w:line="360" w:lineRule="auto"/>
              <w:jc w:val="both"/>
              <w:rPr>
                <w:rFonts w:hint="eastAsia" w:ascii="宋体" w:hAnsi="宋体" w:cs="宋体"/>
                <w:color w:val="000000" w:themeColor="text1"/>
                <w:szCs w:val="21"/>
                <w:highlight w:val="none"/>
                <w14:textFill>
                  <w14:solidFill>
                    <w14:schemeClr w14:val="tx1"/>
                  </w14:solidFill>
                </w14:textFill>
              </w:rPr>
            </w:pPr>
          </w:p>
        </w:tc>
        <w:tc>
          <w:tcPr>
            <w:tcW w:w="1461" w:type="dxa"/>
            <w:vMerge w:val="continue"/>
          </w:tcPr>
          <w:p w14:paraId="11DD697D">
            <w:pPr>
              <w:widowControl/>
              <w:adjustRightInd w:val="0"/>
              <w:snapToGrid w:val="0"/>
              <w:spacing w:line="360" w:lineRule="auto"/>
              <w:jc w:val="both"/>
              <w:rPr>
                <w:rFonts w:hint="eastAsia" w:ascii="宋体" w:hAnsi="宋体" w:cs="宋体"/>
                <w:color w:val="000000" w:themeColor="text1"/>
                <w:szCs w:val="21"/>
                <w:highlight w:val="none"/>
                <w14:textFill>
                  <w14:solidFill>
                    <w14:schemeClr w14:val="tx1"/>
                  </w14:solidFill>
                </w14:textFill>
              </w:rPr>
            </w:pPr>
          </w:p>
        </w:tc>
        <w:tc>
          <w:tcPr>
            <w:tcW w:w="1904" w:type="dxa"/>
            <w:vAlign w:val="center"/>
          </w:tcPr>
          <w:p w14:paraId="782864E4">
            <w:pPr>
              <w:widowControl/>
              <w:adjustRightInd w:val="0"/>
              <w:snapToGrid w:val="0"/>
              <w:spacing w:line="360" w:lineRule="auto"/>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完成期限</w:t>
            </w:r>
          </w:p>
        </w:tc>
        <w:tc>
          <w:tcPr>
            <w:tcW w:w="5576" w:type="dxa"/>
            <w:vAlign w:val="center"/>
          </w:tcPr>
          <w:p w14:paraId="02139114">
            <w:pPr>
              <w:widowControl/>
              <w:adjustRightInd w:val="0"/>
              <w:snapToGrid w:val="0"/>
              <w:spacing w:line="360" w:lineRule="auto"/>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符合第一章第2条规定</w:t>
            </w:r>
          </w:p>
        </w:tc>
      </w:tr>
      <w:tr w14:paraId="7D1A9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vMerge w:val="continue"/>
            <w:vAlign w:val="center"/>
          </w:tcPr>
          <w:p w14:paraId="2C4D017D">
            <w:pPr>
              <w:widowControl/>
              <w:adjustRightInd w:val="0"/>
              <w:snapToGrid w:val="0"/>
              <w:spacing w:line="360" w:lineRule="auto"/>
              <w:jc w:val="both"/>
              <w:rPr>
                <w:rFonts w:hint="eastAsia" w:ascii="宋体" w:hAnsi="宋体" w:cs="宋体"/>
                <w:color w:val="000000" w:themeColor="text1"/>
                <w:szCs w:val="21"/>
                <w:highlight w:val="none"/>
                <w14:textFill>
                  <w14:solidFill>
                    <w14:schemeClr w14:val="tx1"/>
                  </w14:solidFill>
                </w14:textFill>
              </w:rPr>
            </w:pPr>
          </w:p>
        </w:tc>
        <w:tc>
          <w:tcPr>
            <w:tcW w:w="1461" w:type="dxa"/>
            <w:vMerge w:val="continue"/>
          </w:tcPr>
          <w:p w14:paraId="27B50906">
            <w:pPr>
              <w:widowControl/>
              <w:adjustRightInd w:val="0"/>
              <w:snapToGrid w:val="0"/>
              <w:spacing w:line="360" w:lineRule="auto"/>
              <w:jc w:val="both"/>
              <w:rPr>
                <w:rFonts w:hint="eastAsia" w:ascii="宋体" w:hAnsi="宋体" w:cs="宋体"/>
                <w:color w:val="000000" w:themeColor="text1"/>
                <w:szCs w:val="21"/>
                <w:highlight w:val="none"/>
                <w14:textFill>
                  <w14:solidFill>
                    <w14:schemeClr w14:val="tx1"/>
                  </w14:solidFill>
                </w14:textFill>
              </w:rPr>
            </w:pPr>
          </w:p>
        </w:tc>
        <w:tc>
          <w:tcPr>
            <w:tcW w:w="1904" w:type="dxa"/>
            <w:vAlign w:val="center"/>
          </w:tcPr>
          <w:p w14:paraId="4413CA88">
            <w:pPr>
              <w:widowControl/>
              <w:adjustRightInd w:val="0"/>
              <w:snapToGrid w:val="0"/>
              <w:spacing w:line="360" w:lineRule="auto"/>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合同条款</w:t>
            </w:r>
          </w:p>
        </w:tc>
        <w:tc>
          <w:tcPr>
            <w:tcW w:w="5576" w:type="dxa"/>
            <w:vAlign w:val="center"/>
          </w:tcPr>
          <w:p w14:paraId="13E8B1AE">
            <w:pPr>
              <w:widowControl/>
              <w:adjustRightInd w:val="0"/>
              <w:snapToGrid w:val="0"/>
              <w:spacing w:line="360" w:lineRule="auto"/>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符合第二章第1.10.1项规定</w:t>
            </w:r>
          </w:p>
        </w:tc>
      </w:tr>
      <w:tr w14:paraId="393A6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vMerge w:val="continue"/>
            <w:vAlign w:val="center"/>
          </w:tcPr>
          <w:p w14:paraId="336AA0E5">
            <w:pPr>
              <w:widowControl/>
              <w:adjustRightInd w:val="0"/>
              <w:snapToGrid w:val="0"/>
              <w:spacing w:line="360" w:lineRule="auto"/>
              <w:jc w:val="both"/>
              <w:rPr>
                <w:rFonts w:hint="eastAsia" w:ascii="宋体" w:hAnsi="宋体" w:cs="宋体"/>
                <w:color w:val="000000" w:themeColor="text1"/>
                <w:szCs w:val="21"/>
                <w:highlight w:val="none"/>
                <w14:textFill>
                  <w14:solidFill>
                    <w14:schemeClr w14:val="tx1"/>
                  </w14:solidFill>
                </w14:textFill>
              </w:rPr>
            </w:pPr>
          </w:p>
        </w:tc>
        <w:tc>
          <w:tcPr>
            <w:tcW w:w="1461" w:type="dxa"/>
            <w:vMerge w:val="continue"/>
          </w:tcPr>
          <w:p w14:paraId="1163B6F0">
            <w:pPr>
              <w:widowControl/>
              <w:adjustRightInd w:val="0"/>
              <w:snapToGrid w:val="0"/>
              <w:spacing w:line="360" w:lineRule="auto"/>
              <w:jc w:val="both"/>
              <w:rPr>
                <w:rFonts w:hint="eastAsia" w:ascii="宋体" w:hAnsi="宋体" w:cs="宋体"/>
                <w:color w:val="000000" w:themeColor="text1"/>
                <w:szCs w:val="21"/>
                <w:highlight w:val="none"/>
                <w14:textFill>
                  <w14:solidFill>
                    <w14:schemeClr w14:val="tx1"/>
                  </w14:solidFill>
                </w14:textFill>
              </w:rPr>
            </w:pPr>
          </w:p>
        </w:tc>
        <w:tc>
          <w:tcPr>
            <w:tcW w:w="1904" w:type="dxa"/>
            <w:vAlign w:val="center"/>
          </w:tcPr>
          <w:p w14:paraId="4F495227">
            <w:pPr>
              <w:widowControl/>
              <w:adjustRightInd w:val="0"/>
              <w:snapToGrid w:val="0"/>
              <w:spacing w:line="360" w:lineRule="auto"/>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对非关键条款的偏差</w:t>
            </w:r>
          </w:p>
        </w:tc>
        <w:tc>
          <w:tcPr>
            <w:tcW w:w="5576" w:type="dxa"/>
            <w:vAlign w:val="center"/>
          </w:tcPr>
          <w:p w14:paraId="084EA867">
            <w:pPr>
              <w:widowControl/>
              <w:adjustRightInd w:val="0"/>
              <w:snapToGrid w:val="0"/>
              <w:spacing w:line="360" w:lineRule="auto"/>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偏差范围和偏差项数符合第二章第1.10.2项的规定</w:t>
            </w:r>
          </w:p>
        </w:tc>
      </w:tr>
      <w:tr w14:paraId="15EE2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vAlign w:val="center"/>
          </w:tcPr>
          <w:p w14:paraId="23A75F19">
            <w:pPr>
              <w:widowControl/>
              <w:adjustRightInd w:val="0"/>
              <w:snapToGrid w:val="0"/>
              <w:spacing w:line="360" w:lineRule="auto"/>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2.2.2</w:t>
            </w:r>
          </w:p>
        </w:tc>
        <w:tc>
          <w:tcPr>
            <w:tcW w:w="1461" w:type="dxa"/>
          </w:tcPr>
          <w:p w14:paraId="2333DB60">
            <w:pPr>
              <w:widowControl/>
              <w:adjustRightInd w:val="0"/>
              <w:snapToGrid w:val="0"/>
              <w:spacing w:line="360" w:lineRule="auto"/>
              <w:jc w:val="both"/>
              <w:rPr>
                <w:rFonts w:hint="eastAsia" w:ascii="宋体" w:hAnsi="宋体" w:cs="宋体"/>
                <w:color w:val="000000" w:themeColor="text1"/>
                <w:szCs w:val="21"/>
                <w:highlight w:val="none"/>
                <w14:textFill>
                  <w14:solidFill>
                    <w14:schemeClr w14:val="tx1"/>
                  </w14:solidFill>
                </w14:textFill>
              </w:rPr>
            </w:pPr>
          </w:p>
        </w:tc>
        <w:tc>
          <w:tcPr>
            <w:tcW w:w="1904" w:type="dxa"/>
            <w:vAlign w:val="center"/>
          </w:tcPr>
          <w:p w14:paraId="2E801200">
            <w:pPr>
              <w:widowControl/>
              <w:adjustRightInd w:val="0"/>
              <w:snapToGrid w:val="0"/>
              <w:spacing w:line="360" w:lineRule="auto"/>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评审价格</w:t>
            </w:r>
          </w:p>
        </w:tc>
        <w:tc>
          <w:tcPr>
            <w:tcW w:w="5576" w:type="dxa"/>
            <w:vAlign w:val="center"/>
          </w:tcPr>
          <w:p w14:paraId="7FE82D7B">
            <w:pPr>
              <w:widowControl/>
              <w:adjustRightInd w:val="0"/>
              <w:snapToGrid w:val="0"/>
              <w:spacing w:line="360" w:lineRule="auto"/>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评审价格为响应函中填报的按基准税率6%根据附录《采购比价表》折算后的含税价格。</w:t>
            </w:r>
          </w:p>
        </w:tc>
      </w:tr>
      <w:tr w14:paraId="50247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71" w:type="dxa"/>
            <w:gridSpan w:val="4"/>
          </w:tcPr>
          <w:p w14:paraId="476BB2A8">
            <w:pPr>
              <w:widowControl/>
              <w:adjustRightInd w:val="0"/>
              <w:snapToGrid w:val="0"/>
              <w:spacing w:line="360" w:lineRule="auto"/>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 详细评审标准和程序（综合评分法）</w:t>
            </w:r>
          </w:p>
        </w:tc>
      </w:tr>
      <w:tr w14:paraId="57EE2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0" w:hRule="atLeast"/>
        </w:trPr>
        <w:tc>
          <w:tcPr>
            <w:tcW w:w="2291" w:type="dxa"/>
            <w:gridSpan w:val="2"/>
            <w:vAlign w:val="center"/>
          </w:tcPr>
          <w:p w14:paraId="11550272">
            <w:pPr>
              <w:widowControl/>
              <w:adjustRightInd w:val="0"/>
              <w:snapToGrid w:val="0"/>
              <w:spacing w:line="360" w:lineRule="auto"/>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3.1</w:t>
            </w:r>
          </w:p>
        </w:tc>
        <w:tc>
          <w:tcPr>
            <w:tcW w:w="1904" w:type="dxa"/>
            <w:vAlign w:val="center"/>
          </w:tcPr>
          <w:p w14:paraId="1038635A">
            <w:pPr>
              <w:widowControl/>
              <w:adjustRightInd w:val="0"/>
              <w:snapToGrid w:val="0"/>
              <w:spacing w:line="360" w:lineRule="auto"/>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分值构成（总分100分）</w:t>
            </w:r>
          </w:p>
        </w:tc>
        <w:tc>
          <w:tcPr>
            <w:tcW w:w="5576" w:type="dxa"/>
            <w:vAlign w:val="center"/>
          </w:tcPr>
          <w:p w14:paraId="4ABA7A4F">
            <w:pPr>
              <w:widowControl/>
              <w:numPr>
                <w:ilvl w:val="0"/>
                <w:numId w:val="18"/>
              </w:numPr>
              <w:adjustRightInd w:val="0"/>
              <w:snapToGrid w:val="0"/>
              <w:spacing w:line="360" w:lineRule="auto"/>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商务部分：</w:t>
            </w:r>
            <w:r>
              <w:rPr>
                <w:rFonts w:hint="eastAsia" w:ascii="宋体" w:hAnsi="宋体" w:cs="宋体"/>
                <w:color w:val="000000" w:themeColor="text1"/>
                <w:szCs w:val="21"/>
                <w:highlight w:val="none"/>
                <w:u w:val="single"/>
                <w:lang w:val="en-US" w:eastAsia="zh-CN"/>
                <w14:textFill>
                  <w14:solidFill>
                    <w14:schemeClr w14:val="tx1"/>
                  </w14:solidFill>
                </w14:textFill>
              </w:rPr>
              <w:t>4</w:t>
            </w:r>
            <w:r>
              <w:rPr>
                <w:rFonts w:hint="eastAsia" w:ascii="宋体" w:hAnsi="宋体" w:cs="宋体"/>
                <w:color w:val="000000" w:themeColor="text1"/>
                <w:szCs w:val="21"/>
                <w:highlight w:val="none"/>
                <w:u w:val="single"/>
                <w14:textFill>
                  <w14:solidFill>
                    <w14:schemeClr w14:val="tx1"/>
                  </w14:solidFill>
                </w14:textFill>
              </w:rPr>
              <w:t>0</w:t>
            </w:r>
            <w:r>
              <w:rPr>
                <w:rFonts w:hint="eastAsia" w:ascii="宋体" w:hAnsi="宋体" w:cs="宋体"/>
                <w:color w:val="000000" w:themeColor="text1"/>
                <w:szCs w:val="21"/>
                <w:highlight w:val="none"/>
                <w14:textFill>
                  <w14:solidFill>
                    <w14:schemeClr w14:val="tx1"/>
                  </w14:solidFill>
                </w14:textFill>
              </w:rPr>
              <w:t>分</w:t>
            </w:r>
          </w:p>
          <w:p w14:paraId="0A47EA4C">
            <w:pPr>
              <w:widowControl/>
              <w:numPr>
                <w:ilvl w:val="0"/>
                <w:numId w:val="18"/>
              </w:numPr>
              <w:adjustRightInd w:val="0"/>
              <w:snapToGrid w:val="0"/>
              <w:spacing w:line="360" w:lineRule="auto"/>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技术部分：</w:t>
            </w:r>
            <w:r>
              <w:rPr>
                <w:rFonts w:hint="eastAsia" w:ascii="宋体" w:hAnsi="宋体" w:cs="宋体"/>
                <w:color w:val="000000" w:themeColor="text1"/>
                <w:szCs w:val="21"/>
                <w:highlight w:val="none"/>
                <w:u w:val="single"/>
                <w:lang w:val="en-US" w:eastAsia="zh-CN"/>
                <w14:textFill>
                  <w14:solidFill>
                    <w14:schemeClr w14:val="tx1"/>
                  </w14:solidFill>
                </w14:textFill>
              </w:rPr>
              <w:t>4</w:t>
            </w:r>
            <w:r>
              <w:rPr>
                <w:rFonts w:hint="eastAsia" w:ascii="宋体" w:hAnsi="宋体" w:cs="宋体"/>
                <w:color w:val="000000" w:themeColor="text1"/>
                <w:szCs w:val="21"/>
                <w:highlight w:val="none"/>
                <w:u w:val="single"/>
                <w14:textFill>
                  <w14:solidFill>
                    <w14:schemeClr w14:val="tx1"/>
                  </w14:solidFill>
                </w14:textFill>
              </w:rPr>
              <w:t>0</w:t>
            </w:r>
            <w:r>
              <w:rPr>
                <w:rFonts w:hint="eastAsia" w:ascii="宋体" w:hAnsi="宋体" w:cs="宋体"/>
                <w:color w:val="000000" w:themeColor="text1"/>
                <w:szCs w:val="21"/>
                <w:highlight w:val="none"/>
                <w14:textFill>
                  <w14:solidFill>
                    <w14:schemeClr w14:val="tx1"/>
                  </w14:solidFill>
                </w14:textFill>
              </w:rPr>
              <w:t>分</w:t>
            </w:r>
          </w:p>
          <w:p w14:paraId="2437D297">
            <w:pPr>
              <w:widowControl/>
              <w:numPr>
                <w:ilvl w:val="0"/>
                <w:numId w:val="18"/>
              </w:numPr>
              <w:adjustRightInd w:val="0"/>
              <w:snapToGrid w:val="0"/>
              <w:spacing w:line="360" w:lineRule="auto"/>
              <w:jc w:val="both"/>
              <w:rPr>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报价：</w:t>
            </w:r>
            <w:r>
              <w:rPr>
                <w:rFonts w:hint="eastAsia" w:ascii="宋体" w:hAnsi="宋体" w:cs="宋体"/>
                <w:color w:val="000000" w:themeColor="text1"/>
                <w:szCs w:val="21"/>
                <w:highlight w:val="none"/>
                <w:u w:val="single"/>
                <w14:textFill>
                  <w14:solidFill>
                    <w14:schemeClr w14:val="tx1"/>
                  </w14:solidFill>
                </w14:textFill>
              </w:rPr>
              <w:t xml:space="preserve">20 </w:t>
            </w:r>
            <w:r>
              <w:rPr>
                <w:rFonts w:hint="eastAsia" w:ascii="宋体" w:hAnsi="宋体" w:cs="宋体"/>
                <w:color w:val="000000" w:themeColor="text1"/>
                <w:szCs w:val="21"/>
                <w:highlight w:val="none"/>
                <w14:textFill>
                  <w14:solidFill>
                    <w14:schemeClr w14:val="tx1"/>
                  </w14:solidFill>
                </w14:textFill>
              </w:rPr>
              <w:t>分</w:t>
            </w:r>
          </w:p>
        </w:tc>
      </w:tr>
      <w:tr w14:paraId="673AA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2291" w:type="dxa"/>
            <w:gridSpan w:val="2"/>
            <w:vAlign w:val="center"/>
          </w:tcPr>
          <w:p w14:paraId="1A26F6CE">
            <w:pPr>
              <w:widowControl/>
              <w:adjustRightInd w:val="0"/>
              <w:snapToGrid w:val="0"/>
              <w:spacing w:line="360" w:lineRule="auto"/>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3.2（2）</w:t>
            </w:r>
          </w:p>
        </w:tc>
        <w:tc>
          <w:tcPr>
            <w:tcW w:w="1904" w:type="dxa"/>
            <w:vAlign w:val="center"/>
          </w:tcPr>
          <w:p w14:paraId="7B7D0383">
            <w:pPr>
              <w:widowControl/>
              <w:adjustRightInd w:val="0"/>
              <w:snapToGrid w:val="0"/>
              <w:spacing w:line="360" w:lineRule="auto"/>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评审基准价计算方法</w:t>
            </w:r>
          </w:p>
        </w:tc>
        <w:tc>
          <w:tcPr>
            <w:tcW w:w="5576" w:type="dxa"/>
            <w:vAlign w:val="center"/>
          </w:tcPr>
          <w:p w14:paraId="6E5B07AD">
            <w:pPr>
              <w:widowControl/>
              <w:adjustRightInd w:val="0"/>
              <w:snapToGrid w:val="0"/>
              <w:spacing w:line="360" w:lineRule="auto"/>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方法一</w:t>
            </w:r>
          </w:p>
          <w:p w14:paraId="1577A136">
            <w:pPr>
              <w:widowControl/>
              <w:adjustRightInd w:val="0"/>
              <w:snapToGrid w:val="0"/>
              <w:spacing w:line="360" w:lineRule="auto"/>
              <w:jc w:val="both"/>
              <w:rPr>
                <w:rFonts w:hint="eastAsia" w:ascii="宋体" w:hAnsi="宋体" w:eastAsia="宋体" w:cs="宋体"/>
                <w:color w:val="000000" w:themeColor="text1"/>
                <w:szCs w:val="21"/>
                <w:highlight w:val="none"/>
                <w:lang w:eastAsia="zh-CN"/>
                <w14:textFill>
                  <w14:solidFill>
                    <w14:schemeClr w14:val="tx1"/>
                  </w14:solidFill>
                </w14:textFill>
              </w:rPr>
            </w:pPr>
          </w:p>
        </w:tc>
      </w:tr>
      <w:tr w14:paraId="09003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2291" w:type="dxa"/>
            <w:gridSpan w:val="2"/>
            <w:vAlign w:val="bottom"/>
          </w:tcPr>
          <w:p w14:paraId="3CFFF967">
            <w:pPr>
              <w:widowControl/>
              <w:adjustRightInd w:val="0"/>
              <w:snapToGrid w:val="0"/>
              <w:spacing w:line="360" w:lineRule="auto"/>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条款号及名称</w:t>
            </w:r>
          </w:p>
        </w:tc>
        <w:tc>
          <w:tcPr>
            <w:tcW w:w="1904" w:type="dxa"/>
            <w:vAlign w:val="bottom"/>
          </w:tcPr>
          <w:p w14:paraId="37C42438">
            <w:pPr>
              <w:widowControl/>
              <w:adjustRightInd w:val="0"/>
              <w:snapToGrid w:val="0"/>
              <w:spacing w:line="360" w:lineRule="auto"/>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评分因素</w:t>
            </w:r>
          </w:p>
        </w:tc>
        <w:tc>
          <w:tcPr>
            <w:tcW w:w="5576" w:type="dxa"/>
            <w:vAlign w:val="bottom"/>
          </w:tcPr>
          <w:p w14:paraId="00D3DAA6">
            <w:pPr>
              <w:widowControl/>
              <w:adjustRightInd w:val="0"/>
              <w:snapToGrid w:val="0"/>
              <w:spacing w:line="360" w:lineRule="auto"/>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评分标准</w:t>
            </w:r>
          </w:p>
        </w:tc>
      </w:tr>
      <w:tr w14:paraId="5CA0D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830" w:type="dxa"/>
            <w:vMerge w:val="restart"/>
            <w:vAlign w:val="center"/>
          </w:tcPr>
          <w:p w14:paraId="7AE33884">
            <w:pPr>
              <w:widowControl/>
              <w:adjustRightInd w:val="0"/>
              <w:snapToGrid w:val="0"/>
              <w:spacing w:line="360" w:lineRule="auto"/>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3.3（1）</w:t>
            </w:r>
          </w:p>
        </w:tc>
        <w:tc>
          <w:tcPr>
            <w:tcW w:w="1461" w:type="dxa"/>
            <w:vMerge w:val="restart"/>
            <w:vAlign w:val="center"/>
          </w:tcPr>
          <w:p w14:paraId="232E61DD">
            <w:pPr>
              <w:widowControl/>
              <w:adjustRightInd w:val="0"/>
              <w:snapToGrid w:val="0"/>
              <w:spacing w:line="360" w:lineRule="auto"/>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商务评分标准（</w:t>
            </w:r>
            <w:r>
              <w:rPr>
                <w:rFonts w:hint="eastAsia" w:ascii="宋体" w:hAnsi="宋体" w:cs="宋体"/>
                <w:color w:val="000000" w:themeColor="text1"/>
                <w:szCs w:val="21"/>
                <w:highlight w:val="none"/>
                <w:lang w:val="en-US" w:eastAsia="zh-CN"/>
                <w14:textFill>
                  <w14:solidFill>
                    <w14:schemeClr w14:val="tx1"/>
                  </w14:solidFill>
                </w14:textFill>
              </w:rPr>
              <w:t>4</w:t>
            </w:r>
            <w:r>
              <w:rPr>
                <w:rFonts w:hint="eastAsia" w:ascii="宋体" w:hAnsi="宋体" w:cs="宋体"/>
                <w:color w:val="000000" w:themeColor="text1"/>
                <w:szCs w:val="21"/>
                <w:highlight w:val="none"/>
                <w14:textFill>
                  <w14:solidFill>
                    <w14:schemeClr w14:val="tx1"/>
                  </w14:solidFill>
                </w14:textFill>
              </w:rPr>
              <w:t>0分）</w:t>
            </w:r>
          </w:p>
        </w:tc>
        <w:tc>
          <w:tcPr>
            <w:tcW w:w="1904" w:type="dxa"/>
            <w:vAlign w:val="center"/>
          </w:tcPr>
          <w:p w14:paraId="35FCE04E">
            <w:pPr>
              <w:widowControl/>
              <w:adjustRightInd w:val="0"/>
              <w:snapToGrid w:val="0"/>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业绩（</w:t>
            </w:r>
            <w:r>
              <w:rPr>
                <w:rFonts w:hint="eastAsia" w:ascii="宋体" w:hAnsi="宋体" w:cs="宋体"/>
                <w:color w:val="000000" w:themeColor="text1"/>
                <w:szCs w:val="21"/>
                <w:highlight w:val="none"/>
                <w:lang w:val="en-US" w:eastAsia="zh-CN"/>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0分）</w:t>
            </w:r>
          </w:p>
        </w:tc>
        <w:tc>
          <w:tcPr>
            <w:tcW w:w="5576" w:type="dxa"/>
          </w:tcPr>
          <w:p w14:paraId="33D3C199">
            <w:pPr>
              <w:widowControl/>
              <w:adjustRightInd w:val="0"/>
              <w:snapToGrid w:val="0"/>
              <w:spacing w:line="360" w:lineRule="auto"/>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近5年</w:t>
            </w:r>
          </w:p>
          <w:p w14:paraId="0FEE6390">
            <w:pPr>
              <w:widowControl/>
              <w:adjustRightInd w:val="0"/>
              <w:snapToGrid w:val="0"/>
              <w:spacing w:line="360" w:lineRule="auto"/>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满足资格审查条件（业绩最低要求）得</w:t>
            </w:r>
            <w:r>
              <w:rPr>
                <w:rFonts w:hint="eastAsia" w:ascii="宋体" w:hAnsi="宋体" w:cs="宋体"/>
                <w:color w:val="000000" w:themeColor="text1"/>
                <w:szCs w:val="21"/>
                <w:highlight w:val="none"/>
                <w:lang w:val="en-US" w:eastAsia="zh-CN"/>
                <w14:textFill>
                  <w14:solidFill>
                    <w14:schemeClr w14:val="tx1"/>
                  </w14:solidFill>
                </w14:textFill>
              </w:rPr>
              <w:t>16</w:t>
            </w:r>
            <w:r>
              <w:rPr>
                <w:rFonts w:hint="eastAsia" w:ascii="宋体" w:hAnsi="宋体" w:cs="宋体"/>
                <w:color w:val="000000" w:themeColor="text1"/>
                <w:szCs w:val="21"/>
                <w:highlight w:val="none"/>
                <w14:textFill>
                  <w14:solidFill>
                    <w14:schemeClr w14:val="tx1"/>
                  </w14:solidFill>
                </w14:textFill>
              </w:rPr>
              <w:t>分；</w:t>
            </w:r>
          </w:p>
          <w:p w14:paraId="752CE85D">
            <w:pPr>
              <w:widowControl/>
              <w:adjustRightInd w:val="0"/>
              <w:snapToGrid w:val="0"/>
              <w:spacing w:line="360" w:lineRule="auto"/>
              <w:jc w:val="both"/>
              <w:rPr>
                <w:rFonts w:hint="eastAsia" w:ascii="宋体" w:hAnsi="宋体" w:cs="宋体"/>
                <w:color w:val="auto"/>
                <w:szCs w:val="21"/>
                <w:highlight w:val="none"/>
                <w:lang w:val="en-US" w:eastAsia="en-US"/>
              </w:rPr>
            </w:pPr>
            <w:r>
              <w:rPr>
                <w:rFonts w:hint="eastAsia" w:ascii="宋体" w:hAnsi="宋体" w:cs="宋体"/>
                <w:color w:val="auto"/>
                <w:szCs w:val="21"/>
                <w:highlight w:val="none"/>
                <w:lang w:val="en-US" w:eastAsia="zh-CN"/>
              </w:rPr>
              <w:t>1.</w:t>
            </w:r>
            <w:r>
              <w:rPr>
                <w:rFonts w:hint="eastAsia" w:ascii="宋体" w:hAnsi="宋体" w:cs="宋体"/>
                <w:color w:val="auto"/>
                <w:szCs w:val="21"/>
                <w:highlight w:val="none"/>
                <w:lang w:val="en-US" w:eastAsia="en-US"/>
              </w:rPr>
              <w:t>在此基础上，最近5年（递交响应文件截止之日前一日回溯5年，在建项目以合同签订时间为准，已完工项目以完成时间为准）</w:t>
            </w:r>
            <w:r>
              <w:rPr>
                <w:rFonts w:hint="eastAsia" w:ascii="宋体" w:hAnsi="宋体" w:cs="宋体"/>
                <w:color w:val="auto"/>
                <w:szCs w:val="21"/>
                <w:highlight w:val="none"/>
                <w:lang w:val="en-US" w:eastAsia="zh-CN"/>
              </w:rPr>
              <w:t>每</w:t>
            </w:r>
            <w:r>
              <w:rPr>
                <w:rFonts w:hint="eastAsia" w:ascii="宋体" w:hAnsi="宋体" w:cs="宋体"/>
                <w:color w:val="auto"/>
                <w:szCs w:val="21"/>
                <w:highlight w:val="none"/>
                <w:lang w:val="en-US" w:eastAsia="en-US"/>
              </w:rPr>
              <w:t>增加</w:t>
            </w:r>
            <w:r>
              <w:rPr>
                <w:rFonts w:hint="eastAsia" w:ascii="宋体" w:hAnsi="宋体" w:cs="宋体"/>
                <w:color w:val="auto"/>
                <w:szCs w:val="21"/>
                <w:highlight w:val="none"/>
                <w:lang w:val="zh-CN" w:eastAsia="zh-CN"/>
              </w:rPr>
              <w:t>一个桥梁施工监控服务</w:t>
            </w:r>
            <w:r>
              <w:rPr>
                <w:rFonts w:hint="eastAsia" w:ascii="宋体" w:hAnsi="宋体" w:cs="宋体"/>
                <w:color w:val="auto"/>
                <w:szCs w:val="21"/>
                <w:highlight w:val="none"/>
                <w:lang w:val="zh-CN"/>
              </w:rPr>
              <w:t>项目业绩</w:t>
            </w:r>
            <w:r>
              <w:rPr>
                <w:rFonts w:hint="eastAsia" w:ascii="宋体" w:hAnsi="宋体" w:cs="宋体"/>
                <w:color w:val="auto"/>
                <w:szCs w:val="21"/>
                <w:highlight w:val="none"/>
                <w:lang w:val="en-US" w:eastAsia="en-US"/>
              </w:rPr>
              <w:t>，加</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lang w:val="en-US" w:eastAsia="en-US"/>
              </w:rPr>
              <w:t>分</w:t>
            </w:r>
            <w:r>
              <w:rPr>
                <w:rFonts w:hint="eastAsia" w:ascii="宋体" w:hAnsi="宋体" w:cs="宋体"/>
                <w:color w:val="auto"/>
                <w:szCs w:val="21"/>
                <w:highlight w:val="none"/>
                <w:lang w:val="en-US" w:eastAsia="zh-CN"/>
              </w:rPr>
              <w:t>，最多加2分</w:t>
            </w:r>
            <w:r>
              <w:rPr>
                <w:rFonts w:hint="eastAsia" w:ascii="宋体" w:hAnsi="宋体" w:cs="宋体"/>
                <w:color w:val="auto"/>
                <w:szCs w:val="21"/>
                <w:highlight w:val="none"/>
                <w:lang w:val="en-US" w:eastAsia="en-US"/>
              </w:rPr>
              <w:t>。</w:t>
            </w:r>
          </w:p>
          <w:p w14:paraId="2589EE63">
            <w:pPr>
              <w:widowControl/>
              <w:adjustRightInd w:val="0"/>
              <w:snapToGrid w:val="0"/>
              <w:spacing w:line="360" w:lineRule="auto"/>
              <w:jc w:val="both"/>
              <w:rPr>
                <w:rFonts w:hint="eastAsia" w:ascii="宋体" w:hAnsi="宋体" w:cs="宋体"/>
                <w:color w:val="auto"/>
                <w:szCs w:val="21"/>
                <w:highlight w:val="none"/>
                <w:lang w:val="en-US" w:eastAsia="en-US"/>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lang w:val="en-US" w:eastAsia="en-US"/>
              </w:rPr>
              <w:t>在此基础上，最近5年（递交响应文件截止之日前一日回溯5年，在建项目以合同签订时间为准，已完工项目以完成时间为准）</w:t>
            </w:r>
            <w:r>
              <w:rPr>
                <w:rFonts w:hint="eastAsia" w:ascii="宋体" w:hAnsi="宋体" w:cs="宋体"/>
                <w:color w:val="auto"/>
                <w:szCs w:val="21"/>
                <w:highlight w:val="none"/>
                <w:lang w:val="en-US" w:eastAsia="zh-CN"/>
              </w:rPr>
              <w:t>每</w:t>
            </w:r>
            <w:r>
              <w:rPr>
                <w:rFonts w:hint="eastAsia" w:ascii="宋体" w:hAnsi="宋体" w:cs="宋体"/>
                <w:color w:val="auto"/>
                <w:szCs w:val="21"/>
                <w:highlight w:val="none"/>
                <w:lang w:val="en-US" w:eastAsia="en-US"/>
              </w:rPr>
              <w:t>增加</w:t>
            </w:r>
            <w:r>
              <w:rPr>
                <w:rFonts w:hint="eastAsia" w:ascii="宋体" w:hAnsi="宋体" w:cs="宋体"/>
                <w:color w:val="auto"/>
                <w:szCs w:val="21"/>
                <w:highlight w:val="none"/>
                <w:lang w:val="zh-CN" w:eastAsia="zh-CN"/>
              </w:rPr>
              <w:t>一个</w:t>
            </w:r>
            <w:r>
              <w:rPr>
                <w:rFonts w:hint="eastAsia" w:ascii="宋体" w:hAnsi="宋体" w:cs="宋体"/>
                <w:color w:val="auto"/>
                <w:szCs w:val="21"/>
                <w:highlight w:val="none"/>
                <w:lang w:val="en-US" w:eastAsia="zh-CN"/>
              </w:rPr>
              <w:t>悬浇拱桥</w:t>
            </w:r>
            <w:r>
              <w:rPr>
                <w:rFonts w:hint="eastAsia" w:ascii="宋体" w:hAnsi="宋体" w:cs="宋体"/>
                <w:color w:val="auto"/>
                <w:szCs w:val="21"/>
                <w:highlight w:val="none"/>
                <w:lang w:val="zh-CN" w:eastAsia="zh-CN"/>
              </w:rPr>
              <w:t>桥梁施工监控服务</w:t>
            </w:r>
            <w:r>
              <w:rPr>
                <w:rFonts w:hint="eastAsia" w:ascii="宋体" w:hAnsi="宋体" w:cs="宋体"/>
                <w:color w:val="auto"/>
                <w:szCs w:val="21"/>
                <w:highlight w:val="none"/>
                <w:lang w:val="zh-CN"/>
              </w:rPr>
              <w:t>项目业绩</w:t>
            </w:r>
            <w:r>
              <w:rPr>
                <w:rFonts w:hint="eastAsia" w:ascii="宋体" w:hAnsi="宋体" w:cs="宋体"/>
                <w:color w:val="auto"/>
                <w:szCs w:val="21"/>
                <w:highlight w:val="none"/>
                <w:lang w:val="en-US" w:eastAsia="en-US"/>
              </w:rPr>
              <w:t>，加</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lang w:val="en-US" w:eastAsia="en-US"/>
              </w:rPr>
              <w:t>分</w:t>
            </w:r>
            <w:r>
              <w:rPr>
                <w:rFonts w:hint="eastAsia" w:ascii="宋体" w:hAnsi="宋体" w:cs="宋体"/>
                <w:color w:val="auto"/>
                <w:szCs w:val="21"/>
                <w:highlight w:val="none"/>
                <w:lang w:val="en-US" w:eastAsia="zh-CN"/>
              </w:rPr>
              <w:t>，最多加2分</w:t>
            </w:r>
            <w:r>
              <w:rPr>
                <w:rFonts w:hint="eastAsia" w:ascii="宋体" w:hAnsi="宋体" w:cs="宋体"/>
                <w:color w:val="auto"/>
                <w:szCs w:val="21"/>
                <w:highlight w:val="none"/>
                <w:lang w:val="en-US" w:eastAsia="en-US"/>
              </w:rPr>
              <w:t>。</w:t>
            </w:r>
          </w:p>
          <w:p w14:paraId="526768E4">
            <w:pPr>
              <w:widowControl/>
              <w:adjustRightInd w:val="0"/>
              <w:snapToGrid w:val="0"/>
              <w:spacing w:line="360" w:lineRule="auto"/>
              <w:jc w:val="both"/>
              <w:rPr>
                <w:rFonts w:hint="eastAsia" w:ascii="宋体" w:hAnsi="宋体" w:cs="宋体"/>
                <w:color w:val="000000" w:themeColor="text1"/>
                <w:szCs w:val="21"/>
                <w:highlight w:val="none"/>
                <w:lang w:val="en-US" w:eastAsia="en-US"/>
                <w14:textFill>
                  <w14:solidFill>
                    <w14:schemeClr w14:val="tx1"/>
                  </w14:solidFill>
                </w14:textFill>
              </w:rPr>
            </w:pPr>
            <w:r>
              <w:rPr>
                <w:rFonts w:hint="eastAsia" w:ascii="宋体" w:hAnsi="宋体" w:cs="宋体"/>
                <w:color w:val="000000" w:themeColor="text1"/>
                <w:szCs w:val="21"/>
                <w:highlight w:val="none"/>
                <w:lang w:val="en-US" w:eastAsia="en-US"/>
                <w14:textFill>
                  <w14:solidFill>
                    <w14:schemeClr w14:val="tx1"/>
                  </w14:solidFill>
                </w14:textFill>
              </w:rPr>
              <w:t>注：1、业绩证明材料须提供合同/订单，如合同/订单无法证实业绩满足采购文件要求，还须提供委托人出具的证明材料或设计图纸等相关证明材料）。</w:t>
            </w:r>
          </w:p>
          <w:p w14:paraId="46DB4588">
            <w:pPr>
              <w:widowControl/>
              <w:adjustRightInd w:val="0"/>
              <w:snapToGrid w:val="0"/>
              <w:spacing w:line="360" w:lineRule="auto"/>
              <w:jc w:val="both"/>
              <w:rPr>
                <w:rFonts w:hint="eastAsia" w:ascii="宋体" w:hAnsi="宋体" w:cs="宋体"/>
                <w:color w:val="000000" w:themeColor="text1"/>
                <w:szCs w:val="21"/>
                <w:highlight w:val="none"/>
                <w:lang w:val="en-US" w:eastAsia="en-US"/>
                <w14:textFill>
                  <w14:solidFill>
                    <w14:schemeClr w14:val="tx1"/>
                  </w14:solidFill>
                </w14:textFill>
              </w:rPr>
            </w:pPr>
            <w:r>
              <w:rPr>
                <w:rFonts w:hint="eastAsia" w:ascii="宋体" w:hAnsi="宋体" w:cs="宋体"/>
                <w:color w:val="000000" w:themeColor="text1"/>
                <w:szCs w:val="21"/>
                <w:highlight w:val="none"/>
                <w:lang w:val="en-US" w:eastAsia="en-US"/>
                <w14:textFill>
                  <w14:solidFill>
                    <w14:schemeClr w14:val="tx1"/>
                  </w14:solidFill>
                </w14:textFill>
              </w:rPr>
              <w:t>2、</w:t>
            </w:r>
            <w:r>
              <w:rPr>
                <w:rFonts w:hint="eastAsia" w:ascii="宋体" w:hAnsi="宋体" w:cs="宋体"/>
                <w:color w:val="000000" w:themeColor="text1"/>
                <w:szCs w:val="21"/>
                <w:highlight w:val="none"/>
                <w:lang w:val="en-US" w:eastAsia="zh-CN"/>
                <w14:textFill>
                  <w14:solidFill>
                    <w14:schemeClr w14:val="tx1"/>
                  </w14:solidFill>
                </w14:textFill>
              </w:rPr>
              <w:t>在建项目以合同签订时间为</w:t>
            </w:r>
            <w:r>
              <w:rPr>
                <w:rFonts w:hint="eastAsia" w:ascii="宋体" w:hAnsi="宋体" w:cs="宋体"/>
                <w:color w:val="000000" w:themeColor="text1"/>
                <w:szCs w:val="21"/>
                <w:highlight w:val="none"/>
                <w:lang w:val="zh-CN" w:eastAsia="zh-CN"/>
                <w14:textFill>
                  <w14:solidFill>
                    <w14:schemeClr w14:val="tx1"/>
                  </w14:solidFill>
                </w14:textFill>
              </w:rPr>
              <w:t>准，</w:t>
            </w:r>
            <w:r>
              <w:rPr>
                <w:rFonts w:hint="eastAsia" w:ascii="宋体" w:hAnsi="宋体" w:cs="宋体"/>
                <w:color w:val="000000" w:themeColor="text1"/>
                <w:szCs w:val="21"/>
                <w:highlight w:val="none"/>
                <w:lang w:val="en-US" w:eastAsia="zh-CN"/>
                <w14:textFill>
                  <w14:solidFill>
                    <w14:schemeClr w14:val="tx1"/>
                  </w14:solidFill>
                </w14:textFill>
              </w:rPr>
              <w:t>已完工项目以完成时间为准，</w:t>
            </w:r>
            <w:r>
              <w:rPr>
                <w:rFonts w:hint="eastAsia" w:ascii="宋体" w:hAnsi="宋体" w:cs="宋体"/>
                <w:color w:val="000000" w:themeColor="text1"/>
                <w:szCs w:val="21"/>
                <w:highlight w:val="none"/>
                <w:lang w:val="en-US" w:eastAsia="en-US"/>
                <w14:textFill>
                  <w14:solidFill>
                    <w14:schemeClr w14:val="tx1"/>
                  </w14:solidFill>
                </w14:textFill>
              </w:rPr>
              <w:t>单个合同包含多个业绩时，只按1个业绩计算。</w:t>
            </w:r>
          </w:p>
          <w:p w14:paraId="71233D77">
            <w:pPr>
              <w:widowControl/>
              <w:adjustRightInd w:val="0"/>
              <w:snapToGrid w:val="0"/>
              <w:spacing w:line="360" w:lineRule="auto"/>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en-US"/>
                <w14:textFill>
                  <w14:solidFill>
                    <w14:schemeClr w14:val="tx1"/>
                  </w14:solidFill>
                </w14:textFill>
              </w:rPr>
              <w:t>3、如近年来，响应人法人机构发生合法变更或重组或法人名称变更时，应提供相关部门的合法批件或其他相关证明材料来证明其所附业绩的继承性。</w:t>
            </w:r>
          </w:p>
        </w:tc>
      </w:tr>
      <w:tr w14:paraId="2E6A9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830" w:type="dxa"/>
            <w:vMerge w:val="continue"/>
            <w:vAlign w:val="center"/>
          </w:tcPr>
          <w:p w14:paraId="32FA8906">
            <w:pPr>
              <w:widowControl/>
              <w:adjustRightInd w:val="0"/>
              <w:snapToGrid w:val="0"/>
              <w:spacing w:line="360" w:lineRule="auto"/>
              <w:jc w:val="both"/>
              <w:rPr>
                <w:rFonts w:hint="eastAsia" w:ascii="宋体" w:hAnsi="宋体" w:cs="宋体"/>
                <w:color w:val="000000" w:themeColor="text1"/>
                <w:szCs w:val="21"/>
                <w:highlight w:val="none"/>
                <w14:textFill>
                  <w14:solidFill>
                    <w14:schemeClr w14:val="tx1"/>
                  </w14:solidFill>
                </w14:textFill>
              </w:rPr>
            </w:pPr>
          </w:p>
        </w:tc>
        <w:tc>
          <w:tcPr>
            <w:tcW w:w="1461" w:type="dxa"/>
            <w:vMerge w:val="continue"/>
            <w:vAlign w:val="center"/>
          </w:tcPr>
          <w:p w14:paraId="4BC447C1">
            <w:pPr>
              <w:widowControl/>
              <w:adjustRightInd w:val="0"/>
              <w:snapToGrid w:val="0"/>
              <w:spacing w:line="360" w:lineRule="auto"/>
              <w:jc w:val="both"/>
              <w:rPr>
                <w:rFonts w:hint="eastAsia" w:ascii="宋体" w:hAnsi="宋体" w:cs="宋体"/>
                <w:color w:val="000000" w:themeColor="text1"/>
                <w:szCs w:val="21"/>
                <w:highlight w:val="none"/>
                <w14:textFill>
                  <w14:solidFill>
                    <w14:schemeClr w14:val="tx1"/>
                  </w14:solidFill>
                </w14:textFill>
              </w:rPr>
            </w:pPr>
          </w:p>
        </w:tc>
        <w:tc>
          <w:tcPr>
            <w:tcW w:w="1904" w:type="dxa"/>
            <w:vAlign w:val="center"/>
          </w:tcPr>
          <w:p w14:paraId="16B0B679">
            <w:pPr>
              <w:widowControl/>
              <w:adjustRightInd w:val="0"/>
              <w:snapToGrid w:val="0"/>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项目负责人</w:t>
            </w:r>
          </w:p>
          <w:p w14:paraId="6C3F0F33">
            <w:pPr>
              <w:widowControl/>
              <w:adjustRightInd w:val="0"/>
              <w:snapToGrid w:val="0"/>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10</w:t>
            </w:r>
            <w:r>
              <w:rPr>
                <w:rFonts w:hint="eastAsia" w:ascii="宋体" w:hAnsi="宋体" w:cs="宋体"/>
                <w:color w:val="000000" w:themeColor="text1"/>
                <w:szCs w:val="21"/>
                <w:highlight w:val="none"/>
                <w14:textFill>
                  <w14:solidFill>
                    <w14:schemeClr w14:val="tx1"/>
                  </w14:solidFill>
                </w14:textFill>
              </w:rPr>
              <w:t>分）</w:t>
            </w:r>
          </w:p>
        </w:tc>
        <w:tc>
          <w:tcPr>
            <w:tcW w:w="5576" w:type="dxa"/>
          </w:tcPr>
          <w:p w14:paraId="7F66068B">
            <w:pPr>
              <w:widowControl/>
              <w:numPr>
                <w:ilvl w:val="0"/>
                <w:numId w:val="19"/>
              </w:numPr>
              <w:adjustRightInd w:val="0"/>
              <w:snapToGrid w:val="0"/>
              <w:spacing w:line="360" w:lineRule="auto"/>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满足资格审查条件（项目负责人最低要求）要求得</w:t>
            </w:r>
            <w:r>
              <w:rPr>
                <w:rFonts w:hint="default" w:ascii="宋体" w:hAnsi="宋体" w:cs="宋体"/>
                <w:color w:val="000000" w:themeColor="text1"/>
                <w:szCs w:val="21"/>
                <w:highlight w:val="none"/>
                <w:lang w:val="en-US" w:eastAsia="zh-CN"/>
                <w14:textFill>
                  <w14:solidFill>
                    <w14:schemeClr w14:val="tx1"/>
                  </w14:solidFill>
                </w14:textFill>
              </w:rPr>
              <w:t>8</w:t>
            </w:r>
            <w:r>
              <w:rPr>
                <w:rFonts w:hint="eastAsia" w:ascii="宋体" w:hAnsi="宋体" w:cs="宋体"/>
                <w:color w:val="000000" w:themeColor="text1"/>
                <w:szCs w:val="21"/>
                <w:highlight w:val="none"/>
                <w14:textFill>
                  <w14:solidFill>
                    <w14:schemeClr w14:val="tx1"/>
                  </w14:solidFill>
                </w14:textFill>
              </w:rPr>
              <w:t>分;</w:t>
            </w:r>
          </w:p>
          <w:p w14:paraId="46788B19">
            <w:pPr>
              <w:widowControl/>
              <w:numPr>
                <w:ilvl w:val="0"/>
                <w:numId w:val="19"/>
              </w:numPr>
              <w:adjustRightInd w:val="0"/>
              <w:snapToGrid w:val="0"/>
              <w:spacing w:line="360" w:lineRule="auto"/>
              <w:jc w:val="both"/>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auto"/>
                <w:szCs w:val="21"/>
                <w:highlight w:val="none"/>
              </w:rPr>
              <w:t>拟委派本项目的项目负责人每增加一个满足，附录4 资格审查条件（项目负责人最低要求）要求的业绩加</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分，本项最多加</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分。</w:t>
            </w:r>
          </w:p>
          <w:p w14:paraId="62634156">
            <w:pPr>
              <w:widowControl/>
              <w:adjustRightInd w:val="0"/>
              <w:snapToGrid w:val="0"/>
              <w:spacing w:line="360" w:lineRule="auto"/>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注1、项目负责人须提供从业单位证明（最近3个月在社保系统打印本单位人员的缴费明细）、身份证、职称证、执（职）业资格证等有效证明文件复印件。</w:t>
            </w:r>
          </w:p>
          <w:p w14:paraId="6A762B86">
            <w:pPr>
              <w:widowControl/>
              <w:adjustRightInd w:val="0"/>
              <w:snapToGrid w:val="0"/>
              <w:spacing w:line="360" w:lineRule="auto"/>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业绩须附有效证明文件，包括但不限于：与项目委托人签订的合同/订单等证明材料，如合同/订单无法体现项目负责人信息时，还须提供能体现项目负责人任职信息的证明材料，如：中标通知书/成交通知书或委托人出具的证明材料</w:t>
            </w:r>
            <w:r>
              <w:rPr>
                <w:rFonts w:hint="eastAsia" w:ascii="宋体" w:hAnsi="宋体" w:cs="宋体"/>
                <w:color w:val="000000" w:themeColor="text1"/>
                <w:szCs w:val="21"/>
                <w:highlight w:val="none"/>
                <w:lang w:val="en-US" w:eastAsia="zh-CN"/>
                <w14:textFill>
                  <w14:solidFill>
                    <w14:schemeClr w14:val="tx1"/>
                  </w14:solidFill>
                </w14:textFill>
              </w:rPr>
              <w:t>或设计图纸等相关证明材料</w:t>
            </w:r>
            <w:r>
              <w:rPr>
                <w:rFonts w:hint="eastAsia" w:ascii="宋体" w:hAnsi="宋体" w:cs="宋体"/>
                <w:color w:val="000000" w:themeColor="text1"/>
                <w:szCs w:val="21"/>
                <w:highlight w:val="none"/>
                <w14:textFill>
                  <w14:solidFill>
                    <w14:schemeClr w14:val="tx1"/>
                  </w14:solidFill>
                </w14:textFill>
              </w:rPr>
              <w:t>等。</w:t>
            </w:r>
          </w:p>
          <w:p w14:paraId="1BC5E595">
            <w:pPr>
              <w:widowControl/>
              <w:adjustRightInd w:val="0"/>
              <w:snapToGrid w:val="0"/>
              <w:spacing w:line="360" w:lineRule="auto"/>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r>
              <w:rPr>
                <w:rFonts w:hint="eastAsia" w:ascii="宋体" w:hAnsi="宋体" w:cs="宋体"/>
                <w:color w:val="000000" w:themeColor="text1"/>
                <w:szCs w:val="21"/>
                <w:highlight w:val="none"/>
                <w:lang w:eastAsia="zh-CN"/>
                <w14:textFill>
                  <w14:solidFill>
                    <w14:schemeClr w14:val="tx1"/>
                  </w14:solidFill>
                </w14:textFill>
              </w:rPr>
              <w:t>响应</w:t>
            </w:r>
            <w:r>
              <w:rPr>
                <w:rFonts w:hint="eastAsia" w:ascii="宋体" w:hAnsi="宋体" w:cs="宋体"/>
                <w:color w:val="000000" w:themeColor="text1"/>
                <w:szCs w:val="21"/>
                <w:highlight w:val="none"/>
                <w14:textFill>
                  <w14:solidFill>
                    <w14:schemeClr w14:val="tx1"/>
                  </w14:solidFill>
                </w14:textFill>
              </w:rPr>
              <w:t>人必须按</w:t>
            </w:r>
            <w:r>
              <w:rPr>
                <w:rFonts w:hint="eastAsia" w:ascii="宋体" w:hAnsi="宋体" w:cs="宋体"/>
                <w:color w:val="000000" w:themeColor="text1"/>
                <w:szCs w:val="21"/>
                <w:highlight w:val="none"/>
                <w:lang w:eastAsia="zh-CN"/>
                <w14:textFill>
                  <w14:solidFill>
                    <w14:schemeClr w14:val="tx1"/>
                  </w14:solidFill>
                </w14:textFill>
              </w:rPr>
              <w:t>采购</w:t>
            </w:r>
            <w:r>
              <w:rPr>
                <w:rFonts w:hint="eastAsia" w:ascii="宋体" w:hAnsi="宋体" w:cs="宋体"/>
                <w:color w:val="000000" w:themeColor="text1"/>
                <w:szCs w:val="21"/>
                <w:highlight w:val="none"/>
                <w14:textFill>
                  <w14:solidFill>
                    <w14:schemeClr w14:val="tx1"/>
                  </w14:solidFill>
                </w14:textFill>
              </w:rPr>
              <w:t>文件中填报的项目负责人进场，否则招标人将取消其</w:t>
            </w:r>
            <w:r>
              <w:rPr>
                <w:rFonts w:hint="eastAsia" w:ascii="宋体" w:hAnsi="宋体" w:cs="宋体"/>
                <w:color w:val="000000" w:themeColor="text1"/>
                <w:szCs w:val="21"/>
                <w:highlight w:val="none"/>
                <w:lang w:eastAsia="zh-CN"/>
                <w14:textFill>
                  <w14:solidFill>
                    <w14:schemeClr w14:val="tx1"/>
                  </w14:solidFill>
                </w14:textFill>
              </w:rPr>
              <w:t>成交</w:t>
            </w:r>
            <w:r>
              <w:rPr>
                <w:rFonts w:hint="eastAsia" w:ascii="宋体" w:hAnsi="宋体" w:cs="宋体"/>
                <w:color w:val="000000" w:themeColor="text1"/>
                <w:szCs w:val="21"/>
                <w:highlight w:val="none"/>
                <w14:textFill>
                  <w14:solidFill>
                    <w14:schemeClr w14:val="tx1"/>
                  </w14:solidFill>
                </w14:textFill>
              </w:rPr>
              <w:t>资格。</w:t>
            </w:r>
          </w:p>
          <w:p w14:paraId="67E9E2E6">
            <w:pPr>
              <w:widowControl/>
              <w:adjustRightInd w:val="0"/>
              <w:snapToGrid w:val="0"/>
              <w:spacing w:line="360" w:lineRule="auto"/>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w:t>
            </w:r>
            <w:r>
              <w:rPr>
                <w:rFonts w:hint="eastAsia" w:ascii="宋体" w:hAnsi="宋体" w:cs="宋体"/>
                <w:color w:val="000000" w:themeColor="text1"/>
                <w:szCs w:val="21"/>
                <w:highlight w:val="none"/>
                <w:lang w:val="en-US" w:eastAsia="zh-CN"/>
                <w14:textFill>
                  <w14:solidFill>
                    <w14:schemeClr w14:val="tx1"/>
                  </w14:solidFill>
                </w14:textFill>
              </w:rPr>
              <w:t>业绩计算：在建项目以合同签订时间为</w:t>
            </w:r>
            <w:r>
              <w:rPr>
                <w:rFonts w:hint="eastAsia" w:ascii="宋体" w:hAnsi="宋体" w:cs="宋体"/>
                <w:color w:val="000000" w:themeColor="text1"/>
                <w:szCs w:val="21"/>
                <w:highlight w:val="none"/>
                <w:lang w:val="zh-CN" w:eastAsia="zh-CN"/>
                <w14:textFill>
                  <w14:solidFill>
                    <w14:schemeClr w14:val="tx1"/>
                  </w14:solidFill>
                </w14:textFill>
              </w:rPr>
              <w:t>准，</w:t>
            </w:r>
            <w:r>
              <w:rPr>
                <w:rFonts w:hint="eastAsia" w:ascii="宋体" w:hAnsi="宋体" w:cs="宋体"/>
                <w:color w:val="000000" w:themeColor="text1"/>
                <w:szCs w:val="21"/>
                <w:highlight w:val="none"/>
                <w:lang w:val="en-US" w:eastAsia="zh-CN"/>
                <w14:textFill>
                  <w14:solidFill>
                    <w14:schemeClr w14:val="tx1"/>
                  </w14:solidFill>
                </w14:textFill>
              </w:rPr>
              <w:t>已完工项目以完成时间为准</w:t>
            </w:r>
            <w:r>
              <w:rPr>
                <w:rFonts w:hint="eastAsia" w:ascii="宋体" w:hAnsi="宋体" w:cs="宋体"/>
                <w:color w:val="000000" w:themeColor="text1"/>
                <w:szCs w:val="21"/>
                <w:highlight w:val="none"/>
                <w14:textFill>
                  <w14:solidFill>
                    <w14:schemeClr w14:val="tx1"/>
                  </w14:solidFill>
                </w14:textFill>
              </w:rPr>
              <w:t>。。</w:t>
            </w:r>
          </w:p>
        </w:tc>
      </w:tr>
      <w:tr w14:paraId="3FD73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830" w:type="dxa"/>
            <w:vMerge w:val="continue"/>
            <w:vAlign w:val="center"/>
          </w:tcPr>
          <w:p w14:paraId="77592682">
            <w:pPr>
              <w:widowControl/>
              <w:adjustRightInd w:val="0"/>
              <w:snapToGrid w:val="0"/>
              <w:spacing w:line="360" w:lineRule="auto"/>
              <w:jc w:val="both"/>
              <w:rPr>
                <w:rFonts w:hint="eastAsia" w:ascii="宋体" w:hAnsi="宋体" w:cs="宋体"/>
                <w:color w:val="000000" w:themeColor="text1"/>
                <w:szCs w:val="21"/>
                <w:highlight w:val="none"/>
                <w14:textFill>
                  <w14:solidFill>
                    <w14:schemeClr w14:val="tx1"/>
                  </w14:solidFill>
                </w14:textFill>
              </w:rPr>
            </w:pPr>
          </w:p>
        </w:tc>
        <w:tc>
          <w:tcPr>
            <w:tcW w:w="1461" w:type="dxa"/>
            <w:vMerge w:val="continue"/>
            <w:vAlign w:val="center"/>
          </w:tcPr>
          <w:p w14:paraId="177E42D2">
            <w:pPr>
              <w:widowControl/>
              <w:adjustRightInd w:val="0"/>
              <w:snapToGrid w:val="0"/>
              <w:spacing w:line="360" w:lineRule="auto"/>
              <w:jc w:val="both"/>
              <w:rPr>
                <w:rFonts w:hint="eastAsia" w:ascii="宋体" w:hAnsi="宋体" w:cs="宋体"/>
                <w:color w:val="000000" w:themeColor="text1"/>
                <w:szCs w:val="21"/>
                <w:highlight w:val="none"/>
                <w14:textFill>
                  <w14:solidFill>
                    <w14:schemeClr w14:val="tx1"/>
                  </w14:solidFill>
                </w14:textFill>
              </w:rPr>
            </w:pPr>
          </w:p>
        </w:tc>
        <w:tc>
          <w:tcPr>
            <w:tcW w:w="1904" w:type="dxa"/>
            <w:vAlign w:val="center"/>
          </w:tcPr>
          <w:p w14:paraId="1D8CEB65">
            <w:pPr>
              <w:widowControl/>
              <w:adjustRightInd w:val="0"/>
              <w:snapToGrid w:val="0"/>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企业实力（10分）</w:t>
            </w:r>
          </w:p>
        </w:tc>
        <w:tc>
          <w:tcPr>
            <w:tcW w:w="5576" w:type="dxa"/>
          </w:tcPr>
          <w:p w14:paraId="4AA6F3DE">
            <w:pPr>
              <w:widowControl/>
              <w:numPr>
                <w:ilvl w:val="0"/>
                <w:numId w:val="0"/>
              </w:numPr>
              <w:spacing w:beforeLines="0" w:line="240" w:lineRule="auto"/>
              <w:ind w:firstLine="0" w:firstLineChars="0"/>
              <w:jc w:val="both"/>
              <w:rPr>
                <w:rFonts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lang w:val="en-US" w:eastAsia="zh-CN"/>
              </w:rPr>
              <w:t>1.</w:t>
            </w:r>
            <w:r>
              <w:rPr>
                <w:rFonts w:ascii="宋体" w:hAnsi="宋体" w:eastAsia="宋体" w:cs="宋体"/>
                <w:b w:val="0"/>
                <w:bCs w:val="0"/>
                <w:color w:val="000000"/>
                <w:sz w:val="21"/>
                <w:szCs w:val="21"/>
                <w:highlight w:val="none"/>
              </w:rPr>
              <w:t>投标人近</w:t>
            </w:r>
            <w:r>
              <w:rPr>
                <w:rFonts w:hint="eastAsia" w:ascii="宋体" w:hAnsi="宋体" w:cs="宋体"/>
                <w:b w:val="0"/>
                <w:bCs w:val="0"/>
                <w:color w:val="000000"/>
                <w:sz w:val="21"/>
                <w:szCs w:val="21"/>
                <w:highlight w:val="none"/>
                <w:lang w:val="en-US" w:eastAsia="zh-CN"/>
              </w:rPr>
              <w:t>5</w:t>
            </w:r>
            <w:r>
              <w:rPr>
                <w:rFonts w:ascii="宋体" w:hAnsi="宋体" w:eastAsia="宋体" w:cs="宋体"/>
                <w:b w:val="0"/>
                <w:bCs w:val="0"/>
                <w:color w:val="000000"/>
                <w:sz w:val="21"/>
                <w:szCs w:val="21"/>
                <w:highlight w:val="none"/>
              </w:rPr>
              <w:t>年</w:t>
            </w:r>
            <w:r>
              <w:rPr>
                <w:rFonts w:hint="eastAsia" w:ascii="宋体" w:hAnsi="宋体" w:cs="宋体"/>
                <w:color w:val="000000" w:themeColor="text1"/>
                <w:szCs w:val="21"/>
                <w:highlight w:val="none"/>
                <w:lang w:val="en-US" w:eastAsia="en-US"/>
                <w14:textFill>
                  <w14:solidFill>
                    <w14:schemeClr w14:val="tx1"/>
                  </w14:solidFill>
                </w14:textFill>
              </w:rPr>
              <w:t>（递交响应文件截止之日前一日回溯5年</w:t>
            </w:r>
            <w:r>
              <w:rPr>
                <w:rFonts w:hint="eastAsia" w:ascii="宋体" w:hAnsi="宋体" w:cs="宋体"/>
                <w:color w:val="000000" w:themeColor="text1"/>
                <w:szCs w:val="21"/>
                <w:highlight w:val="none"/>
                <w:lang w:val="en-US" w:eastAsia="zh-CN"/>
                <w14:textFill>
                  <w14:solidFill>
                    <w14:schemeClr w14:val="tx1"/>
                  </w14:solidFill>
                </w14:textFill>
              </w:rPr>
              <w:t>）</w:t>
            </w:r>
            <w:r>
              <w:rPr>
                <w:rFonts w:ascii="宋体" w:hAnsi="宋体" w:eastAsia="宋体" w:cs="宋体"/>
                <w:b w:val="0"/>
                <w:bCs w:val="0"/>
                <w:color w:val="000000"/>
                <w:sz w:val="21"/>
                <w:szCs w:val="21"/>
                <w:highlight w:val="none"/>
              </w:rPr>
              <w:t>内每获得过</w:t>
            </w:r>
            <w:r>
              <w:rPr>
                <w:rFonts w:hint="eastAsia" w:ascii="宋体" w:hAnsi="宋体" w:eastAsia="宋体" w:cs="宋体"/>
                <w:b w:val="0"/>
                <w:bCs w:val="0"/>
                <w:color w:val="000000"/>
                <w:sz w:val="21"/>
                <w:szCs w:val="21"/>
                <w:highlight w:val="none"/>
                <w:lang w:val="en-US" w:eastAsia="zh-CN"/>
              </w:rPr>
              <w:t>省</w:t>
            </w:r>
            <w:r>
              <w:rPr>
                <w:rFonts w:ascii="宋体" w:hAnsi="宋体" w:eastAsia="宋体" w:cs="宋体"/>
                <w:b w:val="0"/>
                <w:bCs w:val="0"/>
                <w:color w:val="000000"/>
                <w:sz w:val="21"/>
                <w:szCs w:val="21"/>
                <w:highlight w:val="none"/>
              </w:rPr>
              <w:t>级（含）及以上政府部门颁发的监测相关的工程研究中心或重点实验室的，每1项加</w:t>
            </w:r>
            <w:r>
              <w:rPr>
                <w:rFonts w:hint="default" w:ascii="宋体" w:hAnsi="宋体" w:cs="宋体"/>
                <w:b w:val="0"/>
                <w:bCs w:val="0"/>
                <w:color w:val="000000"/>
                <w:sz w:val="21"/>
                <w:szCs w:val="21"/>
                <w:highlight w:val="none"/>
                <w:lang w:val="en-US" w:eastAsia="zh-CN"/>
              </w:rPr>
              <w:t>6</w:t>
            </w:r>
            <w:r>
              <w:rPr>
                <w:rFonts w:ascii="宋体" w:hAnsi="宋体" w:eastAsia="宋体" w:cs="宋体"/>
                <w:b w:val="0"/>
                <w:bCs w:val="0"/>
                <w:color w:val="000000"/>
                <w:sz w:val="21"/>
                <w:szCs w:val="21"/>
                <w:highlight w:val="none"/>
              </w:rPr>
              <w:t>分，最多加</w:t>
            </w:r>
            <w:r>
              <w:rPr>
                <w:rFonts w:hint="default" w:ascii="宋体" w:hAnsi="宋体" w:cs="宋体"/>
                <w:b w:val="0"/>
                <w:bCs w:val="0"/>
                <w:color w:val="000000"/>
                <w:sz w:val="21"/>
                <w:szCs w:val="21"/>
                <w:highlight w:val="none"/>
                <w:lang w:val="en-US" w:eastAsia="zh-CN"/>
              </w:rPr>
              <w:t>6</w:t>
            </w:r>
            <w:r>
              <w:rPr>
                <w:rFonts w:ascii="宋体" w:hAnsi="宋体" w:eastAsia="宋体" w:cs="宋体"/>
                <w:b w:val="0"/>
                <w:bCs w:val="0"/>
                <w:color w:val="000000"/>
                <w:sz w:val="21"/>
                <w:szCs w:val="21"/>
                <w:highlight w:val="none"/>
              </w:rPr>
              <w:t>分。</w:t>
            </w:r>
          </w:p>
          <w:p w14:paraId="409563FC">
            <w:pPr>
              <w:widowControl/>
              <w:numPr>
                <w:ilvl w:val="0"/>
                <w:numId w:val="0"/>
              </w:numPr>
              <w:spacing w:beforeLines="0" w:line="240" w:lineRule="auto"/>
              <w:ind w:firstLine="0" w:firstLineChars="0"/>
              <w:jc w:val="both"/>
              <w:rPr>
                <w:rFonts w:hint="default" w:ascii="宋体" w:hAnsi="宋体" w:eastAsia="宋体" w:cs="宋体"/>
                <w:b w:val="0"/>
                <w:bCs w:val="0"/>
                <w:color w:val="000000"/>
                <w:sz w:val="21"/>
                <w:szCs w:val="21"/>
                <w:highlight w:val="none"/>
                <w:lang w:val="en-US" w:eastAsia="zh-CN"/>
              </w:rPr>
            </w:pPr>
            <w:r>
              <w:rPr>
                <w:rFonts w:hint="default" w:ascii="宋体" w:hAnsi="宋体" w:cs="宋体"/>
                <w:b w:val="0"/>
                <w:bCs w:val="0"/>
                <w:color w:val="000000"/>
                <w:sz w:val="21"/>
                <w:szCs w:val="21"/>
                <w:highlight w:val="none"/>
                <w:lang w:val="en-US" w:eastAsia="zh-CN"/>
              </w:rPr>
              <w:t>2</w:t>
            </w:r>
            <w:r>
              <w:rPr>
                <w:rFonts w:hint="default" w:ascii="宋体" w:hAnsi="宋体" w:eastAsia="宋体" w:cs="宋体"/>
                <w:b w:val="0"/>
                <w:bCs w:val="0"/>
                <w:color w:val="000000"/>
                <w:sz w:val="21"/>
                <w:szCs w:val="21"/>
                <w:highlight w:val="none"/>
                <w:lang w:val="en-US" w:eastAsia="zh-CN"/>
              </w:rPr>
              <w:t>.</w:t>
            </w:r>
            <w:r>
              <w:rPr>
                <w:rFonts w:ascii="宋体" w:hAnsi="宋体" w:eastAsia="宋体" w:cs="宋体"/>
                <w:b w:val="0"/>
                <w:bCs w:val="0"/>
                <w:color w:val="000000"/>
                <w:sz w:val="21"/>
                <w:szCs w:val="21"/>
                <w:highlight w:val="none"/>
              </w:rPr>
              <w:t>投标人近</w:t>
            </w:r>
            <w:r>
              <w:rPr>
                <w:rFonts w:hint="default" w:ascii="宋体" w:hAnsi="宋体" w:cs="宋体"/>
                <w:b w:val="0"/>
                <w:bCs w:val="0"/>
                <w:color w:val="000000"/>
                <w:sz w:val="21"/>
                <w:szCs w:val="21"/>
                <w:highlight w:val="none"/>
                <w:lang w:val="en-US" w:eastAsia="zh-CN"/>
              </w:rPr>
              <w:t>5</w:t>
            </w:r>
            <w:r>
              <w:rPr>
                <w:rFonts w:ascii="宋体" w:hAnsi="宋体" w:eastAsia="宋体" w:cs="宋体"/>
                <w:b w:val="0"/>
                <w:bCs w:val="0"/>
                <w:color w:val="000000"/>
                <w:sz w:val="21"/>
                <w:szCs w:val="21"/>
                <w:highlight w:val="none"/>
              </w:rPr>
              <w:t>年</w:t>
            </w:r>
            <w:r>
              <w:rPr>
                <w:rFonts w:hint="default" w:ascii="宋体" w:hAnsi="宋体" w:cs="宋体"/>
                <w:color w:val="000000"/>
                <w:szCs w:val="21"/>
                <w:highlight w:val="none"/>
                <w:lang w:val="en-US" w:eastAsia="en-US"/>
              </w:rPr>
              <w:t>（递交响应文件截止之日前一日回溯5年</w:t>
            </w:r>
            <w:r>
              <w:rPr>
                <w:rFonts w:hint="default" w:ascii="宋体" w:hAnsi="宋体" w:cs="宋体"/>
                <w:color w:val="000000"/>
                <w:szCs w:val="21"/>
                <w:highlight w:val="none"/>
                <w:lang w:val="en-US" w:eastAsia="zh-CN"/>
              </w:rPr>
              <w:t>）</w:t>
            </w:r>
            <w:r>
              <w:rPr>
                <w:rFonts w:hint="default" w:ascii="宋体" w:hAnsi="宋体" w:eastAsia="宋体" w:cs="宋体"/>
                <w:b w:val="0"/>
                <w:bCs w:val="0"/>
                <w:color w:val="000000"/>
                <w:sz w:val="21"/>
                <w:szCs w:val="21"/>
                <w:highlight w:val="none"/>
                <w:lang w:eastAsia="zh-CN"/>
              </w:rPr>
              <w:t>，投标人获得过1个与桥梁</w:t>
            </w:r>
            <w:r>
              <w:rPr>
                <w:rFonts w:hint="default" w:ascii="宋体" w:hAnsi="宋体" w:eastAsia="宋体" w:cs="宋体"/>
                <w:b w:val="0"/>
                <w:bCs w:val="0"/>
                <w:color w:val="000000"/>
                <w:sz w:val="21"/>
                <w:szCs w:val="21"/>
                <w:highlight w:val="none"/>
                <w:lang w:val="en-US" w:eastAsia="zh-CN"/>
              </w:rPr>
              <w:t>施工监测</w:t>
            </w:r>
            <w:r>
              <w:rPr>
                <w:rFonts w:hint="default" w:ascii="宋体" w:hAnsi="宋体" w:eastAsia="宋体" w:cs="宋体"/>
                <w:b w:val="0"/>
                <w:bCs w:val="0"/>
                <w:color w:val="000000"/>
                <w:sz w:val="21"/>
                <w:szCs w:val="21"/>
                <w:highlight w:val="none"/>
                <w:lang w:eastAsia="zh-CN"/>
              </w:rPr>
              <w:t>相关的科学技术奖或科技进步奖或科技创新奖（获得省级（含）及以上学会或协会或交通主管部门等奖项均可）加</w:t>
            </w:r>
            <w:r>
              <w:rPr>
                <w:rFonts w:hint="default" w:ascii="宋体" w:hAnsi="宋体" w:eastAsia="宋体" w:cs="宋体"/>
                <w:b w:val="0"/>
                <w:bCs w:val="0"/>
                <w:color w:val="000000"/>
                <w:sz w:val="21"/>
                <w:szCs w:val="21"/>
                <w:highlight w:val="none"/>
                <w:lang w:val="en-US" w:eastAsia="zh-CN"/>
              </w:rPr>
              <w:t>2</w:t>
            </w:r>
            <w:r>
              <w:rPr>
                <w:rFonts w:hint="default" w:ascii="宋体" w:hAnsi="宋体" w:eastAsia="宋体" w:cs="宋体"/>
                <w:b w:val="0"/>
                <w:bCs w:val="0"/>
                <w:color w:val="000000"/>
                <w:sz w:val="21"/>
                <w:szCs w:val="21"/>
                <w:highlight w:val="none"/>
                <w:lang w:eastAsia="zh-CN"/>
              </w:rPr>
              <w:t>分，最多加2分。</w:t>
            </w:r>
          </w:p>
          <w:p w14:paraId="161A9A65">
            <w:pPr>
              <w:widowControl/>
              <w:numPr>
                <w:ilvl w:val="0"/>
                <w:numId w:val="0"/>
              </w:numPr>
              <w:spacing w:beforeLines="0" w:line="240" w:lineRule="auto"/>
              <w:ind w:firstLine="0" w:firstLineChars="0"/>
              <w:jc w:val="both"/>
              <w:rPr>
                <w:rFonts w:hint="default" w:ascii="宋体" w:hAnsi="宋体" w:eastAsia="宋体" w:cs="宋体"/>
                <w:b w:val="0"/>
                <w:bCs w:val="0"/>
                <w:color w:val="000000"/>
                <w:sz w:val="21"/>
                <w:szCs w:val="21"/>
                <w:highlight w:val="none"/>
                <w:lang w:eastAsia="zh-CN"/>
              </w:rPr>
            </w:pPr>
            <w:r>
              <w:rPr>
                <w:rFonts w:hint="default" w:ascii="宋体" w:hAnsi="宋体" w:cs="宋体"/>
                <w:b w:val="0"/>
                <w:bCs w:val="0"/>
                <w:color w:val="000000"/>
                <w:sz w:val="21"/>
                <w:szCs w:val="21"/>
                <w:highlight w:val="none"/>
                <w:lang w:val="en-US" w:eastAsia="zh-CN"/>
              </w:rPr>
              <w:t>3</w:t>
            </w:r>
            <w:r>
              <w:rPr>
                <w:rFonts w:hint="default" w:ascii="宋体" w:hAnsi="宋体" w:eastAsia="宋体" w:cs="宋体"/>
                <w:b w:val="0"/>
                <w:bCs w:val="0"/>
                <w:color w:val="000000"/>
                <w:sz w:val="21"/>
                <w:szCs w:val="21"/>
                <w:highlight w:val="none"/>
                <w:lang w:val="en-US" w:eastAsia="zh-CN"/>
              </w:rPr>
              <w:t>.</w:t>
            </w:r>
            <w:r>
              <w:rPr>
                <w:rFonts w:hint="default" w:ascii="宋体" w:hAnsi="宋体" w:eastAsia="宋体" w:cs="宋体"/>
                <w:b w:val="0"/>
                <w:bCs w:val="0"/>
                <w:color w:val="000000"/>
                <w:sz w:val="21"/>
                <w:szCs w:val="21"/>
                <w:highlight w:val="none"/>
                <w:lang w:eastAsia="zh-CN"/>
              </w:rPr>
              <w:t>投标人同时具有省级（含）以上部门颁发的高新技术企业证书和中国合格评定国家认可委员会颁发的实验室认可证书（CNAS）的加2分，最多加2分。</w:t>
            </w:r>
          </w:p>
          <w:p w14:paraId="5A7CD170">
            <w:pPr>
              <w:widowControl/>
              <w:numPr>
                <w:ilvl w:val="0"/>
                <w:numId w:val="0"/>
              </w:numPr>
              <w:spacing w:beforeLines="0" w:line="240" w:lineRule="auto"/>
              <w:ind w:firstLine="0" w:firstLineChars="0"/>
              <w:jc w:val="both"/>
              <w:rPr>
                <w:rFonts w:hint="default" w:ascii="宋体" w:hAnsi="宋体" w:eastAsia="宋体" w:cs="宋体"/>
                <w:b w:val="0"/>
                <w:bCs w:val="0"/>
                <w:color w:val="000000"/>
                <w:sz w:val="21"/>
                <w:szCs w:val="21"/>
                <w:highlight w:val="none"/>
                <w:lang w:val="en-US" w:eastAsia="zh-CN"/>
              </w:rPr>
            </w:pPr>
          </w:p>
          <w:p w14:paraId="21533993">
            <w:pPr>
              <w:widowControl/>
              <w:numPr>
                <w:ilvl w:val="0"/>
                <w:numId w:val="0"/>
              </w:numPr>
              <w:spacing w:beforeLines="0" w:line="240" w:lineRule="auto"/>
              <w:ind w:firstLine="0" w:firstLineChars="0"/>
              <w:jc w:val="both"/>
              <w:rPr>
                <w:rFonts w:ascii="宋体" w:hAnsi="宋体" w:eastAsia="宋体" w:cs="宋体"/>
                <w:b/>
                <w:bCs/>
                <w:color w:val="000000"/>
                <w:sz w:val="21"/>
                <w:szCs w:val="21"/>
                <w:highlight w:val="none"/>
              </w:rPr>
            </w:pPr>
            <w:r>
              <w:rPr>
                <w:rFonts w:ascii="宋体" w:hAnsi="宋体" w:eastAsia="宋体" w:cs="宋体"/>
                <w:b/>
                <w:bCs/>
                <w:color w:val="000000"/>
                <w:sz w:val="21"/>
                <w:szCs w:val="21"/>
                <w:highlight w:val="none"/>
              </w:rPr>
              <w:t>注：</w:t>
            </w:r>
          </w:p>
          <w:p w14:paraId="0A16AC4E">
            <w:pPr>
              <w:widowControl/>
              <w:numPr>
                <w:ilvl w:val="0"/>
                <w:numId w:val="0"/>
              </w:numPr>
              <w:spacing w:beforeLines="0" w:line="240" w:lineRule="auto"/>
              <w:ind w:firstLine="0" w:firstLineChars="0"/>
              <w:jc w:val="both"/>
              <w:rPr>
                <w:rFonts w:ascii="宋体" w:hAnsi="宋体" w:eastAsia="宋体" w:cs="宋体"/>
                <w:b w:val="0"/>
                <w:bCs w:val="0"/>
                <w:color w:val="000000"/>
                <w:sz w:val="21"/>
                <w:szCs w:val="21"/>
                <w:highlight w:val="none"/>
              </w:rPr>
            </w:pPr>
            <w:r>
              <w:rPr>
                <w:rFonts w:ascii="宋体" w:hAnsi="宋体" w:eastAsia="宋体" w:cs="宋体"/>
                <w:b w:val="0"/>
                <w:bCs w:val="0"/>
                <w:color w:val="000000"/>
                <w:sz w:val="21"/>
                <w:szCs w:val="21"/>
                <w:highlight w:val="none"/>
              </w:rPr>
              <w:t>（</w:t>
            </w:r>
            <w:r>
              <w:rPr>
                <w:rFonts w:hint="eastAsia" w:ascii="宋体" w:hAnsi="宋体" w:cs="宋体"/>
                <w:b w:val="0"/>
                <w:bCs w:val="0"/>
                <w:color w:val="000000"/>
                <w:sz w:val="21"/>
                <w:szCs w:val="21"/>
                <w:highlight w:val="none"/>
                <w:lang w:val="en-US" w:eastAsia="zh-CN"/>
              </w:rPr>
              <w:t>1</w:t>
            </w:r>
            <w:r>
              <w:rPr>
                <w:rFonts w:ascii="宋体" w:hAnsi="宋体" w:eastAsia="宋体" w:cs="宋体"/>
                <w:b w:val="0"/>
                <w:bCs w:val="0"/>
                <w:color w:val="000000"/>
                <w:sz w:val="21"/>
                <w:szCs w:val="21"/>
                <w:highlight w:val="none"/>
              </w:rPr>
              <w:t>）第</w:t>
            </w:r>
            <w:r>
              <w:rPr>
                <w:rFonts w:hint="eastAsia" w:ascii="宋体" w:hAnsi="宋体" w:cs="宋体"/>
                <w:b w:val="0"/>
                <w:bCs w:val="0"/>
                <w:color w:val="000000"/>
                <w:sz w:val="21"/>
                <w:szCs w:val="21"/>
                <w:highlight w:val="none"/>
                <w:lang w:val="en-US" w:eastAsia="zh-CN"/>
              </w:rPr>
              <w:t>1</w:t>
            </w:r>
            <w:r>
              <w:rPr>
                <w:rFonts w:ascii="宋体" w:hAnsi="宋体" w:eastAsia="宋体" w:cs="宋体"/>
                <w:b w:val="0"/>
                <w:bCs w:val="0"/>
                <w:color w:val="000000"/>
                <w:sz w:val="21"/>
                <w:szCs w:val="21"/>
                <w:highlight w:val="none"/>
              </w:rPr>
              <w:t>项业绩需提供奖牌或批复相关文件或任务合同书；</w:t>
            </w:r>
          </w:p>
          <w:p w14:paraId="409F5E00">
            <w:pPr>
              <w:widowControl/>
              <w:numPr>
                <w:ilvl w:val="0"/>
                <w:numId w:val="0"/>
              </w:numPr>
              <w:spacing w:beforeLines="0" w:line="240" w:lineRule="auto"/>
              <w:ind w:firstLine="0" w:firstLineChars="0"/>
              <w:jc w:val="both"/>
              <w:rPr>
                <w:rFonts w:ascii="宋体" w:hAnsi="宋体" w:eastAsia="宋体" w:cs="宋体"/>
                <w:b w:val="0"/>
                <w:bCs w:val="0"/>
                <w:color w:val="000000"/>
                <w:sz w:val="21"/>
                <w:szCs w:val="21"/>
                <w:highlight w:val="none"/>
              </w:rPr>
            </w:pPr>
            <w:r>
              <w:rPr>
                <w:rFonts w:ascii="宋体" w:hAnsi="宋体" w:eastAsia="宋体" w:cs="宋体"/>
                <w:b w:val="0"/>
                <w:bCs w:val="0"/>
                <w:color w:val="000000"/>
                <w:sz w:val="21"/>
                <w:szCs w:val="21"/>
                <w:highlight w:val="none"/>
              </w:rPr>
              <w:t>（</w:t>
            </w:r>
            <w:r>
              <w:rPr>
                <w:rFonts w:hint="eastAsia" w:ascii="宋体" w:hAnsi="宋体" w:cs="宋体"/>
                <w:b w:val="0"/>
                <w:bCs w:val="0"/>
                <w:color w:val="000000"/>
                <w:sz w:val="21"/>
                <w:szCs w:val="21"/>
                <w:highlight w:val="none"/>
                <w:lang w:val="en-US" w:eastAsia="zh-CN"/>
              </w:rPr>
              <w:t>2</w:t>
            </w:r>
            <w:r>
              <w:rPr>
                <w:rFonts w:ascii="宋体" w:hAnsi="宋体" w:eastAsia="宋体" w:cs="宋体"/>
                <w:b w:val="0"/>
                <w:bCs w:val="0"/>
                <w:color w:val="000000"/>
                <w:sz w:val="21"/>
                <w:szCs w:val="21"/>
                <w:highlight w:val="none"/>
              </w:rPr>
              <w:t>）第</w:t>
            </w:r>
            <w:r>
              <w:rPr>
                <w:rFonts w:hint="eastAsia" w:ascii="宋体" w:hAnsi="宋体" w:cs="宋体"/>
                <w:b w:val="0"/>
                <w:bCs w:val="0"/>
                <w:color w:val="000000"/>
                <w:sz w:val="21"/>
                <w:szCs w:val="21"/>
                <w:highlight w:val="none"/>
                <w:lang w:val="en-US" w:eastAsia="zh-CN"/>
              </w:rPr>
              <w:t>2</w:t>
            </w:r>
            <w:r>
              <w:rPr>
                <w:rFonts w:ascii="宋体" w:hAnsi="宋体" w:eastAsia="宋体" w:cs="宋体"/>
                <w:b w:val="0"/>
                <w:bCs w:val="0"/>
                <w:color w:val="000000"/>
                <w:sz w:val="21"/>
                <w:szCs w:val="21"/>
                <w:highlight w:val="none"/>
              </w:rPr>
              <w:t>项业绩需提供奖牌</w:t>
            </w:r>
            <w:r>
              <w:rPr>
                <w:rFonts w:hint="eastAsia" w:ascii="宋体" w:hAnsi="宋体" w:cs="宋体"/>
                <w:b w:val="0"/>
                <w:bCs w:val="0"/>
                <w:color w:val="000000"/>
                <w:sz w:val="21"/>
                <w:szCs w:val="21"/>
                <w:highlight w:val="none"/>
                <w:lang w:eastAsia="zh-CN"/>
              </w:rPr>
              <w:t>或奖状</w:t>
            </w:r>
            <w:r>
              <w:rPr>
                <w:rFonts w:ascii="宋体" w:hAnsi="宋体" w:eastAsia="宋体" w:cs="宋体"/>
                <w:b w:val="0"/>
                <w:bCs w:val="0"/>
                <w:color w:val="000000"/>
                <w:sz w:val="21"/>
                <w:szCs w:val="21"/>
                <w:highlight w:val="none"/>
              </w:rPr>
              <w:t>；</w:t>
            </w:r>
          </w:p>
          <w:p w14:paraId="56721FD2">
            <w:pPr>
              <w:widowControl/>
              <w:adjustRightInd w:val="0"/>
              <w:snapToGrid w:val="0"/>
              <w:spacing w:line="360" w:lineRule="auto"/>
              <w:jc w:val="both"/>
              <w:rPr>
                <w:rFonts w:hint="eastAsia" w:ascii="宋体" w:hAnsi="宋体" w:cs="宋体"/>
                <w:color w:val="000000" w:themeColor="text1"/>
                <w:szCs w:val="21"/>
                <w:highlight w:val="none"/>
                <w14:textFill>
                  <w14:solidFill>
                    <w14:schemeClr w14:val="tx1"/>
                  </w14:solidFill>
                </w14:textFill>
              </w:rPr>
            </w:pPr>
            <w:r>
              <w:rPr>
                <w:rFonts w:ascii="宋体" w:hAnsi="宋体" w:eastAsia="宋体" w:cs="宋体"/>
                <w:b w:val="0"/>
                <w:bCs w:val="0"/>
                <w:color w:val="000000"/>
                <w:sz w:val="21"/>
                <w:szCs w:val="21"/>
                <w:highlight w:val="none"/>
              </w:rPr>
              <w:t>（</w:t>
            </w:r>
            <w:r>
              <w:rPr>
                <w:rFonts w:hint="eastAsia" w:ascii="宋体" w:hAnsi="宋体" w:cs="宋体"/>
                <w:b w:val="0"/>
                <w:bCs w:val="0"/>
                <w:color w:val="000000"/>
                <w:sz w:val="21"/>
                <w:szCs w:val="21"/>
                <w:highlight w:val="none"/>
                <w:lang w:val="en-US" w:eastAsia="zh-CN"/>
              </w:rPr>
              <w:t>3</w:t>
            </w:r>
            <w:r>
              <w:rPr>
                <w:rFonts w:ascii="宋体" w:hAnsi="宋体" w:eastAsia="宋体" w:cs="宋体"/>
                <w:b w:val="0"/>
                <w:bCs w:val="0"/>
                <w:color w:val="000000"/>
                <w:sz w:val="21"/>
                <w:szCs w:val="21"/>
                <w:highlight w:val="none"/>
              </w:rPr>
              <w:t>）第</w:t>
            </w:r>
            <w:r>
              <w:rPr>
                <w:rFonts w:hint="eastAsia" w:ascii="宋体" w:hAnsi="宋体" w:cs="宋体"/>
                <w:b w:val="0"/>
                <w:bCs w:val="0"/>
                <w:color w:val="000000"/>
                <w:sz w:val="21"/>
                <w:szCs w:val="21"/>
                <w:highlight w:val="none"/>
                <w:lang w:val="en-US" w:eastAsia="zh-CN"/>
              </w:rPr>
              <w:t>3</w:t>
            </w:r>
            <w:r>
              <w:rPr>
                <w:rFonts w:ascii="宋体" w:hAnsi="宋体" w:eastAsia="宋体" w:cs="宋体"/>
                <w:b w:val="0"/>
                <w:bCs w:val="0"/>
                <w:color w:val="000000"/>
                <w:sz w:val="21"/>
                <w:szCs w:val="21"/>
                <w:highlight w:val="none"/>
              </w:rPr>
              <w:t>项业绩需提供</w:t>
            </w:r>
            <w:r>
              <w:rPr>
                <w:rFonts w:hint="eastAsia" w:ascii="宋体" w:hAnsi="宋体" w:eastAsia="宋体" w:cs="宋体"/>
                <w:b w:val="0"/>
                <w:bCs w:val="0"/>
                <w:color w:val="000000"/>
                <w:sz w:val="21"/>
                <w:szCs w:val="21"/>
                <w:highlight w:val="none"/>
                <w:lang w:val="en-US" w:eastAsia="zh-CN"/>
              </w:rPr>
              <w:t>相关证书</w:t>
            </w:r>
            <w:r>
              <w:rPr>
                <w:rFonts w:ascii="宋体" w:hAnsi="宋体" w:eastAsia="宋体" w:cs="宋体"/>
                <w:b w:val="0"/>
                <w:bCs w:val="0"/>
                <w:color w:val="000000"/>
                <w:sz w:val="21"/>
                <w:szCs w:val="21"/>
                <w:highlight w:val="none"/>
              </w:rPr>
              <w:t>；</w:t>
            </w:r>
          </w:p>
        </w:tc>
      </w:tr>
      <w:tr w14:paraId="2A4E8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830" w:type="dxa"/>
            <w:vMerge w:val="restart"/>
            <w:vAlign w:val="center"/>
          </w:tcPr>
          <w:p w14:paraId="32D7ECAB">
            <w:pPr>
              <w:widowControl/>
              <w:adjustRightInd w:val="0"/>
              <w:snapToGrid w:val="0"/>
              <w:spacing w:line="360" w:lineRule="auto"/>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3.3（2）</w:t>
            </w:r>
          </w:p>
        </w:tc>
        <w:tc>
          <w:tcPr>
            <w:tcW w:w="1461" w:type="dxa"/>
            <w:vMerge w:val="restart"/>
            <w:vAlign w:val="center"/>
          </w:tcPr>
          <w:p w14:paraId="0652BC98">
            <w:pPr>
              <w:widowControl/>
              <w:adjustRightInd w:val="0"/>
              <w:snapToGrid w:val="0"/>
              <w:spacing w:line="360" w:lineRule="auto"/>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技术评分标准（</w:t>
            </w:r>
            <w:r>
              <w:rPr>
                <w:rFonts w:hint="eastAsia" w:ascii="宋体" w:hAnsi="宋体" w:cs="宋体"/>
                <w:color w:val="000000" w:themeColor="text1"/>
                <w:szCs w:val="21"/>
                <w:highlight w:val="none"/>
                <w:lang w:val="en-US" w:eastAsia="zh-CN"/>
                <w14:textFill>
                  <w14:solidFill>
                    <w14:schemeClr w14:val="tx1"/>
                  </w14:solidFill>
                </w14:textFill>
              </w:rPr>
              <w:t>4</w:t>
            </w:r>
            <w:r>
              <w:rPr>
                <w:rFonts w:hint="eastAsia" w:ascii="宋体" w:hAnsi="宋体" w:cs="宋体"/>
                <w:color w:val="000000" w:themeColor="text1"/>
                <w:szCs w:val="21"/>
                <w:highlight w:val="none"/>
                <w14:textFill>
                  <w14:solidFill>
                    <w14:schemeClr w14:val="tx1"/>
                  </w14:solidFill>
                </w14:textFill>
              </w:rPr>
              <w:t>0分）</w:t>
            </w:r>
          </w:p>
        </w:tc>
        <w:tc>
          <w:tcPr>
            <w:tcW w:w="1904" w:type="dxa"/>
            <w:vAlign w:val="center"/>
          </w:tcPr>
          <w:p w14:paraId="3491AE71">
            <w:pPr>
              <w:widowControl/>
              <w:jc w:val="left"/>
              <w:rPr>
                <w:rFonts w:ascii="宋体" w:hAnsi="宋体" w:eastAsia="宋体" w:cs="宋体"/>
                <w:color w:val="000000" w:themeColor="text1"/>
                <w:spacing w:val="0"/>
                <w:w w:val="100"/>
                <w:kern w:val="0"/>
                <w:sz w:val="21"/>
                <w:szCs w:val="24"/>
                <w:highlight w:val="none"/>
                <w:lang w:val="en-US" w:eastAsia="en-US" w:bidi="ar-SA"/>
                <w14:textFill>
                  <w14:solidFill>
                    <w14:schemeClr w14:val="tx1"/>
                  </w14:solidFill>
                </w14:textFill>
              </w:rPr>
            </w:pPr>
            <w:r>
              <w:rPr>
                <w:rFonts w:ascii="宋体" w:hAnsi="宋体" w:eastAsia="宋体" w:cs="宋体"/>
                <w:color w:val="000000" w:themeColor="text1"/>
                <w:spacing w:val="0"/>
                <w:w w:val="100"/>
                <w:kern w:val="0"/>
                <w:sz w:val="21"/>
                <w:szCs w:val="24"/>
                <w:highlight w:val="none"/>
                <w:lang w:val="en-US" w:eastAsia="en-US" w:bidi="ar-SA"/>
                <w14:textFill>
                  <w14:solidFill>
                    <w14:schemeClr w14:val="tx1"/>
                  </w14:solidFill>
                </w14:textFill>
              </w:rPr>
              <w:t>项目实施方案</w:t>
            </w:r>
          </w:p>
          <w:p w14:paraId="068AEA15">
            <w:pPr>
              <w:widowControl/>
              <w:jc w:val="left"/>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pacing w:val="0"/>
                <w:w w:val="100"/>
                <w:kern w:val="0"/>
                <w:sz w:val="21"/>
                <w:szCs w:val="24"/>
                <w:highlight w:val="none"/>
                <w:lang w:val="en-US" w:eastAsia="zh-CN" w:bidi="ar-SA"/>
                <w14:textFill>
                  <w14:solidFill>
                    <w14:schemeClr w14:val="tx1"/>
                  </w14:solidFill>
                </w14:textFill>
              </w:rPr>
              <w:t>（10分）</w:t>
            </w:r>
          </w:p>
        </w:tc>
        <w:tc>
          <w:tcPr>
            <w:tcW w:w="5576" w:type="dxa"/>
            <w:vAlign w:val="center"/>
          </w:tcPr>
          <w:p w14:paraId="7EA2C5A3">
            <w:pPr>
              <w:widowControl/>
              <w:jc w:val="left"/>
              <w:rPr>
                <w:rFonts w:hint="eastAsia" w:ascii="宋体" w:hAnsi="宋体" w:cs="宋体"/>
                <w:color w:val="000000" w:themeColor="text1"/>
                <w:szCs w:val="21"/>
                <w:highlight w:val="none"/>
                <w14:textFill>
                  <w14:solidFill>
                    <w14:schemeClr w14:val="tx1"/>
                  </w14:solidFill>
                </w14:textFill>
              </w:rPr>
            </w:pPr>
            <w:r>
              <w:rPr>
                <w:rFonts w:ascii="宋体" w:hAnsi="宋体" w:eastAsia="宋体" w:cs="宋体"/>
                <w:color w:val="000000" w:themeColor="text1"/>
                <w:spacing w:val="0"/>
                <w:w w:val="100"/>
                <w:kern w:val="0"/>
                <w:sz w:val="21"/>
                <w:szCs w:val="24"/>
                <w:highlight w:val="none"/>
                <w:lang w:val="en-US" w:eastAsia="en-US" w:bidi="ar-SA"/>
                <w14:textFill>
                  <w14:solidFill>
                    <w14:schemeClr w14:val="tx1"/>
                  </w14:solidFill>
                </w14:textFill>
              </w:rPr>
              <w:t>根据</w:t>
            </w:r>
            <w:r>
              <w:rPr>
                <w:rFonts w:hint="eastAsia" w:ascii="宋体" w:hAnsi="宋体" w:eastAsia="宋体" w:cs="宋体"/>
                <w:color w:val="000000" w:themeColor="text1"/>
                <w:spacing w:val="0"/>
                <w:w w:val="100"/>
                <w:kern w:val="0"/>
                <w:sz w:val="21"/>
                <w:szCs w:val="24"/>
                <w:highlight w:val="none"/>
                <w:lang w:val="en-US" w:eastAsia="zh-CN" w:bidi="ar-SA"/>
                <w14:textFill>
                  <w14:solidFill>
                    <w14:schemeClr w14:val="tx1"/>
                  </w14:solidFill>
                </w14:textFill>
              </w:rPr>
              <w:t>响应人</w:t>
            </w:r>
            <w:r>
              <w:rPr>
                <w:rFonts w:ascii="宋体" w:hAnsi="宋体" w:eastAsia="宋体" w:cs="宋体"/>
                <w:color w:val="000000" w:themeColor="text1"/>
                <w:spacing w:val="0"/>
                <w:w w:val="100"/>
                <w:kern w:val="0"/>
                <w:sz w:val="21"/>
                <w:szCs w:val="24"/>
                <w:highlight w:val="none"/>
                <w:lang w:val="en-US" w:eastAsia="en-US" w:bidi="ar-SA"/>
                <w14:textFill>
                  <w14:solidFill>
                    <w14:schemeClr w14:val="tx1"/>
                  </w14:solidFill>
                </w14:textFill>
              </w:rPr>
              <w:t>针对本项目提供的实施方案进行评审。满足基本要求，得</w:t>
            </w:r>
            <w:r>
              <w:rPr>
                <w:rFonts w:hint="eastAsia" w:ascii="宋体" w:hAnsi="宋体" w:eastAsia="宋体" w:cs="宋体"/>
                <w:color w:val="000000" w:themeColor="text1"/>
                <w:spacing w:val="0"/>
                <w:w w:val="100"/>
                <w:kern w:val="0"/>
                <w:sz w:val="21"/>
                <w:szCs w:val="24"/>
                <w:highlight w:val="none"/>
                <w:lang w:val="en-US" w:eastAsia="zh-CN" w:bidi="ar-SA"/>
                <w14:textFill>
                  <w14:solidFill>
                    <w14:schemeClr w14:val="tx1"/>
                  </w14:solidFill>
                </w14:textFill>
              </w:rPr>
              <w:t>8</w:t>
            </w:r>
            <w:r>
              <w:rPr>
                <w:rFonts w:ascii="宋体" w:hAnsi="宋体" w:eastAsia="宋体" w:cs="宋体"/>
                <w:color w:val="000000" w:themeColor="text1"/>
                <w:spacing w:val="0"/>
                <w:w w:val="100"/>
                <w:kern w:val="0"/>
                <w:sz w:val="21"/>
                <w:szCs w:val="24"/>
                <w:highlight w:val="none"/>
                <w:lang w:val="en-US" w:eastAsia="en-US" w:bidi="ar-SA"/>
                <w14:textFill>
                  <w14:solidFill>
                    <w14:schemeClr w14:val="tx1"/>
                  </w14:solidFill>
                </w14:textFill>
              </w:rPr>
              <w:t>分，分别对实施方案的合理性、可行性、全面性、科学性、可行性进行评审，酌情加分，本项最高得</w:t>
            </w:r>
            <w:r>
              <w:rPr>
                <w:rFonts w:hint="eastAsia" w:ascii="宋体" w:hAnsi="宋体" w:eastAsia="宋体" w:cs="宋体"/>
                <w:color w:val="000000" w:themeColor="text1"/>
                <w:spacing w:val="0"/>
                <w:w w:val="100"/>
                <w:kern w:val="0"/>
                <w:sz w:val="21"/>
                <w:szCs w:val="24"/>
                <w:highlight w:val="none"/>
                <w:lang w:val="en-US" w:eastAsia="zh-CN" w:bidi="ar-SA"/>
                <w14:textFill>
                  <w14:solidFill>
                    <w14:schemeClr w14:val="tx1"/>
                  </w14:solidFill>
                </w14:textFill>
              </w:rPr>
              <w:t>10</w:t>
            </w:r>
            <w:r>
              <w:rPr>
                <w:rFonts w:ascii="宋体" w:hAnsi="宋体" w:eastAsia="宋体" w:cs="宋体"/>
                <w:color w:val="000000" w:themeColor="text1"/>
                <w:spacing w:val="0"/>
                <w:w w:val="100"/>
                <w:kern w:val="0"/>
                <w:sz w:val="21"/>
                <w:szCs w:val="24"/>
                <w:highlight w:val="none"/>
                <w:lang w:val="en-US" w:eastAsia="en-US" w:bidi="ar-SA"/>
                <w14:textFill>
                  <w14:solidFill>
                    <w14:schemeClr w14:val="tx1"/>
                  </w14:solidFill>
                </w14:textFill>
              </w:rPr>
              <w:t>分。</w:t>
            </w:r>
          </w:p>
        </w:tc>
      </w:tr>
      <w:tr w14:paraId="074DE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0" w:type="dxa"/>
            <w:vMerge w:val="continue"/>
            <w:vAlign w:val="center"/>
          </w:tcPr>
          <w:p w14:paraId="06FC0B34">
            <w:pPr>
              <w:widowControl/>
              <w:adjustRightInd w:val="0"/>
              <w:snapToGrid w:val="0"/>
              <w:spacing w:line="360" w:lineRule="auto"/>
              <w:jc w:val="both"/>
              <w:rPr>
                <w:rFonts w:hint="eastAsia" w:ascii="宋体" w:hAnsi="宋体" w:cs="宋体"/>
                <w:color w:val="000000" w:themeColor="text1"/>
                <w:szCs w:val="21"/>
                <w:highlight w:val="none"/>
                <w14:textFill>
                  <w14:solidFill>
                    <w14:schemeClr w14:val="tx1"/>
                  </w14:solidFill>
                </w14:textFill>
              </w:rPr>
            </w:pPr>
          </w:p>
        </w:tc>
        <w:tc>
          <w:tcPr>
            <w:tcW w:w="1461" w:type="dxa"/>
            <w:vMerge w:val="continue"/>
            <w:vAlign w:val="center"/>
          </w:tcPr>
          <w:p w14:paraId="069A8598">
            <w:pPr>
              <w:widowControl/>
              <w:adjustRightInd w:val="0"/>
              <w:snapToGrid w:val="0"/>
              <w:spacing w:line="360" w:lineRule="auto"/>
              <w:jc w:val="both"/>
              <w:rPr>
                <w:rFonts w:hint="eastAsia" w:ascii="宋体" w:hAnsi="宋体" w:cs="宋体"/>
                <w:color w:val="000000" w:themeColor="text1"/>
                <w:szCs w:val="21"/>
                <w:highlight w:val="none"/>
                <w14:textFill>
                  <w14:solidFill>
                    <w14:schemeClr w14:val="tx1"/>
                  </w14:solidFill>
                </w14:textFill>
              </w:rPr>
            </w:pPr>
          </w:p>
        </w:tc>
        <w:tc>
          <w:tcPr>
            <w:tcW w:w="1904" w:type="dxa"/>
            <w:vAlign w:val="center"/>
          </w:tcPr>
          <w:p w14:paraId="069B9D0A">
            <w:pPr>
              <w:widowControl/>
              <w:jc w:val="left"/>
              <w:rPr>
                <w:rFonts w:hint="eastAsia" w:ascii="宋体" w:hAnsi="宋体" w:cs="宋体"/>
                <w:color w:val="000000" w:themeColor="text1"/>
                <w:szCs w:val="21"/>
                <w:highlight w:val="none"/>
                <w14:textFill>
                  <w14:solidFill>
                    <w14:schemeClr w14:val="tx1"/>
                  </w14:solidFill>
                </w14:textFill>
              </w:rPr>
            </w:pPr>
            <w:r>
              <w:rPr>
                <w:rFonts w:ascii="宋体" w:hAnsi="宋体" w:eastAsia="宋体" w:cs="宋体"/>
                <w:color w:val="000000" w:themeColor="text1"/>
                <w:spacing w:val="0"/>
                <w:w w:val="100"/>
                <w:kern w:val="0"/>
                <w:sz w:val="21"/>
                <w:szCs w:val="24"/>
                <w:highlight w:val="none"/>
                <w:lang w:val="en-US" w:eastAsia="en-US" w:bidi="ar-SA"/>
                <w14:textFill>
                  <w14:solidFill>
                    <w14:schemeClr w14:val="tx1"/>
                  </w14:solidFill>
                </w14:textFill>
              </w:rPr>
              <w:t>对本服务项目工作步骤和程序的理解</w:t>
            </w:r>
            <w:r>
              <w:rPr>
                <w:rFonts w:hint="eastAsia" w:ascii="宋体" w:hAnsi="宋体" w:eastAsia="宋体" w:cs="宋体"/>
                <w:color w:val="000000" w:themeColor="text1"/>
                <w:spacing w:val="0"/>
                <w:w w:val="100"/>
                <w:kern w:val="0"/>
                <w:sz w:val="21"/>
                <w:szCs w:val="24"/>
                <w:highlight w:val="none"/>
                <w:lang w:val="en-US" w:eastAsia="zh-CN" w:bidi="ar-SA"/>
                <w14:textFill>
                  <w14:solidFill>
                    <w14:schemeClr w14:val="tx1"/>
                  </w14:solidFill>
                </w14:textFill>
              </w:rPr>
              <w:t>（10分）</w:t>
            </w:r>
          </w:p>
        </w:tc>
        <w:tc>
          <w:tcPr>
            <w:tcW w:w="5576" w:type="dxa"/>
            <w:vAlign w:val="center"/>
          </w:tcPr>
          <w:p w14:paraId="1F6A22F6">
            <w:pPr>
              <w:widowControl/>
              <w:jc w:val="left"/>
              <w:rPr>
                <w:rFonts w:hint="eastAsia" w:ascii="宋体" w:hAnsi="宋体" w:cs="宋体"/>
                <w:color w:val="000000" w:themeColor="text1"/>
                <w:szCs w:val="21"/>
                <w:highlight w:val="none"/>
                <w14:textFill>
                  <w14:solidFill>
                    <w14:schemeClr w14:val="tx1"/>
                  </w14:solidFill>
                </w14:textFill>
              </w:rPr>
            </w:pPr>
            <w:r>
              <w:rPr>
                <w:rFonts w:ascii="宋体" w:hAnsi="宋体" w:eastAsia="宋体" w:cs="宋体"/>
                <w:color w:val="000000" w:themeColor="text1"/>
                <w:spacing w:val="0"/>
                <w:w w:val="100"/>
                <w:kern w:val="0"/>
                <w:sz w:val="21"/>
                <w:szCs w:val="24"/>
                <w:highlight w:val="none"/>
                <w:lang w:val="en-US" w:eastAsia="en-US" w:bidi="ar-SA"/>
                <w14:textFill>
                  <w14:solidFill>
                    <w14:schemeClr w14:val="tx1"/>
                  </w14:solidFill>
                </w14:textFill>
              </w:rPr>
              <w:t>满足采购文件基本要求的，计</w:t>
            </w:r>
            <w:r>
              <w:rPr>
                <w:rFonts w:hint="eastAsia" w:ascii="宋体" w:hAnsi="宋体" w:eastAsia="宋体" w:cs="宋体"/>
                <w:color w:val="000000" w:themeColor="text1"/>
                <w:spacing w:val="0"/>
                <w:w w:val="100"/>
                <w:kern w:val="0"/>
                <w:sz w:val="21"/>
                <w:szCs w:val="24"/>
                <w:highlight w:val="none"/>
                <w:lang w:val="en-US" w:eastAsia="zh-CN" w:bidi="ar-SA"/>
                <w14:textFill>
                  <w14:solidFill>
                    <w14:schemeClr w14:val="tx1"/>
                  </w14:solidFill>
                </w14:textFill>
              </w:rPr>
              <w:t>8</w:t>
            </w:r>
            <w:r>
              <w:rPr>
                <w:rFonts w:ascii="宋体" w:hAnsi="宋体" w:eastAsia="宋体" w:cs="宋体"/>
                <w:color w:val="000000" w:themeColor="text1"/>
                <w:spacing w:val="0"/>
                <w:w w:val="100"/>
                <w:kern w:val="0"/>
                <w:sz w:val="21"/>
                <w:szCs w:val="24"/>
                <w:highlight w:val="none"/>
                <w:lang w:val="en-US" w:eastAsia="en-US" w:bidi="ar-SA"/>
                <w14:textFill>
                  <w14:solidFill>
                    <w14:schemeClr w14:val="tx1"/>
                  </w14:solidFill>
                </w14:textFill>
              </w:rPr>
              <w:t>分，从分析的合理性、科学性及对本项目实施的优化性各方面进行评审，酌情加分，本项最高得</w:t>
            </w:r>
            <w:r>
              <w:rPr>
                <w:rFonts w:hint="eastAsia" w:ascii="宋体" w:hAnsi="宋体" w:eastAsia="宋体" w:cs="宋体"/>
                <w:color w:val="000000" w:themeColor="text1"/>
                <w:spacing w:val="0"/>
                <w:w w:val="100"/>
                <w:kern w:val="0"/>
                <w:sz w:val="21"/>
                <w:szCs w:val="24"/>
                <w:highlight w:val="none"/>
                <w:lang w:val="en-US" w:eastAsia="zh-CN" w:bidi="ar-SA"/>
                <w14:textFill>
                  <w14:solidFill>
                    <w14:schemeClr w14:val="tx1"/>
                  </w14:solidFill>
                </w14:textFill>
              </w:rPr>
              <w:t>10</w:t>
            </w:r>
            <w:r>
              <w:rPr>
                <w:rFonts w:ascii="宋体" w:hAnsi="宋体" w:eastAsia="宋体" w:cs="宋体"/>
                <w:color w:val="000000" w:themeColor="text1"/>
                <w:spacing w:val="0"/>
                <w:w w:val="100"/>
                <w:kern w:val="0"/>
                <w:sz w:val="21"/>
                <w:szCs w:val="24"/>
                <w:highlight w:val="none"/>
                <w:lang w:val="en-US" w:eastAsia="en-US" w:bidi="ar-SA"/>
                <w14:textFill>
                  <w14:solidFill>
                    <w14:schemeClr w14:val="tx1"/>
                  </w14:solidFill>
                </w14:textFill>
              </w:rPr>
              <w:t>分。</w:t>
            </w:r>
          </w:p>
        </w:tc>
      </w:tr>
      <w:tr w14:paraId="3D6F9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0" w:type="dxa"/>
            <w:vMerge w:val="continue"/>
            <w:vAlign w:val="center"/>
          </w:tcPr>
          <w:p w14:paraId="375037D9">
            <w:pPr>
              <w:widowControl/>
              <w:adjustRightInd w:val="0"/>
              <w:snapToGrid w:val="0"/>
              <w:spacing w:line="360" w:lineRule="auto"/>
              <w:jc w:val="both"/>
              <w:rPr>
                <w:rFonts w:hint="eastAsia" w:ascii="宋体" w:hAnsi="宋体" w:cs="宋体"/>
                <w:color w:val="000000" w:themeColor="text1"/>
                <w:szCs w:val="21"/>
                <w:highlight w:val="none"/>
                <w14:textFill>
                  <w14:solidFill>
                    <w14:schemeClr w14:val="tx1"/>
                  </w14:solidFill>
                </w14:textFill>
              </w:rPr>
            </w:pPr>
          </w:p>
        </w:tc>
        <w:tc>
          <w:tcPr>
            <w:tcW w:w="1461" w:type="dxa"/>
            <w:vMerge w:val="continue"/>
            <w:vAlign w:val="center"/>
          </w:tcPr>
          <w:p w14:paraId="4DA2E092">
            <w:pPr>
              <w:widowControl/>
              <w:adjustRightInd w:val="0"/>
              <w:snapToGrid w:val="0"/>
              <w:spacing w:line="360" w:lineRule="auto"/>
              <w:jc w:val="both"/>
              <w:rPr>
                <w:rFonts w:hint="eastAsia" w:ascii="宋体" w:hAnsi="宋体" w:cs="宋体"/>
                <w:color w:val="000000" w:themeColor="text1"/>
                <w:szCs w:val="21"/>
                <w:highlight w:val="none"/>
                <w14:textFill>
                  <w14:solidFill>
                    <w14:schemeClr w14:val="tx1"/>
                  </w14:solidFill>
                </w14:textFill>
              </w:rPr>
            </w:pPr>
          </w:p>
        </w:tc>
        <w:tc>
          <w:tcPr>
            <w:tcW w:w="1904" w:type="dxa"/>
            <w:vAlign w:val="center"/>
          </w:tcPr>
          <w:p w14:paraId="062CD9D8">
            <w:pPr>
              <w:widowControl/>
              <w:jc w:val="left"/>
              <w:rPr>
                <w:rFonts w:hint="eastAsia" w:ascii="宋体" w:hAnsi="宋体" w:cs="宋体"/>
                <w:color w:val="000000" w:themeColor="text1"/>
                <w:szCs w:val="21"/>
                <w:highlight w:val="none"/>
                <w14:textFill>
                  <w14:solidFill>
                    <w14:schemeClr w14:val="tx1"/>
                  </w14:solidFill>
                </w14:textFill>
              </w:rPr>
            </w:pPr>
            <w:r>
              <w:rPr>
                <w:rFonts w:ascii="宋体" w:hAnsi="宋体" w:eastAsia="宋体" w:cs="宋体"/>
                <w:color w:val="000000" w:themeColor="text1"/>
                <w:spacing w:val="0"/>
                <w:w w:val="100"/>
                <w:kern w:val="0"/>
                <w:sz w:val="21"/>
                <w:szCs w:val="24"/>
                <w:highlight w:val="none"/>
                <w:lang w:val="en-US" w:eastAsia="en-US" w:bidi="ar-SA"/>
                <w14:textFill>
                  <w14:solidFill>
                    <w14:schemeClr w14:val="tx1"/>
                  </w14:solidFill>
                </w14:textFill>
              </w:rPr>
              <w:t>对本项目重点难点分析</w:t>
            </w:r>
            <w:r>
              <w:rPr>
                <w:rFonts w:hint="eastAsia" w:ascii="宋体" w:hAnsi="宋体" w:eastAsia="宋体" w:cs="宋体"/>
                <w:color w:val="000000" w:themeColor="text1"/>
                <w:spacing w:val="0"/>
                <w:w w:val="100"/>
                <w:kern w:val="0"/>
                <w:sz w:val="21"/>
                <w:szCs w:val="24"/>
                <w:highlight w:val="none"/>
                <w:lang w:val="en-US" w:eastAsia="zh-CN" w:bidi="ar-SA"/>
                <w14:textFill>
                  <w14:solidFill>
                    <w14:schemeClr w14:val="tx1"/>
                  </w14:solidFill>
                </w14:textFill>
              </w:rPr>
              <w:t>（10分）</w:t>
            </w:r>
          </w:p>
        </w:tc>
        <w:tc>
          <w:tcPr>
            <w:tcW w:w="5576" w:type="dxa"/>
            <w:vAlign w:val="center"/>
          </w:tcPr>
          <w:p w14:paraId="07C55053">
            <w:pPr>
              <w:widowControl/>
              <w:jc w:val="left"/>
              <w:rPr>
                <w:rFonts w:hint="eastAsia" w:ascii="宋体" w:hAnsi="宋体" w:cs="宋体"/>
                <w:color w:val="000000" w:themeColor="text1"/>
                <w:szCs w:val="21"/>
                <w:highlight w:val="none"/>
                <w14:textFill>
                  <w14:solidFill>
                    <w14:schemeClr w14:val="tx1"/>
                  </w14:solidFill>
                </w14:textFill>
              </w:rPr>
            </w:pPr>
            <w:r>
              <w:rPr>
                <w:rFonts w:ascii="宋体" w:hAnsi="宋体" w:eastAsia="宋体" w:cs="宋体"/>
                <w:color w:val="000000" w:themeColor="text1"/>
                <w:spacing w:val="0"/>
                <w:w w:val="100"/>
                <w:kern w:val="0"/>
                <w:sz w:val="21"/>
                <w:szCs w:val="24"/>
                <w:highlight w:val="none"/>
                <w:lang w:val="en-US" w:eastAsia="en-US" w:bidi="ar-SA"/>
                <w14:textFill>
                  <w14:solidFill>
                    <w14:schemeClr w14:val="tx1"/>
                  </w14:solidFill>
                </w14:textFill>
              </w:rPr>
              <w:t>满足采购文件基本要求的，计</w:t>
            </w:r>
            <w:r>
              <w:rPr>
                <w:rFonts w:hint="eastAsia" w:ascii="宋体" w:hAnsi="宋体" w:eastAsia="宋体" w:cs="宋体"/>
                <w:color w:val="000000" w:themeColor="text1"/>
                <w:spacing w:val="0"/>
                <w:w w:val="100"/>
                <w:kern w:val="0"/>
                <w:sz w:val="21"/>
                <w:szCs w:val="24"/>
                <w:highlight w:val="none"/>
                <w:lang w:val="en-US" w:eastAsia="zh-CN" w:bidi="ar-SA"/>
                <w14:textFill>
                  <w14:solidFill>
                    <w14:schemeClr w14:val="tx1"/>
                  </w14:solidFill>
                </w14:textFill>
              </w:rPr>
              <w:t>8</w:t>
            </w:r>
            <w:r>
              <w:rPr>
                <w:rFonts w:ascii="宋体" w:hAnsi="宋体" w:eastAsia="宋体" w:cs="宋体"/>
                <w:color w:val="000000" w:themeColor="text1"/>
                <w:spacing w:val="0"/>
                <w:w w:val="100"/>
                <w:kern w:val="0"/>
                <w:sz w:val="21"/>
                <w:szCs w:val="24"/>
                <w:highlight w:val="none"/>
                <w:lang w:val="en-US" w:eastAsia="en-US" w:bidi="ar-SA"/>
                <w14:textFill>
                  <w14:solidFill>
                    <w14:schemeClr w14:val="tx1"/>
                  </w14:solidFill>
                </w14:textFill>
              </w:rPr>
              <w:t>分，从分析的合理性、科学性及对本项目实施的优化性各方面进行评审，酌情加分，本项最高得</w:t>
            </w:r>
            <w:r>
              <w:rPr>
                <w:rFonts w:hint="eastAsia" w:ascii="宋体" w:hAnsi="宋体" w:eastAsia="宋体" w:cs="宋体"/>
                <w:color w:val="000000" w:themeColor="text1"/>
                <w:spacing w:val="0"/>
                <w:w w:val="100"/>
                <w:kern w:val="0"/>
                <w:sz w:val="21"/>
                <w:szCs w:val="24"/>
                <w:highlight w:val="none"/>
                <w:lang w:val="en-US" w:eastAsia="zh-CN" w:bidi="ar-SA"/>
                <w14:textFill>
                  <w14:solidFill>
                    <w14:schemeClr w14:val="tx1"/>
                  </w14:solidFill>
                </w14:textFill>
              </w:rPr>
              <w:t>10</w:t>
            </w:r>
            <w:r>
              <w:rPr>
                <w:rFonts w:ascii="宋体" w:hAnsi="宋体" w:eastAsia="宋体" w:cs="宋体"/>
                <w:color w:val="000000" w:themeColor="text1"/>
                <w:spacing w:val="0"/>
                <w:w w:val="100"/>
                <w:kern w:val="0"/>
                <w:sz w:val="21"/>
                <w:szCs w:val="24"/>
                <w:highlight w:val="none"/>
                <w:lang w:val="en-US" w:eastAsia="en-US" w:bidi="ar-SA"/>
                <w14:textFill>
                  <w14:solidFill>
                    <w14:schemeClr w14:val="tx1"/>
                  </w14:solidFill>
                </w14:textFill>
              </w:rPr>
              <w:t>分。</w:t>
            </w:r>
          </w:p>
        </w:tc>
      </w:tr>
      <w:tr w14:paraId="167A0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vMerge w:val="continue"/>
            <w:vAlign w:val="center"/>
          </w:tcPr>
          <w:p w14:paraId="2002E541">
            <w:pPr>
              <w:widowControl/>
              <w:adjustRightInd w:val="0"/>
              <w:snapToGrid w:val="0"/>
              <w:spacing w:line="360" w:lineRule="auto"/>
              <w:jc w:val="both"/>
              <w:rPr>
                <w:rFonts w:hint="eastAsia" w:ascii="宋体" w:hAnsi="宋体" w:cs="宋体"/>
                <w:color w:val="000000" w:themeColor="text1"/>
                <w:szCs w:val="21"/>
                <w:highlight w:val="none"/>
                <w14:textFill>
                  <w14:solidFill>
                    <w14:schemeClr w14:val="tx1"/>
                  </w14:solidFill>
                </w14:textFill>
              </w:rPr>
            </w:pPr>
          </w:p>
        </w:tc>
        <w:tc>
          <w:tcPr>
            <w:tcW w:w="1461" w:type="dxa"/>
            <w:vMerge w:val="continue"/>
            <w:vAlign w:val="center"/>
          </w:tcPr>
          <w:p w14:paraId="6A0D14A4">
            <w:pPr>
              <w:widowControl/>
              <w:adjustRightInd w:val="0"/>
              <w:snapToGrid w:val="0"/>
              <w:spacing w:line="360" w:lineRule="auto"/>
              <w:jc w:val="both"/>
              <w:rPr>
                <w:rFonts w:hint="eastAsia" w:ascii="宋体" w:hAnsi="宋体" w:cs="宋体"/>
                <w:color w:val="000000" w:themeColor="text1"/>
                <w:szCs w:val="21"/>
                <w:highlight w:val="none"/>
                <w14:textFill>
                  <w14:solidFill>
                    <w14:schemeClr w14:val="tx1"/>
                  </w14:solidFill>
                </w14:textFill>
              </w:rPr>
            </w:pPr>
          </w:p>
        </w:tc>
        <w:tc>
          <w:tcPr>
            <w:tcW w:w="1904" w:type="dxa"/>
            <w:vAlign w:val="center"/>
          </w:tcPr>
          <w:p w14:paraId="3DCF7CFF">
            <w:pPr>
              <w:widowControl/>
              <w:jc w:val="left"/>
              <w:rPr>
                <w:rFonts w:ascii="宋体" w:hAnsi="宋体" w:eastAsia="宋体" w:cs="宋体"/>
                <w:color w:val="000000" w:themeColor="text1"/>
                <w:spacing w:val="0"/>
                <w:w w:val="100"/>
                <w:kern w:val="0"/>
                <w:sz w:val="21"/>
                <w:szCs w:val="24"/>
                <w:highlight w:val="none"/>
                <w:lang w:val="en-US" w:eastAsia="en-US" w:bidi="ar-SA"/>
                <w14:textFill>
                  <w14:solidFill>
                    <w14:schemeClr w14:val="tx1"/>
                  </w14:solidFill>
                </w14:textFill>
              </w:rPr>
            </w:pPr>
            <w:r>
              <w:rPr>
                <w:rFonts w:ascii="宋体" w:hAnsi="宋体" w:eastAsia="宋体" w:cs="宋体"/>
                <w:color w:val="000000" w:themeColor="text1"/>
                <w:spacing w:val="0"/>
                <w:w w:val="100"/>
                <w:kern w:val="0"/>
                <w:sz w:val="21"/>
                <w:szCs w:val="24"/>
                <w:highlight w:val="none"/>
                <w:lang w:val="en-US" w:eastAsia="en-US" w:bidi="ar-SA"/>
                <w14:textFill>
                  <w14:solidFill>
                    <w14:schemeClr w14:val="tx1"/>
                  </w14:solidFill>
                </w14:textFill>
              </w:rPr>
              <w:t>质量保证措施、进度保证措施</w:t>
            </w:r>
          </w:p>
          <w:p w14:paraId="3BD1BEA7">
            <w:pPr>
              <w:widowControl/>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pacing w:val="0"/>
                <w:w w:val="100"/>
                <w:kern w:val="0"/>
                <w:sz w:val="21"/>
                <w:szCs w:val="24"/>
                <w:highlight w:val="none"/>
                <w:lang w:val="en-US" w:eastAsia="zh-CN" w:bidi="ar-SA"/>
                <w14:textFill>
                  <w14:solidFill>
                    <w14:schemeClr w14:val="tx1"/>
                  </w14:solidFill>
                </w14:textFill>
              </w:rPr>
              <w:t>（10分）</w:t>
            </w:r>
          </w:p>
        </w:tc>
        <w:tc>
          <w:tcPr>
            <w:tcW w:w="5576" w:type="dxa"/>
            <w:vAlign w:val="center"/>
          </w:tcPr>
          <w:p w14:paraId="7AE8BC64">
            <w:pPr>
              <w:widowControl/>
              <w:jc w:val="left"/>
              <w:rPr>
                <w:rFonts w:hint="eastAsia" w:ascii="宋体" w:hAnsi="宋体" w:cs="宋体"/>
                <w:color w:val="000000" w:themeColor="text1"/>
                <w:szCs w:val="21"/>
                <w:highlight w:val="none"/>
                <w14:textFill>
                  <w14:solidFill>
                    <w14:schemeClr w14:val="tx1"/>
                  </w14:solidFill>
                </w14:textFill>
              </w:rPr>
            </w:pPr>
            <w:r>
              <w:rPr>
                <w:rFonts w:ascii="宋体" w:hAnsi="宋体" w:eastAsia="宋体" w:cs="宋体"/>
                <w:color w:val="000000" w:themeColor="text1"/>
                <w:spacing w:val="0"/>
                <w:w w:val="100"/>
                <w:kern w:val="0"/>
                <w:sz w:val="21"/>
                <w:szCs w:val="24"/>
                <w:highlight w:val="none"/>
                <w:lang w:val="en-US" w:eastAsia="en-US" w:bidi="ar-SA"/>
                <w14:textFill>
                  <w14:solidFill>
                    <w14:schemeClr w14:val="tx1"/>
                  </w14:solidFill>
                </w14:textFill>
              </w:rPr>
              <w:t>满足采购文件基本要求的，计</w:t>
            </w:r>
            <w:r>
              <w:rPr>
                <w:rFonts w:hint="eastAsia" w:ascii="宋体" w:hAnsi="宋体" w:eastAsia="宋体" w:cs="宋体"/>
                <w:color w:val="000000" w:themeColor="text1"/>
                <w:spacing w:val="0"/>
                <w:w w:val="100"/>
                <w:kern w:val="0"/>
                <w:sz w:val="21"/>
                <w:szCs w:val="24"/>
                <w:highlight w:val="none"/>
                <w:lang w:val="en-US" w:eastAsia="zh-CN" w:bidi="ar-SA"/>
                <w14:textFill>
                  <w14:solidFill>
                    <w14:schemeClr w14:val="tx1"/>
                  </w14:solidFill>
                </w14:textFill>
              </w:rPr>
              <w:t>8</w:t>
            </w:r>
            <w:r>
              <w:rPr>
                <w:rFonts w:ascii="宋体" w:hAnsi="宋体" w:eastAsia="宋体" w:cs="宋体"/>
                <w:color w:val="000000" w:themeColor="text1"/>
                <w:spacing w:val="0"/>
                <w:w w:val="100"/>
                <w:kern w:val="0"/>
                <w:sz w:val="21"/>
                <w:szCs w:val="24"/>
                <w:highlight w:val="none"/>
                <w:lang w:val="en-US" w:eastAsia="en-US" w:bidi="ar-SA"/>
                <w14:textFill>
                  <w14:solidFill>
                    <w14:schemeClr w14:val="tx1"/>
                  </w14:solidFill>
                </w14:textFill>
              </w:rPr>
              <w:t>分，从分析的合理性、科学性及对本项目实施的优化性各方面进行评审，酌情加分，本项最高得</w:t>
            </w:r>
            <w:r>
              <w:rPr>
                <w:rFonts w:hint="eastAsia" w:ascii="宋体" w:hAnsi="宋体" w:eastAsia="宋体" w:cs="宋体"/>
                <w:color w:val="000000" w:themeColor="text1"/>
                <w:spacing w:val="0"/>
                <w:w w:val="100"/>
                <w:kern w:val="0"/>
                <w:sz w:val="21"/>
                <w:szCs w:val="24"/>
                <w:highlight w:val="none"/>
                <w:lang w:val="en-US" w:eastAsia="zh-CN" w:bidi="ar-SA"/>
                <w14:textFill>
                  <w14:solidFill>
                    <w14:schemeClr w14:val="tx1"/>
                  </w14:solidFill>
                </w14:textFill>
              </w:rPr>
              <w:t>10</w:t>
            </w:r>
            <w:r>
              <w:rPr>
                <w:rFonts w:ascii="宋体" w:hAnsi="宋体" w:eastAsia="宋体" w:cs="宋体"/>
                <w:color w:val="000000" w:themeColor="text1"/>
                <w:spacing w:val="0"/>
                <w:w w:val="100"/>
                <w:kern w:val="0"/>
                <w:sz w:val="21"/>
                <w:szCs w:val="24"/>
                <w:highlight w:val="none"/>
                <w:lang w:val="en-US" w:eastAsia="en-US" w:bidi="ar-SA"/>
                <w14:textFill>
                  <w14:solidFill>
                    <w14:schemeClr w14:val="tx1"/>
                  </w14:solidFill>
                </w14:textFill>
              </w:rPr>
              <w:t>分。</w:t>
            </w:r>
          </w:p>
        </w:tc>
      </w:tr>
      <w:tr w14:paraId="5CDA2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tcPr>
          <w:p w14:paraId="1A03779C">
            <w:pPr>
              <w:widowControl/>
              <w:adjustRightInd w:val="0"/>
              <w:snapToGrid w:val="0"/>
              <w:spacing w:line="360" w:lineRule="auto"/>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3.3（3）</w:t>
            </w:r>
          </w:p>
        </w:tc>
        <w:tc>
          <w:tcPr>
            <w:tcW w:w="1461" w:type="dxa"/>
          </w:tcPr>
          <w:p w14:paraId="469EE97A">
            <w:pPr>
              <w:widowControl/>
              <w:adjustRightInd w:val="0"/>
              <w:snapToGrid w:val="0"/>
              <w:spacing w:line="360" w:lineRule="auto"/>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报价评分标准</w:t>
            </w:r>
          </w:p>
        </w:tc>
        <w:tc>
          <w:tcPr>
            <w:tcW w:w="7480" w:type="dxa"/>
            <w:gridSpan w:val="2"/>
          </w:tcPr>
          <w:p w14:paraId="706C9C71">
            <w:pPr>
              <w:widowControl/>
              <w:jc w:val="both"/>
              <w:rPr>
                <w:rFonts w:ascii="宋体" w:hAnsi="宋体" w:eastAsia="宋体" w:cs="宋体"/>
                <w:color w:val="000000" w:themeColor="text1"/>
                <w:spacing w:val="0"/>
                <w:w w:val="100"/>
                <w:kern w:val="0"/>
                <w:sz w:val="21"/>
                <w:szCs w:val="24"/>
                <w:highlight w:val="none"/>
                <w:lang w:val="en-US" w:eastAsia="en-US" w:bidi="ar-SA"/>
                <w14:textFill>
                  <w14:solidFill>
                    <w14:schemeClr w14:val="tx1"/>
                  </w14:solidFill>
                </w14:textFill>
              </w:rPr>
            </w:pPr>
            <w:r>
              <w:rPr>
                <w:rFonts w:ascii="宋体" w:hAnsi="宋体" w:eastAsia="宋体" w:cs="宋体"/>
                <w:color w:val="000000" w:themeColor="text1"/>
                <w:spacing w:val="0"/>
                <w:w w:val="100"/>
                <w:kern w:val="0"/>
                <w:sz w:val="21"/>
                <w:szCs w:val="24"/>
                <w:highlight w:val="none"/>
                <w:lang w:val="en-US" w:eastAsia="en-US" w:bidi="ar-SA"/>
                <w14:textFill>
                  <w14:solidFill>
                    <w14:schemeClr w14:val="tx1"/>
                  </w14:solidFill>
                </w14:textFill>
              </w:rPr>
              <w:t>方法一:偏差率=(</w:t>
            </w:r>
            <w:r>
              <w:rPr>
                <w:rFonts w:hint="eastAsia" w:ascii="宋体" w:hAnsi="宋体" w:eastAsia="宋体" w:cs="宋体"/>
                <w:color w:val="000000" w:themeColor="text1"/>
                <w:spacing w:val="0"/>
                <w:w w:val="100"/>
                <w:kern w:val="0"/>
                <w:sz w:val="21"/>
                <w:szCs w:val="24"/>
                <w:highlight w:val="none"/>
                <w:lang w:val="en-US" w:eastAsia="zh-CN" w:bidi="ar-SA"/>
                <w14:textFill>
                  <w14:solidFill>
                    <w14:schemeClr w14:val="tx1"/>
                  </w14:solidFill>
                </w14:textFill>
              </w:rPr>
              <w:t>响应人</w:t>
            </w:r>
            <w:r>
              <w:rPr>
                <w:rFonts w:ascii="宋体" w:hAnsi="宋体" w:eastAsia="宋体" w:cs="宋体"/>
                <w:color w:val="000000" w:themeColor="text1"/>
                <w:spacing w:val="0"/>
                <w:w w:val="100"/>
                <w:kern w:val="0"/>
                <w:sz w:val="21"/>
                <w:szCs w:val="24"/>
                <w:highlight w:val="none"/>
                <w:lang w:val="en-US" w:eastAsia="en-US" w:bidi="ar-SA"/>
                <w14:textFill>
                  <w14:solidFill>
                    <w14:schemeClr w14:val="tx1"/>
                  </w14:solidFill>
                </w14:textFill>
              </w:rPr>
              <w:t>评审价格-评审基准价)/评审基准价×100%</w:t>
            </w:r>
          </w:p>
          <w:p w14:paraId="38C11D33">
            <w:pPr>
              <w:widowControl/>
              <w:jc w:val="both"/>
              <w:rPr>
                <w:rFonts w:ascii="宋体" w:hAnsi="宋体" w:eastAsia="宋体" w:cs="宋体"/>
                <w:color w:val="000000" w:themeColor="text1"/>
                <w:spacing w:val="0"/>
                <w:w w:val="100"/>
                <w:kern w:val="0"/>
                <w:sz w:val="21"/>
                <w:szCs w:val="24"/>
                <w:highlight w:val="none"/>
                <w:lang w:val="en-US" w:eastAsia="en-US" w:bidi="ar-SA"/>
                <w14:textFill>
                  <w14:solidFill>
                    <w14:schemeClr w14:val="tx1"/>
                  </w14:solidFill>
                </w14:textFill>
              </w:rPr>
            </w:pPr>
            <w:r>
              <w:rPr>
                <w:rFonts w:ascii="宋体" w:hAnsi="宋体" w:eastAsia="宋体" w:cs="宋体"/>
                <w:color w:val="000000" w:themeColor="text1"/>
                <w:spacing w:val="0"/>
                <w:w w:val="100"/>
                <w:kern w:val="0"/>
                <w:sz w:val="21"/>
                <w:szCs w:val="24"/>
                <w:highlight w:val="none"/>
                <w:lang w:val="en-US" w:eastAsia="en-US" w:bidi="ar-SA"/>
                <w14:textFill>
                  <w14:solidFill>
                    <w14:schemeClr w14:val="tx1"/>
                  </w14:solidFill>
                </w14:textFill>
              </w:rPr>
              <w:t>①如果</w:t>
            </w:r>
            <w:r>
              <w:rPr>
                <w:rFonts w:hint="eastAsia" w:ascii="宋体" w:hAnsi="宋体" w:eastAsia="宋体" w:cs="宋体"/>
                <w:color w:val="000000" w:themeColor="text1"/>
                <w:spacing w:val="0"/>
                <w:w w:val="100"/>
                <w:kern w:val="0"/>
                <w:sz w:val="21"/>
                <w:szCs w:val="24"/>
                <w:highlight w:val="none"/>
                <w:lang w:val="en-US" w:eastAsia="zh-CN" w:bidi="ar-SA"/>
                <w14:textFill>
                  <w14:solidFill>
                    <w14:schemeClr w14:val="tx1"/>
                  </w14:solidFill>
                </w14:textFill>
              </w:rPr>
              <w:t>响应人</w:t>
            </w:r>
            <w:r>
              <w:rPr>
                <w:rFonts w:ascii="宋体" w:hAnsi="宋体" w:eastAsia="宋体" w:cs="宋体"/>
                <w:color w:val="000000" w:themeColor="text1"/>
                <w:spacing w:val="0"/>
                <w:w w:val="100"/>
                <w:kern w:val="0"/>
                <w:sz w:val="21"/>
                <w:szCs w:val="24"/>
                <w:highlight w:val="none"/>
                <w:lang w:val="en-US" w:eastAsia="en-US" w:bidi="ar-SA"/>
                <w14:textFill>
                  <w14:solidFill>
                    <w14:schemeClr w14:val="tx1"/>
                  </w14:solidFill>
                </w14:textFill>
              </w:rPr>
              <w:t>的评审价格&gt;评审基准价，则报价得分=F-偏差率×100×</w:t>
            </w:r>
            <w:r>
              <w:rPr>
                <w:rFonts w:hint="eastAsia" w:ascii="宋体" w:hAnsi="宋体" w:eastAsia="宋体" w:cs="宋体"/>
                <w:color w:val="000000" w:themeColor="text1"/>
                <w:spacing w:val="0"/>
                <w:w w:val="100"/>
                <w:kern w:val="0"/>
                <w:sz w:val="21"/>
                <w:szCs w:val="24"/>
                <w:highlight w:val="none"/>
                <w:lang w:val="en-US" w:eastAsia="zh-CN" w:bidi="ar-SA"/>
                <w14:textFill>
                  <w14:solidFill>
                    <w14:schemeClr w14:val="tx1"/>
                  </w14:solidFill>
                </w14:textFill>
              </w:rPr>
              <w:t>0.2</w:t>
            </w:r>
            <w:r>
              <w:rPr>
                <w:rFonts w:ascii="宋体" w:hAnsi="宋体" w:eastAsia="宋体" w:cs="宋体"/>
                <w:color w:val="000000" w:themeColor="text1"/>
                <w:spacing w:val="0"/>
                <w:w w:val="100"/>
                <w:kern w:val="0"/>
                <w:sz w:val="21"/>
                <w:szCs w:val="24"/>
                <w:highlight w:val="none"/>
                <w:lang w:val="en-US" w:eastAsia="en-US" w:bidi="ar-SA"/>
                <w14:textFill>
                  <w14:solidFill>
                    <w14:schemeClr w14:val="tx1"/>
                  </w14:solidFill>
                </w14:textFill>
              </w:rPr>
              <w:t>;</w:t>
            </w:r>
          </w:p>
          <w:p w14:paraId="05296F9D">
            <w:pPr>
              <w:widowControl/>
              <w:jc w:val="both"/>
              <w:rPr>
                <w:rFonts w:ascii="宋体" w:hAnsi="宋体" w:eastAsia="宋体" w:cs="宋体"/>
                <w:color w:val="000000" w:themeColor="text1"/>
                <w:spacing w:val="0"/>
                <w:w w:val="100"/>
                <w:kern w:val="0"/>
                <w:sz w:val="21"/>
                <w:szCs w:val="24"/>
                <w:highlight w:val="none"/>
                <w:lang w:val="en-US" w:eastAsia="en-US" w:bidi="ar-SA"/>
                <w14:textFill>
                  <w14:solidFill>
                    <w14:schemeClr w14:val="tx1"/>
                  </w14:solidFill>
                </w14:textFill>
              </w:rPr>
            </w:pPr>
            <w:r>
              <w:rPr>
                <w:rFonts w:ascii="宋体" w:hAnsi="宋体" w:eastAsia="宋体" w:cs="宋体"/>
                <w:color w:val="000000" w:themeColor="text1"/>
                <w:spacing w:val="0"/>
                <w:w w:val="100"/>
                <w:kern w:val="0"/>
                <w:sz w:val="21"/>
                <w:szCs w:val="24"/>
                <w:highlight w:val="none"/>
                <w:lang w:val="en-US" w:eastAsia="en-US" w:bidi="ar-SA"/>
                <w14:textFill>
                  <w14:solidFill>
                    <w14:schemeClr w14:val="tx1"/>
                  </w14:solidFill>
                </w14:textFill>
              </w:rPr>
              <w:t>②如果</w:t>
            </w:r>
            <w:r>
              <w:rPr>
                <w:rFonts w:hint="eastAsia" w:ascii="宋体" w:hAnsi="宋体" w:eastAsia="宋体" w:cs="宋体"/>
                <w:color w:val="000000" w:themeColor="text1"/>
                <w:spacing w:val="0"/>
                <w:w w:val="100"/>
                <w:kern w:val="0"/>
                <w:sz w:val="21"/>
                <w:szCs w:val="24"/>
                <w:highlight w:val="none"/>
                <w:lang w:val="en-US" w:eastAsia="zh-CN" w:bidi="ar-SA"/>
                <w14:textFill>
                  <w14:solidFill>
                    <w14:schemeClr w14:val="tx1"/>
                  </w14:solidFill>
                </w14:textFill>
              </w:rPr>
              <w:t>响应人</w:t>
            </w:r>
            <w:r>
              <w:rPr>
                <w:rFonts w:ascii="宋体" w:hAnsi="宋体" w:eastAsia="宋体" w:cs="宋体"/>
                <w:color w:val="000000" w:themeColor="text1"/>
                <w:spacing w:val="0"/>
                <w:w w:val="100"/>
                <w:kern w:val="0"/>
                <w:sz w:val="21"/>
                <w:szCs w:val="24"/>
                <w:highlight w:val="none"/>
                <w:lang w:val="en-US" w:eastAsia="en-US" w:bidi="ar-SA"/>
                <w14:textFill>
                  <w14:solidFill>
                    <w14:schemeClr w14:val="tx1"/>
                  </w14:solidFill>
                </w14:textFill>
              </w:rPr>
              <w:t>的评审价格≤评审基准价，则报价得分=F+偏差率×100×0.</w:t>
            </w:r>
            <w:r>
              <w:rPr>
                <w:rFonts w:hint="eastAsia" w:ascii="宋体" w:hAnsi="宋体" w:eastAsia="宋体" w:cs="宋体"/>
                <w:color w:val="000000" w:themeColor="text1"/>
                <w:spacing w:val="0"/>
                <w:w w:val="100"/>
                <w:kern w:val="0"/>
                <w:sz w:val="21"/>
                <w:szCs w:val="24"/>
                <w:highlight w:val="none"/>
                <w:lang w:val="en-US" w:eastAsia="zh-CN" w:bidi="ar-SA"/>
                <w14:textFill>
                  <w14:solidFill>
                    <w14:schemeClr w14:val="tx1"/>
                  </w14:solidFill>
                </w14:textFill>
              </w:rPr>
              <w:t>1</w:t>
            </w:r>
            <w:r>
              <w:rPr>
                <w:rFonts w:ascii="宋体" w:hAnsi="宋体" w:eastAsia="宋体" w:cs="宋体"/>
                <w:color w:val="000000" w:themeColor="text1"/>
                <w:spacing w:val="0"/>
                <w:w w:val="100"/>
                <w:kern w:val="0"/>
                <w:sz w:val="21"/>
                <w:szCs w:val="24"/>
                <w:highlight w:val="none"/>
                <w:lang w:val="en-US" w:eastAsia="en-US" w:bidi="ar-SA"/>
                <w14:textFill>
                  <w14:solidFill>
                    <w14:schemeClr w14:val="tx1"/>
                  </w14:solidFill>
                </w14:textFill>
              </w:rPr>
              <w:t>.</w:t>
            </w:r>
          </w:p>
          <w:p w14:paraId="625EE49E">
            <w:pPr>
              <w:widowControl/>
              <w:jc w:val="left"/>
              <w:rPr>
                <w:rFonts w:ascii="宋体" w:hAnsi="宋体" w:eastAsia="宋体" w:cs="宋体"/>
                <w:color w:val="000000" w:themeColor="text1"/>
                <w:spacing w:val="0"/>
                <w:w w:val="100"/>
                <w:kern w:val="0"/>
                <w:sz w:val="21"/>
                <w:szCs w:val="24"/>
                <w:highlight w:val="none"/>
                <w:lang w:val="en-US" w:eastAsia="en-US" w:bidi="ar-SA"/>
                <w14:textFill>
                  <w14:solidFill>
                    <w14:schemeClr w14:val="tx1"/>
                  </w14:solidFill>
                </w14:textFill>
              </w:rPr>
            </w:pPr>
            <w:r>
              <w:rPr>
                <w:rFonts w:ascii="宋体" w:hAnsi="宋体" w:eastAsia="宋体" w:cs="宋体"/>
                <w:color w:val="000000" w:themeColor="text1"/>
                <w:spacing w:val="0"/>
                <w:w w:val="100"/>
                <w:kern w:val="0"/>
                <w:sz w:val="21"/>
                <w:szCs w:val="24"/>
                <w:highlight w:val="none"/>
                <w:lang w:val="en-US" w:eastAsia="en-US" w:bidi="ar-SA"/>
                <w14:textFill>
                  <w14:solidFill>
                    <w14:schemeClr w14:val="tx1"/>
                  </w14:solidFill>
                </w14:textFill>
              </w:rPr>
              <w:t>其中F为报价所占的分值；E1是评审价格每高于评审基准价一个百分点的扣分值、E2是评审价格每低于评审基准价一个百分点的扣分值，E1可大于或等于E2。</w:t>
            </w:r>
          </w:p>
          <w:p w14:paraId="54C71A23">
            <w:pPr>
              <w:widowControl/>
              <w:adjustRightInd w:val="0"/>
              <w:snapToGrid w:val="0"/>
              <w:spacing w:line="360" w:lineRule="auto"/>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F=20；E1=0.2；E2=0.1。</w:t>
            </w:r>
          </w:p>
        </w:tc>
      </w:tr>
      <w:tr w14:paraId="0B958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tcPr>
          <w:p w14:paraId="4AA84055">
            <w:pPr>
              <w:widowControl/>
              <w:adjustRightInd w:val="0"/>
              <w:snapToGrid w:val="0"/>
              <w:spacing w:line="360" w:lineRule="auto"/>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3.3（4）</w:t>
            </w:r>
          </w:p>
        </w:tc>
        <w:tc>
          <w:tcPr>
            <w:tcW w:w="1461" w:type="dxa"/>
          </w:tcPr>
          <w:p w14:paraId="5F196618">
            <w:pPr>
              <w:widowControl/>
              <w:adjustRightInd w:val="0"/>
              <w:snapToGrid w:val="0"/>
              <w:spacing w:line="360" w:lineRule="auto"/>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其他因素评分标准</w:t>
            </w:r>
          </w:p>
        </w:tc>
        <w:tc>
          <w:tcPr>
            <w:tcW w:w="1904" w:type="dxa"/>
          </w:tcPr>
          <w:p w14:paraId="77DB9196">
            <w:pPr>
              <w:widowControl/>
              <w:adjustRightInd w:val="0"/>
              <w:snapToGrid w:val="0"/>
              <w:spacing w:line="360" w:lineRule="auto"/>
              <w:jc w:val="both"/>
              <w:rPr>
                <w:rFonts w:hint="eastAsia" w:ascii="宋体" w:hAnsi="宋体" w:cs="宋体"/>
                <w:color w:val="000000" w:themeColor="text1"/>
                <w:szCs w:val="21"/>
                <w:highlight w:val="none"/>
                <w14:textFill>
                  <w14:solidFill>
                    <w14:schemeClr w14:val="tx1"/>
                  </w14:solidFill>
                </w14:textFill>
              </w:rPr>
            </w:pPr>
          </w:p>
        </w:tc>
        <w:tc>
          <w:tcPr>
            <w:tcW w:w="5576" w:type="dxa"/>
          </w:tcPr>
          <w:p w14:paraId="3FF38419">
            <w:pPr>
              <w:widowControl/>
              <w:adjustRightInd w:val="0"/>
              <w:snapToGrid w:val="0"/>
              <w:spacing w:line="360" w:lineRule="auto"/>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p>
        </w:tc>
      </w:tr>
      <w:tr w14:paraId="32D73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1" w:type="dxa"/>
            <w:gridSpan w:val="2"/>
          </w:tcPr>
          <w:p w14:paraId="7381379E">
            <w:pPr>
              <w:widowControl/>
              <w:adjustRightInd w:val="0"/>
              <w:snapToGrid w:val="0"/>
              <w:spacing w:line="360" w:lineRule="auto"/>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条款号</w:t>
            </w:r>
          </w:p>
        </w:tc>
        <w:tc>
          <w:tcPr>
            <w:tcW w:w="1904" w:type="dxa"/>
          </w:tcPr>
          <w:p w14:paraId="143CEB4A">
            <w:pPr>
              <w:widowControl/>
              <w:adjustRightInd w:val="0"/>
              <w:snapToGrid w:val="0"/>
              <w:spacing w:line="360" w:lineRule="auto"/>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条款内容</w:t>
            </w:r>
          </w:p>
        </w:tc>
        <w:tc>
          <w:tcPr>
            <w:tcW w:w="5576" w:type="dxa"/>
          </w:tcPr>
          <w:p w14:paraId="302C1E2B">
            <w:pPr>
              <w:widowControl/>
              <w:adjustRightInd w:val="0"/>
              <w:snapToGrid w:val="0"/>
              <w:spacing w:line="360" w:lineRule="auto"/>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编列内容</w:t>
            </w:r>
          </w:p>
        </w:tc>
      </w:tr>
      <w:tr w14:paraId="590CC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1" w:type="dxa"/>
            <w:gridSpan w:val="2"/>
          </w:tcPr>
          <w:p w14:paraId="1EDBBE00">
            <w:pPr>
              <w:widowControl/>
              <w:adjustRightInd w:val="0"/>
              <w:snapToGrid w:val="0"/>
              <w:spacing w:line="360" w:lineRule="auto"/>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3.6</w:t>
            </w:r>
          </w:p>
        </w:tc>
        <w:tc>
          <w:tcPr>
            <w:tcW w:w="1904" w:type="dxa"/>
          </w:tcPr>
          <w:p w14:paraId="5A237A13">
            <w:pPr>
              <w:widowControl/>
              <w:adjustRightInd w:val="0"/>
              <w:snapToGrid w:val="0"/>
              <w:spacing w:line="360" w:lineRule="auto"/>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供应商并列时确定供应商优先顺序的规则</w:t>
            </w:r>
          </w:p>
        </w:tc>
        <w:tc>
          <w:tcPr>
            <w:tcW w:w="5576" w:type="dxa"/>
          </w:tcPr>
          <w:p w14:paraId="4511842C">
            <w:pPr>
              <w:widowControl/>
              <w:adjustRightInd w:val="0"/>
              <w:snapToGrid w:val="0"/>
              <w:spacing w:line="360" w:lineRule="auto"/>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由评审小组投票决定</w:t>
            </w:r>
          </w:p>
          <w:p w14:paraId="56EC9D06">
            <w:pPr>
              <w:widowControl/>
              <w:adjustRightInd w:val="0"/>
              <w:snapToGrid w:val="0"/>
              <w:spacing w:line="360" w:lineRule="auto"/>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由评审小组抽签决定</w:t>
            </w:r>
          </w:p>
          <w:p w14:paraId="65BE351A">
            <w:pPr>
              <w:widowControl/>
              <w:adjustRightInd w:val="0"/>
              <w:snapToGrid w:val="0"/>
              <w:spacing w:line="360" w:lineRule="auto"/>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其他方法：评审得分相同的，按照投标报价由低到高的顺序推荐。评审得分一致，且投标报价相同的，随机抽取确定排序。</w:t>
            </w:r>
          </w:p>
        </w:tc>
      </w:tr>
    </w:tbl>
    <w:p w14:paraId="613E10EA">
      <w:pPr>
        <w:spacing w:line="600" w:lineRule="exact"/>
        <w:rPr>
          <w:rFonts w:hint="eastAsia" w:ascii="仿宋" w:hAnsi="仿宋" w:eastAsia="仿宋" w:cs="仿宋"/>
          <w:color w:val="000000" w:themeColor="text1"/>
          <w:sz w:val="30"/>
          <w:szCs w:val="30"/>
          <w:highlight w:val="none"/>
          <w14:textFill>
            <w14:solidFill>
              <w14:schemeClr w14:val="tx1"/>
            </w14:solidFill>
          </w14:textFill>
        </w:rPr>
      </w:pPr>
      <w:r>
        <w:rPr>
          <w:rFonts w:hint="eastAsia" w:ascii="仿宋" w:hAnsi="仿宋" w:eastAsia="仿宋" w:cs="仿宋"/>
          <w:color w:val="000000" w:themeColor="text1"/>
          <w:sz w:val="30"/>
          <w:szCs w:val="30"/>
          <w:highlight w:val="none"/>
          <w14:textFill>
            <w14:solidFill>
              <w14:schemeClr w14:val="tx1"/>
            </w14:solidFill>
          </w14:textFill>
        </w:rPr>
        <w:br w:type="page"/>
      </w:r>
    </w:p>
    <w:p w14:paraId="1B4FFA3D">
      <w:pPr>
        <w:adjustRightInd w:val="0"/>
        <w:snapToGrid w:val="0"/>
        <w:spacing w:line="600" w:lineRule="exact"/>
        <w:jc w:val="center"/>
        <w:rPr>
          <w:rFonts w:hint="eastAsia" w:ascii="宋体" w:hAnsi="宋体" w:cs="宋体"/>
          <w:b/>
          <w:bCs/>
          <w:color w:val="000000" w:themeColor="text1"/>
          <w:sz w:val="36"/>
          <w:szCs w:val="36"/>
          <w:highlight w:val="none"/>
          <w14:textFill>
            <w14:solidFill>
              <w14:schemeClr w14:val="tx1"/>
            </w14:solidFill>
          </w14:textFill>
        </w:rPr>
      </w:pPr>
      <w:r>
        <w:rPr>
          <w:rFonts w:hint="eastAsia" w:ascii="宋体" w:hAnsi="宋体" w:cs="宋体"/>
          <w:b/>
          <w:bCs/>
          <w:color w:val="000000" w:themeColor="text1"/>
          <w:sz w:val="36"/>
          <w:szCs w:val="36"/>
          <w:highlight w:val="none"/>
          <w14:textFill>
            <w14:solidFill>
              <w14:schemeClr w14:val="tx1"/>
            </w14:solidFill>
          </w14:textFill>
        </w:rPr>
        <w:t>评审办法正文</w:t>
      </w:r>
    </w:p>
    <w:p w14:paraId="4AAC9B14">
      <w:pPr>
        <w:adjustRightInd w:val="0"/>
        <w:snapToGrid w:val="0"/>
        <w:spacing w:line="360" w:lineRule="auto"/>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1评审方法(最低价法)</w:t>
      </w:r>
    </w:p>
    <w:p w14:paraId="61F2686A">
      <w:pPr>
        <w:adjustRightInd w:val="0"/>
        <w:snapToGrid w:val="0"/>
        <w:spacing w:line="360" w:lineRule="auto"/>
        <w:ind w:firstLine="453" w:firstLineChars="189"/>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次评审采用最低价法。评审小组对满足采购文件实质性要求的响应文件按照本章第2.2.2项规定的方法确定供应商响应报价的评审价格，并按照评审价格由低到高的顺序推荐候选成交供应商（有抵扣要求的采购项目，按附录比价）。</w:t>
      </w:r>
    </w:p>
    <w:p w14:paraId="0804ACCF">
      <w:pPr>
        <w:adjustRightInd w:val="0"/>
        <w:snapToGrid w:val="0"/>
        <w:spacing w:line="360" w:lineRule="auto"/>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1评审方法(综合评分法)</w:t>
      </w:r>
    </w:p>
    <w:p w14:paraId="0DBFB34C">
      <w:pPr>
        <w:adjustRightInd w:val="0"/>
        <w:snapToGrid w:val="0"/>
        <w:spacing w:line="360" w:lineRule="auto"/>
        <w:ind w:firstLine="453" w:firstLineChars="189"/>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本次评审采用综合评分法。评审小组对满足采购文件实质性要求的响应文件，按照本章第3条规定的评分标准进行打分，并按得分由高到低的顺序推荐候选成交供应商。</w:t>
      </w:r>
    </w:p>
    <w:p w14:paraId="1F8E5B9A">
      <w:pPr>
        <w:adjustRightInd w:val="0"/>
        <w:snapToGrid w:val="0"/>
        <w:spacing w:line="360" w:lineRule="auto"/>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1评审方法(投票法)</w:t>
      </w:r>
    </w:p>
    <w:p w14:paraId="2F28F11E">
      <w:pPr>
        <w:adjustRightInd w:val="0"/>
        <w:snapToGrid w:val="0"/>
        <w:spacing w:line="360" w:lineRule="auto"/>
        <w:ind w:firstLine="453" w:firstLineChars="189"/>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本次评审采用投票法。评审小组对满足采购文件实质性要求的响应文件进行综合评价后，按照投票确定的供应商优先顺序推荐候选成交供应商。</w:t>
      </w:r>
    </w:p>
    <w:p w14:paraId="04EEA21C">
      <w:pPr>
        <w:adjustRightInd w:val="0"/>
        <w:snapToGrid w:val="0"/>
        <w:spacing w:line="360" w:lineRule="auto"/>
        <w:ind w:firstLine="453" w:firstLineChars="189"/>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(注：上述三种评审方法，采购人应选择其中一种评审方法作为本项目的评审方法，并在评审办法前附表中载明。投票法仅适用于方案、创意、设计等无法量化比较的采购项目)</w:t>
      </w:r>
    </w:p>
    <w:p w14:paraId="69B5CADA">
      <w:pPr>
        <w:adjustRightInd w:val="0"/>
        <w:snapToGrid w:val="0"/>
        <w:spacing w:line="360" w:lineRule="auto"/>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2初步评审标准和程序</w:t>
      </w:r>
    </w:p>
    <w:p w14:paraId="11FB6D34">
      <w:pPr>
        <w:adjustRightInd w:val="0"/>
        <w:snapToGrid w:val="0"/>
        <w:spacing w:line="360" w:lineRule="auto"/>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2.1初步评审标准</w:t>
      </w:r>
    </w:p>
    <w:p w14:paraId="2AC54268">
      <w:pPr>
        <w:adjustRightInd w:val="0"/>
        <w:snapToGrid w:val="0"/>
        <w:spacing w:line="360" w:lineRule="auto"/>
        <w:ind w:firstLine="453" w:firstLineChars="189"/>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2.1.1形式评审标准：见评审办法前附表。</w:t>
      </w:r>
    </w:p>
    <w:p w14:paraId="7A3F8A6A">
      <w:pPr>
        <w:adjustRightInd w:val="0"/>
        <w:snapToGrid w:val="0"/>
        <w:spacing w:line="360" w:lineRule="auto"/>
        <w:ind w:firstLine="453" w:firstLineChars="189"/>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2.1.2资格评审标准：见评审办法前附表。</w:t>
      </w:r>
    </w:p>
    <w:p w14:paraId="37E17994">
      <w:pPr>
        <w:adjustRightInd w:val="0"/>
        <w:snapToGrid w:val="0"/>
        <w:spacing w:line="360" w:lineRule="auto"/>
        <w:ind w:firstLine="453" w:firstLineChars="189"/>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2.1.3响应性评审标准：见评审办法前附表。</w:t>
      </w:r>
    </w:p>
    <w:p w14:paraId="1E9DF80D">
      <w:pPr>
        <w:adjustRightInd w:val="0"/>
        <w:snapToGrid w:val="0"/>
        <w:spacing w:line="360" w:lineRule="auto"/>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2.2初步评审程序</w:t>
      </w:r>
    </w:p>
    <w:p w14:paraId="1B46EAC3">
      <w:pPr>
        <w:adjustRightInd w:val="0"/>
        <w:snapToGrid w:val="0"/>
        <w:spacing w:line="360" w:lineRule="auto"/>
        <w:ind w:firstLine="453" w:firstLineChars="189"/>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2.2.1评审小组依据本章第2.1款规定的标准对供应商</w:t>
      </w:r>
      <w:r>
        <w:rPr>
          <w:rFonts w:hint="eastAsia" w:ascii="宋体" w:hAnsi="宋体" w:cs="宋体"/>
          <w:color w:val="000000" w:themeColor="text1"/>
          <w:sz w:val="24"/>
          <w:highlight w:val="none"/>
          <w:lang w:eastAsia="zh-CN"/>
          <w14:textFill>
            <w14:solidFill>
              <w14:schemeClr w14:val="tx1"/>
            </w14:solidFill>
          </w14:textFill>
        </w:rPr>
        <w:t>递交</w:t>
      </w:r>
      <w:r>
        <w:rPr>
          <w:rFonts w:hint="eastAsia" w:ascii="宋体" w:hAnsi="宋体" w:cs="宋体"/>
          <w:color w:val="000000" w:themeColor="text1"/>
          <w:sz w:val="24"/>
          <w:highlight w:val="none"/>
          <w14:textFill>
            <w14:solidFill>
              <w14:schemeClr w14:val="tx1"/>
            </w14:solidFill>
          </w14:textFill>
        </w:rPr>
        <w:t>的响应文件进行初步评审，判断响应文件的形式是否符合要求，供应商是否符合资格条件，响应文件是否实质性响应采购文件的要求。只有以上评审合格的响应文件才可通过初步评审。</w:t>
      </w:r>
    </w:p>
    <w:p w14:paraId="1AF0B22D">
      <w:pPr>
        <w:adjustRightInd w:val="0"/>
        <w:snapToGrid w:val="0"/>
        <w:spacing w:line="360" w:lineRule="auto"/>
        <w:ind w:firstLine="453" w:firstLineChars="189"/>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2.2.2除评审办法前附表另有规定外，评审价格为供应商在响应函中填报的大写含税价格。</w:t>
      </w:r>
    </w:p>
    <w:p w14:paraId="1B312D74">
      <w:pPr>
        <w:adjustRightInd w:val="0"/>
        <w:snapToGrid w:val="0"/>
        <w:spacing w:line="360" w:lineRule="auto"/>
        <w:ind w:firstLine="453" w:firstLineChars="189"/>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评审价格若超过最高限价(如有)，其响应文件将被视为无效。</w:t>
      </w:r>
    </w:p>
    <w:p w14:paraId="7C04E24E">
      <w:pPr>
        <w:adjustRightInd w:val="0"/>
        <w:snapToGrid w:val="0"/>
        <w:spacing w:line="360" w:lineRule="auto"/>
        <w:ind w:firstLine="453" w:firstLineChars="189"/>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评审小组经过对供应商的报价进行比较或基于专业经验认为某一供应商的报价异常过低，可能对其履约造成影响时，应当要求该供应商作出书面说明并提供相应的证明材料。供应商不能合理说明或者不能提供相应证明材料的，其响应文件将被视为无效。</w:t>
      </w:r>
    </w:p>
    <w:p w14:paraId="50421794">
      <w:pPr>
        <w:adjustRightInd w:val="0"/>
        <w:snapToGrid w:val="0"/>
        <w:spacing w:line="360" w:lineRule="auto"/>
        <w:ind w:firstLine="453" w:firstLineChars="189"/>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2.2.3响应文件中有含义不明确、同类问题表述不一致或有明显文字和计算错误的内容，评审小组可要求供应商在规定时间内进行澄清、说明和补正。供应商澄清、说明和补正的内容应由法定代表人(单位负责人)或其授权的代理人签字或加盖单位章。澄清、说明和补正不得超出响应文件的范围且不得改变响应文件的实质性内容，并构成响应文件的组成部分。</w:t>
      </w:r>
    </w:p>
    <w:p w14:paraId="11C7A3FA">
      <w:pPr>
        <w:adjustRightInd w:val="0"/>
        <w:snapToGrid w:val="0"/>
        <w:spacing w:line="360" w:lineRule="auto"/>
        <w:ind w:firstLine="453" w:firstLineChars="189"/>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响应报价有算术错误及其他错误的，评审小组按以下原则要求供应商对响应报价进行修正，并要求供应商书面澄清确认。供应商拒不澄清确认的，其响应文件将被视为无效：</w:t>
      </w:r>
    </w:p>
    <w:p w14:paraId="7AB6CD80">
      <w:pPr>
        <w:tabs>
          <w:tab w:val="left" w:pos="312"/>
        </w:tabs>
        <w:adjustRightInd w:val="0"/>
        <w:snapToGrid w:val="0"/>
        <w:spacing w:line="360" w:lineRule="auto"/>
        <w:ind w:firstLine="453" w:firstLineChars="189"/>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(1)大写金额与小写金额不一致的，以大写金额为准；</w:t>
      </w:r>
    </w:p>
    <w:p w14:paraId="41EE8948">
      <w:pPr>
        <w:tabs>
          <w:tab w:val="left" w:pos="312"/>
        </w:tabs>
        <w:adjustRightInd w:val="0"/>
        <w:snapToGrid w:val="0"/>
        <w:spacing w:line="360" w:lineRule="auto"/>
        <w:ind w:firstLine="453" w:firstLineChars="189"/>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(2)总价金额与单价金额不一致的，以单价金额为准，但单价金额小数点有明显错误的除外；</w:t>
      </w:r>
    </w:p>
    <w:p w14:paraId="02B59C5A">
      <w:pPr>
        <w:tabs>
          <w:tab w:val="left" w:pos="312"/>
        </w:tabs>
        <w:adjustRightInd w:val="0"/>
        <w:snapToGrid w:val="0"/>
        <w:spacing w:line="360" w:lineRule="auto"/>
        <w:ind w:firstLine="453" w:firstLineChars="189"/>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(3)报价表合计报价与分项报价的合计不一致的，以各分项报价的合价累计数为准；</w:t>
      </w:r>
    </w:p>
    <w:p w14:paraId="01731A8E">
      <w:pPr>
        <w:tabs>
          <w:tab w:val="left" w:pos="312"/>
        </w:tabs>
        <w:adjustRightInd w:val="0"/>
        <w:snapToGrid w:val="0"/>
        <w:spacing w:line="360" w:lineRule="auto"/>
        <w:ind w:firstLine="453" w:firstLineChars="189"/>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(4)如果分项报价中存在缺漏项，且缺漏项内容不属于实质性偏差的，则视为缺漏项内容的价格已包含在其他分项报价之中。</w:t>
      </w:r>
    </w:p>
    <w:p w14:paraId="4A06E407">
      <w:pPr>
        <w:tabs>
          <w:tab w:val="left" w:pos="312"/>
        </w:tabs>
        <w:adjustRightInd w:val="0"/>
        <w:snapToGrid w:val="0"/>
        <w:spacing w:line="360" w:lineRule="auto"/>
        <w:ind w:firstLine="453" w:firstLineChars="189"/>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响应报价的算术错误修正不改变评审依据的响应总报价。当修正后的总报价高于原响应报价时，视同供应商响应报价错误产生少漏计费用，签订合同时由供应商承担，如评审小组认为供应商无法承受少漏计费用，可以将响应报价作为异常低价处理；当修正后的总报价低于原响应报价时，签订合同时以修正后的报价为准。</w:t>
      </w:r>
    </w:p>
    <w:p w14:paraId="4C1E55CC">
      <w:pPr>
        <w:adjustRightInd w:val="0"/>
        <w:snapToGrid w:val="0"/>
        <w:spacing w:line="360" w:lineRule="auto"/>
        <w:ind w:firstLine="453" w:firstLineChars="189"/>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2.2.4供应商有串通，弄虚作假、行贿等违法行为的，其响应文件将被视为无效。</w:t>
      </w:r>
    </w:p>
    <w:p w14:paraId="60438452">
      <w:pPr>
        <w:adjustRightInd w:val="0"/>
        <w:snapToGrid w:val="0"/>
        <w:spacing w:line="360" w:lineRule="auto"/>
        <w:ind w:firstLine="453" w:firstLineChars="189"/>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2.2.5特殊情形处理</w:t>
      </w:r>
    </w:p>
    <w:p w14:paraId="38D9A828">
      <w:pPr>
        <w:adjustRightInd w:val="0"/>
        <w:snapToGrid w:val="0"/>
        <w:spacing w:line="360" w:lineRule="auto"/>
        <w:ind w:firstLine="453" w:firstLineChars="189"/>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初步评审后，如评审小组认为所有响应文件均无效，或者所有响应报价竞争性不足，高于市场预期价格，评审小组应当终止评审，或经采购人同意，直接转换选择其他采购方式，与原供应商共同完成后续采购程序。</w:t>
      </w:r>
    </w:p>
    <w:p w14:paraId="760BA669">
      <w:pPr>
        <w:adjustRightInd w:val="0"/>
        <w:snapToGrid w:val="0"/>
        <w:spacing w:line="360" w:lineRule="auto"/>
        <w:ind w:firstLine="453" w:firstLineChars="189"/>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选择直接转换采购方式采购的，评审小组按照本章第5条“直接转换采购方式评审程序”重新评审。除了采购人与供应商双方提出修改补充并接受新的条件和要求外，原采购文件与原响应文件对采购人和供应商仍然具有相应约束力。</w:t>
      </w:r>
    </w:p>
    <w:p w14:paraId="756C6491">
      <w:pPr>
        <w:adjustRightInd w:val="0"/>
        <w:snapToGrid w:val="0"/>
        <w:spacing w:line="360" w:lineRule="auto"/>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3详细评审标准和程序(最低价法)</w:t>
      </w:r>
    </w:p>
    <w:p w14:paraId="0BFC566B">
      <w:pPr>
        <w:adjustRightInd w:val="0"/>
        <w:snapToGrid w:val="0"/>
        <w:spacing w:line="360" w:lineRule="auto"/>
        <w:ind w:firstLine="453" w:firstLineChars="189"/>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评审小组对评审价格进行比较后，按照评审价格由低到高的顺序对供应商排序。供应商评审价格相等时，按照评审办法前附表的规定确定供应商优先顺序。</w:t>
      </w:r>
    </w:p>
    <w:p w14:paraId="4EB07A2C">
      <w:pPr>
        <w:adjustRightInd w:val="0"/>
        <w:snapToGrid w:val="0"/>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3详细评审标准和程序(综合评分法)</w:t>
      </w:r>
    </w:p>
    <w:p w14:paraId="2F286CE1">
      <w:pPr>
        <w:adjustRightInd w:val="0"/>
        <w:snapToGrid w:val="0"/>
        <w:spacing w:line="360" w:lineRule="auto"/>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3.1分值构成</w:t>
      </w:r>
    </w:p>
    <w:p w14:paraId="141BD8E0">
      <w:pPr>
        <w:adjustRightInd w:val="0"/>
        <w:snapToGrid w:val="0"/>
        <w:spacing w:line="360" w:lineRule="auto"/>
        <w:ind w:firstLine="453" w:firstLineChars="189"/>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(1)商务部分：见评审办法前附表；</w:t>
      </w:r>
    </w:p>
    <w:p w14:paraId="3F7D632F">
      <w:pPr>
        <w:adjustRightInd w:val="0"/>
        <w:snapToGrid w:val="0"/>
        <w:spacing w:line="360" w:lineRule="auto"/>
        <w:ind w:firstLine="453" w:firstLineChars="189"/>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(2)技术部分：见评审办法前附表；</w:t>
      </w:r>
    </w:p>
    <w:p w14:paraId="7917010E">
      <w:pPr>
        <w:adjustRightInd w:val="0"/>
        <w:snapToGrid w:val="0"/>
        <w:spacing w:line="360" w:lineRule="auto"/>
        <w:ind w:firstLine="453" w:firstLineChars="189"/>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(3)报价：见评审办法前附表；</w:t>
      </w:r>
    </w:p>
    <w:p w14:paraId="07F17271">
      <w:pPr>
        <w:adjustRightInd w:val="0"/>
        <w:snapToGrid w:val="0"/>
        <w:spacing w:line="360" w:lineRule="auto"/>
        <w:ind w:firstLine="453" w:firstLineChars="189"/>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(4)其他评分因素：见评审办法前附表。</w:t>
      </w:r>
    </w:p>
    <w:p w14:paraId="24FD2F27">
      <w:pPr>
        <w:adjustRightInd w:val="0"/>
        <w:snapToGrid w:val="0"/>
        <w:spacing w:line="360" w:lineRule="auto"/>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3.2评审基准价计算</w:t>
      </w:r>
    </w:p>
    <w:p w14:paraId="6AD1F2FC">
      <w:pPr>
        <w:adjustRightInd w:val="0"/>
        <w:snapToGrid w:val="0"/>
        <w:spacing w:line="360" w:lineRule="auto"/>
        <w:ind w:firstLine="453" w:firstLineChars="189"/>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(1)评审价格：评审价格为按照本章第2.2.2项规定确定的价格；</w:t>
      </w:r>
    </w:p>
    <w:p w14:paraId="569FD1F1">
      <w:pPr>
        <w:adjustRightInd w:val="0"/>
        <w:snapToGrid w:val="0"/>
        <w:spacing w:line="360" w:lineRule="auto"/>
        <w:ind w:firstLine="453" w:firstLineChars="189"/>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(2)评审基准价计算方法：</w:t>
      </w:r>
    </w:p>
    <w:p w14:paraId="210BE769">
      <w:pPr>
        <w:adjustRightInd w:val="0"/>
        <w:snapToGrid w:val="0"/>
        <w:spacing w:line="360" w:lineRule="auto"/>
        <w:ind w:firstLine="453" w:firstLineChars="189"/>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方法一：评审基准价=评审价格平均值(即通过初步评审的所有供应商评审价格的算术平均值)。</w:t>
      </w:r>
    </w:p>
    <w:p w14:paraId="3C6668D7">
      <w:pPr>
        <w:adjustRightInd w:val="0"/>
        <w:snapToGrid w:val="0"/>
        <w:spacing w:line="360" w:lineRule="auto"/>
        <w:ind w:firstLine="453" w:firstLineChars="189"/>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方法二：评审基准价=评审价格平均值(即通过初步评审的所有供应商评审价格的算术平均值)×评审基准价系数，评审基准价系数的取值见评审办法前附表。</w:t>
      </w:r>
    </w:p>
    <w:p w14:paraId="134FDD73">
      <w:pPr>
        <w:adjustRightInd w:val="0"/>
        <w:snapToGrid w:val="0"/>
        <w:spacing w:line="360" w:lineRule="auto"/>
        <w:ind w:firstLine="453" w:firstLineChars="189"/>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方法三：评审基准价=通过初步评审的所有供应商的最低评审价格。</w:t>
      </w:r>
    </w:p>
    <w:p w14:paraId="494FDDA3">
      <w:pPr>
        <w:adjustRightInd w:val="0"/>
        <w:snapToGrid w:val="0"/>
        <w:spacing w:line="360" w:lineRule="auto"/>
        <w:ind w:firstLine="453" w:firstLineChars="189"/>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方法四：采购人确定的其他方法。</w:t>
      </w:r>
    </w:p>
    <w:p w14:paraId="7DFC6232">
      <w:pPr>
        <w:adjustRightInd w:val="0"/>
        <w:snapToGrid w:val="0"/>
        <w:spacing w:line="360" w:lineRule="auto"/>
        <w:ind w:firstLine="453" w:firstLineChars="189"/>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评审基准价计算方法的选择见评审办法前附表。</w:t>
      </w:r>
    </w:p>
    <w:p w14:paraId="5C2E578B">
      <w:pPr>
        <w:adjustRightInd w:val="0"/>
        <w:snapToGrid w:val="0"/>
        <w:spacing w:line="360" w:lineRule="auto"/>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3.3评分标准</w:t>
      </w:r>
    </w:p>
    <w:p w14:paraId="0989EFF3">
      <w:pPr>
        <w:adjustRightInd w:val="0"/>
        <w:snapToGrid w:val="0"/>
        <w:spacing w:line="360" w:lineRule="auto"/>
        <w:ind w:firstLine="453" w:firstLineChars="189"/>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(1)商务评分标准：见评审办法前附表；</w:t>
      </w:r>
    </w:p>
    <w:p w14:paraId="1806FD6C">
      <w:pPr>
        <w:adjustRightInd w:val="0"/>
        <w:snapToGrid w:val="0"/>
        <w:spacing w:line="360" w:lineRule="auto"/>
        <w:ind w:firstLine="453" w:firstLineChars="189"/>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(2)技术评分标准：见评审办法前附表；</w:t>
      </w:r>
    </w:p>
    <w:p w14:paraId="50F3156F">
      <w:pPr>
        <w:adjustRightInd w:val="0"/>
        <w:snapToGrid w:val="0"/>
        <w:spacing w:line="360" w:lineRule="auto"/>
        <w:ind w:firstLine="453" w:firstLineChars="189"/>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(3)报价评分标准：</w:t>
      </w:r>
    </w:p>
    <w:p w14:paraId="078B573E">
      <w:pPr>
        <w:adjustRightInd w:val="0"/>
        <w:snapToGrid w:val="0"/>
        <w:spacing w:line="360" w:lineRule="auto"/>
        <w:ind w:firstLine="453" w:firstLineChars="189"/>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报价得分可采用如下方法计算：</w:t>
      </w:r>
    </w:p>
    <w:p w14:paraId="12794FAD">
      <w:pPr>
        <w:adjustRightInd w:val="0"/>
        <w:snapToGrid w:val="0"/>
        <w:spacing w:line="360" w:lineRule="auto"/>
        <w:ind w:firstLine="453" w:firstLineChars="189"/>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方法一：偏差率=(供应商评审价格-评审基准价)/评审基准价×100%</w:t>
      </w:r>
    </w:p>
    <w:p w14:paraId="4500A88B">
      <w:pPr>
        <w:adjustRightInd w:val="0"/>
        <w:snapToGrid w:val="0"/>
        <w:spacing w:line="360" w:lineRule="auto"/>
        <w:ind w:firstLine="453" w:firstLineChars="189"/>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①如果供应商的评审价格&gt;评审基准价，则报价得分=F-偏差率×100×E</w:t>
      </w:r>
      <w:r>
        <w:rPr>
          <w:rFonts w:hint="eastAsia" w:ascii="宋体" w:hAnsi="宋体" w:cs="宋体"/>
          <w:color w:val="000000" w:themeColor="text1"/>
          <w:sz w:val="24"/>
          <w:highlight w:val="none"/>
          <w:vertAlign w:val="subscript"/>
          <w14:textFill>
            <w14:solidFill>
              <w14:schemeClr w14:val="tx1"/>
            </w14:solidFill>
          </w14:textFill>
        </w:rPr>
        <w:t>1</w:t>
      </w:r>
      <w:r>
        <w:rPr>
          <w:rFonts w:hint="eastAsia" w:ascii="宋体" w:hAnsi="宋体" w:cs="宋体"/>
          <w:color w:val="000000" w:themeColor="text1"/>
          <w:sz w:val="24"/>
          <w:highlight w:val="none"/>
          <w14:textFill>
            <w14:solidFill>
              <w14:schemeClr w14:val="tx1"/>
            </w14:solidFill>
          </w14:textFill>
        </w:rPr>
        <w:t>；</w:t>
      </w:r>
    </w:p>
    <w:p w14:paraId="1EB10B49">
      <w:pPr>
        <w:adjustRightInd w:val="0"/>
        <w:snapToGrid w:val="0"/>
        <w:spacing w:line="360" w:lineRule="auto"/>
        <w:ind w:firstLine="453" w:firstLineChars="189"/>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②如果供应商的评审价格≤评审基准价，则报价得分=F+偏差率×100×E</w:t>
      </w:r>
      <w:r>
        <w:rPr>
          <w:rFonts w:hint="eastAsia" w:ascii="宋体" w:hAnsi="宋体" w:cs="宋体"/>
          <w:color w:val="000000" w:themeColor="text1"/>
          <w:sz w:val="24"/>
          <w:highlight w:val="none"/>
          <w:vertAlign w:val="subscript"/>
          <w14:textFill>
            <w14:solidFill>
              <w14:schemeClr w14:val="tx1"/>
            </w14:solidFill>
          </w14:textFill>
        </w:rPr>
        <w:t>2</w:t>
      </w:r>
      <w:r>
        <w:rPr>
          <w:rFonts w:hint="eastAsia" w:ascii="宋体" w:hAnsi="宋体" w:cs="宋体"/>
          <w:color w:val="000000" w:themeColor="text1"/>
          <w:sz w:val="24"/>
          <w:highlight w:val="none"/>
          <w14:textFill>
            <w14:solidFill>
              <w14:schemeClr w14:val="tx1"/>
            </w14:solidFill>
          </w14:textFill>
        </w:rPr>
        <w:t>.</w:t>
      </w:r>
    </w:p>
    <w:p w14:paraId="34B6A40E">
      <w:pPr>
        <w:adjustRightInd w:val="0"/>
        <w:snapToGrid w:val="0"/>
        <w:spacing w:line="360" w:lineRule="auto"/>
        <w:ind w:firstLine="453" w:firstLineChars="189"/>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其中F为本章前附表第3.1(3)项规定的报价所占的分值；E</w:t>
      </w:r>
      <w:r>
        <w:rPr>
          <w:rFonts w:hint="eastAsia" w:ascii="宋体" w:hAnsi="宋体" w:cs="宋体"/>
          <w:color w:val="000000" w:themeColor="text1"/>
          <w:sz w:val="24"/>
          <w:highlight w:val="none"/>
          <w:vertAlign w:val="subscript"/>
          <w14:textFill>
            <w14:solidFill>
              <w14:schemeClr w14:val="tx1"/>
            </w14:solidFill>
          </w14:textFill>
        </w:rPr>
        <w:t>1</w:t>
      </w:r>
      <w:r>
        <w:rPr>
          <w:rFonts w:hint="eastAsia" w:ascii="宋体" w:hAnsi="宋体" w:cs="宋体"/>
          <w:color w:val="000000" w:themeColor="text1"/>
          <w:sz w:val="24"/>
          <w:highlight w:val="none"/>
          <w14:textFill>
            <w14:solidFill>
              <w14:schemeClr w14:val="tx1"/>
            </w14:solidFill>
          </w14:textFill>
        </w:rPr>
        <w:t>是评审价格每高于评审基准价一个百分点的扣分值、E</w:t>
      </w:r>
      <w:r>
        <w:rPr>
          <w:rFonts w:hint="eastAsia" w:ascii="宋体" w:hAnsi="宋体" w:cs="宋体"/>
          <w:color w:val="000000" w:themeColor="text1"/>
          <w:sz w:val="24"/>
          <w:highlight w:val="none"/>
          <w:vertAlign w:val="subscript"/>
          <w14:textFill>
            <w14:solidFill>
              <w14:schemeClr w14:val="tx1"/>
            </w14:solidFill>
          </w14:textFill>
        </w:rPr>
        <w:t>2</w:t>
      </w:r>
      <w:r>
        <w:rPr>
          <w:rFonts w:hint="eastAsia" w:ascii="宋体" w:hAnsi="宋体" w:cs="宋体"/>
          <w:color w:val="000000" w:themeColor="text1"/>
          <w:sz w:val="24"/>
          <w:highlight w:val="none"/>
          <w14:textFill>
            <w14:solidFill>
              <w14:schemeClr w14:val="tx1"/>
            </w14:solidFill>
          </w14:textFill>
        </w:rPr>
        <w:t>是评审价格每低于评审基准价一个百分点的扣分值，E</w:t>
      </w:r>
      <w:r>
        <w:rPr>
          <w:rFonts w:hint="eastAsia" w:ascii="宋体" w:hAnsi="宋体" w:cs="宋体"/>
          <w:color w:val="000000" w:themeColor="text1"/>
          <w:sz w:val="24"/>
          <w:highlight w:val="none"/>
          <w:vertAlign w:val="subscript"/>
          <w14:textFill>
            <w14:solidFill>
              <w14:schemeClr w14:val="tx1"/>
            </w14:solidFill>
          </w14:textFill>
        </w:rPr>
        <w:t>1</w:t>
      </w:r>
      <w:r>
        <w:rPr>
          <w:rFonts w:hint="eastAsia" w:ascii="宋体" w:hAnsi="宋体" w:cs="宋体"/>
          <w:color w:val="000000" w:themeColor="text1"/>
          <w:sz w:val="24"/>
          <w:highlight w:val="none"/>
          <w14:textFill>
            <w14:solidFill>
              <w14:schemeClr w14:val="tx1"/>
            </w14:solidFill>
          </w14:textFill>
        </w:rPr>
        <w:t>可大于或等于E</w:t>
      </w:r>
      <w:r>
        <w:rPr>
          <w:rFonts w:hint="eastAsia" w:ascii="宋体" w:hAnsi="宋体" w:cs="宋体"/>
          <w:color w:val="000000" w:themeColor="text1"/>
          <w:sz w:val="24"/>
          <w:highlight w:val="none"/>
          <w:vertAlign w:val="subscript"/>
          <w14:textFill>
            <w14:solidFill>
              <w14:schemeClr w14:val="tx1"/>
            </w14:solidFill>
          </w14:textFill>
        </w:rPr>
        <w:t>2</w:t>
      </w:r>
      <w:r>
        <w:rPr>
          <w:rFonts w:hint="eastAsia" w:ascii="宋体" w:hAnsi="宋体" w:cs="宋体"/>
          <w:color w:val="000000" w:themeColor="text1"/>
          <w:sz w:val="24"/>
          <w:highlight w:val="none"/>
          <w14:textFill>
            <w14:solidFill>
              <w14:schemeClr w14:val="tx1"/>
            </w14:solidFill>
          </w14:textFill>
        </w:rPr>
        <w:t>。E</w:t>
      </w:r>
      <w:r>
        <w:rPr>
          <w:rFonts w:hint="eastAsia" w:ascii="宋体" w:hAnsi="宋体" w:cs="宋体"/>
          <w:color w:val="000000" w:themeColor="text1"/>
          <w:sz w:val="24"/>
          <w:highlight w:val="none"/>
          <w:vertAlign w:val="subscript"/>
          <w14:textFill>
            <w14:solidFill>
              <w14:schemeClr w14:val="tx1"/>
            </w14:solidFill>
          </w14:textFill>
        </w:rPr>
        <w:t>1</w:t>
      </w:r>
      <w:r>
        <w:rPr>
          <w:rFonts w:hint="eastAsia" w:ascii="宋体" w:hAnsi="宋体" w:cs="宋体"/>
          <w:color w:val="000000" w:themeColor="text1"/>
          <w:sz w:val="24"/>
          <w:highlight w:val="none"/>
          <w14:textFill>
            <w14:solidFill>
              <w14:schemeClr w14:val="tx1"/>
            </w14:solidFill>
          </w14:textFill>
        </w:rPr>
        <w:t>、E</w:t>
      </w:r>
      <w:r>
        <w:rPr>
          <w:rFonts w:hint="eastAsia" w:ascii="宋体" w:hAnsi="宋体" w:cs="宋体"/>
          <w:color w:val="000000" w:themeColor="text1"/>
          <w:sz w:val="24"/>
          <w:highlight w:val="none"/>
          <w:vertAlign w:val="subscript"/>
          <w14:textFill>
            <w14:solidFill>
              <w14:schemeClr w14:val="tx1"/>
            </w14:solidFill>
          </w14:textFill>
        </w:rPr>
        <w:t>2</w:t>
      </w:r>
      <w:r>
        <w:rPr>
          <w:rFonts w:hint="eastAsia" w:ascii="宋体" w:hAnsi="宋体" w:cs="宋体"/>
          <w:color w:val="000000" w:themeColor="text1"/>
          <w:sz w:val="24"/>
          <w:highlight w:val="none"/>
          <w14:textFill>
            <w14:solidFill>
              <w14:schemeClr w14:val="tx1"/>
            </w14:solidFill>
          </w14:textFill>
        </w:rPr>
        <w:t>的取值见评审办法前附表。</w:t>
      </w:r>
    </w:p>
    <w:p w14:paraId="120B9064">
      <w:pPr>
        <w:adjustRightInd w:val="0"/>
        <w:snapToGrid w:val="0"/>
        <w:spacing w:line="360" w:lineRule="auto"/>
        <w:ind w:firstLine="453" w:firstLineChars="189"/>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方法二：报价得分(通过初步评审的所有供应商的最低评审价格/供应商评审价格)×F，F为本章前附表第3.1(3)项规定的报价所占的分值。</w:t>
      </w:r>
    </w:p>
    <w:p w14:paraId="6ACBAE51">
      <w:pPr>
        <w:adjustRightInd w:val="0"/>
        <w:snapToGrid w:val="0"/>
        <w:spacing w:line="360" w:lineRule="auto"/>
        <w:ind w:firstLine="453" w:firstLineChars="189"/>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方法三：采购人确定的其他方法。</w:t>
      </w:r>
    </w:p>
    <w:p w14:paraId="123E97D9">
      <w:pPr>
        <w:adjustRightInd w:val="0"/>
        <w:snapToGrid w:val="0"/>
        <w:spacing w:line="360" w:lineRule="auto"/>
        <w:ind w:firstLine="453" w:firstLineChars="189"/>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报价得分计算方法见评审办法前附表。</w:t>
      </w:r>
    </w:p>
    <w:p w14:paraId="2EE0F3C2">
      <w:pPr>
        <w:adjustRightInd w:val="0"/>
        <w:snapToGrid w:val="0"/>
        <w:spacing w:line="360" w:lineRule="auto"/>
        <w:ind w:firstLine="453" w:firstLineChars="189"/>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(4)其他因素评分标准：见评审办法前附表。</w:t>
      </w:r>
    </w:p>
    <w:p w14:paraId="41EDD48D">
      <w:pPr>
        <w:adjustRightInd w:val="0"/>
        <w:snapToGrid w:val="0"/>
        <w:spacing w:line="360" w:lineRule="auto"/>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3.4评分</w:t>
      </w:r>
    </w:p>
    <w:p w14:paraId="59CCB23B">
      <w:pPr>
        <w:adjustRightInd w:val="0"/>
        <w:snapToGrid w:val="0"/>
        <w:spacing w:line="360" w:lineRule="auto"/>
        <w:ind w:firstLine="453" w:firstLineChars="189"/>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评审小组成员按照评分标准独立对供应商的商务、技术和其他因素进行评分。报价评分由评审小组统一计算。各项得分汇总后为该成员给供应商的评分总分，评分值计算保留小数点后两位，小数点后第三位“四舍五入”。</w:t>
      </w:r>
    </w:p>
    <w:p w14:paraId="368CF520">
      <w:pPr>
        <w:adjustRightInd w:val="0"/>
        <w:snapToGrid w:val="0"/>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3.5汇总</w:t>
      </w:r>
    </w:p>
    <w:p w14:paraId="761FB260">
      <w:pPr>
        <w:adjustRightInd w:val="0"/>
        <w:snapToGrid w:val="0"/>
        <w:spacing w:line="360" w:lineRule="auto"/>
        <w:ind w:firstLine="453" w:firstLineChars="189"/>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评审小组汇总每个成员对供应商的评分总分，每个供应商的评分总分的算术平均值为供应商最终得分。</w:t>
      </w:r>
    </w:p>
    <w:p w14:paraId="2F4089AF">
      <w:pPr>
        <w:adjustRightInd w:val="0"/>
        <w:snapToGrid w:val="0"/>
        <w:spacing w:line="360" w:lineRule="auto"/>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3.6排序</w:t>
      </w:r>
    </w:p>
    <w:p w14:paraId="78C0230D">
      <w:pPr>
        <w:adjustRightInd w:val="0"/>
        <w:snapToGrid w:val="0"/>
        <w:spacing w:line="360" w:lineRule="auto"/>
        <w:ind w:firstLine="453" w:firstLineChars="189"/>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评审小组对供应商最终得分进行比较后，可以按照供应商最终得分由高到低的顺序对供应商排序。最终得分相等时，以评审价格低的优先；评审价格也相等的，以技术得分高的优先；如果技术得分也相等，按照评审办法前附表的规定确定供应商优先顺序。</w:t>
      </w:r>
    </w:p>
    <w:p w14:paraId="6B8ABD91">
      <w:pPr>
        <w:adjustRightInd w:val="0"/>
        <w:snapToGrid w:val="0"/>
        <w:spacing w:line="360" w:lineRule="auto"/>
        <w:ind w:left="241" w:hanging="241" w:hangingChars="100"/>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3.7特殊情形处理</w:t>
      </w:r>
    </w:p>
    <w:p w14:paraId="53AC000B">
      <w:pPr>
        <w:adjustRightInd w:val="0"/>
        <w:snapToGri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当通过初步评审的供应商数量未超过采购公告第1.6款规定的成交供应商数量、评审小组认为供应商的响应报价合理且物有所值时，不再进行详细评审，直接推荐上述供应商为候选成交供应商。</w:t>
      </w:r>
    </w:p>
    <w:p w14:paraId="71B51676">
      <w:pPr>
        <w:adjustRightInd w:val="0"/>
        <w:snapToGrid w:val="0"/>
        <w:spacing w:line="360" w:lineRule="auto"/>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4评审结果</w:t>
      </w:r>
    </w:p>
    <w:p w14:paraId="65D8D9CB">
      <w:pPr>
        <w:adjustRightInd w:val="0"/>
        <w:snapToGrid w:val="0"/>
        <w:spacing w:line="360" w:lineRule="auto"/>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4.1提交书面评审报告</w:t>
      </w:r>
    </w:p>
    <w:p w14:paraId="31BD4601">
      <w:pPr>
        <w:adjustRightInd w:val="0"/>
        <w:snapToGrid w:val="0"/>
        <w:spacing w:line="360" w:lineRule="auto"/>
        <w:ind w:firstLine="453" w:firstLineChars="189"/>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评审小组完成评审后，应当向采购人提交书面评审报告。</w:t>
      </w:r>
    </w:p>
    <w:p w14:paraId="4A5DB24D">
      <w:pPr>
        <w:adjustRightInd w:val="0"/>
        <w:snapToGrid w:val="0"/>
        <w:spacing w:line="360" w:lineRule="auto"/>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4.2推荐候选成交供应商排序要求及数量</w:t>
      </w:r>
    </w:p>
    <w:p w14:paraId="58DC2B79">
      <w:pPr>
        <w:adjustRightInd w:val="0"/>
        <w:snapToGrid w:val="0"/>
        <w:spacing w:line="360" w:lineRule="auto"/>
        <w:ind w:firstLine="453" w:firstLineChars="189"/>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评审小组应在书面评审报告中按照供应商排列的优先顺序向采购人推荐候选成交供应商(排序或不排序)。候选成交供应商的排序要求及数量见第二章“供应商须知”。</w:t>
      </w:r>
    </w:p>
    <w:p w14:paraId="261A8B45">
      <w:pPr>
        <w:adjustRightInd w:val="0"/>
        <w:snapToGrid w:val="0"/>
        <w:spacing w:line="360" w:lineRule="auto"/>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5直接转换采购方式评审程序</w:t>
      </w:r>
    </w:p>
    <w:p w14:paraId="6195DEB7">
      <w:pPr>
        <w:adjustRightInd w:val="0"/>
        <w:snapToGrid w:val="0"/>
        <w:spacing w:line="360" w:lineRule="auto"/>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5.1初步评审</w:t>
      </w:r>
    </w:p>
    <w:p w14:paraId="638B03DC">
      <w:pPr>
        <w:adjustRightInd w:val="0"/>
        <w:snapToGrid w:val="0"/>
        <w:spacing w:line="360" w:lineRule="auto"/>
        <w:ind w:firstLine="453" w:firstLineChars="189"/>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5.1.1评审小组依据本章第2.1款规定的标准对供应商递交的响应文件进行初步评审，判断响应文件的形式是否符合要求，供应商是否符合资格条件。响应文件是否实质性满足采购文件的要求。只有以上评审合格的响应文件才可通过初步评审。</w:t>
      </w:r>
    </w:p>
    <w:p w14:paraId="15F13D47">
      <w:pPr>
        <w:adjustRightInd w:val="0"/>
        <w:snapToGrid w:val="0"/>
        <w:spacing w:line="360" w:lineRule="auto"/>
        <w:ind w:firstLine="453" w:firstLineChars="189"/>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5.1.2响应文件的形式或供应商资格不符合采购文件的要求、响应文件未实质性响应采购文件的要求，或响应文件中有含义不明确、同类问题表述不一致或有明显文字或计算错误的内容，评审小组应要求供应商在规定时间内进行澄清、说明和补正。供应商澄清、说明和补正的内容应由法定代表人( 单位负责人)或其授权的代理人签字或加盖单位章。澄清、说明和补正的内容作为响应文件的组成部分。</w:t>
      </w:r>
    </w:p>
    <w:p w14:paraId="25E726F2">
      <w:pPr>
        <w:adjustRightInd w:val="0"/>
        <w:snapToGrid w:val="0"/>
        <w:spacing w:line="360" w:lineRule="auto"/>
        <w:ind w:firstLine="453" w:firstLineChars="189"/>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5.1.3只有形式评审和资格评审合格且实质性响应采购文件要求的供应商才可通过初步评审。经供应商澄清、说明和补正后仍未通过初步评审的响应文件将被视为无效，评审小组应告知有关供应商。</w:t>
      </w:r>
    </w:p>
    <w:p w14:paraId="46CBB53B">
      <w:pPr>
        <w:adjustRightInd w:val="0"/>
        <w:snapToGrid w:val="0"/>
        <w:spacing w:line="360" w:lineRule="auto"/>
        <w:ind w:firstLine="453" w:firstLineChars="189"/>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5.1.4当通过初步评审的供应商数量大于采购公告第1.6款</w:t>
      </w:r>
      <w:r>
        <w:rPr>
          <w:rFonts w:hint="eastAsia" w:ascii="宋体" w:hAnsi="宋体" w:cs="宋体"/>
          <w:color w:val="000000" w:themeColor="text1"/>
          <w:sz w:val="24"/>
          <w:highlight w:val="none"/>
          <w:lang w:val="en-US" w:eastAsia="zh-CN"/>
          <w14:textFill>
            <w14:solidFill>
              <w14:schemeClr w14:val="tx1"/>
            </w14:solidFill>
          </w14:textFill>
        </w:rPr>
        <w:t>规</w:t>
      </w:r>
      <w:r>
        <w:rPr>
          <w:rFonts w:hint="eastAsia" w:ascii="宋体" w:hAnsi="宋体" w:cs="宋体"/>
          <w:color w:val="000000" w:themeColor="text1"/>
          <w:sz w:val="24"/>
          <w:highlight w:val="none"/>
          <w14:textFill>
            <w14:solidFill>
              <w14:schemeClr w14:val="tx1"/>
            </w14:solidFill>
          </w14:textFill>
        </w:rPr>
        <w:t>定的成交供应商数量时，可以改为参照谈判方式继续评审选择成交供应商。</w:t>
      </w:r>
    </w:p>
    <w:p w14:paraId="130FD4DE">
      <w:pPr>
        <w:adjustRightInd w:val="0"/>
        <w:snapToGrid w:val="0"/>
        <w:spacing w:line="360" w:lineRule="auto"/>
        <w:ind w:firstLine="453" w:firstLineChars="189"/>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当通过初步评审的供应商数量等于采购公告采购邀请书第1.6款规定的成交供应商数量时，可以改为参照直接采购方式继续评审选择成交供应商。</w:t>
      </w:r>
    </w:p>
    <w:p w14:paraId="4755E43F">
      <w:pPr>
        <w:adjustRightInd w:val="0"/>
        <w:snapToGrid w:val="0"/>
        <w:spacing w:line="360" w:lineRule="auto"/>
        <w:ind w:firstLine="453" w:firstLineChars="189"/>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当采购公告第1.6款选择多家成交供应商，通过初步评审的供应商数量小于约定成交供应商数量且大于等于一家的，可以改为参照直接采购方式继续评审选择一部分成交供应商，或者终止全部采购，重新组织采购选择全部成交供应商。</w:t>
      </w:r>
    </w:p>
    <w:p w14:paraId="556D9E93">
      <w:pPr>
        <w:adjustRightInd w:val="0"/>
        <w:snapToGrid w:val="0"/>
        <w:spacing w:line="360" w:lineRule="auto"/>
        <w:ind w:firstLine="453" w:firstLineChars="189"/>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初步评审后，当所有响应文件均无效时，应重新组织采购。</w:t>
      </w:r>
    </w:p>
    <w:p w14:paraId="449794ED">
      <w:pPr>
        <w:adjustRightInd w:val="0"/>
        <w:snapToGrid w:val="0"/>
        <w:spacing w:line="360" w:lineRule="auto"/>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5.2转换采购方式</w:t>
      </w:r>
    </w:p>
    <w:p w14:paraId="1BE51A82">
      <w:pPr>
        <w:adjustRightInd w:val="0"/>
        <w:snapToGrid w:val="0"/>
        <w:spacing w:line="360" w:lineRule="auto"/>
        <w:ind w:firstLine="453" w:firstLineChars="189"/>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5.2.1参照谈判采购方式评审</w:t>
      </w:r>
    </w:p>
    <w:p w14:paraId="3393780B">
      <w:pPr>
        <w:adjustRightInd w:val="0"/>
        <w:snapToGrid w:val="0"/>
        <w:spacing w:line="360" w:lineRule="auto"/>
        <w:ind w:firstLine="453" w:firstLineChars="189"/>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(1)谈判。</w:t>
      </w:r>
    </w:p>
    <w:p w14:paraId="577F44A2">
      <w:pPr>
        <w:adjustRightInd w:val="0"/>
        <w:snapToGrid w:val="0"/>
        <w:spacing w:line="360" w:lineRule="auto"/>
        <w:ind w:firstLine="453" w:firstLineChars="189"/>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1)评审小组应按照供应商递交响应文件的顺序或评审小组抽签确定的顺序与通过初步评审的供应商逐一进行谈判。评审小组可以根据谈判情况决定谈判轮次，并</w:t>
      </w:r>
      <w:r>
        <w:rPr>
          <w:rFonts w:hint="eastAsia" w:ascii="宋体" w:hAnsi="宋体" w:cs="宋体"/>
          <w:color w:val="000000" w:themeColor="text1"/>
          <w:sz w:val="24"/>
          <w:highlight w:val="none"/>
          <w:lang w:eastAsia="zh-CN"/>
          <w14:textFill>
            <w14:solidFill>
              <w14:schemeClr w14:val="tx1"/>
            </w14:solidFill>
          </w14:textFill>
        </w:rPr>
        <w:t>给予</w:t>
      </w:r>
      <w:r>
        <w:rPr>
          <w:rFonts w:hint="eastAsia" w:ascii="宋体" w:hAnsi="宋体" w:cs="宋体"/>
          <w:color w:val="000000" w:themeColor="text1"/>
          <w:sz w:val="24"/>
          <w:highlight w:val="none"/>
          <w14:textFill>
            <w14:solidFill>
              <w14:schemeClr w14:val="tx1"/>
            </w14:solidFill>
          </w14:textFill>
        </w:rPr>
        <w:t>所有参加谈判的供应商平等的谈判机会。在谈判过程中，评审小组可根据谈判情况修改和补充采购文件中的非实质性内容，但不得改变评审标准或可能影响初步评审结果的内容。</w:t>
      </w:r>
    </w:p>
    <w:p w14:paraId="3AF50FD9">
      <w:pPr>
        <w:adjustRightInd w:val="0"/>
        <w:snapToGrid w:val="0"/>
        <w:spacing w:line="360" w:lineRule="auto"/>
        <w:ind w:firstLine="453" w:firstLineChars="189"/>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2)供应商的法定代表人(单位负责人)或其授权的代理人应参加谈判。供应商的法定代表人(单位负责人)或其授权的代理人在谈判中作出的承诺构成响应文件的组成部分。</w:t>
      </w:r>
    </w:p>
    <w:p w14:paraId="62CE1CBF">
      <w:pPr>
        <w:adjustRightInd w:val="0"/>
        <w:snapToGrid w:val="0"/>
        <w:spacing w:line="360" w:lineRule="auto"/>
        <w:ind w:firstLine="453" w:firstLineChars="189"/>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3)谈判结束后，评审小组将要求所有参加谈判的供应商在规定时间内递交最终报价。最终报价应由供应商的法定代表人(单位负责人)或其授权的代理人签字或单位章。最终报价是供应商响应文件的组成部分。</w:t>
      </w:r>
    </w:p>
    <w:p w14:paraId="0D526AB5">
      <w:pPr>
        <w:tabs>
          <w:tab w:val="left" w:pos="312"/>
        </w:tabs>
        <w:adjustRightInd w:val="0"/>
        <w:snapToGrid w:val="0"/>
        <w:spacing w:line="360" w:lineRule="auto"/>
        <w:ind w:firstLine="453" w:firstLineChars="189"/>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(2)公开开启最终报价。评审小组将在递交最终报价的截止时间公开开启最终报价，供应商未派代表参加开启会议的，视为默认开启结果。</w:t>
      </w:r>
    </w:p>
    <w:p w14:paraId="4770F793">
      <w:pPr>
        <w:tabs>
          <w:tab w:val="left" w:pos="312"/>
        </w:tabs>
        <w:adjustRightInd w:val="0"/>
        <w:snapToGrid w:val="0"/>
        <w:spacing w:line="360" w:lineRule="auto"/>
        <w:ind w:firstLine="453" w:firstLineChars="189"/>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(3)详细评审。</w:t>
      </w:r>
    </w:p>
    <w:p w14:paraId="49FE4546">
      <w:pPr>
        <w:tabs>
          <w:tab w:val="left" w:pos="312"/>
        </w:tabs>
        <w:adjustRightInd w:val="0"/>
        <w:snapToGrid w:val="0"/>
        <w:spacing w:line="360" w:lineRule="auto"/>
        <w:ind w:firstLine="453" w:firstLineChars="189"/>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评审小组将按本章第3条规定对响应文件及其最终报价进行详细评审。采用综合评分法的，评审小组有权对本章第3.2项规定的评审基准价和第3.3(3)目规定的报价评分标准进行调整，但评审小组应在谈判开始前向供应商公布，未公布的，视为评审基准价和报价评分标准不作调整；详细评审标准中除报价评审标准外的其他评审标准不作调整。</w:t>
      </w:r>
    </w:p>
    <w:p w14:paraId="7E4C4FD1">
      <w:pPr>
        <w:tabs>
          <w:tab w:val="left" w:pos="312"/>
        </w:tabs>
        <w:adjustRightInd w:val="0"/>
        <w:snapToGrid w:val="0"/>
        <w:spacing w:line="360" w:lineRule="auto"/>
        <w:ind w:firstLine="453" w:firstLineChars="189"/>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通过谈判后，评审小组认为所有供应商的最终报价仍然不合理的，应向采购人提出终止采购建议。</w:t>
      </w:r>
    </w:p>
    <w:p w14:paraId="0C575F89">
      <w:pPr>
        <w:tabs>
          <w:tab w:val="left" w:pos="312"/>
        </w:tabs>
        <w:adjustRightInd w:val="0"/>
        <w:snapToGrid w:val="0"/>
        <w:spacing w:line="360" w:lineRule="auto"/>
        <w:ind w:firstLine="453" w:firstLineChars="189"/>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(4)编写评审报告。</w:t>
      </w:r>
    </w:p>
    <w:p w14:paraId="5B66D127">
      <w:pPr>
        <w:tabs>
          <w:tab w:val="left" w:pos="312"/>
        </w:tabs>
        <w:adjustRightInd w:val="0"/>
        <w:snapToGrid w:val="0"/>
        <w:spacing w:line="360" w:lineRule="auto"/>
        <w:ind w:firstLine="453" w:firstLineChars="189"/>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评审小组按本章第4.2款规定推荐候选成交供应商或按本章第5.2.1(3)规定提出终止采购建议，并向采购人提交书面评审报告。</w:t>
      </w:r>
    </w:p>
    <w:p w14:paraId="37EF2F77">
      <w:pPr>
        <w:tabs>
          <w:tab w:val="left" w:pos="312"/>
        </w:tabs>
        <w:adjustRightInd w:val="0"/>
        <w:snapToGrid w:val="0"/>
        <w:spacing w:line="360" w:lineRule="auto"/>
        <w:ind w:firstLine="453" w:firstLineChars="189"/>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5.2.2参照直接采购方式评审</w:t>
      </w:r>
    </w:p>
    <w:p w14:paraId="31BE8370">
      <w:pPr>
        <w:tabs>
          <w:tab w:val="left" w:pos="312"/>
        </w:tabs>
        <w:adjustRightInd w:val="0"/>
        <w:snapToGrid w:val="0"/>
        <w:spacing w:line="360" w:lineRule="auto"/>
        <w:ind w:firstLine="453" w:firstLineChars="189"/>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(1)谈判。</w:t>
      </w:r>
    </w:p>
    <w:p w14:paraId="19D6888F">
      <w:pPr>
        <w:tabs>
          <w:tab w:val="left" w:pos="312"/>
        </w:tabs>
        <w:adjustRightInd w:val="0"/>
        <w:snapToGrid w:val="0"/>
        <w:spacing w:line="360" w:lineRule="auto"/>
        <w:ind w:firstLine="453" w:firstLineChars="189"/>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评审小组所有成员集中与供应商进行谈判，供应商法定代表人（单位负责人）或其授权的代理人应参加谈判。在谈判过程中，评审小组可根据谈判情况修改和补充采购文件中的非实质性内容，但不得改变可能影响初步评审结果的内容。供应商的法定代表人(单位负责人)</w:t>
      </w:r>
      <w:r>
        <w:rPr>
          <w:rFonts w:hint="eastAsia" w:ascii="宋体" w:hAnsi="宋体" w:cs="宋体"/>
          <w:color w:val="000000" w:themeColor="text1"/>
          <w:sz w:val="24"/>
          <w:highlight w:val="none"/>
          <w:lang w:val="en-US" w:eastAsia="zh-CN"/>
          <w14:textFill>
            <w14:solidFill>
              <w14:schemeClr w14:val="tx1"/>
            </w14:solidFill>
          </w14:textFill>
        </w:rPr>
        <w:t>或</w:t>
      </w:r>
      <w:r>
        <w:rPr>
          <w:rFonts w:hint="eastAsia" w:ascii="宋体" w:hAnsi="宋体" w:cs="宋体"/>
          <w:color w:val="000000" w:themeColor="text1"/>
          <w:sz w:val="24"/>
          <w:highlight w:val="none"/>
          <w14:textFill>
            <w14:solidFill>
              <w14:schemeClr w14:val="tx1"/>
            </w14:solidFill>
          </w14:textFill>
        </w:rPr>
        <w:t>其授权的代理人在谈判中作出的承诺构成响应文件的组成部分。评审小组可根据需要，安排多轮谈判。</w:t>
      </w:r>
    </w:p>
    <w:p w14:paraId="5BF3645C">
      <w:pPr>
        <w:tabs>
          <w:tab w:val="left" w:pos="312"/>
        </w:tabs>
        <w:adjustRightInd w:val="0"/>
        <w:snapToGrid w:val="0"/>
        <w:spacing w:line="360" w:lineRule="auto"/>
        <w:ind w:firstLine="453" w:firstLineChars="189"/>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(2)详细评审。</w:t>
      </w:r>
    </w:p>
    <w:p w14:paraId="79890125">
      <w:pPr>
        <w:tabs>
          <w:tab w:val="left" w:pos="312"/>
        </w:tabs>
        <w:adjustRightInd w:val="0"/>
        <w:snapToGrid w:val="0"/>
        <w:spacing w:line="360" w:lineRule="auto"/>
        <w:ind w:firstLine="453" w:firstLineChars="189"/>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评审小组通过对采购成本、供应能力、风险管控、采购目标等的分析，对供应商拟提供标的技术、商务进行物有所值综合评价。</w:t>
      </w:r>
    </w:p>
    <w:p w14:paraId="30A812C2">
      <w:pPr>
        <w:tabs>
          <w:tab w:val="left" w:pos="312"/>
        </w:tabs>
        <w:adjustRightInd w:val="0"/>
        <w:snapToGrid w:val="0"/>
        <w:spacing w:line="360" w:lineRule="auto"/>
        <w:ind w:firstLine="453" w:firstLineChars="189"/>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(3)编写评审报告。</w:t>
      </w:r>
    </w:p>
    <w:p w14:paraId="033176FF">
      <w:pPr>
        <w:adjustRightInd w:val="0"/>
        <w:snapToGrid w:val="0"/>
        <w:spacing w:line="360" w:lineRule="auto"/>
        <w:ind w:firstLine="453" w:firstLineChars="189"/>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评审小组根据预期的谈判目标综合谈判纪要编写评审报告，推荐候选成交供应商或提出谈判终止建议。</w:t>
      </w:r>
    </w:p>
    <w:p w14:paraId="74665467">
      <w:pPr>
        <w:spacing w:line="600" w:lineRule="exact"/>
        <w:rPr>
          <w:rFonts w:hint="eastAsia" w:ascii="宋体" w:hAnsi="宋体" w:cs="宋体"/>
          <w:color w:val="000000" w:themeColor="text1"/>
          <w:sz w:val="30"/>
          <w:szCs w:val="30"/>
          <w:highlight w:val="none"/>
          <w14:textFill>
            <w14:solidFill>
              <w14:schemeClr w14:val="tx1"/>
            </w14:solidFill>
          </w14:textFill>
        </w:rPr>
      </w:pPr>
      <w:r>
        <w:rPr>
          <w:rFonts w:hint="eastAsia" w:ascii="宋体" w:hAnsi="宋体" w:cs="宋体"/>
          <w:color w:val="000000" w:themeColor="text1"/>
          <w:sz w:val="30"/>
          <w:szCs w:val="30"/>
          <w:highlight w:val="none"/>
          <w14:textFill>
            <w14:solidFill>
              <w14:schemeClr w14:val="tx1"/>
            </w14:solidFill>
          </w14:textFill>
        </w:rPr>
        <w:br w:type="page"/>
      </w:r>
    </w:p>
    <w:p w14:paraId="6A0EBE1C">
      <w:pPr>
        <w:pStyle w:val="152"/>
        <w:spacing w:line="600" w:lineRule="exact"/>
        <w:ind w:left="420" w:firstLine="0" w:firstLineChars="0"/>
        <w:rPr>
          <w:rFonts w:hint="eastAsia" w:ascii="黑体" w:hAnsi="黑体" w:eastAsia="黑体" w:cs="仿宋"/>
          <w:b/>
          <w:color w:val="000000" w:themeColor="text1"/>
          <w:sz w:val="44"/>
          <w:szCs w:val="44"/>
          <w:highlight w:val="none"/>
          <w14:textFill>
            <w14:solidFill>
              <w14:schemeClr w14:val="tx1"/>
            </w14:solidFill>
          </w14:textFill>
        </w:rPr>
      </w:pPr>
    </w:p>
    <w:p w14:paraId="0BCDD338">
      <w:pPr>
        <w:pStyle w:val="152"/>
        <w:spacing w:line="600" w:lineRule="exact"/>
        <w:ind w:left="420" w:firstLine="0" w:firstLineChars="0"/>
        <w:rPr>
          <w:rFonts w:hint="eastAsia" w:ascii="黑体" w:hAnsi="黑体" w:eastAsia="黑体" w:cs="仿宋"/>
          <w:b/>
          <w:color w:val="000000" w:themeColor="text1"/>
          <w:sz w:val="44"/>
          <w:szCs w:val="44"/>
          <w:highlight w:val="none"/>
          <w14:textFill>
            <w14:solidFill>
              <w14:schemeClr w14:val="tx1"/>
            </w14:solidFill>
          </w14:textFill>
        </w:rPr>
      </w:pPr>
    </w:p>
    <w:p w14:paraId="54F62FBE">
      <w:pPr>
        <w:pStyle w:val="152"/>
        <w:spacing w:line="600" w:lineRule="exact"/>
        <w:ind w:left="420" w:firstLine="0" w:firstLineChars="0"/>
        <w:rPr>
          <w:rFonts w:hint="eastAsia" w:ascii="黑体" w:hAnsi="黑体" w:eastAsia="黑体" w:cs="仿宋"/>
          <w:b/>
          <w:color w:val="000000" w:themeColor="text1"/>
          <w:sz w:val="44"/>
          <w:szCs w:val="44"/>
          <w:highlight w:val="none"/>
          <w14:textFill>
            <w14:solidFill>
              <w14:schemeClr w14:val="tx1"/>
            </w14:solidFill>
          </w14:textFill>
        </w:rPr>
      </w:pPr>
    </w:p>
    <w:p w14:paraId="2C8E8296">
      <w:pPr>
        <w:pStyle w:val="152"/>
        <w:spacing w:line="600" w:lineRule="exact"/>
        <w:ind w:left="420" w:firstLine="0" w:firstLineChars="0"/>
        <w:rPr>
          <w:rFonts w:hint="eastAsia" w:ascii="黑体" w:hAnsi="黑体" w:eastAsia="黑体" w:cs="仿宋"/>
          <w:b/>
          <w:color w:val="000000" w:themeColor="text1"/>
          <w:sz w:val="44"/>
          <w:szCs w:val="44"/>
          <w:highlight w:val="none"/>
          <w14:textFill>
            <w14:solidFill>
              <w14:schemeClr w14:val="tx1"/>
            </w14:solidFill>
          </w14:textFill>
        </w:rPr>
      </w:pPr>
    </w:p>
    <w:p w14:paraId="4DF93E50">
      <w:pPr>
        <w:pStyle w:val="152"/>
        <w:spacing w:line="600" w:lineRule="exact"/>
        <w:ind w:left="420" w:firstLine="0" w:firstLineChars="0"/>
        <w:jc w:val="center"/>
        <w:rPr>
          <w:rFonts w:hint="eastAsia" w:ascii="黑体" w:hAnsi="黑体" w:eastAsia="黑体" w:cs="仿宋"/>
          <w:b/>
          <w:color w:val="000000" w:themeColor="text1"/>
          <w:sz w:val="44"/>
          <w:szCs w:val="44"/>
          <w:highlight w:val="none"/>
          <w14:textFill>
            <w14:solidFill>
              <w14:schemeClr w14:val="tx1"/>
            </w14:solidFill>
          </w14:textFill>
        </w:rPr>
      </w:pPr>
    </w:p>
    <w:p w14:paraId="0AF1EA7C">
      <w:pPr>
        <w:pStyle w:val="152"/>
        <w:spacing w:line="600" w:lineRule="exact"/>
        <w:ind w:left="420" w:firstLine="0" w:firstLineChars="0"/>
        <w:jc w:val="center"/>
        <w:rPr>
          <w:rFonts w:hint="eastAsia" w:ascii="黑体" w:hAnsi="黑体" w:eastAsia="黑体" w:cs="仿宋"/>
          <w:b/>
          <w:color w:val="000000" w:themeColor="text1"/>
          <w:sz w:val="44"/>
          <w:szCs w:val="44"/>
          <w:highlight w:val="none"/>
          <w14:textFill>
            <w14:solidFill>
              <w14:schemeClr w14:val="tx1"/>
            </w14:solidFill>
          </w14:textFill>
        </w:rPr>
      </w:pPr>
    </w:p>
    <w:p w14:paraId="4B52099F">
      <w:pPr>
        <w:pStyle w:val="152"/>
        <w:spacing w:line="600" w:lineRule="exact"/>
        <w:ind w:left="420" w:firstLine="0" w:firstLineChars="0"/>
        <w:jc w:val="center"/>
        <w:rPr>
          <w:rFonts w:hint="eastAsia" w:ascii="黑体" w:hAnsi="黑体" w:eastAsia="黑体" w:cs="仿宋"/>
          <w:b/>
          <w:color w:val="000000" w:themeColor="text1"/>
          <w:sz w:val="44"/>
          <w:szCs w:val="44"/>
          <w:highlight w:val="none"/>
          <w14:textFill>
            <w14:solidFill>
              <w14:schemeClr w14:val="tx1"/>
            </w14:solidFill>
          </w14:textFill>
        </w:rPr>
      </w:pPr>
    </w:p>
    <w:p w14:paraId="0811EDED">
      <w:pPr>
        <w:pStyle w:val="152"/>
        <w:spacing w:line="600" w:lineRule="exact"/>
        <w:ind w:left="420" w:firstLine="0" w:firstLineChars="0"/>
        <w:jc w:val="center"/>
        <w:rPr>
          <w:rFonts w:hint="eastAsia" w:ascii="黑体" w:hAnsi="黑体" w:eastAsia="黑体" w:cs="仿宋"/>
          <w:b/>
          <w:color w:val="000000" w:themeColor="text1"/>
          <w:sz w:val="44"/>
          <w:szCs w:val="44"/>
          <w:highlight w:val="none"/>
          <w14:textFill>
            <w14:solidFill>
              <w14:schemeClr w14:val="tx1"/>
            </w14:solidFill>
          </w14:textFill>
        </w:rPr>
      </w:pPr>
    </w:p>
    <w:p w14:paraId="33AB38E6">
      <w:pPr>
        <w:pStyle w:val="152"/>
        <w:spacing w:line="600" w:lineRule="exact"/>
        <w:ind w:left="420" w:firstLine="0" w:firstLineChars="0"/>
        <w:jc w:val="center"/>
        <w:rPr>
          <w:rFonts w:hint="eastAsia" w:ascii="黑体" w:hAnsi="黑体" w:eastAsia="黑体" w:cs="仿宋"/>
          <w:b/>
          <w:color w:val="000000" w:themeColor="text1"/>
          <w:sz w:val="44"/>
          <w:szCs w:val="44"/>
          <w:highlight w:val="none"/>
          <w14:textFill>
            <w14:solidFill>
              <w14:schemeClr w14:val="tx1"/>
            </w14:solidFill>
          </w14:textFill>
        </w:rPr>
      </w:pPr>
      <w:r>
        <w:rPr>
          <w:rFonts w:hint="eastAsia" w:ascii="黑体" w:hAnsi="黑体" w:eastAsia="黑体" w:cs="仿宋"/>
          <w:b/>
          <w:color w:val="000000" w:themeColor="text1"/>
          <w:sz w:val="44"/>
          <w:szCs w:val="44"/>
          <w:highlight w:val="none"/>
          <w14:textFill>
            <w14:solidFill>
              <w14:schemeClr w14:val="tx1"/>
            </w14:solidFill>
          </w14:textFill>
        </w:rPr>
        <w:t>第四章  合同条款及格式</w:t>
      </w:r>
    </w:p>
    <w:p w14:paraId="41711593">
      <w:pPr>
        <w:pStyle w:val="152"/>
        <w:spacing w:line="600" w:lineRule="exact"/>
        <w:ind w:left="420" w:firstLine="0" w:firstLineChars="0"/>
        <w:jc w:val="center"/>
        <w:rPr>
          <w:rFonts w:hint="eastAsia" w:ascii="黑体" w:hAnsi="黑体" w:eastAsia="黑体" w:cs="仿宋"/>
          <w:b/>
          <w:color w:val="000000" w:themeColor="text1"/>
          <w:sz w:val="44"/>
          <w:szCs w:val="44"/>
          <w:highlight w:val="none"/>
          <w14:textFill>
            <w14:solidFill>
              <w14:schemeClr w14:val="tx1"/>
            </w14:solidFill>
          </w14:textFill>
        </w:rPr>
      </w:pPr>
    </w:p>
    <w:p w14:paraId="2A90B34D">
      <w:pPr>
        <w:pStyle w:val="152"/>
        <w:spacing w:line="600" w:lineRule="exact"/>
        <w:ind w:left="420" w:firstLine="0" w:firstLineChars="0"/>
        <w:jc w:val="center"/>
        <w:rPr>
          <w:rFonts w:hint="eastAsia" w:ascii="黑体" w:hAnsi="黑体" w:eastAsia="黑体" w:cs="仿宋"/>
          <w:b/>
          <w:color w:val="000000" w:themeColor="text1"/>
          <w:sz w:val="44"/>
          <w:szCs w:val="44"/>
          <w:highlight w:val="none"/>
          <w14:textFill>
            <w14:solidFill>
              <w14:schemeClr w14:val="tx1"/>
            </w14:solidFill>
          </w14:textFill>
        </w:rPr>
      </w:pPr>
    </w:p>
    <w:p w14:paraId="67E28FD5">
      <w:pPr>
        <w:pStyle w:val="152"/>
        <w:spacing w:line="600" w:lineRule="exact"/>
        <w:ind w:left="420" w:firstLine="0" w:firstLineChars="0"/>
        <w:jc w:val="center"/>
        <w:rPr>
          <w:rFonts w:hint="eastAsia" w:ascii="黑体" w:hAnsi="黑体" w:eastAsia="黑体" w:cs="仿宋"/>
          <w:b/>
          <w:color w:val="000000" w:themeColor="text1"/>
          <w:sz w:val="44"/>
          <w:szCs w:val="44"/>
          <w:highlight w:val="none"/>
          <w14:textFill>
            <w14:solidFill>
              <w14:schemeClr w14:val="tx1"/>
            </w14:solidFill>
          </w14:textFill>
        </w:rPr>
      </w:pPr>
    </w:p>
    <w:p w14:paraId="0DC554CE">
      <w:pPr>
        <w:pStyle w:val="152"/>
        <w:spacing w:line="600" w:lineRule="exact"/>
        <w:ind w:left="420" w:firstLine="0" w:firstLineChars="0"/>
        <w:jc w:val="center"/>
        <w:rPr>
          <w:rFonts w:hint="eastAsia" w:ascii="黑体" w:hAnsi="黑体" w:eastAsia="黑体" w:cs="仿宋"/>
          <w:b/>
          <w:color w:val="000000" w:themeColor="text1"/>
          <w:sz w:val="44"/>
          <w:szCs w:val="44"/>
          <w:highlight w:val="none"/>
          <w14:textFill>
            <w14:solidFill>
              <w14:schemeClr w14:val="tx1"/>
            </w14:solidFill>
          </w14:textFill>
        </w:rPr>
      </w:pPr>
    </w:p>
    <w:p w14:paraId="0486C33F">
      <w:pPr>
        <w:pStyle w:val="152"/>
        <w:spacing w:line="600" w:lineRule="exact"/>
        <w:ind w:left="420" w:firstLine="0" w:firstLineChars="0"/>
        <w:jc w:val="center"/>
        <w:rPr>
          <w:rFonts w:hint="eastAsia" w:ascii="黑体" w:hAnsi="黑体" w:eastAsia="黑体" w:cs="仿宋"/>
          <w:b/>
          <w:color w:val="000000" w:themeColor="text1"/>
          <w:sz w:val="44"/>
          <w:szCs w:val="44"/>
          <w:highlight w:val="none"/>
          <w14:textFill>
            <w14:solidFill>
              <w14:schemeClr w14:val="tx1"/>
            </w14:solidFill>
          </w14:textFill>
        </w:rPr>
      </w:pPr>
    </w:p>
    <w:p w14:paraId="2CFB8D91">
      <w:pPr>
        <w:pStyle w:val="152"/>
        <w:spacing w:line="600" w:lineRule="exact"/>
        <w:ind w:left="420" w:firstLine="0" w:firstLineChars="0"/>
        <w:jc w:val="center"/>
        <w:rPr>
          <w:rFonts w:hint="eastAsia" w:ascii="黑体" w:hAnsi="黑体" w:eastAsia="黑体" w:cs="仿宋"/>
          <w:b/>
          <w:color w:val="000000" w:themeColor="text1"/>
          <w:sz w:val="44"/>
          <w:szCs w:val="44"/>
          <w:highlight w:val="none"/>
          <w14:textFill>
            <w14:solidFill>
              <w14:schemeClr w14:val="tx1"/>
            </w14:solidFill>
          </w14:textFill>
        </w:rPr>
      </w:pPr>
    </w:p>
    <w:p w14:paraId="0D3CA5CD">
      <w:pPr>
        <w:pStyle w:val="152"/>
        <w:spacing w:line="600" w:lineRule="exact"/>
        <w:ind w:left="420" w:firstLine="0" w:firstLineChars="0"/>
        <w:jc w:val="center"/>
        <w:rPr>
          <w:rFonts w:hint="eastAsia" w:ascii="黑体" w:hAnsi="黑体" w:eastAsia="黑体" w:cs="仿宋"/>
          <w:b/>
          <w:color w:val="000000" w:themeColor="text1"/>
          <w:sz w:val="44"/>
          <w:szCs w:val="44"/>
          <w:highlight w:val="none"/>
          <w14:textFill>
            <w14:solidFill>
              <w14:schemeClr w14:val="tx1"/>
            </w14:solidFill>
          </w14:textFill>
        </w:rPr>
      </w:pPr>
    </w:p>
    <w:p w14:paraId="1FEFBFE2">
      <w:pPr>
        <w:pStyle w:val="152"/>
        <w:spacing w:line="600" w:lineRule="exact"/>
        <w:ind w:left="420" w:firstLine="0" w:firstLineChars="0"/>
        <w:jc w:val="center"/>
        <w:rPr>
          <w:rFonts w:hint="eastAsia" w:ascii="黑体" w:hAnsi="黑体" w:eastAsia="黑体" w:cs="仿宋"/>
          <w:b/>
          <w:color w:val="000000" w:themeColor="text1"/>
          <w:sz w:val="44"/>
          <w:szCs w:val="44"/>
          <w:highlight w:val="none"/>
          <w14:textFill>
            <w14:solidFill>
              <w14:schemeClr w14:val="tx1"/>
            </w14:solidFill>
          </w14:textFill>
        </w:rPr>
      </w:pPr>
    </w:p>
    <w:p w14:paraId="1A100785">
      <w:pPr>
        <w:pStyle w:val="152"/>
        <w:spacing w:line="600" w:lineRule="exact"/>
        <w:ind w:left="420" w:firstLine="0" w:firstLineChars="0"/>
        <w:jc w:val="center"/>
        <w:rPr>
          <w:rFonts w:hint="eastAsia" w:ascii="黑体" w:hAnsi="黑体" w:eastAsia="黑体" w:cs="仿宋"/>
          <w:b/>
          <w:color w:val="000000" w:themeColor="text1"/>
          <w:sz w:val="44"/>
          <w:szCs w:val="44"/>
          <w:highlight w:val="none"/>
          <w14:textFill>
            <w14:solidFill>
              <w14:schemeClr w14:val="tx1"/>
            </w14:solidFill>
          </w14:textFill>
        </w:rPr>
      </w:pPr>
    </w:p>
    <w:p w14:paraId="47A1322E">
      <w:pPr>
        <w:pStyle w:val="152"/>
        <w:spacing w:line="600" w:lineRule="exact"/>
        <w:ind w:left="420" w:firstLine="0" w:firstLineChars="0"/>
        <w:jc w:val="center"/>
        <w:rPr>
          <w:rFonts w:hint="eastAsia" w:ascii="黑体" w:hAnsi="黑体" w:eastAsia="黑体" w:cs="仿宋"/>
          <w:b/>
          <w:color w:val="000000" w:themeColor="text1"/>
          <w:sz w:val="44"/>
          <w:szCs w:val="44"/>
          <w:highlight w:val="none"/>
          <w14:textFill>
            <w14:solidFill>
              <w14:schemeClr w14:val="tx1"/>
            </w14:solidFill>
          </w14:textFill>
        </w:rPr>
      </w:pPr>
    </w:p>
    <w:p w14:paraId="35CB497C">
      <w:pPr>
        <w:pStyle w:val="152"/>
        <w:spacing w:line="600" w:lineRule="exact"/>
        <w:ind w:left="420" w:firstLine="0" w:firstLineChars="0"/>
        <w:jc w:val="center"/>
        <w:rPr>
          <w:rFonts w:hint="eastAsia" w:ascii="黑体" w:hAnsi="黑体" w:eastAsia="黑体" w:cs="仿宋"/>
          <w:b/>
          <w:color w:val="000000" w:themeColor="text1"/>
          <w:sz w:val="44"/>
          <w:szCs w:val="44"/>
          <w:highlight w:val="none"/>
          <w14:textFill>
            <w14:solidFill>
              <w14:schemeClr w14:val="tx1"/>
            </w14:solidFill>
          </w14:textFill>
        </w:rPr>
      </w:pPr>
    </w:p>
    <w:p w14:paraId="68C9CDA9">
      <w:pPr>
        <w:pStyle w:val="152"/>
        <w:spacing w:line="600" w:lineRule="exact"/>
        <w:ind w:left="420" w:firstLine="0" w:firstLineChars="0"/>
        <w:jc w:val="center"/>
        <w:rPr>
          <w:rFonts w:hint="eastAsia" w:ascii="黑体" w:hAnsi="黑体" w:eastAsia="黑体" w:cs="仿宋"/>
          <w:b/>
          <w:color w:val="000000" w:themeColor="text1"/>
          <w:sz w:val="44"/>
          <w:szCs w:val="44"/>
          <w:highlight w:val="none"/>
          <w14:textFill>
            <w14:solidFill>
              <w14:schemeClr w14:val="tx1"/>
            </w14:solidFill>
          </w14:textFill>
        </w:rPr>
      </w:pPr>
    </w:p>
    <w:p w14:paraId="4D4BDCA4">
      <w:pPr>
        <w:pStyle w:val="152"/>
        <w:spacing w:line="600" w:lineRule="exact"/>
        <w:ind w:left="420" w:firstLine="0" w:firstLineChars="0"/>
        <w:jc w:val="center"/>
        <w:rPr>
          <w:rFonts w:hint="eastAsia" w:ascii="黑体" w:hAnsi="黑体" w:eastAsia="黑体" w:cs="仿宋"/>
          <w:b/>
          <w:color w:val="000000" w:themeColor="text1"/>
          <w:sz w:val="44"/>
          <w:szCs w:val="44"/>
          <w:highlight w:val="none"/>
          <w14:textFill>
            <w14:solidFill>
              <w14:schemeClr w14:val="tx1"/>
            </w14:solidFill>
          </w14:textFill>
        </w:rPr>
      </w:pPr>
    </w:p>
    <w:p w14:paraId="7DD6670C">
      <w:pPr>
        <w:pStyle w:val="152"/>
        <w:spacing w:line="600" w:lineRule="exact"/>
        <w:ind w:left="420" w:firstLine="0" w:firstLineChars="0"/>
        <w:jc w:val="center"/>
        <w:rPr>
          <w:rFonts w:hint="eastAsia" w:ascii="黑体" w:hAnsi="黑体" w:eastAsia="黑体" w:cs="仿宋"/>
          <w:b/>
          <w:color w:val="000000" w:themeColor="text1"/>
          <w:sz w:val="44"/>
          <w:szCs w:val="44"/>
          <w:highlight w:val="none"/>
          <w14:textFill>
            <w14:solidFill>
              <w14:schemeClr w14:val="tx1"/>
            </w14:solidFill>
          </w14:textFill>
        </w:rPr>
      </w:pPr>
    </w:p>
    <w:p w14:paraId="0E05C334">
      <w:pPr>
        <w:pStyle w:val="152"/>
        <w:spacing w:line="600" w:lineRule="exact"/>
        <w:ind w:left="420" w:firstLine="0" w:firstLineChars="0"/>
        <w:jc w:val="center"/>
        <w:rPr>
          <w:rFonts w:hint="eastAsia" w:ascii="黑体" w:hAnsi="黑体" w:eastAsia="黑体" w:cs="仿宋"/>
          <w:b/>
          <w:color w:val="000000" w:themeColor="text1"/>
          <w:sz w:val="44"/>
          <w:szCs w:val="44"/>
          <w:highlight w:val="none"/>
          <w14:textFill>
            <w14:solidFill>
              <w14:schemeClr w14:val="tx1"/>
            </w14:solidFill>
          </w14:textFill>
        </w:rPr>
      </w:pPr>
    </w:p>
    <w:p w14:paraId="72B295E8">
      <w:pPr>
        <w:pStyle w:val="2"/>
        <w:spacing w:before="0" w:after="0" w:line="360" w:lineRule="auto"/>
        <w:jc w:val="center"/>
        <w:rPr>
          <w:rStyle w:val="944"/>
          <w:b w:val="0"/>
          <w:color w:val="000000" w:themeColor="text1"/>
          <w:sz w:val="32"/>
          <w:szCs w:val="32"/>
          <w:highlight w:val="none"/>
          <w14:textFill>
            <w14:solidFill>
              <w14:schemeClr w14:val="tx1"/>
            </w14:solidFill>
          </w14:textFill>
        </w:rPr>
      </w:pPr>
      <w:bookmarkStart w:id="19" w:name="_Toc156986230"/>
      <w:bookmarkStart w:id="20" w:name="_Toc161231742"/>
      <w:bookmarkStart w:id="21" w:name="_Toc29797134"/>
      <w:bookmarkStart w:id="22" w:name="_Toc184635098"/>
      <w:bookmarkStart w:id="23" w:name="_Toc16351"/>
      <w:bookmarkStart w:id="24" w:name="_Toc29797272"/>
      <w:bookmarkStart w:id="25" w:name="_Toc19948"/>
      <w:bookmarkStart w:id="26" w:name="_Toc488236004"/>
      <w:bookmarkStart w:id="27" w:name="_Toc237061007"/>
      <w:bookmarkStart w:id="28" w:name="_Toc9436"/>
      <w:bookmarkStart w:id="29" w:name="_Toc237230857"/>
      <w:bookmarkStart w:id="30" w:name="_Toc17358"/>
      <w:bookmarkStart w:id="31" w:name="_Toc29981714"/>
      <w:r>
        <w:rPr>
          <w:rStyle w:val="944"/>
          <w:b w:val="0"/>
          <w:color w:val="000000" w:themeColor="text1"/>
          <w:sz w:val="32"/>
          <w:szCs w:val="32"/>
          <w:highlight w:val="none"/>
          <w14:textFill>
            <w14:solidFill>
              <w14:schemeClr w14:val="tx1"/>
            </w14:solidFill>
          </w14:textFill>
        </w:rPr>
        <w:t>第一节 通用合同条款</w:t>
      </w:r>
      <w:bookmarkEnd w:id="19"/>
      <w:bookmarkEnd w:id="20"/>
    </w:p>
    <w:p w14:paraId="3AFB7ACA">
      <w:pPr>
        <w:pStyle w:val="723"/>
        <w:spacing w:line="520" w:lineRule="exact"/>
        <w:ind w:firstLine="482"/>
        <w:outlineLvl w:val="1"/>
        <w:rPr>
          <w:rFonts w:ascii="宋体" w:hAnsi="宋体" w:eastAsia="宋体"/>
          <w:bCs/>
          <w:color w:val="000000" w:themeColor="text1"/>
          <w:szCs w:val="24"/>
          <w:highlight w:val="none"/>
          <w14:textFill>
            <w14:solidFill>
              <w14:schemeClr w14:val="tx1"/>
            </w14:solidFill>
          </w14:textFill>
        </w:rPr>
      </w:pPr>
      <w:bookmarkStart w:id="32" w:name="_Toc156986231"/>
      <w:bookmarkStart w:id="33" w:name="_Toc161231743"/>
      <w:r>
        <w:rPr>
          <w:rFonts w:ascii="宋体" w:hAnsi="宋体" w:eastAsia="宋体"/>
          <w:bCs/>
          <w:color w:val="000000" w:themeColor="text1"/>
          <w:szCs w:val="24"/>
          <w:highlight w:val="none"/>
          <w14:textFill>
            <w14:solidFill>
              <w14:schemeClr w14:val="tx1"/>
            </w14:solidFill>
          </w14:textFill>
        </w:rPr>
        <w:t>1.一般约定</w:t>
      </w:r>
      <w:bookmarkEnd w:id="32"/>
      <w:bookmarkEnd w:id="33"/>
    </w:p>
    <w:p w14:paraId="24ECE1CE">
      <w:pPr>
        <w:tabs>
          <w:tab w:val="left" w:pos="1051"/>
        </w:tabs>
        <w:autoSpaceDE w:val="0"/>
        <w:autoSpaceDN w:val="0"/>
        <w:spacing w:line="520" w:lineRule="exact"/>
        <w:ind w:firstLine="482" w:firstLineChars="200"/>
        <w:rPr>
          <w:rFonts w:hint="eastAsia"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1.1 词语定义</w:t>
      </w:r>
    </w:p>
    <w:p w14:paraId="11C8BB6D">
      <w:pPr>
        <w:pStyle w:val="33"/>
        <w:spacing w:after="0" w:line="520" w:lineRule="exact"/>
        <w:ind w:firstLine="480" w:firstLineChars="20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通用合同条款、专用合同条款中的下列词语应具有本款所赋予的含义。</w:t>
      </w:r>
    </w:p>
    <w:p w14:paraId="4C8CB5E9">
      <w:pPr>
        <w:pStyle w:val="701"/>
        <w:tabs>
          <w:tab w:val="left" w:pos="1438"/>
        </w:tabs>
        <w:autoSpaceDE w:val="0"/>
        <w:autoSpaceDN w:val="0"/>
        <w:spacing w:line="520" w:lineRule="exact"/>
        <w:ind w:firstLine="482"/>
        <w:jc w:val="left"/>
        <w:rPr>
          <w:rFonts w:hint="eastAsia"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1.1.1 合同</w:t>
      </w:r>
    </w:p>
    <w:p w14:paraId="1A61F2F4">
      <w:pPr>
        <w:pStyle w:val="701"/>
        <w:tabs>
          <w:tab w:val="left" w:pos="1687"/>
        </w:tabs>
        <w:autoSpaceDE w:val="0"/>
        <w:autoSpaceDN w:val="0"/>
        <w:spacing w:line="520" w:lineRule="exact"/>
        <w:ind w:firstLine="480"/>
        <w:jc w:val="left"/>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1.1.1.1 合同文件（或称合同）：指合同协议书、成交通知书、响应文件、专用合同条款、通用合同条款、委托人要求、</w:t>
      </w:r>
      <w:r>
        <w:rPr>
          <w:rFonts w:hint="eastAsia" w:ascii="宋体" w:hAnsi="宋体"/>
          <w:color w:val="000000" w:themeColor="text1"/>
          <w:sz w:val="24"/>
          <w:highlight w:val="none"/>
          <w14:textFill>
            <w14:solidFill>
              <w14:schemeClr w14:val="tx1"/>
            </w14:solidFill>
          </w14:textFill>
        </w:rPr>
        <w:t>咨询</w:t>
      </w:r>
      <w:r>
        <w:rPr>
          <w:rFonts w:ascii="宋体" w:hAnsi="宋体"/>
          <w:color w:val="000000" w:themeColor="text1"/>
          <w:sz w:val="24"/>
          <w:highlight w:val="none"/>
          <w14:textFill>
            <w14:solidFill>
              <w14:schemeClr w14:val="tx1"/>
            </w14:solidFill>
          </w14:textFill>
        </w:rPr>
        <w:t>服务费用清单、</w:t>
      </w:r>
      <w:r>
        <w:rPr>
          <w:rFonts w:hint="eastAsia" w:ascii="宋体" w:hAnsi="宋体"/>
          <w:color w:val="000000" w:themeColor="text1"/>
          <w:sz w:val="24"/>
          <w:highlight w:val="none"/>
          <w14:textFill>
            <w14:solidFill>
              <w14:schemeClr w14:val="tx1"/>
            </w14:solidFill>
          </w14:textFill>
        </w:rPr>
        <w:t>咨询</w:t>
      </w:r>
      <w:r>
        <w:rPr>
          <w:rFonts w:ascii="宋体" w:hAnsi="宋体"/>
          <w:color w:val="000000" w:themeColor="text1"/>
          <w:sz w:val="24"/>
          <w:highlight w:val="none"/>
          <w14:textFill>
            <w14:solidFill>
              <w14:schemeClr w14:val="tx1"/>
            </w14:solidFill>
          </w14:textFill>
        </w:rPr>
        <w:t>服务方案，以及其他构成合同组成部分的文件。</w:t>
      </w:r>
    </w:p>
    <w:p w14:paraId="0B986951">
      <w:pPr>
        <w:pStyle w:val="701"/>
        <w:tabs>
          <w:tab w:val="left" w:pos="1625"/>
        </w:tabs>
        <w:autoSpaceDE w:val="0"/>
        <w:autoSpaceDN w:val="0"/>
        <w:spacing w:line="520" w:lineRule="exact"/>
        <w:ind w:firstLine="480"/>
        <w:jc w:val="left"/>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1.1.1.2 合同协议书：指委托人和咨询人共同签署的合同协议书。</w:t>
      </w:r>
    </w:p>
    <w:p w14:paraId="40D61B4D">
      <w:pPr>
        <w:pStyle w:val="701"/>
        <w:tabs>
          <w:tab w:val="left" w:pos="1625"/>
        </w:tabs>
        <w:autoSpaceDE w:val="0"/>
        <w:autoSpaceDN w:val="0"/>
        <w:spacing w:line="520" w:lineRule="exact"/>
        <w:ind w:firstLine="480"/>
        <w:jc w:val="left"/>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1.1.1.3 成交通知书：指委托人通知咨询人成交的函件。</w:t>
      </w:r>
    </w:p>
    <w:p w14:paraId="7A16A489">
      <w:pPr>
        <w:pStyle w:val="701"/>
        <w:tabs>
          <w:tab w:val="left" w:pos="1625"/>
        </w:tabs>
        <w:autoSpaceDE w:val="0"/>
        <w:autoSpaceDN w:val="0"/>
        <w:spacing w:line="520" w:lineRule="exact"/>
        <w:ind w:firstLine="480"/>
        <w:jc w:val="left"/>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1.1.1.4 响应文件：指由咨询人填写并签署的，名为“响应文件”的函件。</w:t>
      </w:r>
    </w:p>
    <w:p w14:paraId="4BD02902">
      <w:pPr>
        <w:pStyle w:val="701"/>
        <w:tabs>
          <w:tab w:val="left" w:pos="1625"/>
        </w:tabs>
        <w:autoSpaceDE w:val="0"/>
        <w:autoSpaceDN w:val="0"/>
        <w:spacing w:line="520" w:lineRule="exact"/>
        <w:ind w:firstLine="480"/>
        <w:jc w:val="left"/>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1.1.1.5 委托人要求：指合同文件中名为“委托人要求”的文件。</w:t>
      </w:r>
    </w:p>
    <w:p w14:paraId="375DAC2F">
      <w:pPr>
        <w:pStyle w:val="701"/>
        <w:tabs>
          <w:tab w:val="left" w:pos="1625"/>
        </w:tabs>
        <w:autoSpaceDE w:val="0"/>
        <w:autoSpaceDN w:val="0"/>
        <w:spacing w:line="520" w:lineRule="exact"/>
        <w:ind w:firstLine="480"/>
        <w:jc w:val="left"/>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1.1.1.6</w:t>
      </w:r>
      <w:r>
        <w:rPr>
          <w:rFonts w:hint="eastAsia" w:ascii="宋体" w:hAnsi="宋体"/>
          <w:color w:val="000000" w:themeColor="text1"/>
          <w:sz w:val="24"/>
          <w:highlight w:val="none"/>
          <w14:textFill>
            <w14:solidFill>
              <w14:schemeClr w14:val="tx1"/>
            </w14:solidFill>
          </w14:textFill>
        </w:rPr>
        <w:t xml:space="preserve"> 咨询</w:t>
      </w:r>
      <w:r>
        <w:rPr>
          <w:rFonts w:ascii="宋体" w:hAnsi="宋体"/>
          <w:color w:val="000000" w:themeColor="text1"/>
          <w:sz w:val="24"/>
          <w:highlight w:val="none"/>
          <w14:textFill>
            <w14:solidFill>
              <w14:schemeClr w14:val="tx1"/>
            </w14:solidFill>
          </w14:textFill>
        </w:rPr>
        <w:t>服务方案：指咨询人在响应文件中的</w:t>
      </w:r>
      <w:r>
        <w:rPr>
          <w:rFonts w:hint="eastAsia" w:ascii="宋体" w:hAnsi="宋体"/>
          <w:color w:val="000000" w:themeColor="text1"/>
          <w:sz w:val="24"/>
          <w:highlight w:val="none"/>
          <w14:textFill>
            <w14:solidFill>
              <w14:schemeClr w14:val="tx1"/>
            </w14:solidFill>
          </w14:textFill>
        </w:rPr>
        <w:t>咨询</w:t>
      </w:r>
      <w:r>
        <w:rPr>
          <w:rFonts w:ascii="宋体" w:hAnsi="宋体"/>
          <w:color w:val="000000" w:themeColor="text1"/>
          <w:sz w:val="24"/>
          <w:highlight w:val="none"/>
          <w14:textFill>
            <w14:solidFill>
              <w14:schemeClr w14:val="tx1"/>
            </w14:solidFill>
          </w14:textFill>
        </w:rPr>
        <w:t>服务方案。</w:t>
      </w:r>
    </w:p>
    <w:p w14:paraId="6E9F1CF8">
      <w:pPr>
        <w:pStyle w:val="701"/>
        <w:tabs>
          <w:tab w:val="left" w:pos="1625"/>
        </w:tabs>
        <w:autoSpaceDE w:val="0"/>
        <w:autoSpaceDN w:val="0"/>
        <w:spacing w:line="520" w:lineRule="exact"/>
        <w:ind w:firstLine="480"/>
        <w:jc w:val="left"/>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1.1.1.7</w:t>
      </w:r>
      <w:r>
        <w:rPr>
          <w:rFonts w:hint="eastAsia" w:ascii="宋体" w:hAnsi="宋体"/>
          <w:color w:val="000000" w:themeColor="text1"/>
          <w:sz w:val="24"/>
          <w:highlight w:val="none"/>
          <w14:textFill>
            <w14:solidFill>
              <w14:schemeClr w14:val="tx1"/>
            </w14:solidFill>
          </w14:textFill>
        </w:rPr>
        <w:t xml:space="preserve"> 咨询</w:t>
      </w:r>
      <w:r>
        <w:rPr>
          <w:rFonts w:ascii="宋体" w:hAnsi="宋体"/>
          <w:color w:val="000000" w:themeColor="text1"/>
          <w:sz w:val="24"/>
          <w:highlight w:val="none"/>
          <w14:textFill>
            <w14:solidFill>
              <w14:schemeClr w14:val="tx1"/>
            </w14:solidFill>
          </w14:textFill>
        </w:rPr>
        <w:t>服务费用清单：指咨询人响应文件中的</w:t>
      </w:r>
      <w:r>
        <w:rPr>
          <w:rFonts w:hint="eastAsia" w:ascii="宋体" w:hAnsi="宋体"/>
          <w:color w:val="000000" w:themeColor="text1"/>
          <w:sz w:val="24"/>
          <w:highlight w:val="none"/>
          <w14:textFill>
            <w14:solidFill>
              <w14:schemeClr w14:val="tx1"/>
            </w14:solidFill>
          </w14:textFill>
        </w:rPr>
        <w:t>咨询</w:t>
      </w:r>
      <w:r>
        <w:rPr>
          <w:rFonts w:ascii="宋体" w:hAnsi="宋体"/>
          <w:color w:val="000000" w:themeColor="text1"/>
          <w:sz w:val="24"/>
          <w:highlight w:val="none"/>
          <w14:textFill>
            <w14:solidFill>
              <w14:schemeClr w14:val="tx1"/>
            </w14:solidFill>
          </w14:textFill>
        </w:rPr>
        <w:t>服务费用清单。</w:t>
      </w:r>
    </w:p>
    <w:p w14:paraId="4285A182">
      <w:pPr>
        <w:pStyle w:val="701"/>
        <w:tabs>
          <w:tab w:val="left" w:pos="1625"/>
        </w:tabs>
        <w:autoSpaceDE w:val="0"/>
        <w:autoSpaceDN w:val="0"/>
        <w:spacing w:line="520" w:lineRule="exact"/>
        <w:ind w:firstLine="480"/>
        <w:jc w:val="left"/>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1.1.1.8 其他合同文件：指经合同双方当事人确认构成合同文件的其他文件。</w:t>
      </w:r>
    </w:p>
    <w:p w14:paraId="4688B23A">
      <w:pPr>
        <w:pStyle w:val="701"/>
        <w:tabs>
          <w:tab w:val="left" w:pos="1438"/>
        </w:tabs>
        <w:autoSpaceDE w:val="0"/>
        <w:autoSpaceDN w:val="0"/>
        <w:spacing w:line="520" w:lineRule="exact"/>
        <w:ind w:firstLine="482"/>
        <w:jc w:val="left"/>
        <w:rPr>
          <w:rFonts w:hint="eastAsia"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1.1.2 合同当事人和人员</w:t>
      </w:r>
    </w:p>
    <w:p w14:paraId="4BD0156E">
      <w:pPr>
        <w:pStyle w:val="701"/>
        <w:tabs>
          <w:tab w:val="left" w:pos="1625"/>
        </w:tabs>
        <w:autoSpaceDE w:val="0"/>
        <w:autoSpaceDN w:val="0"/>
        <w:spacing w:line="520" w:lineRule="exact"/>
        <w:ind w:firstLine="480"/>
        <w:jc w:val="left"/>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1.1.2.1 合同当事人：指委托人和（或）咨询人。</w:t>
      </w:r>
    </w:p>
    <w:p w14:paraId="29BE3F3B">
      <w:pPr>
        <w:pStyle w:val="701"/>
        <w:tabs>
          <w:tab w:val="left" w:pos="1625"/>
        </w:tabs>
        <w:autoSpaceDE w:val="0"/>
        <w:autoSpaceDN w:val="0"/>
        <w:spacing w:line="520" w:lineRule="exact"/>
        <w:ind w:firstLine="480"/>
        <w:jc w:val="left"/>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1.1.2.2 委托人：指与咨询人签订合同协议书的当事人，及其合法继承人。</w:t>
      </w:r>
    </w:p>
    <w:p w14:paraId="63AE714D">
      <w:pPr>
        <w:pStyle w:val="701"/>
        <w:tabs>
          <w:tab w:val="left" w:pos="1625"/>
        </w:tabs>
        <w:autoSpaceDE w:val="0"/>
        <w:autoSpaceDN w:val="0"/>
        <w:spacing w:line="520" w:lineRule="exact"/>
        <w:ind w:firstLine="480"/>
        <w:jc w:val="left"/>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1.1.2.3 咨询人：指与委托人签订合同协议书的当事人，及其合法继承人。</w:t>
      </w:r>
    </w:p>
    <w:p w14:paraId="148004E8">
      <w:pPr>
        <w:pStyle w:val="701"/>
        <w:tabs>
          <w:tab w:val="left" w:pos="1687"/>
        </w:tabs>
        <w:autoSpaceDE w:val="0"/>
        <w:autoSpaceDN w:val="0"/>
        <w:spacing w:line="520" w:lineRule="exact"/>
        <w:ind w:firstLine="480"/>
        <w:jc w:val="left"/>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1.1.2.4 委托人代表：指由委托人任命，并在授权范围和期限内代表委托人行使权利和履行义务的全权负责人。</w:t>
      </w:r>
    </w:p>
    <w:p w14:paraId="5C22D087">
      <w:pPr>
        <w:pStyle w:val="701"/>
        <w:tabs>
          <w:tab w:val="left" w:pos="1673"/>
        </w:tabs>
        <w:autoSpaceDE w:val="0"/>
        <w:autoSpaceDN w:val="0"/>
        <w:spacing w:line="520" w:lineRule="exact"/>
        <w:ind w:firstLine="480"/>
        <w:jc w:val="left"/>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1.1.2.5 项目负责人：指由咨询人任命，在咨询人授权范围内代表咨询人行使权利和履行义务且按照法律和采购文件规定具有相应资格的负责人。</w:t>
      </w:r>
    </w:p>
    <w:p w14:paraId="3BE21F89">
      <w:pPr>
        <w:pStyle w:val="701"/>
        <w:tabs>
          <w:tab w:val="left" w:pos="1673"/>
        </w:tabs>
        <w:autoSpaceDE w:val="0"/>
        <w:autoSpaceDN w:val="0"/>
        <w:spacing w:line="520" w:lineRule="exact"/>
        <w:ind w:firstLine="480"/>
        <w:jc w:val="left"/>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1.1.2.6 分包人：指从咨询人处分包合同中某一部分工作，并与其签订分包合同的且按照法律和采购文件规定具有相应资格的分包人。</w:t>
      </w:r>
    </w:p>
    <w:p w14:paraId="769B6E97">
      <w:pPr>
        <w:pStyle w:val="701"/>
        <w:tabs>
          <w:tab w:val="left" w:pos="1438"/>
        </w:tabs>
        <w:autoSpaceDE w:val="0"/>
        <w:autoSpaceDN w:val="0"/>
        <w:spacing w:line="520" w:lineRule="exact"/>
        <w:ind w:firstLine="482"/>
        <w:jc w:val="left"/>
        <w:rPr>
          <w:rFonts w:hint="eastAsia"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 xml:space="preserve">1.1.3 </w:t>
      </w:r>
      <w:r>
        <w:rPr>
          <w:rFonts w:hint="eastAsia" w:ascii="宋体" w:hAnsi="宋体"/>
          <w:b/>
          <w:color w:val="000000" w:themeColor="text1"/>
          <w:sz w:val="24"/>
          <w:highlight w:val="none"/>
          <w14:textFill>
            <w14:solidFill>
              <w14:schemeClr w14:val="tx1"/>
            </w14:solidFill>
          </w14:textFill>
        </w:rPr>
        <w:t>咨询</w:t>
      </w:r>
      <w:r>
        <w:rPr>
          <w:rFonts w:ascii="宋体" w:hAnsi="宋体"/>
          <w:b/>
          <w:color w:val="000000" w:themeColor="text1"/>
          <w:sz w:val="24"/>
          <w:highlight w:val="none"/>
          <w14:textFill>
            <w14:solidFill>
              <w14:schemeClr w14:val="tx1"/>
            </w14:solidFill>
          </w14:textFill>
        </w:rPr>
        <w:t>服务</w:t>
      </w:r>
    </w:p>
    <w:p w14:paraId="2A63DCB4">
      <w:pPr>
        <w:pStyle w:val="701"/>
        <w:tabs>
          <w:tab w:val="left" w:pos="1625"/>
        </w:tabs>
        <w:autoSpaceDE w:val="0"/>
        <w:autoSpaceDN w:val="0"/>
        <w:spacing w:line="520" w:lineRule="exact"/>
        <w:ind w:firstLine="480"/>
        <w:jc w:val="left"/>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1.1.3.1 </w:t>
      </w:r>
      <w:r>
        <w:rPr>
          <w:rFonts w:hint="eastAsia" w:ascii="宋体" w:hAnsi="宋体"/>
          <w:color w:val="000000" w:themeColor="text1"/>
          <w:sz w:val="24"/>
          <w:highlight w:val="none"/>
          <w14:textFill>
            <w14:solidFill>
              <w14:schemeClr w14:val="tx1"/>
            </w14:solidFill>
          </w14:textFill>
        </w:rPr>
        <w:t>咨询</w:t>
      </w:r>
      <w:r>
        <w:rPr>
          <w:rFonts w:ascii="宋体" w:hAnsi="宋体"/>
          <w:color w:val="000000" w:themeColor="text1"/>
          <w:sz w:val="24"/>
          <w:highlight w:val="none"/>
          <w14:textFill>
            <w14:solidFill>
              <w14:schemeClr w14:val="tx1"/>
            </w14:solidFill>
          </w14:textFill>
        </w:rPr>
        <w:t>服务项目：指专用合同条款中指明进行</w:t>
      </w:r>
      <w:r>
        <w:rPr>
          <w:rFonts w:hint="eastAsia" w:ascii="宋体" w:hAnsi="宋体"/>
          <w:color w:val="000000" w:themeColor="text1"/>
          <w:sz w:val="24"/>
          <w:highlight w:val="none"/>
          <w14:textFill>
            <w14:solidFill>
              <w14:schemeClr w14:val="tx1"/>
            </w14:solidFill>
          </w14:textFill>
        </w:rPr>
        <w:t>咨询服务</w:t>
      </w:r>
      <w:r>
        <w:rPr>
          <w:rFonts w:ascii="宋体" w:hAnsi="宋体"/>
          <w:color w:val="000000" w:themeColor="text1"/>
          <w:sz w:val="24"/>
          <w:highlight w:val="none"/>
          <w14:textFill>
            <w14:solidFill>
              <w14:schemeClr w14:val="tx1"/>
            </w14:solidFill>
          </w14:textFill>
        </w:rPr>
        <w:t>采购的</w:t>
      </w:r>
      <w:r>
        <w:rPr>
          <w:rFonts w:hint="eastAsia" w:ascii="宋体" w:hAnsi="宋体"/>
          <w:color w:val="000000" w:themeColor="text1"/>
          <w:sz w:val="24"/>
          <w:highlight w:val="none"/>
          <w14:textFill>
            <w14:solidFill>
              <w14:schemeClr w14:val="tx1"/>
            </w14:solidFill>
          </w14:textFill>
        </w:rPr>
        <w:t>咨询</w:t>
      </w:r>
      <w:r>
        <w:rPr>
          <w:rFonts w:ascii="宋体" w:hAnsi="宋体"/>
          <w:color w:val="000000" w:themeColor="text1"/>
          <w:sz w:val="24"/>
          <w:highlight w:val="none"/>
          <w14:textFill>
            <w14:solidFill>
              <w14:schemeClr w14:val="tx1"/>
            </w14:solidFill>
          </w14:textFill>
        </w:rPr>
        <w:t>服务。</w:t>
      </w:r>
    </w:p>
    <w:p w14:paraId="77DD44A4">
      <w:pPr>
        <w:pStyle w:val="701"/>
        <w:tabs>
          <w:tab w:val="left" w:pos="1625"/>
        </w:tabs>
        <w:autoSpaceDE w:val="0"/>
        <w:autoSpaceDN w:val="0"/>
        <w:spacing w:line="520" w:lineRule="exact"/>
        <w:ind w:firstLine="480"/>
        <w:jc w:val="left"/>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1.1.3.2 </w:t>
      </w:r>
      <w:r>
        <w:rPr>
          <w:rFonts w:hint="eastAsia" w:ascii="宋体" w:hAnsi="宋体"/>
          <w:color w:val="000000" w:themeColor="text1"/>
          <w:sz w:val="24"/>
          <w:highlight w:val="none"/>
          <w14:textFill>
            <w14:solidFill>
              <w14:schemeClr w14:val="tx1"/>
            </w14:solidFill>
          </w14:textFill>
        </w:rPr>
        <w:t>咨询</w:t>
      </w:r>
      <w:r>
        <w:rPr>
          <w:rFonts w:ascii="宋体" w:hAnsi="宋体"/>
          <w:color w:val="000000" w:themeColor="text1"/>
          <w:sz w:val="24"/>
          <w:highlight w:val="none"/>
          <w14:textFill>
            <w14:solidFill>
              <w14:schemeClr w14:val="tx1"/>
            </w14:solidFill>
          </w14:textFill>
        </w:rPr>
        <w:t>服务：指</w:t>
      </w:r>
      <w:r>
        <w:rPr>
          <w:rFonts w:hint="eastAsia" w:ascii="宋体" w:hAnsi="宋体"/>
          <w:color w:val="000000" w:themeColor="text1"/>
          <w:sz w:val="24"/>
          <w:highlight w:val="none"/>
          <w14:textFill>
            <w14:solidFill>
              <w14:schemeClr w14:val="tx1"/>
            </w14:solidFill>
          </w14:textFill>
        </w:rPr>
        <w:t>咨询</w:t>
      </w:r>
      <w:r>
        <w:rPr>
          <w:rFonts w:ascii="宋体" w:hAnsi="宋体"/>
          <w:color w:val="000000" w:themeColor="text1"/>
          <w:sz w:val="24"/>
          <w:highlight w:val="none"/>
          <w14:textFill>
            <w14:solidFill>
              <w14:schemeClr w14:val="tx1"/>
            </w14:solidFill>
          </w14:textFill>
        </w:rPr>
        <w:t>人按照合同约定履行合同义务，应完成的</w:t>
      </w:r>
      <w:r>
        <w:rPr>
          <w:rFonts w:hint="eastAsia" w:ascii="宋体" w:hAnsi="宋体"/>
          <w:color w:val="000000" w:themeColor="text1"/>
          <w:sz w:val="24"/>
          <w:highlight w:val="none"/>
          <w14:textFill>
            <w14:solidFill>
              <w14:schemeClr w14:val="tx1"/>
            </w14:solidFill>
          </w14:textFill>
        </w:rPr>
        <w:t>咨询</w:t>
      </w:r>
      <w:r>
        <w:rPr>
          <w:rFonts w:ascii="宋体" w:hAnsi="宋体"/>
          <w:color w:val="000000" w:themeColor="text1"/>
          <w:sz w:val="24"/>
          <w:highlight w:val="none"/>
          <w14:textFill>
            <w14:solidFill>
              <w14:schemeClr w14:val="tx1"/>
            </w14:solidFill>
          </w14:textFill>
        </w:rPr>
        <w:t>服务。</w:t>
      </w:r>
    </w:p>
    <w:p w14:paraId="6720E467">
      <w:pPr>
        <w:pStyle w:val="701"/>
        <w:tabs>
          <w:tab w:val="left" w:pos="1687"/>
        </w:tabs>
        <w:autoSpaceDE w:val="0"/>
        <w:autoSpaceDN w:val="0"/>
        <w:spacing w:line="520" w:lineRule="exact"/>
        <w:ind w:firstLine="480"/>
        <w:jc w:val="left"/>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1.1.3.3 委托人提供的资料：是委托人按合同约定向咨询人提供的，用于完成</w:t>
      </w:r>
      <w:r>
        <w:rPr>
          <w:rFonts w:hint="eastAsia" w:ascii="宋体" w:hAnsi="宋体"/>
          <w:color w:val="000000" w:themeColor="text1"/>
          <w:sz w:val="24"/>
          <w:highlight w:val="none"/>
          <w14:textFill>
            <w14:solidFill>
              <w14:schemeClr w14:val="tx1"/>
            </w14:solidFill>
          </w14:textFill>
        </w:rPr>
        <w:t>咨询服务</w:t>
      </w:r>
      <w:r>
        <w:rPr>
          <w:rFonts w:ascii="宋体" w:hAnsi="宋体"/>
          <w:color w:val="000000" w:themeColor="text1"/>
          <w:sz w:val="24"/>
          <w:highlight w:val="none"/>
          <w14:textFill>
            <w14:solidFill>
              <w14:schemeClr w14:val="tx1"/>
            </w14:solidFill>
          </w14:textFill>
        </w:rPr>
        <w:t>范围与内容所需要的资料。</w:t>
      </w:r>
    </w:p>
    <w:p w14:paraId="2A57BC73">
      <w:pPr>
        <w:pStyle w:val="701"/>
        <w:tabs>
          <w:tab w:val="left" w:pos="1673"/>
        </w:tabs>
        <w:autoSpaceDE w:val="0"/>
        <w:autoSpaceDN w:val="0"/>
        <w:spacing w:line="520" w:lineRule="exact"/>
        <w:ind w:firstLine="480"/>
        <w:jc w:val="left"/>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1.1.3.4 </w:t>
      </w:r>
      <w:r>
        <w:rPr>
          <w:rFonts w:hint="eastAsia" w:ascii="宋体" w:hAnsi="宋体"/>
          <w:color w:val="000000" w:themeColor="text1"/>
          <w:sz w:val="24"/>
          <w:highlight w:val="none"/>
          <w14:textFill>
            <w14:solidFill>
              <w14:schemeClr w14:val="tx1"/>
            </w14:solidFill>
          </w14:textFill>
        </w:rPr>
        <w:t>咨询</w:t>
      </w:r>
      <w:r>
        <w:rPr>
          <w:rFonts w:ascii="宋体" w:hAnsi="宋体"/>
          <w:color w:val="000000" w:themeColor="text1"/>
          <w:sz w:val="24"/>
          <w:highlight w:val="none"/>
          <w14:textFill>
            <w14:solidFill>
              <w14:schemeClr w14:val="tx1"/>
            </w14:solidFill>
          </w14:textFill>
        </w:rPr>
        <w:t>服务成果文件：指咨询人按合同约定的格式和载体向委托人提交的体现</w:t>
      </w:r>
      <w:r>
        <w:rPr>
          <w:rFonts w:hint="eastAsia" w:ascii="宋体" w:hAnsi="宋体"/>
          <w:color w:val="000000" w:themeColor="text1"/>
          <w:sz w:val="24"/>
          <w:highlight w:val="none"/>
          <w14:textFill>
            <w14:solidFill>
              <w14:schemeClr w14:val="tx1"/>
            </w14:solidFill>
          </w14:textFill>
        </w:rPr>
        <w:t>咨询</w:t>
      </w:r>
      <w:r>
        <w:rPr>
          <w:rFonts w:ascii="宋体" w:hAnsi="宋体"/>
          <w:color w:val="000000" w:themeColor="text1"/>
          <w:sz w:val="24"/>
          <w:highlight w:val="none"/>
          <w14:textFill>
            <w14:solidFill>
              <w14:schemeClr w14:val="tx1"/>
            </w14:solidFill>
          </w14:textFill>
        </w:rPr>
        <w:t>服务过程和结果的文件，包括阶段性文件和最终文件。</w:t>
      </w:r>
    </w:p>
    <w:p w14:paraId="32A9B033">
      <w:pPr>
        <w:pStyle w:val="701"/>
        <w:tabs>
          <w:tab w:val="left" w:pos="1438"/>
        </w:tabs>
        <w:autoSpaceDE w:val="0"/>
        <w:autoSpaceDN w:val="0"/>
        <w:spacing w:line="520" w:lineRule="exact"/>
        <w:ind w:firstLine="482"/>
        <w:jc w:val="left"/>
        <w:rPr>
          <w:rFonts w:hint="eastAsia"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1.1.4 日期</w:t>
      </w:r>
    </w:p>
    <w:p w14:paraId="505FA73B">
      <w:pPr>
        <w:pStyle w:val="701"/>
        <w:tabs>
          <w:tab w:val="left" w:pos="1656"/>
        </w:tabs>
        <w:autoSpaceDE w:val="0"/>
        <w:autoSpaceDN w:val="0"/>
        <w:spacing w:line="520" w:lineRule="exact"/>
        <w:ind w:firstLine="480"/>
        <w:jc w:val="left"/>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1.1.4.1 开始</w:t>
      </w:r>
      <w:r>
        <w:rPr>
          <w:rFonts w:hint="eastAsia" w:ascii="宋体" w:hAnsi="宋体"/>
          <w:color w:val="000000" w:themeColor="text1"/>
          <w:sz w:val="24"/>
          <w:highlight w:val="none"/>
          <w14:textFill>
            <w14:solidFill>
              <w14:schemeClr w14:val="tx1"/>
            </w14:solidFill>
          </w14:textFill>
        </w:rPr>
        <w:t>咨询</w:t>
      </w:r>
      <w:r>
        <w:rPr>
          <w:rFonts w:ascii="宋体" w:hAnsi="宋体"/>
          <w:color w:val="000000" w:themeColor="text1"/>
          <w:sz w:val="24"/>
          <w:highlight w:val="none"/>
          <w14:textFill>
            <w14:solidFill>
              <w14:schemeClr w14:val="tx1"/>
            </w14:solidFill>
          </w14:textFill>
        </w:rPr>
        <w:t>服务通知：指委托人按第 6.1 款通知咨询人开始</w:t>
      </w:r>
      <w:r>
        <w:rPr>
          <w:rFonts w:hint="eastAsia" w:ascii="宋体" w:hAnsi="宋体"/>
          <w:color w:val="000000" w:themeColor="text1"/>
          <w:sz w:val="24"/>
          <w:highlight w:val="none"/>
          <w14:textFill>
            <w14:solidFill>
              <w14:schemeClr w14:val="tx1"/>
            </w14:solidFill>
          </w14:textFill>
        </w:rPr>
        <w:t>咨询</w:t>
      </w:r>
      <w:r>
        <w:rPr>
          <w:rFonts w:ascii="宋体" w:hAnsi="宋体"/>
          <w:color w:val="000000" w:themeColor="text1"/>
          <w:sz w:val="24"/>
          <w:highlight w:val="none"/>
          <w14:textFill>
            <w14:solidFill>
              <w14:schemeClr w14:val="tx1"/>
            </w14:solidFill>
          </w14:textFill>
        </w:rPr>
        <w:t>服务日期的函件。</w:t>
      </w:r>
    </w:p>
    <w:p w14:paraId="2209F67C">
      <w:pPr>
        <w:pStyle w:val="701"/>
        <w:tabs>
          <w:tab w:val="left" w:pos="1656"/>
        </w:tabs>
        <w:autoSpaceDE w:val="0"/>
        <w:autoSpaceDN w:val="0"/>
        <w:spacing w:line="520" w:lineRule="exact"/>
        <w:ind w:firstLine="480"/>
        <w:jc w:val="left"/>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1.1.4.2 开始</w:t>
      </w:r>
      <w:r>
        <w:rPr>
          <w:rFonts w:hint="eastAsia" w:ascii="宋体" w:hAnsi="宋体"/>
          <w:color w:val="000000" w:themeColor="text1"/>
          <w:sz w:val="24"/>
          <w:highlight w:val="none"/>
          <w14:textFill>
            <w14:solidFill>
              <w14:schemeClr w14:val="tx1"/>
            </w14:solidFill>
          </w14:textFill>
        </w:rPr>
        <w:t>咨询服务</w:t>
      </w:r>
      <w:r>
        <w:rPr>
          <w:rFonts w:ascii="宋体" w:hAnsi="宋体"/>
          <w:color w:val="000000" w:themeColor="text1"/>
          <w:sz w:val="24"/>
          <w:highlight w:val="none"/>
          <w14:textFill>
            <w14:solidFill>
              <w14:schemeClr w14:val="tx1"/>
            </w14:solidFill>
          </w14:textFill>
        </w:rPr>
        <w:t>日期：指委托人按第 6.1 款发出的开始</w:t>
      </w:r>
      <w:r>
        <w:rPr>
          <w:rFonts w:hint="eastAsia" w:ascii="宋体" w:hAnsi="宋体"/>
          <w:color w:val="000000" w:themeColor="text1"/>
          <w:sz w:val="24"/>
          <w:highlight w:val="none"/>
          <w14:textFill>
            <w14:solidFill>
              <w14:schemeClr w14:val="tx1"/>
            </w14:solidFill>
          </w14:textFill>
        </w:rPr>
        <w:t>咨询</w:t>
      </w:r>
      <w:r>
        <w:rPr>
          <w:rFonts w:ascii="宋体" w:hAnsi="宋体"/>
          <w:color w:val="000000" w:themeColor="text1"/>
          <w:sz w:val="24"/>
          <w:highlight w:val="none"/>
          <w14:textFill>
            <w14:solidFill>
              <w14:schemeClr w14:val="tx1"/>
            </w14:solidFill>
          </w14:textFill>
        </w:rPr>
        <w:t>服务通知中写明的开始</w:t>
      </w:r>
      <w:r>
        <w:rPr>
          <w:rFonts w:hint="eastAsia" w:ascii="宋体" w:hAnsi="宋体"/>
          <w:color w:val="000000" w:themeColor="text1"/>
          <w:sz w:val="24"/>
          <w:highlight w:val="none"/>
          <w14:textFill>
            <w14:solidFill>
              <w14:schemeClr w14:val="tx1"/>
            </w14:solidFill>
          </w14:textFill>
        </w:rPr>
        <w:t>咨询</w:t>
      </w:r>
      <w:r>
        <w:rPr>
          <w:rFonts w:ascii="宋体" w:hAnsi="宋体"/>
          <w:color w:val="000000" w:themeColor="text1"/>
          <w:sz w:val="24"/>
          <w:highlight w:val="none"/>
          <w14:textFill>
            <w14:solidFill>
              <w14:schemeClr w14:val="tx1"/>
            </w14:solidFill>
          </w14:textFill>
        </w:rPr>
        <w:t>服务日期。</w:t>
      </w:r>
    </w:p>
    <w:p w14:paraId="1AB44FD6">
      <w:pPr>
        <w:pStyle w:val="701"/>
        <w:tabs>
          <w:tab w:val="left" w:pos="1661"/>
        </w:tabs>
        <w:autoSpaceDE w:val="0"/>
        <w:autoSpaceDN w:val="0"/>
        <w:spacing w:line="520" w:lineRule="exact"/>
        <w:ind w:firstLine="480"/>
        <w:jc w:val="left"/>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1.1.4.3 </w:t>
      </w:r>
      <w:r>
        <w:rPr>
          <w:rFonts w:hint="eastAsia" w:ascii="宋体" w:hAnsi="宋体"/>
          <w:color w:val="000000" w:themeColor="text1"/>
          <w:sz w:val="24"/>
          <w:highlight w:val="none"/>
          <w14:textFill>
            <w14:solidFill>
              <w14:schemeClr w14:val="tx1"/>
            </w14:solidFill>
          </w14:textFill>
        </w:rPr>
        <w:t>咨询</w:t>
      </w:r>
      <w:r>
        <w:rPr>
          <w:rFonts w:ascii="宋体" w:hAnsi="宋体"/>
          <w:color w:val="000000" w:themeColor="text1"/>
          <w:sz w:val="24"/>
          <w:highlight w:val="none"/>
          <w14:textFill>
            <w14:solidFill>
              <w14:schemeClr w14:val="tx1"/>
            </w14:solidFill>
          </w14:textFill>
        </w:rPr>
        <w:t>服务期限：指咨询人在合同协议书中约定的完成合同</w:t>
      </w:r>
      <w:r>
        <w:rPr>
          <w:rFonts w:hint="eastAsia" w:ascii="宋体" w:hAnsi="宋体"/>
          <w:color w:val="000000" w:themeColor="text1"/>
          <w:sz w:val="24"/>
          <w:highlight w:val="none"/>
          <w14:textFill>
            <w14:solidFill>
              <w14:schemeClr w14:val="tx1"/>
            </w14:solidFill>
          </w14:textFill>
        </w:rPr>
        <w:t>咨询</w:t>
      </w:r>
      <w:r>
        <w:rPr>
          <w:rFonts w:ascii="宋体" w:hAnsi="宋体"/>
          <w:color w:val="000000" w:themeColor="text1"/>
          <w:sz w:val="24"/>
          <w:highlight w:val="none"/>
          <w14:textFill>
            <w14:solidFill>
              <w14:schemeClr w14:val="tx1"/>
            </w14:solidFill>
          </w14:textFill>
        </w:rPr>
        <w:t>服务所需的期限，包括按第 6.2 款、第 6.4 款和第 6.6 款约定所做的调整。</w:t>
      </w:r>
    </w:p>
    <w:p w14:paraId="2B77BEC3">
      <w:pPr>
        <w:pStyle w:val="701"/>
        <w:tabs>
          <w:tab w:val="left" w:pos="1625"/>
        </w:tabs>
        <w:autoSpaceDE w:val="0"/>
        <w:autoSpaceDN w:val="0"/>
        <w:spacing w:line="520" w:lineRule="exact"/>
        <w:ind w:firstLine="480"/>
        <w:jc w:val="left"/>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1.1.4.4 完成</w:t>
      </w:r>
      <w:r>
        <w:rPr>
          <w:rFonts w:hint="eastAsia" w:ascii="宋体" w:hAnsi="宋体"/>
          <w:color w:val="000000" w:themeColor="text1"/>
          <w:sz w:val="24"/>
          <w:highlight w:val="none"/>
          <w14:textFill>
            <w14:solidFill>
              <w14:schemeClr w14:val="tx1"/>
            </w14:solidFill>
          </w14:textFill>
        </w:rPr>
        <w:t>咨询</w:t>
      </w:r>
      <w:r>
        <w:rPr>
          <w:rFonts w:ascii="宋体" w:hAnsi="宋体"/>
          <w:color w:val="000000" w:themeColor="text1"/>
          <w:sz w:val="24"/>
          <w:highlight w:val="none"/>
          <w14:textFill>
            <w14:solidFill>
              <w14:schemeClr w14:val="tx1"/>
            </w14:solidFill>
          </w14:textFill>
        </w:rPr>
        <w:t>服务日期：指第 1.1.4.3 目约定咨询服务期限届满时的日期。</w:t>
      </w:r>
    </w:p>
    <w:p w14:paraId="3D0FE581">
      <w:pPr>
        <w:pStyle w:val="701"/>
        <w:tabs>
          <w:tab w:val="left" w:pos="1625"/>
        </w:tabs>
        <w:autoSpaceDE w:val="0"/>
        <w:autoSpaceDN w:val="0"/>
        <w:spacing w:line="520" w:lineRule="exact"/>
        <w:ind w:firstLine="480"/>
        <w:jc w:val="left"/>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1.1.4.5 基准日：指响应截止时间前 28 天的日期。</w:t>
      </w:r>
    </w:p>
    <w:p w14:paraId="40EBA734">
      <w:pPr>
        <w:pStyle w:val="701"/>
        <w:tabs>
          <w:tab w:val="left" w:pos="1687"/>
        </w:tabs>
        <w:autoSpaceDE w:val="0"/>
        <w:autoSpaceDN w:val="0"/>
        <w:spacing w:line="520" w:lineRule="exact"/>
        <w:ind w:firstLine="480"/>
        <w:jc w:val="left"/>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1.1.4.6 天：除特别指明外，指日历天。合同中按天计算时间的，开始当天不计入，从次日开始计算。期限最后一天的截止时间为当天 24:00。</w:t>
      </w:r>
    </w:p>
    <w:p w14:paraId="763AE203">
      <w:pPr>
        <w:pStyle w:val="701"/>
        <w:tabs>
          <w:tab w:val="left" w:pos="1438"/>
        </w:tabs>
        <w:autoSpaceDE w:val="0"/>
        <w:autoSpaceDN w:val="0"/>
        <w:spacing w:line="520" w:lineRule="exact"/>
        <w:ind w:firstLine="482"/>
        <w:jc w:val="left"/>
        <w:rPr>
          <w:rFonts w:hint="eastAsia"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1.1.5 合同价格和费用</w:t>
      </w:r>
    </w:p>
    <w:p w14:paraId="449E7623">
      <w:pPr>
        <w:pStyle w:val="701"/>
        <w:tabs>
          <w:tab w:val="left" w:pos="1625"/>
        </w:tabs>
        <w:autoSpaceDE w:val="0"/>
        <w:autoSpaceDN w:val="0"/>
        <w:spacing w:line="520" w:lineRule="exact"/>
        <w:ind w:firstLine="480"/>
        <w:jc w:val="left"/>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1.1.5.1 签约合同价：指签订合同时合同协议书中载明的咨询服务费用总金额。</w:t>
      </w:r>
    </w:p>
    <w:p w14:paraId="45AF92FF">
      <w:pPr>
        <w:pStyle w:val="701"/>
        <w:tabs>
          <w:tab w:val="left" w:pos="1673"/>
        </w:tabs>
        <w:autoSpaceDE w:val="0"/>
        <w:autoSpaceDN w:val="0"/>
        <w:spacing w:line="520" w:lineRule="exact"/>
        <w:ind w:firstLine="480"/>
        <w:jc w:val="left"/>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1.1.5.2 合同价格：指咨询人按合同约定完成了全部咨询服务工作后，委托人应付给咨询人的金额，包括在履行合同过程中按合同约定发生的价格变化。</w:t>
      </w:r>
    </w:p>
    <w:p w14:paraId="3A73A442">
      <w:pPr>
        <w:pStyle w:val="701"/>
        <w:tabs>
          <w:tab w:val="left" w:pos="1687"/>
        </w:tabs>
        <w:autoSpaceDE w:val="0"/>
        <w:autoSpaceDN w:val="0"/>
        <w:spacing w:line="520" w:lineRule="exact"/>
        <w:ind w:firstLine="480"/>
        <w:jc w:val="left"/>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1.1.5.3 费用：指为履行合同所发生的或将要发生的所有必要开支，包括管理费和应分摊的其他费用，但不包括利润。</w:t>
      </w:r>
    </w:p>
    <w:p w14:paraId="21ED7822">
      <w:pPr>
        <w:pStyle w:val="701"/>
        <w:tabs>
          <w:tab w:val="left" w:pos="1438"/>
        </w:tabs>
        <w:autoSpaceDE w:val="0"/>
        <w:autoSpaceDN w:val="0"/>
        <w:spacing w:line="520" w:lineRule="exact"/>
        <w:ind w:firstLine="482"/>
        <w:jc w:val="left"/>
        <w:rPr>
          <w:rFonts w:hint="eastAsia"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1.1.6 其他</w:t>
      </w:r>
    </w:p>
    <w:p w14:paraId="75B18790">
      <w:pPr>
        <w:pStyle w:val="33"/>
        <w:spacing w:after="0" w:line="520" w:lineRule="exact"/>
        <w:ind w:firstLine="480" w:firstLineChars="20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1.1.6.1 书面形式：指合同文件、信件和数据电文（包括电报、电传、传真、电子数据交换和电子邮件）等可以有形地表现所载内容的形式。</w:t>
      </w:r>
    </w:p>
    <w:p w14:paraId="4EF1221B">
      <w:pPr>
        <w:tabs>
          <w:tab w:val="left" w:pos="1051"/>
        </w:tabs>
        <w:autoSpaceDE w:val="0"/>
        <w:autoSpaceDN w:val="0"/>
        <w:spacing w:line="520" w:lineRule="exact"/>
        <w:ind w:firstLine="482" w:firstLineChars="200"/>
        <w:rPr>
          <w:rFonts w:hint="eastAsia"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1.2 语言文字</w:t>
      </w:r>
    </w:p>
    <w:p w14:paraId="45051940">
      <w:pPr>
        <w:pStyle w:val="33"/>
        <w:spacing w:after="0" w:line="520" w:lineRule="exact"/>
        <w:ind w:firstLine="480" w:firstLineChars="20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合同使用的语言文字为简体中文。专用术语使用外文的，应附有简体中文注释，汉语为优先解释和说明合同的语言。</w:t>
      </w:r>
    </w:p>
    <w:p w14:paraId="055EB066">
      <w:pPr>
        <w:tabs>
          <w:tab w:val="left" w:pos="1051"/>
        </w:tabs>
        <w:autoSpaceDE w:val="0"/>
        <w:autoSpaceDN w:val="0"/>
        <w:spacing w:line="520" w:lineRule="exact"/>
        <w:ind w:firstLine="482" w:firstLineChars="200"/>
        <w:rPr>
          <w:rFonts w:hint="eastAsia"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1.3 适用法律</w:t>
      </w:r>
    </w:p>
    <w:p w14:paraId="5B778362">
      <w:pPr>
        <w:pStyle w:val="33"/>
        <w:spacing w:after="0" w:line="520" w:lineRule="exact"/>
        <w:ind w:firstLine="480" w:firstLineChars="20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适用于合同的法律包括中华人民共和国法律、行政法规、部门规章，以及工程所在地的地方性法规、自治条例、单行条例和地方政府规章。</w:t>
      </w:r>
    </w:p>
    <w:p w14:paraId="111455B1">
      <w:pPr>
        <w:pStyle w:val="33"/>
        <w:spacing w:after="0" w:line="520" w:lineRule="exact"/>
        <w:ind w:firstLine="480" w:firstLineChars="20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本合同适用的其他规范性文件，可在专用合同条款中约定。</w:t>
      </w:r>
    </w:p>
    <w:p w14:paraId="51E30405">
      <w:pPr>
        <w:tabs>
          <w:tab w:val="left" w:pos="1051"/>
        </w:tabs>
        <w:autoSpaceDE w:val="0"/>
        <w:autoSpaceDN w:val="0"/>
        <w:spacing w:line="520" w:lineRule="exact"/>
        <w:ind w:firstLine="482" w:firstLineChars="200"/>
        <w:rPr>
          <w:rFonts w:hint="eastAsia"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1.4 合同文件的优先顺序</w:t>
      </w:r>
    </w:p>
    <w:p w14:paraId="18912837">
      <w:pPr>
        <w:pStyle w:val="33"/>
        <w:spacing w:after="0" w:line="520" w:lineRule="exact"/>
        <w:ind w:firstLine="480" w:firstLineChars="20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组成合同的各项文件应互相解释，互为说明。除专用合同条款另有约定外，解释合同文件的优先顺序如下：</w:t>
      </w:r>
    </w:p>
    <w:p w14:paraId="50C6BDEA">
      <w:pPr>
        <w:pStyle w:val="701"/>
        <w:tabs>
          <w:tab w:val="left" w:pos="1446"/>
        </w:tabs>
        <w:autoSpaceDE w:val="0"/>
        <w:autoSpaceDN w:val="0"/>
        <w:spacing w:line="520" w:lineRule="exact"/>
        <w:ind w:firstLine="48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（1）合同协议书；</w:t>
      </w:r>
    </w:p>
    <w:p w14:paraId="3F6E0C27">
      <w:pPr>
        <w:pStyle w:val="701"/>
        <w:tabs>
          <w:tab w:val="left" w:pos="1446"/>
        </w:tabs>
        <w:autoSpaceDE w:val="0"/>
        <w:autoSpaceDN w:val="0"/>
        <w:spacing w:line="520" w:lineRule="exact"/>
        <w:ind w:firstLine="48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（2）成交通知书；</w:t>
      </w:r>
    </w:p>
    <w:p w14:paraId="6BA7EEA4">
      <w:pPr>
        <w:pStyle w:val="701"/>
        <w:tabs>
          <w:tab w:val="left" w:pos="1446"/>
        </w:tabs>
        <w:autoSpaceDE w:val="0"/>
        <w:autoSpaceDN w:val="0"/>
        <w:spacing w:line="520" w:lineRule="exact"/>
        <w:ind w:firstLine="48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（3）响应文件；</w:t>
      </w:r>
    </w:p>
    <w:p w14:paraId="3B565E1D">
      <w:pPr>
        <w:pStyle w:val="701"/>
        <w:tabs>
          <w:tab w:val="left" w:pos="1446"/>
        </w:tabs>
        <w:autoSpaceDE w:val="0"/>
        <w:autoSpaceDN w:val="0"/>
        <w:spacing w:line="520" w:lineRule="exact"/>
        <w:ind w:firstLine="48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（4）专用合同条款；</w:t>
      </w:r>
    </w:p>
    <w:p w14:paraId="29D4B381">
      <w:pPr>
        <w:pStyle w:val="701"/>
        <w:tabs>
          <w:tab w:val="left" w:pos="1446"/>
        </w:tabs>
        <w:autoSpaceDE w:val="0"/>
        <w:autoSpaceDN w:val="0"/>
        <w:spacing w:line="520" w:lineRule="exact"/>
        <w:ind w:firstLine="48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（5）通用合同条款；</w:t>
      </w:r>
    </w:p>
    <w:p w14:paraId="0FB01CB1">
      <w:pPr>
        <w:pStyle w:val="701"/>
        <w:tabs>
          <w:tab w:val="left" w:pos="1446"/>
        </w:tabs>
        <w:autoSpaceDE w:val="0"/>
        <w:autoSpaceDN w:val="0"/>
        <w:spacing w:line="520" w:lineRule="exact"/>
        <w:ind w:firstLine="48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（6）委托人要求；</w:t>
      </w:r>
    </w:p>
    <w:p w14:paraId="1E6FE15D">
      <w:pPr>
        <w:pStyle w:val="701"/>
        <w:tabs>
          <w:tab w:val="left" w:pos="1446"/>
        </w:tabs>
        <w:autoSpaceDE w:val="0"/>
        <w:autoSpaceDN w:val="0"/>
        <w:spacing w:line="520" w:lineRule="exact"/>
        <w:ind w:firstLine="48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（7）咨询服务费用清单； </w:t>
      </w:r>
    </w:p>
    <w:p w14:paraId="72AC8790">
      <w:pPr>
        <w:pStyle w:val="701"/>
        <w:tabs>
          <w:tab w:val="left" w:pos="1446"/>
        </w:tabs>
        <w:autoSpaceDE w:val="0"/>
        <w:autoSpaceDN w:val="0"/>
        <w:spacing w:line="520" w:lineRule="exact"/>
        <w:ind w:firstLine="48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（8）咨询服务方案；</w:t>
      </w:r>
    </w:p>
    <w:p w14:paraId="2256DA44">
      <w:pPr>
        <w:pStyle w:val="701"/>
        <w:tabs>
          <w:tab w:val="left" w:pos="1446"/>
        </w:tabs>
        <w:autoSpaceDE w:val="0"/>
        <w:autoSpaceDN w:val="0"/>
        <w:spacing w:line="520" w:lineRule="exact"/>
        <w:ind w:firstLine="48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（9）其他合同文件。</w:t>
      </w:r>
    </w:p>
    <w:p w14:paraId="6C8076E8">
      <w:pPr>
        <w:tabs>
          <w:tab w:val="left" w:pos="1051"/>
        </w:tabs>
        <w:autoSpaceDE w:val="0"/>
        <w:autoSpaceDN w:val="0"/>
        <w:spacing w:line="520" w:lineRule="exact"/>
        <w:ind w:firstLine="482" w:firstLineChars="200"/>
        <w:rPr>
          <w:rFonts w:hint="eastAsia"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1.5 合同协议书</w:t>
      </w:r>
    </w:p>
    <w:p w14:paraId="1A05076B">
      <w:pPr>
        <w:pStyle w:val="33"/>
        <w:spacing w:after="0" w:line="52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咨询人</w:t>
      </w:r>
      <w:r>
        <w:rPr>
          <w:rFonts w:ascii="宋体" w:hAnsi="宋体"/>
          <w:color w:val="000000" w:themeColor="text1"/>
          <w:sz w:val="24"/>
          <w:highlight w:val="none"/>
          <w14:textFill>
            <w14:solidFill>
              <w14:schemeClr w14:val="tx1"/>
            </w14:solidFill>
          </w14:textFill>
        </w:rPr>
        <w:t>按成交通知书规定的时间与委托人签订合同协议书。除法律另有规定或合同另有约定外，自委托人和</w:t>
      </w:r>
      <w:r>
        <w:rPr>
          <w:rFonts w:hint="eastAsia" w:ascii="宋体" w:hAnsi="宋体"/>
          <w:color w:val="000000" w:themeColor="text1"/>
          <w:sz w:val="24"/>
          <w:highlight w:val="none"/>
          <w14:textFill>
            <w14:solidFill>
              <w14:schemeClr w14:val="tx1"/>
            </w14:solidFill>
          </w14:textFill>
        </w:rPr>
        <w:t>咨询人</w:t>
      </w:r>
      <w:r>
        <w:rPr>
          <w:rFonts w:ascii="宋体" w:hAnsi="宋体"/>
          <w:color w:val="000000" w:themeColor="text1"/>
          <w:sz w:val="24"/>
          <w:highlight w:val="none"/>
          <w14:textFill>
            <w14:solidFill>
              <w14:schemeClr w14:val="tx1"/>
            </w14:solidFill>
          </w14:textFill>
        </w:rPr>
        <w:t>的法定代表人或其委托代理人在合同协议书上签字并加盖单位章之日起，合同生效。</w:t>
      </w:r>
    </w:p>
    <w:p w14:paraId="6144A160">
      <w:pPr>
        <w:tabs>
          <w:tab w:val="left" w:pos="1051"/>
        </w:tabs>
        <w:autoSpaceDE w:val="0"/>
        <w:autoSpaceDN w:val="0"/>
        <w:spacing w:line="520" w:lineRule="exact"/>
        <w:ind w:firstLine="482" w:firstLineChars="200"/>
        <w:rPr>
          <w:rFonts w:hint="eastAsia"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1.6 文件的提供</w:t>
      </w:r>
    </w:p>
    <w:p w14:paraId="2AB0482C">
      <w:pPr>
        <w:pStyle w:val="701"/>
        <w:tabs>
          <w:tab w:val="left" w:pos="1438"/>
        </w:tabs>
        <w:autoSpaceDE w:val="0"/>
        <w:autoSpaceDN w:val="0"/>
        <w:spacing w:line="520" w:lineRule="exact"/>
        <w:ind w:firstLine="480"/>
        <w:jc w:val="left"/>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1.6.1 咨询服务成果文件的提供</w:t>
      </w:r>
    </w:p>
    <w:p w14:paraId="07E9B474">
      <w:pPr>
        <w:pStyle w:val="33"/>
        <w:spacing w:after="0" w:line="52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咨询人</w:t>
      </w:r>
      <w:r>
        <w:rPr>
          <w:rFonts w:ascii="宋体" w:hAnsi="宋体"/>
          <w:color w:val="000000" w:themeColor="text1"/>
          <w:sz w:val="24"/>
          <w:highlight w:val="none"/>
          <w14:textFill>
            <w14:solidFill>
              <w14:schemeClr w14:val="tx1"/>
            </w14:solidFill>
          </w14:textFill>
        </w:rPr>
        <w:t>应在合同约定的期限内按照合同约定的数量向委托人提供</w:t>
      </w:r>
      <w:r>
        <w:rPr>
          <w:rFonts w:hint="eastAsia" w:ascii="宋体" w:hAnsi="宋体"/>
          <w:color w:val="000000" w:themeColor="text1"/>
          <w:sz w:val="24"/>
          <w:highlight w:val="none"/>
          <w14:textFill>
            <w14:solidFill>
              <w14:schemeClr w14:val="tx1"/>
            </w14:solidFill>
          </w14:textFill>
        </w:rPr>
        <w:t>咨询服务</w:t>
      </w:r>
      <w:r>
        <w:rPr>
          <w:rFonts w:ascii="宋体" w:hAnsi="宋体"/>
          <w:color w:val="000000" w:themeColor="text1"/>
          <w:sz w:val="24"/>
          <w:highlight w:val="none"/>
          <w14:textFill>
            <w14:solidFill>
              <w14:schemeClr w14:val="tx1"/>
            </w14:solidFill>
          </w14:textFill>
        </w:rPr>
        <w:t>成果文件。合同约定</w:t>
      </w:r>
      <w:r>
        <w:rPr>
          <w:rFonts w:hint="eastAsia" w:ascii="宋体" w:hAnsi="宋体"/>
          <w:color w:val="000000" w:themeColor="text1"/>
          <w:sz w:val="24"/>
          <w:highlight w:val="none"/>
          <w14:textFill>
            <w14:solidFill>
              <w14:schemeClr w14:val="tx1"/>
            </w14:solidFill>
          </w14:textFill>
        </w:rPr>
        <w:t>咨询服务</w:t>
      </w:r>
      <w:r>
        <w:rPr>
          <w:rFonts w:ascii="宋体" w:hAnsi="宋体"/>
          <w:color w:val="000000" w:themeColor="text1"/>
          <w:sz w:val="24"/>
          <w:highlight w:val="none"/>
          <w14:textFill>
            <w14:solidFill>
              <w14:schemeClr w14:val="tx1"/>
            </w14:solidFill>
          </w14:textFill>
        </w:rPr>
        <w:t>成果文件应经委托人批复的，委托人应当在合同约定的期限内批复或提出修改意见。</w:t>
      </w:r>
    </w:p>
    <w:p w14:paraId="49400C1C">
      <w:pPr>
        <w:pStyle w:val="701"/>
        <w:tabs>
          <w:tab w:val="left" w:pos="1438"/>
        </w:tabs>
        <w:autoSpaceDE w:val="0"/>
        <w:autoSpaceDN w:val="0"/>
        <w:spacing w:line="520" w:lineRule="exact"/>
        <w:ind w:firstLine="480"/>
        <w:jc w:val="left"/>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1.6.2 委托人提供的文件</w:t>
      </w:r>
    </w:p>
    <w:p w14:paraId="4A67F595">
      <w:pPr>
        <w:pStyle w:val="33"/>
        <w:spacing w:after="0" w:line="520" w:lineRule="exact"/>
        <w:ind w:firstLine="480" w:firstLineChars="20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按专用合同条款约定由委托人提供的文件，包括基础资料、</w:t>
      </w:r>
      <w:r>
        <w:rPr>
          <w:rFonts w:hint="eastAsia" w:ascii="宋体" w:hAnsi="宋体"/>
          <w:color w:val="000000" w:themeColor="text1"/>
          <w:sz w:val="24"/>
          <w:highlight w:val="none"/>
          <w14:textFill>
            <w14:solidFill>
              <w14:schemeClr w14:val="tx1"/>
            </w14:solidFill>
          </w14:textFill>
        </w:rPr>
        <w:t>咨询服务</w:t>
      </w:r>
      <w:r>
        <w:rPr>
          <w:rFonts w:ascii="宋体" w:hAnsi="宋体"/>
          <w:color w:val="000000" w:themeColor="text1"/>
          <w:sz w:val="24"/>
          <w:highlight w:val="none"/>
          <w14:textFill>
            <w14:solidFill>
              <w14:schemeClr w14:val="tx1"/>
            </w14:solidFill>
          </w14:textFill>
        </w:rPr>
        <w:t>任务书等，委托人应按约定的期限和数量交给</w:t>
      </w:r>
      <w:r>
        <w:rPr>
          <w:rFonts w:hint="eastAsia" w:ascii="宋体" w:hAnsi="宋体"/>
          <w:color w:val="000000" w:themeColor="text1"/>
          <w:sz w:val="24"/>
          <w:highlight w:val="none"/>
          <w14:textFill>
            <w14:solidFill>
              <w14:schemeClr w14:val="tx1"/>
            </w14:solidFill>
          </w14:textFill>
        </w:rPr>
        <w:t>咨询人</w:t>
      </w:r>
      <w:r>
        <w:rPr>
          <w:rFonts w:ascii="宋体" w:hAnsi="宋体"/>
          <w:color w:val="000000" w:themeColor="text1"/>
          <w:sz w:val="24"/>
          <w:highlight w:val="none"/>
          <w14:textFill>
            <w14:solidFill>
              <w14:schemeClr w14:val="tx1"/>
            </w14:solidFill>
          </w14:textFill>
        </w:rPr>
        <w:t>。由于委托人未按时提供文件造成</w:t>
      </w:r>
      <w:r>
        <w:rPr>
          <w:rFonts w:hint="eastAsia" w:ascii="宋体" w:hAnsi="宋体"/>
          <w:color w:val="000000" w:themeColor="text1"/>
          <w:sz w:val="24"/>
          <w:highlight w:val="none"/>
          <w14:textFill>
            <w14:solidFill>
              <w14:schemeClr w14:val="tx1"/>
            </w14:solidFill>
          </w14:textFill>
        </w:rPr>
        <w:t>咨询服务</w:t>
      </w:r>
      <w:r>
        <w:rPr>
          <w:rFonts w:ascii="宋体" w:hAnsi="宋体"/>
          <w:color w:val="000000" w:themeColor="text1"/>
          <w:sz w:val="24"/>
          <w:highlight w:val="none"/>
          <w14:textFill>
            <w14:solidFill>
              <w14:schemeClr w14:val="tx1"/>
            </w14:solidFill>
          </w14:textFill>
        </w:rPr>
        <w:t>期限延误的，按第6.2 款约定执行。</w:t>
      </w:r>
    </w:p>
    <w:p w14:paraId="0F5E4617">
      <w:pPr>
        <w:pStyle w:val="701"/>
        <w:tabs>
          <w:tab w:val="left" w:pos="1438"/>
        </w:tabs>
        <w:autoSpaceDE w:val="0"/>
        <w:autoSpaceDN w:val="0"/>
        <w:spacing w:line="520" w:lineRule="exact"/>
        <w:ind w:firstLine="480"/>
        <w:jc w:val="left"/>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1.6.3 文件错误的通知</w:t>
      </w:r>
    </w:p>
    <w:p w14:paraId="124893CD">
      <w:pPr>
        <w:pStyle w:val="33"/>
        <w:spacing w:after="0" w:line="520" w:lineRule="exact"/>
        <w:ind w:firstLine="480" w:firstLineChars="20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任何一方当事人发现文件中存在的明显错误或疏忽，均应及时书面通知对方当事人，并应立即采取适当的措施防止损失扩大。</w:t>
      </w:r>
    </w:p>
    <w:p w14:paraId="3A0BB384">
      <w:pPr>
        <w:tabs>
          <w:tab w:val="left" w:pos="1051"/>
        </w:tabs>
        <w:autoSpaceDE w:val="0"/>
        <w:autoSpaceDN w:val="0"/>
        <w:spacing w:line="520" w:lineRule="exact"/>
        <w:ind w:firstLine="482" w:firstLineChars="200"/>
        <w:rPr>
          <w:rFonts w:hint="eastAsia"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1.7 联络</w:t>
      </w:r>
    </w:p>
    <w:p w14:paraId="56AE17D0">
      <w:pPr>
        <w:pStyle w:val="701"/>
        <w:tabs>
          <w:tab w:val="left" w:pos="1438"/>
        </w:tabs>
        <w:autoSpaceDE w:val="0"/>
        <w:autoSpaceDN w:val="0"/>
        <w:spacing w:line="520" w:lineRule="exact"/>
        <w:ind w:firstLine="480"/>
        <w:jc w:val="left"/>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1.7.1 与合同有关的通知、批准、证明、证书、指示、要求、请求、同意、意见、确定和决定等，均应采用书面形式。</w:t>
      </w:r>
    </w:p>
    <w:p w14:paraId="37DB6CB7">
      <w:pPr>
        <w:pStyle w:val="701"/>
        <w:tabs>
          <w:tab w:val="left" w:pos="1490"/>
        </w:tabs>
        <w:autoSpaceDE w:val="0"/>
        <w:autoSpaceDN w:val="0"/>
        <w:spacing w:line="520" w:lineRule="exact"/>
        <w:ind w:firstLine="480"/>
        <w:jc w:val="left"/>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1.7.2 上述通知、批准、证明、证书、指示、要求、请求、同意、意见、确定和决定等来往函件，均应在合同约定的期限内送达指定的地点和指定的接收人，并办理签收手续。</w:t>
      </w:r>
    </w:p>
    <w:p w14:paraId="4C74378D">
      <w:pPr>
        <w:tabs>
          <w:tab w:val="left" w:pos="1051"/>
        </w:tabs>
        <w:autoSpaceDE w:val="0"/>
        <w:autoSpaceDN w:val="0"/>
        <w:spacing w:line="520" w:lineRule="exact"/>
        <w:ind w:firstLine="482" w:firstLineChars="200"/>
        <w:rPr>
          <w:rFonts w:hint="eastAsia"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1.8 转让</w:t>
      </w:r>
    </w:p>
    <w:p w14:paraId="04924C18">
      <w:pPr>
        <w:pStyle w:val="33"/>
        <w:spacing w:after="0" w:line="520" w:lineRule="exact"/>
        <w:ind w:firstLine="480" w:firstLineChars="20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除专用合同条款另有约定外，未经对方当事人同意，一方当事人不得将合同权利全部或部分转让给第三人，也不得全部或部分转移合同义务。</w:t>
      </w:r>
    </w:p>
    <w:p w14:paraId="2C5866D5">
      <w:pPr>
        <w:tabs>
          <w:tab w:val="left" w:pos="1051"/>
        </w:tabs>
        <w:autoSpaceDE w:val="0"/>
        <w:autoSpaceDN w:val="0"/>
        <w:spacing w:line="520" w:lineRule="exact"/>
        <w:ind w:firstLine="482" w:firstLineChars="200"/>
        <w:rPr>
          <w:rFonts w:hint="eastAsia"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1.9 严禁贿赂</w:t>
      </w:r>
    </w:p>
    <w:p w14:paraId="134DFA0B">
      <w:pPr>
        <w:pStyle w:val="33"/>
        <w:spacing w:after="0" w:line="520" w:lineRule="exact"/>
        <w:ind w:firstLine="480" w:firstLineChars="20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合同双方当事人不得以贿赂或变相贿赂的方式，谋取不当利益或损害对方权益。因贿赂造成对方当事人损失的，行为人应当赔偿损失，并承担相应的法律责任。</w:t>
      </w:r>
    </w:p>
    <w:p w14:paraId="7E29A9AF">
      <w:pPr>
        <w:tabs>
          <w:tab w:val="left" w:pos="1051"/>
        </w:tabs>
        <w:autoSpaceDE w:val="0"/>
        <w:autoSpaceDN w:val="0"/>
        <w:spacing w:line="520" w:lineRule="exact"/>
        <w:ind w:firstLine="482" w:firstLineChars="200"/>
        <w:rPr>
          <w:rFonts w:hint="eastAsia"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1.10 知识产权</w:t>
      </w:r>
    </w:p>
    <w:p w14:paraId="3D80913E">
      <w:pPr>
        <w:pStyle w:val="701"/>
        <w:tabs>
          <w:tab w:val="left" w:pos="1598"/>
        </w:tabs>
        <w:autoSpaceDE w:val="0"/>
        <w:autoSpaceDN w:val="0"/>
        <w:spacing w:line="520" w:lineRule="exact"/>
        <w:ind w:firstLine="480"/>
        <w:jc w:val="left"/>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1.10.1 除专用合同条款另有约定外，咨询人完成的咨询服务工作成果，除署名权以外的著作权和其他知识产权均归委托人享有。</w:t>
      </w:r>
    </w:p>
    <w:p w14:paraId="26C3267E">
      <w:pPr>
        <w:pStyle w:val="701"/>
        <w:tabs>
          <w:tab w:val="left" w:pos="1598"/>
        </w:tabs>
        <w:autoSpaceDE w:val="0"/>
        <w:autoSpaceDN w:val="0"/>
        <w:spacing w:line="520" w:lineRule="exact"/>
        <w:ind w:firstLine="480"/>
        <w:jc w:val="left"/>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1.10.2 咨询人在从事咨询服务活动时，不得侵犯他人的知识产权。因侵犯专利权或其他知识产权所引起的责任，由咨询人自行承担。因委托人提供的咨询服务资料导致侵权的，由委托人承担责任。</w:t>
      </w:r>
    </w:p>
    <w:p w14:paraId="1F6D5D79">
      <w:pPr>
        <w:pStyle w:val="701"/>
        <w:tabs>
          <w:tab w:val="left" w:pos="1598"/>
        </w:tabs>
        <w:autoSpaceDE w:val="0"/>
        <w:autoSpaceDN w:val="0"/>
        <w:spacing w:line="520" w:lineRule="exact"/>
        <w:ind w:firstLine="480"/>
        <w:jc w:val="left"/>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1.10.3 咨询人在响应文件中采用专利技术、专有技术的，相应的使用费视为已包含在响应报价之中。</w:t>
      </w:r>
    </w:p>
    <w:p w14:paraId="49F12027">
      <w:pPr>
        <w:pStyle w:val="701"/>
        <w:tabs>
          <w:tab w:val="left" w:pos="1082"/>
        </w:tabs>
        <w:autoSpaceDE w:val="0"/>
        <w:autoSpaceDN w:val="0"/>
        <w:spacing w:line="520" w:lineRule="exact"/>
        <w:ind w:firstLine="482"/>
        <w:jc w:val="left"/>
        <w:rPr>
          <w:rFonts w:hint="eastAsia"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1.11 文件及信息的保密</w:t>
      </w:r>
    </w:p>
    <w:p w14:paraId="79E8951C">
      <w:pPr>
        <w:pStyle w:val="33"/>
        <w:spacing w:after="0" w:line="520" w:lineRule="exact"/>
        <w:ind w:firstLine="480" w:firstLineChars="20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除法律规定或合同另有约定外，未经对方同意，任何一方当事人不得将对方提供的有关文件、技术秘密、声明需要保密的资料和信息泄露给第三方或公开发表与引用。</w:t>
      </w:r>
    </w:p>
    <w:p w14:paraId="7EAC6DB5">
      <w:pPr>
        <w:pStyle w:val="701"/>
        <w:tabs>
          <w:tab w:val="left" w:pos="1082"/>
        </w:tabs>
        <w:autoSpaceDE w:val="0"/>
        <w:autoSpaceDN w:val="0"/>
        <w:spacing w:line="520" w:lineRule="exact"/>
        <w:ind w:firstLine="482"/>
        <w:jc w:val="left"/>
        <w:rPr>
          <w:rFonts w:hint="eastAsia"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1.12 委托人要求</w:t>
      </w:r>
    </w:p>
    <w:p w14:paraId="6CBCD22C">
      <w:pPr>
        <w:pStyle w:val="701"/>
        <w:tabs>
          <w:tab w:val="left" w:pos="1598"/>
        </w:tabs>
        <w:autoSpaceDE w:val="0"/>
        <w:autoSpaceDN w:val="0"/>
        <w:spacing w:line="520" w:lineRule="exact"/>
        <w:ind w:firstLine="480"/>
        <w:jc w:val="left"/>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1.12.1 咨询人应认真阅读、复核委托人要求，发现错误的，应及时书面通知委托人。无论是否存在错误，委托人均有权修改委托人要求，并在修改后3天内通知咨询人。除专用合同条款另有约定外，由此导致咨询人费用增加和(或)周期延误的，委托人应当相应地增加费用和(或)延长周期。</w:t>
      </w:r>
    </w:p>
    <w:p w14:paraId="25DB3DF9">
      <w:pPr>
        <w:pStyle w:val="701"/>
        <w:tabs>
          <w:tab w:val="left" w:pos="1558"/>
        </w:tabs>
        <w:autoSpaceDE w:val="0"/>
        <w:autoSpaceDN w:val="0"/>
        <w:spacing w:line="520" w:lineRule="exact"/>
        <w:ind w:firstLine="480"/>
        <w:jc w:val="left"/>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1.12.2 如果委托人要求违反法律规定，咨询人应在发现后及时书面通知委托人，要求其改正。委托人收到通知书后不予改正或不予答复的，咨询人有权拒绝履行合同义务并解除合同。除专用合同条款另有约定外，由此导致的咨询人的全部损失由委托人承担。</w:t>
      </w:r>
    </w:p>
    <w:p w14:paraId="36ECD70D">
      <w:pPr>
        <w:pStyle w:val="701"/>
        <w:tabs>
          <w:tab w:val="left" w:pos="1598"/>
        </w:tabs>
        <w:autoSpaceDE w:val="0"/>
        <w:autoSpaceDN w:val="0"/>
        <w:spacing w:line="520" w:lineRule="exact"/>
        <w:ind w:firstLine="480"/>
        <w:jc w:val="left"/>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1.12.3 委托人要求采用国外规范和标准进行咨询服务时，应由委托人负责提供该规范和标准的外国文本和中文译本，提供的时间、份数和其他要求在专用合同条款中约定。</w:t>
      </w:r>
    </w:p>
    <w:p w14:paraId="272A4560">
      <w:pPr>
        <w:pStyle w:val="723"/>
        <w:spacing w:line="520" w:lineRule="exact"/>
        <w:ind w:firstLine="482"/>
        <w:outlineLvl w:val="1"/>
        <w:rPr>
          <w:rFonts w:ascii="宋体" w:hAnsi="宋体" w:eastAsia="宋体"/>
          <w:bCs/>
          <w:color w:val="000000" w:themeColor="text1"/>
          <w:szCs w:val="24"/>
          <w:highlight w:val="none"/>
          <w14:textFill>
            <w14:solidFill>
              <w14:schemeClr w14:val="tx1"/>
            </w14:solidFill>
          </w14:textFill>
        </w:rPr>
      </w:pPr>
      <w:bookmarkStart w:id="34" w:name="_Toc161231744"/>
      <w:bookmarkStart w:id="35" w:name="_Toc156986232"/>
      <w:r>
        <w:rPr>
          <w:rFonts w:ascii="宋体" w:hAnsi="宋体" w:eastAsia="宋体"/>
          <w:bCs/>
          <w:color w:val="000000" w:themeColor="text1"/>
          <w:szCs w:val="24"/>
          <w:highlight w:val="none"/>
          <w14:textFill>
            <w14:solidFill>
              <w14:schemeClr w14:val="tx1"/>
            </w14:solidFill>
          </w14:textFill>
        </w:rPr>
        <w:t>2.委托人义务</w:t>
      </w:r>
      <w:bookmarkEnd w:id="34"/>
      <w:bookmarkEnd w:id="35"/>
    </w:p>
    <w:p w14:paraId="2F6730A8">
      <w:pPr>
        <w:pStyle w:val="701"/>
        <w:tabs>
          <w:tab w:val="left" w:pos="1082"/>
        </w:tabs>
        <w:autoSpaceDE w:val="0"/>
        <w:autoSpaceDN w:val="0"/>
        <w:spacing w:line="520" w:lineRule="exact"/>
        <w:ind w:firstLine="482"/>
        <w:jc w:val="left"/>
        <w:rPr>
          <w:rFonts w:hint="eastAsia"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2.1 遵守法律</w:t>
      </w:r>
    </w:p>
    <w:p w14:paraId="6E6CDCD8">
      <w:pPr>
        <w:pStyle w:val="33"/>
        <w:spacing w:after="0" w:line="520" w:lineRule="exact"/>
        <w:ind w:firstLine="480" w:firstLineChars="20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委托人在履行合同过程中应遵守法律，并保证</w:t>
      </w:r>
      <w:r>
        <w:rPr>
          <w:rFonts w:hint="eastAsia" w:ascii="宋体" w:hAnsi="宋体"/>
          <w:color w:val="000000" w:themeColor="text1"/>
          <w:sz w:val="24"/>
          <w:highlight w:val="none"/>
          <w14:textFill>
            <w14:solidFill>
              <w14:schemeClr w14:val="tx1"/>
            </w14:solidFill>
          </w14:textFill>
        </w:rPr>
        <w:t>咨询人</w:t>
      </w:r>
      <w:r>
        <w:rPr>
          <w:rFonts w:ascii="宋体" w:hAnsi="宋体"/>
          <w:color w:val="000000" w:themeColor="text1"/>
          <w:sz w:val="24"/>
          <w:highlight w:val="none"/>
          <w14:textFill>
            <w14:solidFill>
              <w14:schemeClr w14:val="tx1"/>
            </w14:solidFill>
          </w14:textFill>
        </w:rPr>
        <w:t>免于承担因委托人违反法律而引起的任何责任。</w:t>
      </w:r>
    </w:p>
    <w:p w14:paraId="1D549312">
      <w:pPr>
        <w:pStyle w:val="701"/>
        <w:tabs>
          <w:tab w:val="left" w:pos="1082"/>
        </w:tabs>
        <w:autoSpaceDE w:val="0"/>
        <w:autoSpaceDN w:val="0"/>
        <w:spacing w:line="520" w:lineRule="exact"/>
        <w:ind w:firstLine="482"/>
        <w:jc w:val="left"/>
        <w:rPr>
          <w:rFonts w:hint="eastAsia"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2.2 发出开始咨询服务通知</w:t>
      </w:r>
    </w:p>
    <w:p w14:paraId="341663A6">
      <w:pPr>
        <w:pStyle w:val="33"/>
        <w:spacing w:after="0" w:line="520" w:lineRule="exact"/>
        <w:ind w:firstLine="480" w:firstLineChars="20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委托人应按第 6.1 款的约定向</w:t>
      </w:r>
      <w:r>
        <w:rPr>
          <w:rFonts w:hint="eastAsia" w:ascii="宋体" w:hAnsi="宋体"/>
          <w:color w:val="000000" w:themeColor="text1"/>
          <w:sz w:val="24"/>
          <w:highlight w:val="none"/>
          <w14:textFill>
            <w14:solidFill>
              <w14:schemeClr w14:val="tx1"/>
            </w14:solidFill>
          </w14:textFill>
        </w:rPr>
        <w:t>咨询人</w:t>
      </w:r>
      <w:r>
        <w:rPr>
          <w:rFonts w:ascii="宋体" w:hAnsi="宋体"/>
          <w:color w:val="000000" w:themeColor="text1"/>
          <w:sz w:val="24"/>
          <w:highlight w:val="none"/>
          <w14:textFill>
            <w14:solidFill>
              <w14:schemeClr w14:val="tx1"/>
            </w14:solidFill>
          </w14:textFill>
        </w:rPr>
        <w:t>发出开始</w:t>
      </w:r>
      <w:r>
        <w:rPr>
          <w:rFonts w:hint="eastAsia" w:ascii="宋体" w:hAnsi="宋体"/>
          <w:color w:val="000000" w:themeColor="text1"/>
          <w:sz w:val="24"/>
          <w:highlight w:val="none"/>
          <w14:textFill>
            <w14:solidFill>
              <w14:schemeClr w14:val="tx1"/>
            </w14:solidFill>
          </w14:textFill>
        </w:rPr>
        <w:t>咨询服务</w:t>
      </w:r>
      <w:r>
        <w:rPr>
          <w:rFonts w:ascii="宋体" w:hAnsi="宋体"/>
          <w:color w:val="000000" w:themeColor="text1"/>
          <w:sz w:val="24"/>
          <w:highlight w:val="none"/>
          <w14:textFill>
            <w14:solidFill>
              <w14:schemeClr w14:val="tx1"/>
            </w14:solidFill>
          </w14:textFill>
        </w:rPr>
        <w:t>通知。</w:t>
      </w:r>
    </w:p>
    <w:p w14:paraId="64D36A41">
      <w:pPr>
        <w:pStyle w:val="701"/>
        <w:tabs>
          <w:tab w:val="left" w:pos="1082"/>
        </w:tabs>
        <w:autoSpaceDE w:val="0"/>
        <w:autoSpaceDN w:val="0"/>
        <w:spacing w:line="520" w:lineRule="exact"/>
        <w:ind w:firstLine="482"/>
        <w:jc w:val="left"/>
        <w:rPr>
          <w:rFonts w:hint="eastAsia"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2.3 办理证件和批件</w:t>
      </w:r>
    </w:p>
    <w:p w14:paraId="226DB477">
      <w:pPr>
        <w:pStyle w:val="33"/>
        <w:spacing w:after="0" w:line="520" w:lineRule="exact"/>
        <w:ind w:firstLine="480" w:firstLineChars="20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法律规定和（或）合同约定由委托人负责办理的工程建设项目必须履行的各类审批、核准或备案手续，委托人应当按时办理，</w:t>
      </w:r>
      <w:r>
        <w:rPr>
          <w:rFonts w:hint="eastAsia" w:ascii="宋体" w:hAnsi="宋体"/>
          <w:color w:val="000000" w:themeColor="text1"/>
          <w:sz w:val="24"/>
          <w:highlight w:val="none"/>
          <w14:textFill>
            <w14:solidFill>
              <w14:schemeClr w14:val="tx1"/>
            </w14:solidFill>
          </w14:textFill>
        </w:rPr>
        <w:t>咨询人</w:t>
      </w:r>
      <w:r>
        <w:rPr>
          <w:rFonts w:ascii="宋体" w:hAnsi="宋体"/>
          <w:color w:val="000000" w:themeColor="text1"/>
          <w:sz w:val="24"/>
          <w:highlight w:val="none"/>
          <w14:textFill>
            <w14:solidFill>
              <w14:schemeClr w14:val="tx1"/>
            </w14:solidFill>
          </w14:textFill>
        </w:rPr>
        <w:t>应给予必要的协助。</w:t>
      </w:r>
    </w:p>
    <w:p w14:paraId="259641E8">
      <w:pPr>
        <w:pStyle w:val="33"/>
        <w:spacing w:after="0" w:line="52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法律规定和（或）合同约定由咨询人负责办理的咨询服务所需的证件和批件，委托人应给予必要的协助。</w:t>
      </w:r>
    </w:p>
    <w:p w14:paraId="0336B6A9">
      <w:pPr>
        <w:pStyle w:val="701"/>
        <w:tabs>
          <w:tab w:val="left" w:pos="1082"/>
        </w:tabs>
        <w:autoSpaceDE w:val="0"/>
        <w:autoSpaceDN w:val="0"/>
        <w:spacing w:line="520" w:lineRule="exact"/>
        <w:ind w:firstLine="482"/>
        <w:jc w:val="left"/>
        <w:rPr>
          <w:rFonts w:hint="eastAsia"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2.4 支付合同价款</w:t>
      </w:r>
    </w:p>
    <w:p w14:paraId="678D4A76">
      <w:pPr>
        <w:pStyle w:val="33"/>
        <w:spacing w:after="0" w:line="520" w:lineRule="exact"/>
        <w:ind w:firstLine="480" w:firstLineChars="20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委托人应按合同约定向</w:t>
      </w:r>
      <w:r>
        <w:rPr>
          <w:rFonts w:hint="eastAsia" w:ascii="宋体" w:hAnsi="宋体"/>
          <w:color w:val="000000" w:themeColor="text1"/>
          <w:sz w:val="24"/>
          <w:highlight w:val="none"/>
          <w14:textFill>
            <w14:solidFill>
              <w14:schemeClr w14:val="tx1"/>
            </w14:solidFill>
          </w14:textFill>
        </w:rPr>
        <w:t>咨询人</w:t>
      </w:r>
      <w:r>
        <w:rPr>
          <w:rFonts w:ascii="宋体" w:hAnsi="宋体"/>
          <w:color w:val="000000" w:themeColor="text1"/>
          <w:sz w:val="24"/>
          <w:highlight w:val="none"/>
          <w14:textFill>
            <w14:solidFill>
              <w14:schemeClr w14:val="tx1"/>
            </w14:solidFill>
          </w14:textFill>
        </w:rPr>
        <w:t>及时支付合同价款。</w:t>
      </w:r>
    </w:p>
    <w:p w14:paraId="3504A83D">
      <w:pPr>
        <w:pStyle w:val="701"/>
        <w:tabs>
          <w:tab w:val="left" w:pos="1082"/>
        </w:tabs>
        <w:autoSpaceDE w:val="0"/>
        <w:autoSpaceDN w:val="0"/>
        <w:spacing w:line="520" w:lineRule="exact"/>
        <w:ind w:firstLine="482"/>
        <w:jc w:val="left"/>
        <w:rPr>
          <w:rFonts w:hint="eastAsia"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2.5 提供咨询服务资料</w:t>
      </w:r>
    </w:p>
    <w:p w14:paraId="08C5246D">
      <w:pPr>
        <w:pStyle w:val="33"/>
        <w:spacing w:after="0" w:line="520" w:lineRule="exact"/>
        <w:ind w:firstLine="480" w:firstLineChars="20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委托人应按第1.6.2 项的约定向</w:t>
      </w:r>
      <w:r>
        <w:rPr>
          <w:rFonts w:hint="eastAsia" w:ascii="宋体" w:hAnsi="宋体"/>
          <w:color w:val="000000" w:themeColor="text1"/>
          <w:sz w:val="24"/>
          <w:highlight w:val="none"/>
          <w14:textFill>
            <w14:solidFill>
              <w14:schemeClr w14:val="tx1"/>
            </w14:solidFill>
          </w14:textFill>
        </w:rPr>
        <w:t>咨询人</w:t>
      </w:r>
      <w:r>
        <w:rPr>
          <w:rFonts w:ascii="宋体" w:hAnsi="宋体"/>
          <w:color w:val="000000" w:themeColor="text1"/>
          <w:sz w:val="24"/>
          <w:highlight w:val="none"/>
          <w14:textFill>
            <w14:solidFill>
              <w14:schemeClr w14:val="tx1"/>
            </w14:solidFill>
          </w14:textFill>
        </w:rPr>
        <w:t>提供</w:t>
      </w:r>
      <w:r>
        <w:rPr>
          <w:rFonts w:hint="eastAsia" w:ascii="宋体" w:hAnsi="宋体"/>
          <w:color w:val="000000" w:themeColor="text1"/>
          <w:sz w:val="24"/>
          <w:highlight w:val="none"/>
          <w14:textFill>
            <w14:solidFill>
              <w14:schemeClr w14:val="tx1"/>
            </w14:solidFill>
          </w14:textFill>
        </w:rPr>
        <w:t>咨询服务</w:t>
      </w:r>
      <w:r>
        <w:rPr>
          <w:rFonts w:ascii="宋体" w:hAnsi="宋体"/>
          <w:color w:val="000000" w:themeColor="text1"/>
          <w:sz w:val="24"/>
          <w:highlight w:val="none"/>
          <w14:textFill>
            <w14:solidFill>
              <w14:schemeClr w14:val="tx1"/>
            </w14:solidFill>
          </w14:textFill>
        </w:rPr>
        <w:t>资料。</w:t>
      </w:r>
    </w:p>
    <w:p w14:paraId="0F07482E">
      <w:pPr>
        <w:pStyle w:val="701"/>
        <w:tabs>
          <w:tab w:val="left" w:pos="1082"/>
        </w:tabs>
        <w:autoSpaceDE w:val="0"/>
        <w:autoSpaceDN w:val="0"/>
        <w:spacing w:line="520" w:lineRule="exact"/>
        <w:ind w:firstLine="482"/>
        <w:jc w:val="left"/>
        <w:rPr>
          <w:rFonts w:hint="eastAsia"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2.6 协调配合义务</w:t>
      </w:r>
    </w:p>
    <w:p w14:paraId="027C781E">
      <w:pPr>
        <w:pStyle w:val="33"/>
        <w:spacing w:after="0" w:line="52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咨询人</w:t>
      </w:r>
      <w:r>
        <w:rPr>
          <w:rFonts w:ascii="宋体" w:hAnsi="宋体"/>
          <w:color w:val="000000" w:themeColor="text1"/>
          <w:sz w:val="24"/>
          <w:highlight w:val="none"/>
          <w14:textFill>
            <w14:solidFill>
              <w14:schemeClr w14:val="tx1"/>
            </w14:solidFill>
          </w14:textFill>
        </w:rPr>
        <w:t>为履行合同需要建设项目施工</w:t>
      </w:r>
      <w:r>
        <w:rPr>
          <w:rFonts w:hint="eastAsia" w:ascii="宋体" w:hAnsi="宋体"/>
          <w:color w:val="000000" w:themeColor="text1"/>
          <w:sz w:val="24"/>
          <w:highlight w:val="none"/>
          <w14:textFill>
            <w14:solidFill>
              <w14:schemeClr w14:val="tx1"/>
            </w14:solidFill>
          </w14:textFill>
        </w:rPr>
        <w:t>承包</w:t>
      </w:r>
      <w:r>
        <w:rPr>
          <w:rFonts w:ascii="宋体" w:hAnsi="宋体"/>
          <w:color w:val="000000" w:themeColor="text1"/>
          <w:sz w:val="24"/>
          <w:highlight w:val="none"/>
          <w14:textFill>
            <w14:solidFill>
              <w14:schemeClr w14:val="tx1"/>
            </w14:solidFill>
          </w14:textFill>
        </w:rPr>
        <w:t>人和(或）监理人配合的，委托人应协调施工</w:t>
      </w:r>
      <w:r>
        <w:rPr>
          <w:rFonts w:hint="eastAsia" w:ascii="宋体" w:hAnsi="宋体"/>
          <w:color w:val="000000" w:themeColor="text1"/>
          <w:sz w:val="24"/>
          <w:highlight w:val="none"/>
          <w14:textFill>
            <w14:solidFill>
              <w14:schemeClr w14:val="tx1"/>
            </w14:solidFill>
          </w14:textFill>
        </w:rPr>
        <w:t>承包</w:t>
      </w:r>
      <w:r>
        <w:rPr>
          <w:rFonts w:ascii="宋体" w:hAnsi="宋体"/>
          <w:color w:val="000000" w:themeColor="text1"/>
          <w:sz w:val="24"/>
          <w:highlight w:val="none"/>
          <w14:textFill>
            <w14:solidFill>
              <w14:schemeClr w14:val="tx1"/>
            </w14:solidFill>
          </w14:textFill>
        </w:rPr>
        <w:t>人和(或）监理人予以配合。</w:t>
      </w:r>
    </w:p>
    <w:p w14:paraId="67EA6AC4">
      <w:pPr>
        <w:pStyle w:val="701"/>
        <w:tabs>
          <w:tab w:val="left" w:pos="1082"/>
        </w:tabs>
        <w:autoSpaceDE w:val="0"/>
        <w:autoSpaceDN w:val="0"/>
        <w:spacing w:line="520" w:lineRule="exact"/>
        <w:ind w:firstLine="482"/>
        <w:jc w:val="left"/>
        <w:rPr>
          <w:rFonts w:hint="eastAsia"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2.7 其他义务</w:t>
      </w:r>
    </w:p>
    <w:p w14:paraId="00CCC82D">
      <w:pPr>
        <w:pStyle w:val="33"/>
        <w:spacing w:after="0" w:line="520" w:lineRule="exact"/>
        <w:ind w:firstLine="480" w:firstLineChars="20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委托人应履行合同约定的其他义务。</w:t>
      </w:r>
    </w:p>
    <w:p w14:paraId="03A1325B">
      <w:pPr>
        <w:pStyle w:val="723"/>
        <w:spacing w:line="520" w:lineRule="exact"/>
        <w:ind w:firstLine="482"/>
        <w:outlineLvl w:val="1"/>
        <w:rPr>
          <w:rFonts w:ascii="宋体" w:hAnsi="宋体" w:eastAsia="宋体"/>
          <w:b w:val="0"/>
          <w:bCs/>
          <w:color w:val="000000" w:themeColor="text1"/>
          <w:szCs w:val="24"/>
          <w:highlight w:val="none"/>
          <w14:textFill>
            <w14:solidFill>
              <w14:schemeClr w14:val="tx1"/>
            </w14:solidFill>
          </w14:textFill>
        </w:rPr>
      </w:pPr>
      <w:bookmarkStart w:id="36" w:name="_Toc161231745"/>
      <w:bookmarkStart w:id="37" w:name="_Toc156986233"/>
      <w:r>
        <w:rPr>
          <w:rFonts w:ascii="宋体" w:hAnsi="宋体" w:eastAsia="宋体"/>
          <w:bCs/>
          <w:color w:val="000000" w:themeColor="text1"/>
          <w:szCs w:val="24"/>
          <w:highlight w:val="none"/>
          <w14:textFill>
            <w14:solidFill>
              <w14:schemeClr w14:val="tx1"/>
            </w14:solidFill>
          </w14:textFill>
        </w:rPr>
        <w:t>3.委托人管理</w:t>
      </w:r>
      <w:bookmarkEnd w:id="36"/>
      <w:bookmarkEnd w:id="37"/>
    </w:p>
    <w:p w14:paraId="5ABB3531">
      <w:pPr>
        <w:pStyle w:val="701"/>
        <w:tabs>
          <w:tab w:val="left" w:pos="1082"/>
        </w:tabs>
        <w:autoSpaceDE w:val="0"/>
        <w:autoSpaceDN w:val="0"/>
        <w:spacing w:line="520" w:lineRule="exact"/>
        <w:ind w:firstLine="482"/>
        <w:jc w:val="left"/>
        <w:rPr>
          <w:rFonts w:hint="eastAsia"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3.1 委托人代表</w:t>
      </w:r>
    </w:p>
    <w:p w14:paraId="78F422AB">
      <w:pPr>
        <w:pStyle w:val="701"/>
        <w:tabs>
          <w:tab w:val="left" w:pos="1490"/>
        </w:tabs>
        <w:autoSpaceDE w:val="0"/>
        <w:autoSpaceDN w:val="0"/>
        <w:spacing w:line="520" w:lineRule="exact"/>
        <w:ind w:firstLine="480"/>
        <w:jc w:val="left"/>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3.1.1 除专用合同条款另有约定外，委托人应在合同签订后14天内，将委托人代表的姓名、职务、联系方式、授权范围和授权期限书面通知咨询人，由委托人代表在其授权范围和授权期限内，代表委托人行使权利、履行义务和处理合同履行中的具体事宜。委托人代表在授权范围内的行为由委托人承担法律责任。</w:t>
      </w:r>
    </w:p>
    <w:p w14:paraId="428237D6">
      <w:pPr>
        <w:pStyle w:val="701"/>
        <w:tabs>
          <w:tab w:val="left" w:pos="1483"/>
        </w:tabs>
        <w:autoSpaceDE w:val="0"/>
        <w:autoSpaceDN w:val="0"/>
        <w:spacing w:line="520" w:lineRule="exact"/>
        <w:ind w:firstLine="480"/>
        <w:jc w:val="left"/>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3.1.2 委托人代表违反法律法规、违背职业道德守则或者不按合同约定履行职责及义务，导致合同无法继续正常履行的，咨询人有权通知委托人更换委托人代表。委托人收到通知后7天内，应当核实完毕并将处理结果通知咨询人。</w:t>
      </w:r>
    </w:p>
    <w:p w14:paraId="10B9CABF">
      <w:pPr>
        <w:pStyle w:val="701"/>
        <w:tabs>
          <w:tab w:val="left" w:pos="1466"/>
        </w:tabs>
        <w:autoSpaceDE w:val="0"/>
        <w:autoSpaceDN w:val="0"/>
        <w:spacing w:line="520" w:lineRule="exact"/>
        <w:ind w:firstLine="480"/>
        <w:jc w:val="left"/>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3.1.3 委托人更换委托人代表的，应提前14天将更换人员的姓名、职务、联系方式、授权范围和授权期限书面通知咨询人。</w:t>
      </w:r>
    </w:p>
    <w:p w14:paraId="66AA6970">
      <w:pPr>
        <w:pStyle w:val="701"/>
        <w:tabs>
          <w:tab w:val="left" w:pos="1466"/>
        </w:tabs>
        <w:autoSpaceDE w:val="0"/>
        <w:autoSpaceDN w:val="0"/>
        <w:spacing w:line="520" w:lineRule="exact"/>
        <w:ind w:firstLine="480"/>
        <w:jc w:val="left"/>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3.1.4 委托人代表可以授权委托人的其他人员负责执行其指派的一项或多项工作。委托人代表应将被授权人员的姓名、职务、联系方式、授权范围和授权期限书面通知咨询人。被授权人员在授权范围内发出的指示视为已得到委托人代表的同意，与委托人代表发出的指示具有同等效力。</w:t>
      </w:r>
    </w:p>
    <w:p w14:paraId="482F7AF3">
      <w:pPr>
        <w:pStyle w:val="701"/>
        <w:tabs>
          <w:tab w:val="left" w:pos="1082"/>
        </w:tabs>
        <w:autoSpaceDE w:val="0"/>
        <w:autoSpaceDN w:val="0"/>
        <w:spacing w:line="520" w:lineRule="exact"/>
        <w:ind w:firstLine="482"/>
        <w:jc w:val="left"/>
        <w:rPr>
          <w:rFonts w:hint="eastAsia"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3.2 委托人的指示</w:t>
      </w:r>
    </w:p>
    <w:p w14:paraId="13CA9346">
      <w:pPr>
        <w:pStyle w:val="701"/>
        <w:tabs>
          <w:tab w:val="left" w:pos="1510"/>
        </w:tabs>
        <w:autoSpaceDE w:val="0"/>
        <w:autoSpaceDN w:val="0"/>
        <w:spacing w:line="520" w:lineRule="exact"/>
        <w:ind w:firstLine="480"/>
        <w:jc w:val="left"/>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3.2.1 委托人应按合同约定向咨询人发出指示，委托人的指示应盖有委托人单位章，并由委托人代表签字确认。</w:t>
      </w:r>
    </w:p>
    <w:p w14:paraId="735DA6FF">
      <w:pPr>
        <w:pStyle w:val="701"/>
        <w:tabs>
          <w:tab w:val="left" w:pos="1447"/>
        </w:tabs>
        <w:autoSpaceDE w:val="0"/>
        <w:autoSpaceDN w:val="0"/>
        <w:spacing w:line="520" w:lineRule="exact"/>
        <w:ind w:firstLine="480"/>
        <w:jc w:val="left"/>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3.2.2 咨询人收到委托人作出的指示后应遵照执行。指示构成变更的，应按第11条执行。</w:t>
      </w:r>
    </w:p>
    <w:p w14:paraId="0DACDA51">
      <w:pPr>
        <w:pStyle w:val="701"/>
        <w:tabs>
          <w:tab w:val="left" w:pos="1510"/>
        </w:tabs>
        <w:autoSpaceDE w:val="0"/>
        <w:autoSpaceDN w:val="0"/>
        <w:spacing w:line="520" w:lineRule="exact"/>
        <w:ind w:firstLine="480"/>
        <w:jc w:val="left"/>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3.2.3 在紧急情况下，委托人代表或其授权人员可以当场签发临时书面指示，咨询人应遵照执行。委托人代表应在临时书面指示发出后24小时内发出书面确认函，逾期未发出书面确认函的，该临时书面指示应被视为委托人的正式指示。</w:t>
      </w:r>
    </w:p>
    <w:p w14:paraId="55E9A9E2">
      <w:pPr>
        <w:pStyle w:val="701"/>
        <w:tabs>
          <w:tab w:val="left" w:pos="1447"/>
        </w:tabs>
        <w:autoSpaceDE w:val="0"/>
        <w:autoSpaceDN w:val="0"/>
        <w:spacing w:line="520" w:lineRule="exact"/>
        <w:ind w:firstLine="480"/>
        <w:jc w:val="left"/>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3.2.4 除专用合同条款另有约定外，咨询人只从委托人代表或按第3.1.4项约定的委托人代表授权人员处取得指示。</w:t>
      </w:r>
    </w:p>
    <w:p w14:paraId="1FEBC5A9">
      <w:pPr>
        <w:pStyle w:val="701"/>
        <w:tabs>
          <w:tab w:val="left" w:pos="1510"/>
        </w:tabs>
        <w:autoSpaceDE w:val="0"/>
        <w:autoSpaceDN w:val="0"/>
        <w:spacing w:line="520" w:lineRule="exact"/>
        <w:ind w:firstLine="480"/>
        <w:jc w:val="left"/>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3.2.5 由于委托人未能按合同约定发出指示、指示延误或指示错误而导致咨询人费用增加和（或）周期延误的，委托人应承担由此增加的费用和（或）周期延误。</w:t>
      </w:r>
    </w:p>
    <w:p w14:paraId="56FFA83F">
      <w:pPr>
        <w:pStyle w:val="701"/>
        <w:tabs>
          <w:tab w:val="left" w:pos="1082"/>
        </w:tabs>
        <w:autoSpaceDE w:val="0"/>
        <w:autoSpaceDN w:val="0"/>
        <w:spacing w:line="520" w:lineRule="exact"/>
        <w:ind w:firstLine="482"/>
        <w:jc w:val="left"/>
        <w:rPr>
          <w:rFonts w:hint="eastAsia"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3.3 决定或答复</w:t>
      </w:r>
    </w:p>
    <w:p w14:paraId="2D48691A">
      <w:pPr>
        <w:pStyle w:val="701"/>
        <w:tabs>
          <w:tab w:val="left" w:pos="1510"/>
        </w:tabs>
        <w:autoSpaceDE w:val="0"/>
        <w:autoSpaceDN w:val="0"/>
        <w:spacing w:line="520" w:lineRule="exact"/>
        <w:ind w:firstLine="480"/>
        <w:jc w:val="left"/>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3.3.1 委托人在法律允许的范围内有权对咨询人的咨询服务工作和（或）咨询服务成果文件作出处理决定，咨询人应按照委托人的决定执行，涉及咨询服务期限或咨询服务费用等问题按第11条的约定处理。</w:t>
      </w:r>
    </w:p>
    <w:p w14:paraId="4116F67F">
      <w:pPr>
        <w:pStyle w:val="701"/>
        <w:tabs>
          <w:tab w:val="left" w:pos="1447"/>
        </w:tabs>
        <w:autoSpaceDE w:val="0"/>
        <w:autoSpaceDN w:val="0"/>
        <w:spacing w:line="520" w:lineRule="exact"/>
        <w:ind w:firstLine="480"/>
        <w:jc w:val="left"/>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3.3.2 委托人应在专用合同条款约定的时间之内，对咨询人书面提出的事项作出书面答复；逾期没有做出答复的，视为已获得委托人的批准。</w:t>
      </w:r>
    </w:p>
    <w:p w14:paraId="111ED960">
      <w:pPr>
        <w:pStyle w:val="723"/>
        <w:spacing w:line="520" w:lineRule="exact"/>
        <w:ind w:firstLine="482"/>
        <w:outlineLvl w:val="1"/>
        <w:rPr>
          <w:rFonts w:ascii="宋体" w:hAnsi="宋体" w:eastAsia="宋体"/>
          <w:bCs/>
          <w:color w:val="000000" w:themeColor="text1"/>
          <w:szCs w:val="24"/>
          <w:highlight w:val="none"/>
          <w14:textFill>
            <w14:solidFill>
              <w14:schemeClr w14:val="tx1"/>
            </w14:solidFill>
          </w14:textFill>
        </w:rPr>
      </w:pPr>
      <w:bookmarkStart w:id="38" w:name="_Toc161231746"/>
      <w:bookmarkStart w:id="39" w:name="_Toc156986234"/>
      <w:r>
        <w:rPr>
          <w:rFonts w:ascii="宋体" w:hAnsi="宋体" w:eastAsia="宋体"/>
          <w:bCs/>
          <w:color w:val="000000" w:themeColor="text1"/>
          <w:szCs w:val="24"/>
          <w:highlight w:val="none"/>
          <w14:textFill>
            <w14:solidFill>
              <w14:schemeClr w14:val="tx1"/>
            </w14:solidFill>
          </w14:textFill>
        </w:rPr>
        <w:t>4.咨询人义务</w:t>
      </w:r>
      <w:bookmarkEnd w:id="38"/>
      <w:bookmarkEnd w:id="39"/>
    </w:p>
    <w:p w14:paraId="67FAFE99">
      <w:pPr>
        <w:pStyle w:val="701"/>
        <w:tabs>
          <w:tab w:val="left" w:pos="1082"/>
        </w:tabs>
        <w:autoSpaceDE w:val="0"/>
        <w:autoSpaceDN w:val="0"/>
        <w:spacing w:line="520" w:lineRule="exact"/>
        <w:ind w:firstLine="482"/>
        <w:jc w:val="left"/>
        <w:rPr>
          <w:rFonts w:hint="eastAsia"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 xml:space="preserve">4.1 </w:t>
      </w:r>
      <w:r>
        <w:rPr>
          <w:rFonts w:ascii="宋体" w:hAnsi="宋体"/>
          <w:b/>
          <w:bCs/>
          <w:color w:val="000000" w:themeColor="text1"/>
          <w:sz w:val="24"/>
          <w:highlight w:val="none"/>
          <w14:textFill>
            <w14:solidFill>
              <w14:schemeClr w14:val="tx1"/>
            </w14:solidFill>
          </w14:textFill>
        </w:rPr>
        <w:t>咨询人的一般义务</w:t>
      </w:r>
    </w:p>
    <w:p w14:paraId="3697F28C">
      <w:pPr>
        <w:pStyle w:val="701"/>
        <w:tabs>
          <w:tab w:val="left" w:pos="1447"/>
        </w:tabs>
        <w:autoSpaceDE w:val="0"/>
        <w:autoSpaceDN w:val="0"/>
        <w:spacing w:line="520" w:lineRule="exact"/>
        <w:ind w:firstLine="480"/>
        <w:jc w:val="left"/>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4.1.1 遵守法律</w:t>
      </w:r>
    </w:p>
    <w:p w14:paraId="0C3115F2">
      <w:pPr>
        <w:pStyle w:val="33"/>
        <w:spacing w:after="0" w:line="52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咨询人</w:t>
      </w:r>
      <w:r>
        <w:rPr>
          <w:rFonts w:ascii="宋体" w:hAnsi="宋体"/>
          <w:color w:val="000000" w:themeColor="text1"/>
          <w:sz w:val="24"/>
          <w:highlight w:val="none"/>
          <w14:textFill>
            <w14:solidFill>
              <w14:schemeClr w14:val="tx1"/>
            </w14:solidFill>
          </w14:textFill>
        </w:rPr>
        <w:t>在履行合同过程中应遵守法律，并保证委托人免于承担因</w:t>
      </w:r>
      <w:r>
        <w:rPr>
          <w:rFonts w:hint="eastAsia" w:ascii="宋体" w:hAnsi="宋体"/>
          <w:color w:val="000000" w:themeColor="text1"/>
          <w:sz w:val="24"/>
          <w:highlight w:val="none"/>
          <w14:textFill>
            <w14:solidFill>
              <w14:schemeClr w14:val="tx1"/>
            </w14:solidFill>
          </w14:textFill>
        </w:rPr>
        <w:t>咨询人</w:t>
      </w:r>
      <w:r>
        <w:rPr>
          <w:rFonts w:ascii="宋体" w:hAnsi="宋体"/>
          <w:color w:val="000000" w:themeColor="text1"/>
          <w:sz w:val="24"/>
          <w:highlight w:val="none"/>
          <w14:textFill>
            <w14:solidFill>
              <w14:schemeClr w14:val="tx1"/>
            </w14:solidFill>
          </w14:textFill>
        </w:rPr>
        <w:t>违反法律而引起的任何责任。</w:t>
      </w:r>
    </w:p>
    <w:p w14:paraId="756794D3">
      <w:pPr>
        <w:pStyle w:val="701"/>
        <w:tabs>
          <w:tab w:val="left" w:pos="1447"/>
        </w:tabs>
        <w:autoSpaceDE w:val="0"/>
        <w:autoSpaceDN w:val="0"/>
        <w:spacing w:line="520" w:lineRule="exact"/>
        <w:ind w:firstLine="480"/>
        <w:jc w:val="left"/>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4.1.2 依法纳税</w:t>
      </w:r>
    </w:p>
    <w:p w14:paraId="5880C52C">
      <w:pPr>
        <w:pStyle w:val="701"/>
        <w:tabs>
          <w:tab w:val="left" w:pos="1447"/>
        </w:tabs>
        <w:autoSpaceDE w:val="0"/>
        <w:autoSpaceDN w:val="0"/>
        <w:spacing w:line="520" w:lineRule="exact"/>
        <w:ind w:firstLine="480"/>
        <w:jc w:val="left"/>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咨询人应按有关法律规定纳税，应缴纳的税金（含增值税）包括在合同价格之中。</w:t>
      </w:r>
    </w:p>
    <w:p w14:paraId="7BE5E5D1">
      <w:pPr>
        <w:pStyle w:val="701"/>
        <w:tabs>
          <w:tab w:val="left" w:pos="1447"/>
        </w:tabs>
        <w:autoSpaceDE w:val="0"/>
        <w:autoSpaceDN w:val="0"/>
        <w:spacing w:line="520" w:lineRule="exact"/>
        <w:ind w:firstLine="480"/>
        <w:jc w:val="left"/>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4.1.3 完成全部咨询服务工作</w:t>
      </w:r>
    </w:p>
    <w:p w14:paraId="7DD97E51">
      <w:pPr>
        <w:pStyle w:val="33"/>
        <w:spacing w:after="0" w:line="52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咨询人</w:t>
      </w:r>
      <w:r>
        <w:rPr>
          <w:rFonts w:ascii="宋体" w:hAnsi="宋体"/>
          <w:color w:val="000000" w:themeColor="text1"/>
          <w:sz w:val="24"/>
          <w:highlight w:val="none"/>
          <w14:textFill>
            <w14:solidFill>
              <w14:schemeClr w14:val="tx1"/>
            </w14:solidFill>
          </w14:textFill>
        </w:rPr>
        <w:t>应按合同约定以及委托人要求，完成合同约定的全部工作，并对工作中的任何缺陷进行整改、完善和修补，使其满足合同约定的目的。</w:t>
      </w:r>
      <w:r>
        <w:rPr>
          <w:rFonts w:hint="eastAsia" w:ascii="宋体" w:hAnsi="宋体"/>
          <w:color w:val="000000" w:themeColor="text1"/>
          <w:sz w:val="24"/>
          <w:highlight w:val="none"/>
          <w14:textFill>
            <w14:solidFill>
              <w14:schemeClr w14:val="tx1"/>
            </w14:solidFill>
          </w14:textFill>
        </w:rPr>
        <w:t>咨询人</w:t>
      </w:r>
      <w:r>
        <w:rPr>
          <w:rFonts w:ascii="宋体" w:hAnsi="宋体"/>
          <w:color w:val="000000" w:themeColor="text1"/>
          <w:sz w:val="24"/>
          <w:highlight w:val="none"/>
          <w14:textFill>
            <w14:solidFill>
              <w14:schemeClr w14:val="tx1"/>
            </w14:solidFill>
          </w14:textFill>
        </w:rPr>
        <w:t>应按合同约定提供</w:t>
      </w:r>
      <w:r>
        <w:rPr>
          <w:rFonts w:hint="eastAsia" w:ascii="宋体" w:hAnsi="宋体"/>
          <w:color w:val="000000" w:themeColor="text1"/>
          <w:sz w:val="24"/>
          <w:highlight w:val="none"/>
          <w14:textFill>
            <w14:solidFill>
              <w14:schemeClr w14:val="tx1"/>
            </w14:solidFill>
          </w14:textFill>
        </w:rPr>
        <w:t>咨询服务</w:t>
      </w:r>
      <w:r>
        <w:rPr>
          <w:rFonts w:ascii="宋体" w:hAnsi="宋体"/>
          <w:color w:val="000000" w:themeColor="text1"/>
          <w:sz w:val="24"/>
          <w:highlight w:val="none"/>
          <w14:textFill>
            <w14:solidFill>
              <w14:schemeClr w14:val="tx1"/>
            </w14:solidFill>
          </w14:textFill>
        </w:rPr>
        <w:t>成果文件及</w:t>
      </w:r>
      <w:r>
        <w:rPr>
          <w:rFonts w:hint="eastAsia" w:ascii="宋体" w:hAnsi="宋体"/>
          <w:color w:val="000000" w:themeColor="text1"/>
          <w:sz w:val="24"/>
          <w:highlight w:val="none"/>
          <w14:textFill>
            <w14:solidFill>
              <w14:schemeClr w14:val="tx1"/>
            </w14:solidFill>
          </w14:textFill>
        </w:rPr>
        <w:t>咨询服务</w:t>
      </w:r>
      <w:r>
        <w:rPr>
          <w:rFonts w:ascii="宋体" w:hAnsi="宋体"/>
          <w:color w:val="000000" w:themeColor="text1"/>
          <w:sz w:val="24"/>
          <w:highlight w:val="none"/>
          <w14:textFill>
            <w14:solidFill>
              <w14:schemeClr w14:val="tx1"/>
            </w14:solidFill>
          </w14:textFill>
        </w:rPr>
        <w:t>相关工作等。</w:t>
      </w:r>
    </w:p>
    <w:p w14:paraId="1929C9B9">
      <w:pPr>
        <w:pStyle w:val="701"/>
        <w:tabs>
          <w:tab w:val="left" w:pos="1447"/>
        </w:tabs>
        <w:autoSpaceDE w:val="0"/>
        <w:autoSpaceDN w:val="0"/>
        <w:spacing w:line="520" w:lineRule="exact"/>
        <w:ind w:firstLine="480"/>
        <w:jc w:val="left"/>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4.1.4 其他义务</w:t>
      </w:r>
    </w:p>
    <w:p w14:paraId="71CA9A76">
      <w:pPr>
        <w:pStyle w:val="701"/>
        <w:tabs>
          <w:tab w:val="left" w:pos="1447"/>
        </w:tabs>
        <w:autoSpaceDE w:val="0"/>
        <w:autoSpaceDN w:val="0"/>
        <w:spacing w:line="520" w:lineRule="exact"/>
        <w:ind w:firstLine="480"/>
        <w:jc w:val="left"/>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咨询人应履行合同约定的其他义务。</w:t>
      </w:r>
    </w:p>
    <w:p w14:paraId="5633A3F9">
      <w:pPr>
        <w:pStyle w:val="701"/>
        <w:tabs>
          <w:tab w:val="left" w:pos="1082"/>
        </w:tabs>
        <w:autoSpaceDE w:val="0"/>
        <w:autoSpaceDN w:val="0"/>
        <w:spacing w:line="520" w:lineRule="exact"/>
        <w:ind w:firstLine="482"/>
        <w:jc w:val="left"/>
        <w:rPr>
          <w:rFonts w:hint="eastAsia"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4.2 履约保证金</w:t>
      </w:r>
    </w:p>
    <w:p w14:paraId="0694E987">
      <w:pPr>
        <w:pStyle w:val="701"/>
        <w:tabs>
          <w:tab w:val="left" w:pos="1082"/>
        </w:tabs>
        <w:autoSpaceDE w:val="0"/>
        <w:autoSpaceDN w:val="0"/>
        <w:spacing w:line="520" w:lineRule="exact"/>
        <w:ind w:firstLine="480"/>
        <w:jc w:val="left"/>
        <w:rPr>
          <w:rFonts w:hint="eastAsia" w:ascii="宋体" w:hAnsi="宋体"/>
          <w:b/>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委托人需要咨询人提交履约保证金的，由合同当事人在专用合同条款中约定履约保证金的方式、金额和期限。</w:t>
      </w:r>
    </w:p>
    <w:p w14:paraId="16F41CA2">
      <w:pPr>
        <w:pStyle w:val="33"/>
        <w:spacing w:after="0" w:line="520" w:lineRule="exact"/>
        <w:ind w:firstLine="480" w:firstLineChars="20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除专用合同条款另有约定外，履约保证金自合同生效之日起生效，在委托人签收最后一批</w:t>
      </w:r>
      <w:r>
        <w:rPr>
          <w:rFonts w:hint="eastAsia" w:ascii="宋体" w:hAnsi="宋体"/>
          <w:color w:val="000000" w:themeColor="text1"/>
          <w:sz w:val="24"/>
          <w:highlight w:val="none"/>
          <w14:textFill>
            <w14:solidFill>
              <w14:schemeClr w14:val="tx1"/>
            </w14:solidFill>
          </w14:textFill>
        </w:rPr>
        <w:t>咨询服务</w:t>
      </w:r>
      <w:r>
        <w:rPr>
          <w:rFonts w:ascii="宋体" w:hAnsi="宋体"/>
          <w:color w:val="000000" w:themeColor="text1"/>
          <w:sz w:val="24"/>
          <w:highlight w:val="none"/>
          <w14:textFill>
            <w14:solidFill>
              <w14:schemeClr w14:val="tx1"/>
            </w14:solidFill>
          </w14:textFill>
        </w:rPr>
        <w:t>成果文件之日起28天后失效。如果</w:t>
      </w:r>
      <w:r>
        <w:rPr>
          <w:rFonts w:hint="eastAsia" w:ascii="宋体" w:hAnsi="宋体"/>
          <w:color w:val="000000" w:themeColor="text1"/>
          <w:sz w:val="24"/>
          <w:highlight w:val="none"/>
          <w14:textFill>
            <w14:solidFill>
              <w14:schemeClr w14:val="tx1"/>
            </w14:solidFill>
          </w14:textFill>
        </w:rPr>
        <w:t>咨询人</w:t>
      </w:r>
      <w:r>
        <w:rPr>
          <w:rFonts w:ascii="宋体" w:hAnsi="宋体"/>
          <w:color w:val="000000" w:themeColor="text1"/>
          <w:sz w:val="24"/>
          <w:highlight w:val="none"/>
          <w14:textFill>
            <w14:solidFill>
              <w14:schemeClr w14:val="tx1"/>
            </w14:solidFill>
          </w14:textFill>
        </w:rPr>
        <w:t>不履行合同约定的义务或其履行不符合合同的约定，委托人有权扣划相应金额的履约保证金。</w:t>
      </w:r>
    </w:p>
    <w:p w14:paraId="2EF97D1A">
      <w:pPr>
        <w:pStyle w:val="701"/>
        <w:tabs>
          <w:tab w:val="left" w:pos="1082"/>
        </w:tabs>
        <w:autoSpaceDE w:val="0"/>
        <w:autoSpaceDN w:val="0"/>
        <w:spacing w:line="520" w:lineRule="exact"/>
        <w:ind w:firstLine="482"/>
        <w:jc w:val="left"/>
        <w:rPr>
          <w:rFonts w:hint="eastAsia"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4.3 分包和不得转包</w:t>
      </w:r>
    </w:p>
    <w:p w14:paraId="2DCA4F3B">
      <w:pPr>
        <w:pStyle w:val="701"/>
        <w:tabs>
          <w:tab w:val="left" w:pos="1505"/>
        </w:tabs>
        <w:autoSpaceDE w:val="0"/>
        <w:autoSpaceDN w:val="0"/>
        <w:spacing w:line="520" w:lineRule="exact"/>
        <w:ind w:firstLine="480"/>
        <w:jc w:val="left"/>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4.3.1 咨询人不得将其咨询服务的全部工作转包给第三人，或将其承包的全部咨询服务工程肢解后以分包的名义转包给第三人。</w:t>
      </w:r>
    </w:p>
    <w:p w14:paraId="772BEA16">
      <w:pPr>
        <w:pStyle w:val="33"/>
        <w:spacing w:after="0" w:line="52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4.3.2 咨询人</w:t>
      </w:r>
      <w:r>
        <w:rPr>
          <w:rFonts w:ascii="宋体" w:hAnsi="宋体"/>
          <w:color w:val="000000" w:themeColor="text1"/>
          <w:sz w:val="24"/>
          <w:highlight w:val="none"/>
          <w14:textFill>
            <w14:solidFill>
              <w14:schemeClr w14:val="tx1"/>
            </w14:solidFill>
          </w14:textFill>
        </w:rPr>
        <w:t>不得将</w:t>
      </w:r>
      <w:r>
        <w:rPr>
          <w:rFonts w:hint="eastAsia" w:ascii="宋体" w:hAnsi="宋体"/>
          <w:color w:val="000000" w:themeColor="text1"/>
          <w:sz w:val="24"/>
          <w:highlight w:val="none"/>
          <w14:textFill>
            <w14:solidFill>
              <w14:schemeClr w14:val="tx1"/>
            </w14:solidFill>
          </w14:textFill>
        </w:rPr>
        <w:t>咨询服务</w:t>
      </w:r>
      <w:r>
        <w:rPr>
          <w:rFonts w:ascii="宋体" w:hAnsi="宋体"/>
          <w:color w:val="000000" w:themeColor="text1"/>
          <w:sz w:val="24"/>
          <w:highlight w:val="none"/>
          <w14:textFill>
            <w14:solidFill>
              <w14:schemeClr w14:val="tx1"/>
            </w14:solidFill>
          </w14:textFill>
        </w:rPr>
        <w:t>的主要、关键性工作分包给第三人。除专用合同条款另有约定外，未经委托人同意，</w:t>
      </w:r>
      <w:r>
        <w:rPr>
          <w:rFonts w:hint="eastAsia" w:ascii="宋体" w:hAnsi="宋体"/>
          <w:color w:val="000000" w:themeColor="text1"/>
          <w:sz w:val="24"/>
          <w:highlight w:val="none"/>
          <w14:textFill>
            <w14:solidFill>
              <w14:schemeClr w14:val="tx1"/>
            </w14:solidFill>
          </w14:textFill>
        </w:rPr>
        <w:t>咨询人</w:t>
      </w:r>
      <w:r>
        <w:rPr>
          <w:rFonts w:ascii="宋体" w:hAnsi="宋体"/>
          <w:color w:val="000000" w:themeColor="text1"/>
          <w:sz w:val="24"/>
          <w:highlight w:val="none"/>
          <w14:textFill>
            <w14:solidFill>
              <w14:schemeClr w14:val="tx1"/>
            </w14:solidFill>
          </w14:textFill>
        </w:rPr>
        <w:t>也不得将非主要、非关键性工作分包给第三人。具体可分包的</w:t>
      </w:r>
      <w:r>
        <w:rPr>
          <w:rFonts w:hint="eastAsia" w:ascii="宋体" w:hAnsi="宋体"/>
          <w:color w:val="000000" w:themeColor="text1"/>
          <w:sz w:val="24"/>
          <w:highlight w:val="none"/>
          <w14:textFill>
            <w14:solidFill>
              <w14:schemeClr w14:val="tx1"/>
            </w14:solidFill>
          </w14:textFill>
        </w:rPr>
        <w:t>咨询服务</w:t>
      </w:r>
      <w:r>
        <w:rPr>
          <w:rFonts w:ascii="宋体" w:hAnsi="宋体"/>
          <w:color w:val="000000" w:themeColor="text1"/>
          <w:sz w:val="24"/>
          <w:highlight w:val="none"/>
          <w14:textFill>
            <w14:solidFill>
              <w14:schemeClr w14:val="tx1"/>
            </w14:solidFill>
          </w14:textFill>
        </w:rPr>
        <w:t>内容及要求在专用合同条款中约定。</w:t>
      </w:r>
    </w:p>
    <w:p w14:paraId="6C4C0893">
      <w:pPr>
        <w:pStyle w:val="701"/>
        <w:tabs>
          <w:tab w:val="left" w:pos="1445"/>
        </w:tabs>
        <w:autoSpaceDE w:val="0"/>
        <w:autoSpaceDN w:val="0"/>
        <w:spacing w:line="520" w:lineRule="exact"/>
        <w:ind w:firstLine="480"/>
        <w:jc w:val="left"/>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4.3.3 委托人同意咨询人分包工作的，咨询人应向委托人提交1份分包合同副本，并对分包咨询服务工作质量承担连带责任。除专用合同条款另有约定外，分包人的咨询服务费用由咨询人与分包人自行支付。生效法律文书要求委托人向分包人支付分包合同价款的，委托人有权从应付咨询人工程款中扣除该部分款项。</w:t>
      </w:r>
    </w:p>
    <w:p w14:paraId="487D38CB">
      <w:pPr>
        <w:pStyle w:val="701"/>
        <w:tabs>
          <w:tab w:val="left" w:pos="1507"/>
        </w:tabs>
        <w:autoSpaceDE w:val="0"/>
        <w:autoSpaceDN w:val="0"/>
        <w:spacing w:line="520" w:lineRule="exact"/>
        <w:ind w:firstLine="480"/>
        <w:jc w:val="left"/>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4.3.4 分包人的资格能力应与其分包工作的标准和规模相适应，包括必要的企业资质、人员、设备和类似业绩等。</w:t>
      </w:r>
    </w:p>
    <w:p w14:paraId="2FCFBB47">
      <w:pPr>
        <w:pStyle w:val="701"/>
        <w:tabs>
          <w:tab w:val="left" w:pos="1082"/>
        </w:tabs>
        <w:autoSpaceDE w:val="0"/>
        <w:autoSpaceDN w:val="0"/>
        <w:spacing w:line="520" w:lineRule="exact"/>
        <w:ind w:firstLine="482"/>
        <w:jc w:val="left"/>
        <w:rPr>
          <w:rFonts w:hint="eastAsia"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4.4 联合体</w:t>
      </w:r>
    </w:p>
    <w:p w14:paraId="6EE8FCF2">
      <w:pPr>
        <w:pStyle w:val="701"/>
        <w:tabs>
          <w:tab w:val="left" w:pos="1447"/>
        </w:tabs>
        <w:autoSpaceDE w:val="0"/>
        <w:autoSpaceDN w:val="0"/>
        <w:spacing w:line="520" w:lineRule="exact"/>
        <w:ind w:firstLine="480"/>
        <w:jc w:val="left"/>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4.4.1 联合体各方应共同与委托人签订合同。联合体各方应为履行合同承担连带责任。</w:t>
      </w:r>
    </w:p>
    <w:p w14:paraId="32A07DB3">
      <w:pPr>
        <w:pStyle w:val="701"/>
        <w:tabs>
          <w:tab w:val="left" w:pos="1510"/>
        </w:tabs>
        <w:autoSpaceDE w:val="0"/>
        <w:autoSpaceDN w:val="0"/>
        <w:spacing w:line="520" w:lineRule="exact"/>
        <w:ind w:firstLine="480"/>
        <w:jc w:val="left"/>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4.4.2 联合体协议经委托人确认后作为合同附件。在履行合同过程中，未经委托人同意，不得修改联合体协议。</w:t>
      </w:r>
    </w:p>
    <w:p w14:paraId="00ACDA52">
      <w:pPr>
        <w:pStyle w:val="701"/>
        <w:tabs>
          <w:tab w:val="left" w:pos="1510"/>
        </w:tabs>
        <w:autoSpaceDE w:val="0"/>
        <w:autoSpaceDN w:val="0"/>
        <w:spacing w:line="520" w:lineRule="exact"/>
        <w:ind w:firstLine="480"/>
        <w:jc w:val="left"/>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4.4.3 联合体牵头人负责与委托人联系，并接受指示，负责组织联合体各成员全面履行合同。</w:t>
      </w:r>
    </w:p>
    <w:p w14:paraId="6149A229">
      <w:pPr>
        <w:tabs>
          <w:tab w:val="left" w:pos="1051"/>
        </w:tabs>
        <w:autoSpaceDE w:val="0"/>
        <w:autoSpaceDN w:val="0"/>
        <w:spacing w:line="520" w:lineRule="exact"/>
        <w:ind w:firstLine="482" w:firstLineChars="200"/>
        <w:rPr>
          <w:rFonts w:hint="eastAsia"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4.5 项目负责人</w:t>
      </w:r>
    </w:p>
    <w:p w14:paraId="3FF0D18E">
      <w:pPr>
        <w:pStyle w:val="701"/>
        <w:tabs>
          <w:tab w:val="left" w:pos="1510"/>
        </w:tabs>
        <w:autoSpaceDE w:val="0"/>
        <w:autoSpaceDN w:val="0"/>
        <w:spacing w:line="520" w:lineRule="exact"/>
        <w:ind w:firstLine="480"/>
        <w:jc w:val="left"/>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4.5.1 咨询人应按合同协议书的约定指派项目负责人，并在约定的期限内到职。咨询人更换项目负责人应事先征得委托人同意，并应在更换14天前将拟更换的项目负责人的姓名和详细资料提交委托人。项目负责人2天内不能履行职责的，应事先征得委托人同意，并委派代表代行其职责。</w:t>
      </w:r>
    </w:p>
    <w:p w14:paraId="6C424B59">
      <w:pPr>
        <w:pStyle w:val="701"/>
        <w:tabs>
          <w:tab w:val="left" w:pos="1483"/>
        </w:tabs>
        <w:autoSpaceDE w:val="0"/>
        <w:autoSpaceDN w:val="0"/>
        <w:spacing w:line="520" w:lineRule="exact"/>
        <w:ind w:firstLine="480"/>
        <w:jc w:val="left"/>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4.5.2 项目负责人应按合同约定以及委托人要求，负责组织合同工作的实施。在情况紧急且无法与委托人取得联系时，可采取保证工程和人员生命财产安全的紧急措施，并在采取措施后24小时内向委托人提交书面报告。</w:t>
      </w:r>
    </w:p>
    <w:p w14:paraId="35AAE2B6">
      <w:pPr>
        <w:pStyle w:val="701"/>
        <w:tabs>
          <w:tab w:val="left" w:pos="1510"/>
        </w:tabs>
        <w:autoSpaceDE w:val="0"/>
        <w:autoSpaceDN w:val="0"/>
        <w:spacing w:line="520" w:lineRule="exact"/>
        <w:ind w:firstLine="480"/>
        <w:jc w:val="left"/>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4.5.3 咨询人为履行合同发出的一切函件均应盖有咨询人单位章，并由咨询人的项目负责人签字确认。</w:t>
      </w:r>
    </w:p>
    <w:p w14:paraId="25F05529">
      <w:pPr>
        <w:pStyle w:val="701"/>
        <w:tabs>
          <w:tab w:val="left" w:pos="1507"/>
        </w:tabs>
        <w:autoSpaceDE w:val="0"/>
        <w:autoSpaceDN w:val="0"/>
        <w:spacing w:line="520" w:lineRule="exact"/>
        <w:ind w:firstLine="480"/>
        <w:jc w:val="left"/>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4.5.4 按照专用合同条款约定，项目负责人可以授权其下属人员履行其某项职责，但事先应将这些人员的姓名、职务、联系方式、授权范围和授权期限书面通知委托人。</w:t>
      </w:r>
    </w:p>
    <w:p w14:paraId="71039F7B">
      <w:pPr>
        <w:pStyle w:val="701"/>
        <w:tabs>
          <w:tab w:val="left" w:pos="1082"/>
        </w:tabs>
        <w:autoSpaceDE w:val="0"/>
        <w:autoSpaceDN w:val="0"/>
        <w:spacing w:line="520" w:lineRule="exact"/>
        <w:ind w:firstLine="482"/>
        <w:jc w:val="left"/>
        <w:rPr>
          <w:rFonts w:hint="eastAsia"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 xml:space="preserve">4.6 </w:t>
      </w:r>
      <w:r>
        <w:rPr>
          <w:rFonts w:hint="eastAsia" w:ascii="宋体" w:hAnsi="宋体"/>
          <w:b/>
          <w:color w:val="000000" w:themeColor="text1"/>
          <w:sz w:val="24"/>
          <w:highlight w:val="none"/>
          <w14:textFill>
            <w14:solidFill>
              <w14:schemeClr w14:val="tx1"/>
            </w14:solidFill>
          </w14:textFill>
        </w:rPr>
        <w:t>咨询</w:t>
      </w:r>
      <w:r>
        <w:rPr>
          <w:rFonts w:ascii="宋体" w:hAnsi="宋体"/>
          <w:b/>
          <w:color w:val="000000" w:themeColor="text1"/>
          <w:sz w:val="24"/>
          <w:highlight w:val="none"/>
          <w14:textFill>
            <w14:solidFill>
              <w14:schemeClr w14:val="tx1"/>
            </w14:solidFill>
          </w14:textFill>
        </w:rPr>
        <w:t>人员的管理</w:t>
      </w:r>
    </w:p>
    <w:p w14:paraId="1860D5DA">
      <w:pPr>
        <w:pStyle w:val="701"/>
        <w:tabs>
          <w:tab w:val="left" w:pos="1474"/>
        </w:tabs>
        <w:autoSpaceDE w:val="0"/>
        <w:autoSpaceDN w:val="0"/>
        <w:spacing w:line="520" w:lineRule="exact"/>
        <w:ind w:firstLine="480"/>
        <w:jc w:val="left"/>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4.6.1 咨询人应在接到开始咨询服务通知之日起7天内，向委托人提交咨询服务项目机构以及人员安排的报告，其内容应包括项目机构设置、主要</w:t>
      </w:r>
      <w:r>
        <w:rPr>
          <w:rFonts w:hint="eastAsia" w:ascii="宋体" w:hAnsi="宋体"/>
          <w:color w:val="000000" w:themeColor="text1"/>
          <w:sz w:val="24"/>
          <w:highlight w:val="none"/>
          <w14:textFill>
            <w14:solidFill>
              <w14:schemeClr w14:val="tx1"/>
            </w14:solidFill>
          </w14:textFill>
        </w:rPr>
        <w:t>咨询</w:t>
      </w:r>
      <w:r>
        <w:rPr>
          <w:rFonts w:ascii="宋体" w:hAnsi="宋体"/>
          <w:color w:val="000000" w:themeColor="text1"/>
          <w:sz w:val="24"/>
          <w:highlight w:val="none"/>
          <w14:textFill>
            <w14:solidFill>
              <w14:schemeClr w14:val="tx1"/>
            </w14:solidFill>
          </w14:textFill>
        </w:rPr>
        <w:t>人员和其他人员的名单及资格条件。主要</w:t>
      </w:r>
      <w:r>
        <w:rPr>
          <w:rFonts w:hint="eastAsia" w:ascii="宋体" w:hAnsi="宋体"/>
          <w:color w:val="000000" w:themeColor="text1"/>
          <w:sz w:val="24"/>
          <w:highlight w:val="none"/>
          <w14:textFill>
            <w14:solidFill>
              <w14:schemeClr w14:val="tx1"/>
            </w14:solidFill>
          </w14:textFill>
        </w:rPr>
        <w:t>咨询</w:t>
      </w:r>
      <w:r>
        <w:rPr>
          <w:rFonts w:ascii="宋体" w:hAnsi="宋体"/>
          <w:color w:val="000000" w:themeColor="text1"/>
          <w:sz w:val="24"/>
          <w:highlight w:val="none"/>
          <w14:textFill>
            <w14:solidFill>
              <w14:schemeClr w14:val="tx1"/>
            </w14:solidFill>
          </w14:textFill>
        </w:rPr>
        <w:t>人员应相对稳定，更换主要</w:t>
      </w:r>
      <w:r>
        <w:rPr>
          <w:rFonts w:hint="eastAsia" w:ascii="宋体" w:hAnsi="宋体"/>
          <w:color w:val="000000" w:themeColor="text1"/>
          <w:sz w:val="24"/>
          <w:highlight w:val="none"/>
          <w14:textFill>
            <w14:solidFill>
              <w14:schemeClr w14:val="tx1"/>
            </w14:solidFill>
          </w14:textFill>
        </w:rPr>
        <w:t>咨询</w:t>
      </w:r>
      <w:r>
        <w:rPr>
          <w:rFonts w:ascii="宋体" w:hAnsi="宋体"/>
          <w:color w:val="000000" w:themeColor="text1"/>
          <w:sz w:val="24"/>
          <w:highlight w:val="none"/>
          <w14:textFill>
            <w14:solidFill>
              <w14:schemeClr w14:val="tx1"/>
            </w14:solidFill>
          </w14:textFill>
        </w:rPr>
        <w:t>人员的，应取得委托人的同意,并向委托人提交继任人员的资格、管理经验等资料。项目负责人的更换，应按照本章第4.5.1项规定执行。</w:t>
      </w:r>
    </w:p>
    <w:p w14:paraId="5A8C6966">
      <w:pPr>
        <w:pStyle w:val="701"/>
        <w:tabs>
          <w:tab w:val="left" w:pos="1447"/>
        </w:tabs>
        <w:autoSpaceDE w:val="0"/>
        <w:autoSpaceDN w:val="0"/>
        <w:spacing w:line="520" w:lineRule="exact"/>
        <w:ind w:firstLine="480"/>
        <w:jc w:val="left"/>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4.6.2 除专用合同条款另有约定外，主要</w:t>
      </w:r>
      <w:r>
        <w:rPr>
          <w:rFonts w:hint="eastAsia" w:ascii="宋体" w:hAnsi="宋体"/>
          <w:color w:val="000000" w:themeColor="text1"/>
          <w:sz w:val="24"/>
          <w:highlight w:val="none"/>
          <w14:textFill>
            <w14:solidFill>
              <w14:schemeClr w14:val="tx1"/>
            </w14:solidFill>
          </w14:textFill>
        </w:rPr>
        <w:t>咨询</w:t>
      </w:r>
      <w:r>
        <w:rPr>
          <w:rFonts w:ascii="宋体" w:hAnsi="宋体"/>
          <w:color w:val="000000" w:themeColor="text1"/>
          <w:sz w:val="24"/>
          <w:highlight w:val="none"/>
          <w14:textFill>
            <w14:solidFill>
              <w14:schemeClr w14:val="tx1"/>
            </w14:solidFill>
          </w14:textFill>
        </w:rPr>
        <w:t>人员包括项目负责人、专业负责人、审核人、审定人等；其他人员包括各专业的</w:t>
      </w:r>
      <w:r>
        <w:rPr>
          <w:rFonts w:hint="eastAsia" w:ascii="宋体" w:hAnsi="宋体"/>
          <w:color w:val="000000" w:themeColor="text1"/>
          <w:sz w:val="24"/>
          <w:highlight w:val="none"/>
          <w14:textFill>
            <w14:solidFill>
              <w14:schemeClr w14:val="tx1"/>
            </w14:solidFill>
          </w14:textFill>
        </w:rPr>
        <w:t>咨询</w:t>
      </w:r>
      <w:r>
        <w:rPr>
          <w:rFonts w:ascii="宋体" w:hAnsi="宋体"/>
          <w:color w:val="000000" w:themeColor="text1"/>
          <w:sz w:val="24"/>
          <w:highlight w:val="none"/>
          <w14:textFill>
            <w14:solidFill>
              <w14:schemeClr w14:val="tx1"/>
            </w14:solidFill>
          </w14:textFill>
        </w:rPr>
        <w:t>人员、管理人员等。</w:t>
      </w:r>
    </w:p>
    <w:p w14:paraId="75E97221">
      <w:pPr>
        <w:pStyle w:val="701"/>
        <w:tabs>
          <w:tab w:val="left" w:pos="1483"/>
        </w:tabs>
        <w:autoSpaceDE w:val="0"/>
        <w:autoSpaceDN w:val="0"/>
        <w:spacing w:line="520" w:lineRule="exact"/>
        <w:ind w:firstLine="480"/>
        <w:jc w:val="left"/>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4.6.3咨询人应保证其主要</w:t>
      </w:r>
      <w:r>
        <w:rPr>
          <w:rFonts w:hint="eastAsia" w:ascii="宋体" w:hAnsi="宋体"/>
          <w:color w:val="000000" w:themeColor="text1"/>
          <w:sz w:val="24"/>
          <w:highlight w:val="none"/>
          <w14:textFill>
            <w14:solidFill>
              <w14:schemeClr w14:val="tx1"/>
            </w14:solidFill>
          </w14:textFill>
        </w:rPr>
        <w:t>咨询</w:t>
      </w:r>
      <w:r>
        <w:rPr>
          <w:rFonts w:ascii="宋体" w:hAnsi="宋体"/>
          <w:color w:val="000000" w:themeColor="text1"/>
          <w:sz w:val="24"/>
          <w:highlight w:val="none"/>
          <w14:textFill>
            <w14:solidFill>
              <w14:schemeClr w14:val="tx1"/>
            </w14:solidFill>
          </w14:textFill>
        </w:rPr>
        <w:t>人员（含分包人）在合同期限内的任何时候，都能按时参加委托人组织的工作会议。</w:t>
      </w:r>
    </w:p>
    <w:p w14:paraId="11ADB4D3">
      <w:pPr>
        <w:pStyle w:val="701"/>
        <w:tabs>
          <w:tab w:val="left" w:pos="1447"/>
        </w:tabs>
        <w:autoSpaceDE w:val="0"/>
        <w:autoSpaceDN w:val="0"/>
        <w:spacing w:line="520" w:lineRule="exact"/>
        <w:ind w:firstLine="480"/>
        <w:jc w:val="left"/>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4.6.4 国家规定应当持证上岗的工作人员均应持有相应的资格证明，委托人有权随时检查。委托人认为有必要时，可以进行现场考核。</w:t>
      </w:r>
    </w:p>
    <w:p w14:paraId="7A00E201">
      <w:pPr>
        <w:pStyle w:val="701"/>
        <w:tabs>
          <w:tab w:val="left" w:pos="1082"/>
        </w:tabs>
        <w:autoSpaceDE w:val="0"/>
        <w:autoSpaceDN w:val="0"/>
        <w:spacing w:line="520" w:lineRule="exact"/>
        <w:ind w:firstLine="482"/>
        <w:jc w:val="left"/>
        <w:rPr>
          <w:rFonts w:hint="eastAsia"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4.7 撤换项目负责人和其他人员</w:t>
      </w:r>
    </w:p>
    <w:p w14:paraId="705A52CF">
      <w:pPr>
        <w:pStyle w:val="701"/>
        <w:tabs>
          <w:tab w:val="left" w:pos="1082"/>
        </w:tabs>
        <w:autoSpaceDE w:val="0"/>
        <w:autoSpaceDN w:val="0"/>
        <w:spacing w:line="520" w:lineRule="exact"/>
        <w:ind w:firstLine="480"/>
        <w:jc w:val="left"/>
        <w:rPr>
          <w:rFonts w:hint="eastAsia" w:ascii="宋体" w:hAnsi="宋体"/>
          <w:b/>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咨询人应对其项目负责人和其他人员进行有效管理。委托人要求撤换不能胜任本职工作、行为不端或玩忽职守的项目负责人和其他人员的，咨询人应予以撤换。</w:t>
      </w:r>
    </w:p>
    <w:p w14:paraId="1DC90218">
      <w:pPr>
        <w:pStyle w:val="701"/>
        <w:tabs>
          <w:tab w:val="left" w:pos="1082"/>
        </w:tabs>
        <w:autoSpaceDE w:val="0"/>
        <w:autoSpaceDN w:val="0"/>
        <w:spacing w:line="520" w:lineRule="exact"/>
        <w:ind w:firstLine="482"/>
        <w:jc w:val="left"/>
        <w:rPr>
          <w:rFonts w:hint="eastAsia"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4.8 保障人员的合法权益</w:t>
      </w:r>
    </w:p>
    <w:p w14:paraId="4B6E82D6">
      <w:pPr>
        <w:pStyle w:val="701"/>
        <w:tabs>
          <w:tab w:val="left" w:pos="1447"/>
        </w:tabs>
        <w:autoSpaceDE w:val="0"/>
        <w:autoSpaceDN w:val="0"/>
        <w:spacing w:line="520" w:lineRule="exact"/>
        <w:ind w:firstLine="480"/>
        <w:jc w:val="left"/>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4.8.1 咨询人应与其雇用的人员签订劳动合同，并按时发放工资。</w:t>
      </w:r>
    </w:p>
    <w:p w14:paraId="23FC9934">
      <w:pPr>
        <w:pStyle w:val="701"/>
        <w:tabs>
          <w:tab w:val="left" w:pos="1510"/>
        </w:tabs>
        <w:autoSpaceDE w:val="0"/>
        <w:autoSpaceDN w:val="0"/>
        <w:spacing w:line="520" w:lineRule="exact"/>
        <w:ind w:firstLine="480"/>
        <w:jc w:val="left"/>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4.8.2 咨询人应按劳动法的规定安排工作时间，保证其</w:t>
      </w:r>
      <w:r>
        <w:rPr>
          <w:rFonts w:hint="eastAsia" w:ascii="宋体" w:hAnsi="宋体"/>
          <w:color w:val="000000" w:themeColor="text1"/>
          <w:sz w:val="24"/>
          <w:highlight w:val="none"/>
          <w:lang w:eastAsia="zh-CN"/>
          <w14:textFill>
            <w14:solidFill>
              <w14:schemeClr w14:val="tx1"/>
            </w14:solidFill>
          </w14:textFill>
        </w:rPr>
        <w:t>雇佣</w:t>
      </w:r>
      <w:r>
        <w:rPr>
          <w:rFonts w:ascii="宋体" w:hAnsi="宋体"/>
          <w:color w:val="000000" w:themeColor="text1"/>
          <w:sz w:val="24"/>
          <w:highlight w:val="none"/>
          <w14:textFill>
            <w14:solidFill>
              <w14:schemeClr w14:val="tx1"/>
            </w14:solidFill>
          </w14:textFill>
        </w:rPr>
        <w:t>人员享有休息和休假的权利。因咨询服务需要占用休假日或延长工作时间的，应不超过法律规定的限度，并按法律规定给予补休或付酬。</w:t>
      </w:r>
    </w:p>
    <w:p w14:paraId="4FC6C3BF">
      <w:pPr>
        <w:pStyle w:val="701"/>
        <w:tabs>
          <w:tab w:val="left" w:pos="1447"/>
        </w:tabs>
        <w:autoSpaceDE w:val="0"/>
        <w:autoSpaceDN w:val="0"/>
        <w:spacing w:line="520" w:lineRule="exact"/>
        <w:ind w:firstLine="480"/>
        <w:jc w:val="left"/>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4.8..3 咨询人应按有关法律规定和合同约定，为其</w:t>
      </w:r>
      <w:r>
        <w:rPr>
          <w:rFonts w:hint="eastAsia" w:ascii="宋体" w:hAnsi="宋体"/>
          <w:color w:val="000000" w:themeColor="text1"/>
          <w:sz w:val="24"/>
          <w:highlight w:val="none"/>
          <w:lang w:eastAsia="zh-CN"/>
          <w14:textFill>
            <w14:solidFill>
              <w14:schemeClr w14:val="tx1"/>
            </w14:solidFill>
          </w14:textFill>
        </w:rPr>
        <w:t>雇佣</w:t>
      </w:r>
      <w:r>
        <w:rPr>
          <w:rFonts w:ascii="宋体" w:hAnsi="宋体"/>
          <w:color w:val="000000" w:themeColor="text1"/>
          <w:sz w:val="24"/>
          <w:highlight w:val="none"/>
          <w14:textFill>
            <w14:solidFill>
              <w14:schemeClr w14:val="tx1"/>
            </w14:solidFill>
          </w14:textFill>
        </w:rPr>
        <w:t>人员办理保险。</w:t>
      </w:r>
    </w:p>
    <w:p w14:paraId="1E6F1DBD">
      <w:pPr>
        <w:pStyle w:val="701"/>
        <w:tabs>
          <w:tab w:val="left" w:pos="1082"/>
        </w:tabs>
        <w:autoSpaceDE w:val="0"/>
        <w:autoSpaceDN w:val="0"/>
        <w:spacing w:line="520" w:lineRule="exact"/>
        <w:ind w:firstLine="482"/>
        <w:jc w:val="left"/>
        <w:rPr>
          <w:rFonts w:hint="eastAsia"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4.9  合同价款应专款专用</w:t>
      </w:r>
    </w:p>
    <w:p w14:paraId="0F4CA670">
      <w:pPr>
        <w:pStyle w:val="33"/>
        <w:spacing w:after="0" w:line="520" w:lineRule="exact"/>
        <w:ind w:firstLine="480" w:firstLineChars="20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委托人按合同约定支付给</w:t>
      </w:r>
      <w:r>
        <w:rPr>
          <w:rFonts w:hint="eastAsia" w:ascii="宋体" w:hAnsi="宋体"/>
          <w:color w:val="000000" w:themeColor="text1"/>
          <w:sz w:val="24"/>
          <w:highlight w:val="none"/>
          <w14:textFill>
            <w14:solidFill>
              <w14:schemeClr w14:val="tx1"/>
            </w14:solidFill>
          </w14:textFill>
        </w:rPr>
        <w:t>咨询人</w:t>
      </w:r>
      <w:r>
        <w:rPr>
          <w:rFonts w:ascii="宋体" w:hAnsi="宋体"/>
          <w:color w:val="000000" w:themeColor="text1"/>
          <w:sz w:val="24"/>
          <w:highlight w:val="none"/>
          <w14:textFill>
            <w14:solidFill>
              <w14:schemeClr w14:val="tx1"/>
            </w14:solidFill>
          </w14:textFill>
        </w:rPr>
        <w:t>的各项价款，应专用于合同</w:t>
      </w:r>
      <w:r>
        <w:rPr>
          <w:rFonts w:hint="eastAsia" w:ascii="宋体" w:hAnsi="宋体"/>
          <w:color w:val="000000" w:themeColor="text1"/>
          <w:sz w:val="24"/>
          <w:highlight w:val="none"/>
          <w14:textFill>
            <w14:solidFill>
              <w14:schemeClr w14:val="tx1"/>
            </w14:solidFill>
          </w14:textFill>
        </w:rPr>
        <w:t>咨询服务</w:t>
      </w:r>
      <w:r>
        <w:rPr>
          <w:rFonts w:ascii="宋体" w:hAnsi="宋体"/>
          <w:color w:val="000000" w:themeColor="text1"/>
          <w:sz w:val="24"/>
          <w:highlight w:val="none"/>
          <w14:textFill>
            <w14:solidFill>
              <w14:schemeClr w14:val="tx1"/>
            </w14:solidFill>
          </w14:textFill>
        </w:rPr>
        <w:t>工作。</w:t>
      </w:r>
    </w:p>
    <w:p w14:paraId="6312DE5C">
      <w:pPr>
        <w:pStyle w:val="723"/>
        <w:spacing w:line="520" w:lineRule="exact"/>
        <w:ind w:firstLine="482"/>
        <w:outlineLvl w:val="1"/>
        <w:rPr>
          <w:rFonts w:ascii="宋体" w:hAnsi="宋体" w:eastAsia="宋体"/>
          <w:bCs/>
          <w:color w:val="000000" w:themeColor="text1"/>
          <w:szCs w:val="24"/>
          <w:highlight w:val="none"/>
          <w14:textFill>
            <w14:solidFill>
              <w14:schemeClr w14:val="tx1"/>
            </w14:solidFill>
          </w14:textFill>
        </w:rPr>
      </w:pPr>
      <w:bookmarkStart w:id="40" w:name="_Toc161231747"/>
      <w:bookmarkStart w:id="41" w:name="_Toc156986235"/>
      <w:r>
        <w:rPr>
          <w:rFonts w:ascii="宋体" w:hAnsi="宋体" w:eastAsia="宋体"/>
          <w:bCs/>
          <w:color w:val="000000" w:themeColor="text1"/>
          <w:szCs w:val="24"/>
          <w:highlight w:val="none"/>
          <w14:textFill>
            <w14:solidFill>
              <w14:schemeClr w14:val="tx1"/>
            </w14:solidFill>
          </w14:textFill>
        </w:rPr>
        <w:t>5.咨询服务要求</w:t>
      </w:r>
      <w:bookmarkEnd w:id="40"/>
      <w:bookmarkEnd w:id="41"/>
    </w:p>
    <w:p w14:paraId="7000849E">
      <w:pPr>
        <w:pStyle w:val="701"/>
        <w:tabs>
          <w:tab w:val="left" w:pos="1082"/>
        </w:tabs>
        <w:autoSpaceDE w:val="0"/>
        <w:autoSpaceDN w:val="0"/>
        <w:spacing w:line="520" w:lineRule="exact"/>
        <w:ind w:firstLine="482"/>
        <w:jc w:val="left"/>
        <w:rPr>
          <w:rFonts w:hint="eastAsia"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5.1 一般要求</w:t>
      </w:r>
    </w:p>
    <w:p w14:paraId="14FA4130">
      <w:pPr>
        <w:pStyle w:val="701"/>
        <w:tabs>
          <w:tab w:val="left" w:pos="1447"/>
        </w:tabs>
        <w:autoSpaceDE w:val="0"/>
        <w:autoSpaceDN w:val="0"/>
        <w:spacing w:line="520" w:lineRule="exact"/>
        <w:ind w:firstLine="480"/>
        <w:jc w:val="left"/>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5.1.1 委托人应当遵守法律和规范标准，不得以任何理由要求咨询人违反法律和工程质量、安全标准、环保标准进行咨询服务，降低工程质量。</w:t>
      </w:r>
    </w:p>
    <w:p w14:paraId="054E5301">
      <w:pPr>
        <w:pStyle w:val="701"/>
        <w:tabs>
          <w:tab w:val="left" w:pos="1510"/>
        </w:tabs>
        <w:autoSpaceDE w:val="0"/>
        <w:autoSpaceDN w:val="0"/>
        <w:spacing w:line="520" w:lineRule="exact"/>
        <w:ind w:firstLine="480"/>
        <w:jc w:val="left"/>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5.1.2咨询人应按照法律规定，以及国家、行业和地方的规范和标准完成咨询服务工作，并应符合委托人要求。各项规范、标准和委托人要求之间如对同一内容的描述不一致时，应以描述更为严格的内容为准。</w:t>
      </w:r>
    </w:p>
    <w:p w14:paraId="78BC7E60">
      <w:pPr>
        <w:pStyle w:val="701"/>
        <w:tabs>
          <w:tab w:val="left" w:pos="1447"/>
        </w:tabs>
        <w:autoSpaceDE w:val="0"/>
        <w:autoSpaceDN w:val="0"/>
        <w:spacing w:line="520" w:lineRule="exact"/>
        <w:ind w:firstLine="480"/>
        <w:jc w:val="left"/>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5.1.3 除专用合同条款另有约定外，咨询人完成咨询服务工作所应遵守的法律规定，以及国家、行业和地方的规范和标准，均应视为在基准日适用的版本。基准日之后，前述版本发生重大变化，或者有新的法律，以及国家、行业和地方的规范和标准实施的，咨询人应向委托人提出遵守新规定的建议。委托人应在收到建议后 7天内发出是否遵守新规定的指示。委托人指示遵守新规定的，按照第11条约定执行。</w:t>
      </w:r>
    </w:p>
    <w:p w14:paraId="762595F3">
      <w:pPr>
        <w:pStyle w:val="701"/>
        <w:tabs>
          <w:tab w:val="left" w:pos="1510"/>
        </w:tabs>
        <w:autoSpaceDE w:val="0"/>
        <w:autoSpaceDN w:val="0"/>
        <w:spacing w:line="520" w:lineRule="exact"/>
        <w:ind w:firstLine="480"/>
        <w:jc w:val="left"/>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5.1.4咨询人在咨询服务中选用的材料、设备，应当注明其规格、型号、性能等技术指标及适应性，满足质量、安全、节能、环保等要求。</w:t>
      </w:r>
    </w:p>
    <w:p w14:paraId="4DECA73F">
      <w:pPr>
        <w:pStyle w:val="701"/>
        <w:tabs>
          <w:tab w:val="left" w:pos="1082"/>
        </w:tabs>
        <w:autoSpaceDE w:val="0"/>
        <w:autoSpaceDN w:val="0"/>
        <w:spacing w:line="520" w:lineRule="exact"/>
        <w:ind w:firstLine="482"/>
        <w:jc w:val="left"/>
        <w:rPr>
          <w:rFonts w:hint="eastAsia"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 xml:space="preserve">5.2 </w:t>
      </w:r>
      <w:r>
        <w:rPr>
          <w:rFonts w:ascii="宋体" w:hAnsi="宋体"/>
          <w:b/>
          <w:bCs/>
          <w:color w:val="000000" w:themeColor="text1"/>
          <w:sz w:val="24"/>
          <w:highlight w:val="none"/>
          <w14:textFill>
            <w14:solidFill>
              <w14:schemeClr w14:val="tx1"/>
            </w14:solidFill>
          </w14:textFill>
        </w:rPr>
        <w:t>咨询服务</w:t>
      </w:r>
      <w:r>
        <w:rPr>
          <w:rFonts w:ascii="宋体" w:hAnsi="宋体"/>
          <w:b/>
          <w:color w:val="000000" w:themeColor="text1"/>
          <w:sz w:val="24"/>
          <w:highlight w:val="none"/>
          <w14:textFill>
            <w14:solidFill>
              <w14:schemeClr w14:val="tx1"/>
            </w14:solidFill>
          </w14:textFill>
        </w:rPr>
        <w:t>依据</w:t>
      </w:r>
    </w:p>
    <w:p w14:paraId="4646C91E">
      <w:pPr>
        <w:pStyle w:val="33"/>
        <w:spacing w:after="0" w:line="520" w:lineRule="exact"/>
        <w:ind w:firstLine="480" w:firstLineChars="20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除专用合同条款另有约定外，本工程的</w:t>
      </w:r>
      <w:r>
        <w:rPr>
          <w:rFonts w:hint="eastAsia" w:ascii="宋体" w:hAnsi="宋体"/>
          <w:color w:val="000000" w:themeColor="text1"/>
          <w:sz w:val="24"/>
          <w:highlight w:val="none"/>
          <w14:textFill>
            <w14:solidFill>
              <w14:schemeClr w14:val="tx1"/>
            </w14:solidFill>
          </w14:textFill>
        </w:rPr>
        <w:t>咨询服务</w:t>
      </w:r>
      <w:r>
        <w:rPr>
          <w:rFonts w:ascii="宋体" w:hAnsi="宋体"/>
          <w:color w:val="000000" w:themeColor="text1"/>
          <w:sz w:val="24"/>
          <w:highlight w:val="none"/>
          <w14:textFill>
            <w14:solidFill>
              <w14:schemeClr w14:val="tx1"/>
            </w14:solidFill>
          </w14:textFill>
        </w:rPr>
        <w:t>依据如下：</w:t>
      </w:r>
    </w:p>
    <w:p w14:paraId="5F4228D9">
      <w:pPr>
        <w:pStyle w:val="701"/>
        <w:tabs>
          <w:tab w:val="left" w:pos="1511"/>
        </w:tabs>
        <w:autoSpaceDE w:val="0"/>
        <w:autoSpaceDN w:val="0"/>
        <w:spacing w:line="520" w:lineRule="exact"/>
        <w:ind w:firstLine="480"/>
        <w:jc w:val="left"/>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（1）适用的法律、行政法规及部门规章；</w:t>
      </w:r>
    </w:p>
    <w:p w14:paraId="3324C788">
      <w:pPr>
        <w:pStyle w:val="701"/>
        <w:tabs>
          <w:tab w:val="left" w:pos="1511"/>
        </w:tabs>
        <w:autoSpaceDE w:val="0"/>
        <w:autoSpaceDN w:val="0"/>
        <w:spacing w:line="520" w:lineRule="exact"/>
        <w:ind w:firstLine="480"/>
        <w:jc w:val="left"/>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（2）相关的规范、标准、规程；</w:t>
      </w:r>
    </w:p>
    <w:p w14:paraId="7E3BE782">
      <w:pPr>
        <w:pStyle w:val="701"/>
        <w:tabs>
          <w:tab w:val="left" w:pos="1511"/>
        </w:tabs>
        <w:autoSpaceDE w:val="0"/>
        <w:autoSpaceDN w:val="0"/>
        <w:spacing w:line="520" w:lineRule="exact"/>
        <w:ind w:firstLine="480"/>
        <w:jc w:val="left"/>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（3）基础资料及其他文件；</w:t>
      </w:r>
    </w:p>
    <w:p w14:paraId="471273ED">
      <w:pPr>
        <w:pStyle w:val="701"/>
        <w:tabs>
          <w:tab w:val="left" w:pos="1506"/>
        </w:tabs>
        <w:autoSpaceDE w:val="0"/>
        <w:autoSpaceDN w:val="0"/>
        <w:spacing w:line="520" w:lineRule="exact"/>
        <w:ind w:firstLine="480"/>
        <w:jc w:val="left"/>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（4）本咨询服务合同及补充合同（如有）；</w:t>
      </w:r>
    </w:p>
    <w:p w14:paraId="310610B4">
      <w:pPr>
        <w:pStyle w:val="701"/>
        <w:tabs>
          <w:tab w:val="left" w:pos="1511"/>
        </w:tabs>
        <w:autoSpaceDE w:val="0"/>
        <w:autoSpaceDN w:val="0"/>
        <w:spacing w:line="520" w:lineRule="exact"/>
        <w:ind w:firstLine="480"/>
        <w:jc w:val="left"/>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（5）本工程前期成果文件；</w:t>
      </w:r>
    </w:p>
    <w:p w14:paraId="395CD9F0">
      <w:pPr>
        <w:pStyle w:val="701"/>
        <w:tabs>
          <w:tab w:val="left" w:pos="1511"/>
        </w:tabs>
        <w:autoSpaceDE w:val="0"/>
        <w:autoSpaceDN w:val="0"/>
        <w:spacing w:line="520" w:lineRule="exact"/>
        <w:ind w:firstLine="480"/>
        <w:jc w:val="left"/>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（6）合同履行中与咨询服务有关的来往函件；</w:t>
      </w:r>
    </w:p>
    <w:p w14:paraId="67F03EBA">
      <w:pPr>
        <w:pStyle w:val="701"/>
        <w:tabs>
          <w:tab w:val="left" w:pos="1511"/>
        </w:tabs>
        <w:autoSpaceDE w:val="0"/>
        <w:autoSpaceDN w:val="0"/>
        <w:spacing w:line="520" w:lineRule="exact"/>
        <w:ind w:firstLine="480"/>
        <w:jc w:val="left"/>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（7）其他咨询服务依据。</w:t>
      </w:r>
    </w:p>
    <w:p w14:paraId="2406145E">
      <w:pPr>
        <w:pStyle w:val="701"/>
        <w:tabs>
          <w:tab w:val="left" w:pos="1082"/>
        </w:tabs>
        <w:autoSpaceDE w:val="0"/>
        <w:autoSpaceDN w:val="0"/>
        <w:spacing w:line="520" w:lineRule="exact"/>
        <w:ind w:firstLine="482"/>
        <w:jc w:val="left"/>
        <w:rPr>
          <w:rFonts w:hint="eastAsia"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5.3 咨询服务范围</w:t>
      </w:r>
    </w:p>
    <w:p w14:paraId="5D472952">
      <w:pPr>
        <w:pStyle w:val="33"/>
        <w:spacing w:after="0" w:line="520" w:lineRule="exact"/>
        <w:ind w:firstLine="480" w:firstLineChars="20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本合同的</w:t>
      </w:r>
      <w:r>
        <w:rPr>
          <w:rFonts w:hint="eastAsia" w:ascii="宋体" w:hAnsi="宋体"/>
          <w:color w:val="000000" w:themeColor="text1"/>
          <w:sz w:val="24"/>
          <w:highlight w:val="none"/>
          <w14:textFill>
            <w14:solidFill>
              <w14:schemeClr w14:val="tx1"/>
            </w14:solidFill>
          </w14:textFill>
        </w:rPr>
        <w:t>咨询服务</w:t>
      </w:r>
      <w:r>
        <w:rPr>
          <w:rFonts w:ascii="宋体" w:hAnsi="宋体"/>
          <w:color w:val="000000" w:themeColor="text1"/>
          <w:sz w:val="24"/>
          <w:highlight w:val="none"/>
          <w14:textFill>
            <w14:solidFill>
              <w14:schemeClr w14:val="tx1"/>
            </w14:solidFill>
          </w14:textFill>
        </w:rPr>
        <w:t>范围具体范围在专用合同条款中约定。</w:t>
      </w:r>
    </w:p>
    <w:p w14:paraId="39E57879">
      <w:pPr>
        <w:pStyle w:val="701"/>
        <w:tabs>
          <w:tab w:val="left" w:pos="1082"/>
        </w:tabs>
        <w:autoSpaceDE w:val="0"/>
        <w:autoSpaceDN w:val="0"/>
        <w:spacing w:line="520" w:lineRule="exact"/>
        <w:ind w:firstLine="482"/>
        <w:jc w:val="left"/>
        <w:rPr>
          <w:rFonts w:hint="eastAsia"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5.4 咨询服务成果文件要求</w:t>
      </w:r>
    </w:p>
    <w:p w14:paraId="1E756BA3">
      <w:pPr>
        <w:pStyle w:val="701"/>
        <w:tabs>
          <w:tab w:val="left" w:pos="1510"/>
        </w:tabs>
        <w:autoSpaceDE w:val="0"/>
        <w:autoSpaceDN w:val="0"/>
        <w:spacing w:line="520" w:lineRule="exact"/>
        <w:ind w:firstLine="480"/>
        <w:jc w:val="left"/>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5.4.1 咨询服务成果文件的编制应符合法律法规、规范标准的强制性规定和委托人要求，咨询服务依据应完整、准确、可靠，咨询服务方案论证充分，计算成果规范可靠，并能够实施。</w:t>
      </w:r>
    </w:p>
    <w:p w14:paraId="2BEC6634">
      <w:pPr>
        <w:pStyle w:val="701"/>
        <w:tabs>
          <w:tab w:val="left" w:pos="1466"/>
        </w:tabs>
        <w:autoSpaceDE w:val="0"/>
        <w:autoSpaceDN w:val="0"/>
        <w:spacing w:line="520" w:lineRule="exact"/>
        <w:ind w:firstLine="480"/>
        <w:jc w:val="left"/>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5.4.2 咨询服务应当根据法律、规范标准和委托人要求，并在咨询服务成果文件中予以注明。</w:t>
      </w:r>
    </w:p>
    <w:p w14:paraId="154E49A6">
      <w:pPr>
        <w:pStyle w:val="701"/>
        <w:tabs>
          <w:tab w:val="left" w:pos="1510"/>
        </w:tabs>
        <w:autoSpaceDE w:val="0"/>
        <w:autoSpaceDN w:val="0"/>
        <w:spacing w:line="520" w:lineRule="exact"/>
        <w:ind w:firstLine="480"/>
        <w:jc w:val="left"/>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5.4.3 咨询服务成果文件的深度应满足本合同相应咨询服务阶段的规定要求，满足委托人的下步工作需要，并应符合国家和行业现行规定。</w:t>
      </w:r>
    </w:p>
    <w:p w14:paraId="050E9A0B">
      <w:pPr>
        <w:pStyle w:val="723"/>
        <w:spacing w:line="520" w:lineRule="exact"/>
        <w:ind w:firstLine="482"/>
        <w:outlineLvl w:val="1"/>
        <w:rPr>
          <w:rFonts w:ascii="宋体" w:hAnsi="宋体" w:eastAsia="宋体"/>
          <w:b w:val="0"/>
          <w:bCs/>
          <w:color w:val="000000" w:themeColor="text1"/>
          <w:szCs w:val="24"/>
          <w:highlight w:val="none"/>
          <w14:textFill>
            <w14:solidFill>
              <w14:schemeClr w14:val="tx1"/>
            </w14:solidFill>
          </w14:textFill>
        </w:rPr>
      </w:pPr>
      <w:bookmarkStart w:id="42" w:name="_Toc156986236"/>
      <w:bookmarkStart w:id="43" w:name="_Toc161231748"/>
      <w:r>
        <w:rPr>
          <w:rFonts w:ascii="宋体" w:hAnsi="宋体" w:eastAsia="宋体"/>
          <w:bCs/>
          <w:color w:val="000000" w:themeColor="text1"/>
          <w:szCs w:val="24"/>
          <w:highlight w:val="none"/>
          <w14:textFill>
            <w14:solidFill>
              <w14:schemeClr w14:val="tx1"/>
            </w14:solidFill>
          </w14:textFill>
        </w:rPr>
        <w:t>6.开始咨询服务和完成咨询服务</w:t>
      </w:r>
      <w:bookmarkEnd w:id="42"/>
      <w:bookmarkEnd w:id="43"/>
    </w:p>
    <w:p w14:paraId="27771C66">
      <w:pPr>
        <w:pStyle w:val="701"/>
        <w:tabs>
          <w:tab w:val="left" w:pos="1082"/>
        </w:tabs>
        <w:autoSpaceDE w:val="0"/>
        <w:autoSpaceDN w:val="0"/>
        <w:spacing w:line="520" w:lineRule="exact"/>
        <w:ind w:firstLine="482"/>
        <w:jc w:val="left"/>
        <w:rPr>
          <w:rFonts w:hint="eastAsia"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6.1 开始咨询服务</w:t>
      </w:r>
    </w:p>
    <w:p w14:paraId="5A15E92B">
      <w:pPr>
        <w:pStyle w:val="701"/>
        <w:tabs>
          <w:tab w:val="left" w:pos="1457"/>
        </w:tabs>
        <w:autoSpaceDE w:val="0"/>
        <w:autoSpaceDN w:val="0"/>
        <w:spacing w:line="520" w:lineRule="exact"/>
        <w:ind w:firstLine="480"/>
        <w:jc w:val="left"/>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6.1.1 符合专用合同条款约定的开始咨询服务条件的，委托人应提前7天向咨询人发出开始咨询服务通知。咨询服务期限自开始咨询服务通知中载明的开始咨询服务日期起计算。</w:t>
      </w:r>
    </w:p>
    <w:p w14:paraId="22531C87">
      <w:pPr>
        <w:pStyle w:val="701"/>
        <w:tabs>
          <w:tab w:val="left" w:pos="1478"/>
        </w:tabs>
        <w:autoSpaceDE w:val="0"/>
        <w:autoSpaceDN w:val="0"/>
        <w:spacing w:line="520" w:lineRule="exact"/>
        <w:ind w:firstLine="480"/>
        <w:jc w:val="left"/>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6.1.2 除专用合同条款另有约定外，因委托人原因造成合同签订之日起90天内未能发出开始咨询服务通知的，咨询人有权提出价格调整要求，或者解除合同。委托人应当承担由此增加的费用和（或）周期延误。</w:t>
      </w:r>
    </w:p>
    <w:p w14:paraId="6063D303">
      <w:pPr>
        <w:pStyle w:val="701"/>
        <w:tabs>
          <w:tab w:val="left" w:pos="1082"/>
        </w:tabs>
        <w:autoSpaceDE w:val="0"/>
        <w:autoSpaceDN w:val="0"/>
        <w:spacing w:line="520" w:lineRule="exact"/>
        <w:ind w:firstLine="482"/>
        <w:jc w:val="left"/>
        <w:rPr>
          <w:rFonts w:hint="eastAsia"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6.2 委托人引起的周期延误</w:t>
      </w:r>
    </w:p>
    <w:p w14:paraId="43B4FC38">
      <w:pPr>
        <w:pStyle w:val="33"/>
        <w:spacing w:after="0" w:line="520" w:lineRule="exact"/>
        <w:ind w:firstLine="480" w:firstLineChars="20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在履行合同过程中，由于委托人的下列原因造成</w:t>
      </w:r>
      <w:r>
        <w:rPr>
          <w:rFonts w:hint="eastAsia" w:ascii="宋体" w:hAnsi="宋体"/>
          <w:color w:val="000000" w:themeColor="text1"/>
          <w:sz w:val="24"/>
          <w:highlight w:val="none"/>
          <w14:textFill>
            <w14:solidFill>
              <w14:schemeClr w14:val="tx1"/>
            </w14:solidFill>
          </w14:textFill>
        </w:rPr>
        <w:t>咨询服务</w:t>
      </w:r>
      <w:r>
        <w:rPr>
          <w:rFonts w:ascii="宋体" w:hAnsi="宋体"/>
          <w:color w:val="000000" w:themeColor="text1"/>
          <w:sz w:val="24"/>
          <w:highlight w:val="none"/>
          <w14:textFill>
            <w14:solidFill>
              <w14:schemeClr w14:val="tx1"/>
            </w14:solidFill>
          </w14:textFill>
        </w:rPr>
        <w:t>期限延误的，委托人应当延长</w:t>
      </w:r>
      <w:r>
        <w:rPr>
          <w:rFonts w:hint="eastAsia" w:ascii="宋体" w:hAnsi="宋体"/>
          <w:color w:val="000000" w:themeColor="text1"/>
          <w:sz w:val="24"/>
          <w:highlight w:val="none"/>
          <w14:textFill>
            <w14:solidFill>
              <w14:schemeClr w14:val="tx1"/>
            </w14:solidFill>
          </w14:textFill>
        </w:rPr>
        <w:t>咨询服务</w:t>
      </w:r>
      <w:r>
        <w:rPr>
          <w:rFonts w:ascii="宋体" w:hAnsi="宋体"/>
          <w:color w:val="000000" w:themeColor="text1"/>
          <w:sz w:val="24"/>
          <w:highlight w:val="none"/>
          <w14:textFill>
            <w14:solidFill>
              <w14:schemeClr w14:val="tx1"/>
            </w14:solidFill>
          </w14:textFill>
        </w:rPr>
        <w:t>期限并增加</w:t>
      </w:r>
      <w:r>
        <w:rPr>
          <w:rFonts w:hint="eastAsia" w:ascii="宋体" w:hAnsi="宋体"/>
          <w:color w:val="000000" w:themeColor="text1"/>
          <w:sz w:val="24"/>
          <w:highlight w:val="none"/>
          <w14:textFill>
            <w14:solidFill>
              <w14:schemeClr w14:val="tx1"/>
            </w14:solidFill>
          </w14:textFill>
        </w:rPr>
        <w:t>咨询服务</w:t>
      </w:r>
      <w:r>
        <w:rPr>
          <w:rFonts w:ascii="宋体" w:hAnsi="宋体"/>
          <w:color w:val="000000" w:themeColor="text1"/>
          <w:sz w:val="24"/>
          <w:highlight w:val="none"/>
          <w14:textFill>
            <w14:solidFill>
              <w14:schemeClr w14:val="tx1"/>
            </w14:solidFill>
          </w14:textFill>
        </w:rPr>
        <w:t>费用，具体方法在专用合同条款中约定。</w:t>
      </w:r>
    </w:p>
    <w:p w14:paraId="5CB85D23">
      <w:pPr>
        <w:pStyle w:val="701"/>
        <w:tabs>
          <w:tab w:val="left" w:pos="1511"/>
        </w:tabs>
        <w:autoSpaceDE w:val="0"/>
        <w:autoSpaceDN w:val="0"/>
        <w:spacing w:line="520" w:lineRule="exact"/>
        <w:ind w:firstLine="48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（1）合同变更；</w:t>
      </w:r>
    </w:p>
    <w:p w14:paraId="4D93C9D9">
      <w:pPr>
        <w:pStyle w:val="701"/>
        <w:tabs>
          <w:tab w:val="left" w:pos="1511"/>
        </w:tabs>
        <w:autoSpaceDE w:val="0"/>
        <w:autoSpaceDN w:val="0"/>
        <w:spacing w:line="520" w:lineRule="exact"/>
        <w:ind w:firstLine="48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（2）未按合同约定期限及时答复咨询服务事项；</w:t>
      </w:r>
    </w:p>
    <w:p w14:paraId="65C736AF">
      <w:pPr>
        <w:pStyle w:val="701"/>
        <w:tabs>
          <w:tab w:val="left" w:pos="1511"/>
        </w:tabs>
        <w:autoSpaceDE w:val="0"/>
        <w:autoSpaceDN w:val="0"/>
        <w:spacing w:line="520" w:lineRule="exact"/>
        <w:ind w:firstLine="48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（3）因委托人原因导致的暂停咨询服务；</w:t>
      </w:r>
    </w:p>
    <w:p w14:paraId="702DE452">
      <w:pPr>
        <w:pStyle w:val="701"/>
        <w:tabs>
          <w:tab w:val="left" w:pos="1511"/>
        </w:tabs>
        <w:autoSpaceDE w:val="0"/>
        <w:autoSpaceDN w:val="0"/>
        <w:spacing w:line="520" w:lineRule="exact"/>
        <w:ind w:firstLine="48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（4）未按合同约定及时支付咨询服务费用；</w:t>
      </w:r>
    </w:p>
    <w:p w14:paraId="1B6E4E38">
      <w:pPr>
        <w:pStyle w:val="701"/>
        <w:tabs>
          <w:tab w:val="left" w:pos="1511"/>
        </w:tabs>
        <w:autoSpaceDE w:val="0"/>
        <w:autoSpaceDN w:val="0"/>
        <w:spacing w:line="520" w:lineRule="exact"/>
        <w:ind w:firstLine="48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（5）委托人提供的基准资料错误；</w:t>
      </w:r>
    </w:p>
    <w:p w14:paraId="180BC106">
      <w:pPr>
        <w:pStyle w:val="701"/>
        <w:tabs>
          <w:tab w:val="left" w:pos="1511"/>
        </w:tabs>
        <w:autoSpaceDE w:val="0"/>
        <w:autoSpaceDN w:val="0"/>
        <w:spacing w:line="520" w:lineRule="exact"/>
        <w:ind w:firstLine="48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（6）未及时按照履行合同约定的相关义务；</w:t>
      </w:r>
    </w:p>
    <w:p w14:paraId="1A51D56B">
      <w:pPr>
        <w:pStyle w:val="701"/>
        <w:tabs>
          <w:tab w:val="left" w:pos="1511"/>
        </w:tabs>
        <w:autoSpaceDE w:val="0"/>
        <w:autoSpaceDN w:val="0"/>
        <w:spacing w:line="520" w:lineRule="exact"/>
        <w:ind w:firstLine="48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（7）未能按照合同约定期限对咨询服务成果文件进行审查；</w:t>
      </w:r>
    </w:p>
    <w:p w14:paraId="08C0F1C0">
      <w:pPr>
        <w:pStyle w:val="701"/>
        <w:tabs>
          <w:tab w:val="left" w:pos="1511"/>
        </w:tabs>
        <w:autoSpaceDE w:val="0"/>
        <w:autoSpaceDN w:val="0"/>
        <w:spacing w:line="520" w:lineRule="exact"/>
        <w:ind w:firstLine="48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（8）委托人造成周期延误的其他原因。</w:t>
      </w:r>
    </w:p>
    <w:p w14:paraId="710EB845">
      <w:pPr>
        <w:pStyle w:val="701"/>
        <w:tabs>
          <w:tab w:val="left" w:pos="1082"/>
        </w:tabs>
        <w:autoSpaceDE w:val="0"/>
        <w:autoSpaceDN w:val="0"/>
        <w:spacing w:line="520" w:lineRule="exact"/>
        <w:ind w:firstLine="482"/>
        <w:jc w:val="left"/>
        <w:rPr>
          <w:rFonts w:hint="eastAsia"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 xml:space="preserve">6.3 </w:t>
      </w:r>
      <w:r>
        <w:rPr>
          <w:rFonts w:ascii="宋体" w:hAnsi="宋体"/>
          <w:b/>
          <w:bCs/>
          <w:color w:val="000000" w:themeColor="text1"/>
          <w:sz w:val="24"/>
          <w:highlight w:val="none"/>
          <w14:textFill>
            <w14:solidFill>
              <w14:schemeClr w14:val="tx1"/>
            </w14:solidFill>
          </w14:textFill>
        </w:rPr>
        <w:t>咨询人</w:t>
      </w:r>
      <w:r>
        <w:rPr>
          <w:rFonts w:ascii="宋体" w:hAnsi="宋体"/>
          <w:b/>
          <w:color w:val="000000" w:themeColor="text1"/>
          <w:sz w:val="24"/>
          <w:highlight w:val="none"/>
          <w14:textFill>
            <w14:solidFill>
              <w14:schemeClr w14:val="tx1"/>
            </w14:solidFill>
          </w14:textFill>
        </w:rPr>
        <w:t>引起的周期延误</w:t>
      </w:r>
    </w:p>
    <w:p w14:paraId="4ADB4DB8">
      <w:pPr>
        <w:pStyle w:val="33"/>
        <w:spacing w:after="0" w:line="520" w:lineRule="exact"/>
        <w:ind w:firstLine="480" w:firstLineChars="20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由于</w:t>
      </w:r>
      <w:r>
        <w:rPr>
          <w:rFonts w:hint="eastAsia" w:ascii="宋体" w:hAnsi="宋体"/>
          <w:color w:val="000000" w:themeColor="text1"/>
          <w:sz w:val="24"/>
          <w:highlight w:val="none"/>
          <w14:textFill>
            <w14:solidFill>
              <w14:schemeClr w14:val="tx1"/>
            </w14:solidFill>
          </w14:textFill>
        </w:rPr>
        <w:t>咨询人</w:t>
      </w:r>
      <w:r>
        <w:rPr>
          <w:rFonts w:ascii="宋体" w:hAnsi="宋体"/>
          <w:color w:val="000000" w:themeColor="text1"/>
          <w:sz w:val="24"/>
          <w:highlight w:val="none"/>
          <w14:textFill>
            <w14:solidFill>
              <w14:schemeClr w14:val="tx1"/>
            </w14:solidFill>
          </w14:textFill>
        </w:rPr>
        <w:t>原因造成周期延误，</w:t>
      </w:r>
      <w:r>
        <w:rPr>
          <w:rFonts w:hint="eastAsia" w:ascii="宋体" w:hAnsi="宋体"/>
          <w:color w:val="000000" w:themeColor="text1"/>
          <w:sz w:val="24"/>
          <w:highlight w:val="none"/>
          <w14:textFill>
            <w14:solidFill>
              <w14:schemeClr w14:val="tx1"/>
            </w14:solidFill>
          </w14:textFill>
        </w:rPr>
        <w:t>咨询人</w:t>
      </w:r>
      <w:r>
        <w:rPr>
          <w:rFonts w:ascii="宋体" w:hAnsi="宋体"/>
          <w:color w:val="000000" w:themeColor="text1"/>
          <w:sz w:val="24"/>
          <w:highlight w:val="none"/>
          <w14:textFill>
            <w14:solidFill>
              <w14:schemeClr w14:val="tx1"/>
            </w14:solidFill>
          </w14:textFill>
        </w:rPr>
        <w:t>应支付逾期违约金。逾期违约金的计算方法和最高限额在专用合同条款中约定。</w:t>
      </w:r>
    </w:p>
    <w:p w14:paraId="0DA28D67">
      <w:pPr>
        <w:pStyle w:val="701"/>
        <w:tabs>
          <w:tab w:val="left" w:pos="1082"/>
        </w:tabs>
        <w:autoSpaceDE w:val="0"/>
        <w:autoSpaceDN w:val="0"/>
        <w:spacing w:line="520" w:lineRule="exact"/>
        <w:ind w:firstLine="482"/>
        <w:jc w:val="left"/>
        <w:rPr>
          <w:rFonts w:hint="eastAsia"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6.4 第三人引起的周期延误</w:t>
      </w:r>
    </w:p>
    <w:p w14:paraId="6E56BD85">
      <w:pPr>
        <w:pStyle w:val="33"/>
        <w:spacing w:after="0" w:line="520" w:lineRule="exact"/>
        <w:ind w:firstLine="480" w:firstLineChars="20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由于行政管理部门审查或其他第三人原因造成费用增加和（或）周期延误的，由委托人承担。</w:t>
      </w:r>
    </w:p>
    <w:p w14:paraId="05A8E507">
      <w:pPr>
        <w:pStyle w:val="701"/>
        <w:tabs>
          <w:tab w:val="left" w:pos="1082"/>
        </w:tabs>
        <w:autoSpaceDE w:val="0"/>
        <w:autoSpaceDN w:val="0"/>
        <w:spacing w:line="520" w:lineRule="exact"/>
        <w:ind w:firstLine="482"/>
        <w:jc w:val="left"/>
        <w:rPr>
          <w:rFonts w:hint="eastAsia"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6.5 完成咨询服务</w:t>
      </w:r>
    </w:p>
    <w:p w14:paraId="654A1296">
      <w:pPr>
        <w:pStyle w:val="701"/>
        <w:tabs>
          <w:tab w:val="left" w:pos="1510"/>
        </w:tabs>
        <w:autoSpaceDE w:val="0"/>
        <w:autoSpaceDN w:val="0"/>
        <w:spacing w:line="520" w:lineRule="exact"/>
        <w:ind w:firstLine="480"/>
        <w:jc w:val="left"/>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6.5.1 咨询人完成咨询服务之后，应当根据法律、规范标准、合同约定和委托人要求提交咨询服务成果文件。</w:t>
      </w:r>
    </w:p>
    <w:p w14:paraId="1788AA36">
      <w:pPr>
        <w:pStyle w:val="701"/>
        <w:tabs>
          <w:tab w:val="left" w:pos="1510"/>
        </w:tabs>
        <w:autoSpaceDE w:val="0"/>
        <w:autoSpaceDN w:val="0"/>
        <w:spacing w:line="520" w:lineRule="exact"/>
        <w:ind w:firstLine="480"/>
        <w:jc w:val="left"/>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6.5.2 咨询服务成果文件是工程咨询服务的最终成果之一，应当根据本工程的咨询服务内容和不同阶段的咨询服务任务、目的和要求等进行编制。</w:t>
      </w:r>
    </w:p>
    <w:p w14:paraId="40E79A49">
      <w:pPr>
        <w:pStyle w:val="701"/>
        <w:tabs>
          <w:tab w:val="left" w:pos="1510"/>
        </w:tabs>
        <w:autoSpaceDE w:val="0"/>
        <w:autoSpaceDN w:val="0"/>
        <w:spacing w:line="520" w:lineRule="exact"/>
        <w:ind w:firstLine="480"/>
        <w:jc w:val="left"/>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6.5.3 除专用合同条款另有约定外，咨询服务成果文件包括纸质文件和电子文件两种形式，内容应当一致。两者若有不一致时，应以纸质文件为准。纸质文件一式八份，应当加盖单位章和项目负责人注册执业印章；电子文件中的文字为 WORD 格式、图形为 CAD、JPG 等格式，并应使用光盘和 U 盘分别贮存。</w:t>
      </w:r>
    </w:p>
    <w:p w14:paraId="44D5EE89">
      <w:pPr>
        <w:pStyle w:val="701"/>
        <w:tabs>
          <w:tab w:val="left" w:pos="1082"/>
        </w:tabs>
        <w:autoSpaceDE w:val="0"/>
        <w:autoSpaceDN w:val="0"/>
        <w:spacing w:line="520" w:lineRule="exact"/>
        <w:ind w:firstLine="482"/>
        <w:jc w:val="left"/>
        <w:rPr>
          <w:rFonts w:hint="eastAsia"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6.6 提前完成咨询服务</w:t>
      </w:r>
    </w:p>
    <w:p w14:paraId="07561066">
      <w:pPr>
        <w:pStyle w:val="701"/>
        <w:tabs>
          <w:tab w:val="left" w:pos="1510"/>
        </w:tabs>
        <w:autoSpaceDE w:val="0"/>
        <w:autoSpaceDN w:val="0"/>
        <w:spacing w:line="520" w:lineRule="exact"/>
        <w:ind w:firstLine="480"/>
        <w:jc w:val="left"/>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6.6.1 根据委托人要求或者基于专业能力判断，咨询人认为能够提前完成咨询服务的，可向委托人递交一份提前完成咨询服务建议书，包括实施方案、提前时间、咨询服务费用变动等内容。除专用合同条款另有约定之外，委托人接受建议书的，不因提前完成咨询服务而减少咨询服务费用；增加咨询服务费用的，所增费用由委托人承担。</w:t>
      </w:r>
    </w:p>
    <w:p w14:paraId="07E7514A">
      <w:pPr>
        <w:pStyle w:val="701"/>
        <w:tabs>
          <w:tab w:val="left" w:pos="1510"/>
        </w:tabs>
        <w:autoSpaceDE w:val="0"/>
        <w:autoSpaceDN w:val="0"/>
        <w:spacing w:line="520" w:lineRule="exact"/>
        <w:ind w:firstLine="480"/>
        <w:jc w:val="left"/>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6.6.2 委托人要求提前完成咨询服务但咨询人认为无法实施的，应在收到委托人书面指示后7天内提出书面异议，说明不能提前完成的理由。委托人应在收到异议后7天内予以答复。任何情况下，委托人不得压缩合理的咨询服务期限。</w:t>
      </w:r>
    </w:p>
    <w:p w14:paraId="6CF67214">
      <w:pPr>
        <w:pStyle w:val="701"/>
        <w:tabs>
          <w:tab w:val="left" w:pos="1510"/>
        </w:tabs>
        <w:autoSpaceDE w:val="0"/>
        <w:autoSpaceDN w:val="0"/>
        <w:spacing w:line="520" w:lineRule="exact"/>
        <w:ind w:firstLine="480"/>
        <w:jc w:val="left"/>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6.6.3 由于咨询人提前完成咨询服务而给委托人带来经济效益的，委托人可以在专用合同条款中约定咨询人因此获得的奖励内容。</w:t>
      </w:r>
    </w:p>
    <w:p w14:paraId="6FCA0BB0">
      <w:pPr>
        <w:pStyle w:val="723"/>
        <w:spacing w:line="520" w:lineRule="exact"/>
        <w:ind w:firstLine="482"/>
        <w:outlineLvl w:val="1"/>
        <w:rPr>
          <w:rFonts w:ascii="宋体" w:hAnsi="宋体" w:eastAsia="宋体"/>
          <w:b w:val="0"/>
          <w:bCs/>
          <w:color w:val="000000" w:themeColor="text1"/>
          <w:szCs w:val="24"/>
          <w:highlight w:val="none"/>
          <w14:textFill>
            <w14:solidFill>
              <w14:schemeClr w14:val="tx1"/>
            </w14:solidFill>
          </w14:textFill>
        </w:rPr>
      </w:pPr>
      <w:bookmarkStart w:id="44" w:name="_Toc161231749"/>
      <w:bookmarkStart w:id="45" w:name="_Toc156986237"/>
      <w:r>
        <w:rPr>
          <w:rFonts w:ascii="宋体" w:hAnsi="宋体" w:eastAsia="宋体"/>
          <w:bCs/>
          <w:color w:val="000000" w:themeColor="text1"/>
          <w:szCs w:val="24"/>
          <w:highlight w:val="none"/>
          <w14:textFill>
            <w14:solidFill>
              <w14:schemeClr w14:val="tx1"/>
            </w14:solidFill>
          </w14:textFill>
        </w:rPr>
        <w:t>7.暂停咨询服务</w:t>
      </w:r>
      <w:bookmarkEnd w:id="44"/>
      <w:bookmarkEnd w:id="45"/>
    </w:p>
    <w:p w14:paraId="0BC0D4E1">
      <w:pPr>
        <w:pStyle w:val="701"/>
        <w:tabs>
          <w:tab w:val="left" w:pos="1082"/>
        </w:tabs>
        <w:autoSpaceDE w:val="0"/>
        <w:autoSpaceDN w:val="0"/>
        <w:spacing w:line="520" w:lineRule="exact"/>
        <w:ind w:firstLine="482"/>
        <w:jc w:val="left"/>
        <w:rPr>
          <w:rFonts w:hint="eastAsia"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7.1 委托人原因暂停咨询服务</w:t>
      </w:r>
    </w:p>
    <w:p w14:paraId="66FD86A8">
      <w:pPr>
        <w:pStyle w:val="33"/>
        <w:spacing w:after="0" w:line="520" w:lineRule="exact"/>
        <w:ind w:firstLine="480" w:firstLineChars="20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合同履行中发生下列情形之一的，</w:t>
      </w:r>
      <w:r>
        <w:rPr>
          <w:rFonts w:hint="eastAsia" w:ascii="宋体" w:hAnsi="宋体"/>
          <w:color w:val="000000" w:themeColor="text1"/>
          <w:sz w:val="24"/>
          <w:highlight w:val="none"/>
          <w14:textFill>
            <w14:solidFill>
              <w14:schemeClr w14:val="tx1"/>
            </w14:solidFill>
          </w14:textFill>
        </w:rPr>
        <w:t>咨询人</w:t>
      </w:r>
      <w:r>
        <w:rPr>
          <w:rFonts w:ascii="宋体" w:hAnsi="宋体"/>
          <w:color w:val="000000" w:themeColor="text1"/>
          <w:sz w:val="24"/>
          <w:highlight w:val="none"/>
          <w14:textFill>
            <w14:solidFill>
              <w14:schemeClr w14:val="tx1"/>
            </w14:solidFill>
          </w14:textFill>
        </w:rPr>
        <w:t>可向委托人发出通知，要求委托人采取有效措施予以纠正。委托人收到</w:t>
      </w:r>
      <w:r>
        <w:rPr>
          <w:rFonts w:hint="eastAsia" w:ascii="宋体" w:hAnsi="宋体"/>
          <w:color w:val="000000" w:themeColor="text1"/>
          <w:sz w:val="24"/>
          <w:highlight w:val="none"/>
          <w14:textFill>
            <w14:solidFill>
              <w14:schemeClr w14:val="tx1"/>
            </w14:solidFill>
          </w14:textFill>
        </w:rPr>
        <w:t>咨询人</w:t>
      </w:r>
      <w:r>
        <w:rPr>
          <w:rFonts w:ascii="宋体" w:hAnsi="宋体"/>
          <w:color w:val="000000" w:themeColor="text1"/>
          <w:sz w:val="24"/>
          <w:highlight w:val="none"/>
          <w14:textFill>
            <w14:solidFill>
              <w14:schemeClr w14:val="tx1"/>
            </w14:solidFill>
          </w14:textFill>
        </w:rPr>
        <w:t>通知后的28天内仍不履行合同义务时，</w:t>
      </w:r>
      <w:r>
        <w:rPr>
          <w:rFonts w:hint="eastAsia" w:ascii="宋体" w:hAnsi="宋体"/>
          <w:color w:val="000000" w:themeColor="text1"/>
          <w:sz w:val="24"/>
          <w:highlight w:val="none"/>
          <w14:textFill>
            <w14:solidFill>
              <w14:schemeClr w14:val="tx1"/>
            </w14:solidFill>
          </w14:textFill>
        </w:rPr>
        <w:t>咨询人</w:t>
      </w:r>
      <w:r>
        <w:rPr>
          <w:rFonts w:ascii="宋体" w:hAnsi="宋体"/>
          <w:color w:val="000000" w:themeColor="text1"/>
          <w:sz w:val="24"/>
          <w:highlight w:val="none"/>
          <w14:textFill>
            <w14:solidFill>
              <w14:schemeClr w14:val="tx1"/>
            </w14:solidFill>
          </w14:textFill>
        </w:rPr>
        <w:t>有权暂停</w:t>
      </w:r>
      <w:r>
        <w:rPr>
          <w:rFonts w:hint="eastAsia" w:ascii="宋体" w:hAnsi="宋体"/>
          <w:color w:val="000000" w:themeColor="text1"/>
          <w:sz w:val="24"/>
          <w:highlight w:val="none"/>
          <w14:textFill>
            <w14:solidFill>
              <w14:schemeClr w14:val="tx1"/>
            </w14:solidFill>
          </w14:textFill>
        </w:rPr>
        <w:t>咨询服务</w:t>
      </w:r>
      <w:r>
        <w:rPr>
          <w:rFonts w:ascii="宋体" w:hAnsi="宋体"/>
          <w:color w:val="000000" w:themeColor="text1"/>
          <w:sz w:val="24"/>
          <w:highlight w:val="none"/>
          <w14:textFill>
            <w14:solidFill>
              <w14:schemeClr w14:val="tx1"/>
            </w14:solidFill>
          </w14:textFill>
        </w:rPr>
        <w:t>并通知委托人；委托人应承担由此导致的费用增加和（或）周期延误。</w:t>
      </w:r>
    </w:p>
    <w:p w14:paraId="172B75AD">
      <w:pPr>
        <w:pStyle w:val="701"/>
        <w:tabs>
          <w:tab w:val="left" w:pos="1511"/>
        </w:tabs>
        <w:autoSpaceDE w:val="0"/>
        <w:autoSpaceDN w:val="0"/>
        <w:spacing w:line="520" w:lineRule="exact"/>
        <w:ind w:firstLine="48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（1）委托人违约；</w:t>
      </w:r>
    </w:p>
    <w:p w14:paraId="7D4A6784">
      <w:pPr>
        <w:pStyle w:val="701"/>
        <w:tabs>
          <w:tab w:val="left" w:pos="1511"/>
        </w:tabs>
        <w:autoSpaceDE w:val="0"/>
        <w:autoSpaceDN w:val="0"/>
        <w:spacing w:line="520" w:lineRule="exact"/>
        <w:ind w:firstLine="48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（2）委托人确定暂停咨询服务；</w:t>
      </w:r>
    </w:p>
    <w:p w14:paraId="2F8AAB6C">
      <w:pPr>
        <w:pStyle w:val="701"/>
        <w:tabs>
          <w:tab w:val="left" w:pos="1511"/>
        </w:tabs>
        <w:autoSpaceDE w:val="0"/>
        <w:autoSpaceDN w:val="0"/>
        <w:spacing w:line="520" w:lineRule="exact"/>
        <w:ind w:firstLine="48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（3）合同约定由委托人承担责任的其他情形。</w:t>
      </w:r>
    </w:p>
    <w:p w14:paraId="7EB5949D">
      <w:pPr>
        <w:pStyle w:val="701"/>
        <w:tabs>
          <w:tab w:val="left" w:pos="1082"/>
        </w:tabs>
        <w:autoSpaceDE w:val="0"/>
        <w:autoSpaceDN w:val="0"/>
        <w:spacing w:line="520" w:lineRule="exact"/>
        <w:ind w:firstLine="482"/>
        <w:jc w:val="left"/>
        <w:rPr>
          <w:rFonts w:hint="eastAsia"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7.2 咨询人原因暂停咨询服务</w:t>
      </w:r>
    </w:p>
    <w:p w14:paraId="33C32340">
      <w:pPr>
        <w:pStyle w:val="33"/>
        <w:spacing w:after="0" w:line="520" w:lineRule="exact"/>
        <w:ind w:firstLine="480" w:firstLineChars="20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合同履行中发生下列情形之一的，委托人可向</w:t>
      </w:r>
      <w:r>
        <w:rPr>
          <w:rFonts w:hint="eastAsia" w:ascii="宋体" w:hAnsi="宋体"/>
          <w:color w:val="000000" w:themeColor="text1"/>
          <w:sz w:val="24"/>
          <w:highlight w:val="none"/>
          <w14:textFill>
            <w14:solidFill>
              <w14:schemeClr w14:val="tx1"/>
            </w14:solidFill>
          </w14:textFill>
        </w:rPr>
        <w:t>咨询人</w:t>
      </w:r>
      <w:r>
        <w:rPr>
          <w:rFonts w:ascii="宋体" w:hAnsi="宋体"/>
          <w:color w:val="000000" w:themeColor="text1"/>
          <w:sz w:val="24"/>
          <w:highlight w:val="none"/>
          <w14:textFill>
            <w14:solidFill>
              <w14:schemeClr w14:val="tx1"/>
            </w14:solidFill>
          </w14:textFill>
        </w:rPr>
        <w:t>发出通知暂停</w:t>
      </w:r>
      <w:r>
        <w:rPr>
          <w:rFonts w:hint="eastAsia" w:ascii="宋体" w:hAnsi="宋体"/>
          <w:color w:val="000000" w:themeColor="text1"/>
          <w:sz w:val="24"/>
          <w:highlight w:val="none"/>
          <w14:textFill>
            <w14:solidFill>
              <w14:schemeClr w14:val="tx1"/>
            </w14:solidFill>
          </w14:textFill>
        </w:rPr>
        <w:t>咨询服务</w:t>
      </w:r>
      <w:r>
        <w:rPr>
          <w:rFonts w:ascii="宋体" w:hAnsi="宋体"/>
          <w:color w:val="000000" w:themeColor="text1"/>
          <w:sz w:val="24"/>
          <w:highlight w:val="none"/>
          <w14:textFill>
            <w14:solidFill>
              <w14:schemeClr w14:val="tx1"/>
            </w14:solidFill>
          </w14:textFill>
        </w:rPr>
        <w:t>，由此造成费用的增加和（或）周期延误由</w:t>
      </w:r>
      <w:r>
        <w:rPr>
          <w:rFonts w:hint="eastAsia" w:ascii="宋体" w:hAnsi="宋体"/>
          <w:color w:val="000000" w:themeColor="text1"/>
          <w:sz w:val="24"/>
          <w:highlight w:val="none"/>
          <w14:textFill>
            <w14:solidFill>
              <w14:schemeClr w14:val="tx1"/>
            </w14:solidFill>
          </w14:textFill>
        </w:rPr>
        <w:t>咨询人</w:t>
      </w:r>
      <w:r>
        <w:rPr>
          <w:rFonts w:ascii="宋体" w:hAnsi="宋体"/>
          <w:color w:val="000000" w:themeColor="text1"/>
          <w:sz w:val="24"/>
          <w:highlight w:val="none"/>
          <w14:textFill>
            <w14:solidFill>
              <w14:schemeClr w14:val="tx1"/>
            </w14:solidFill>
          </w14:textFill>
        </w:rPr>
        <w:t>承担：</w:t>
      </w:r>
    </w:p>
    <w:p w14:paraId="40CB6147">
      <w:pPr>
        <w:pStyle w:val="701"/>
        <w:tabs>
          <w:tab w:val="left" w:pos="1511"/>
        </w:tabs>
        <w:autoSpaceDE w:val="0"/>
        <w:autoSpaceDN w:val="0"/>
        <w:spacing w:line="520" w:lineRule="exact"/>
        <w:ind w:firstLine="48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（1）咨询人违约；</w:t>
      </w:r>
    </w:p>
    <w:p w14:paraId="311D63C0">
      <w:pPr>
        <w:pStyle w:val="701"/>
        <w:tabs>
          <w:tab w:val="left" w:pos="1511"/>
        </w:tabs>
        <w:autoSpaceDE w:val="0"/>
        <w:autoSpaceDN w:val="0"/>
        <w:spacing w:line="520" w:lineRule="exact"/>
        <w:ind w:firstLine="48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（2）咨询人擅自暂停咨询服务；</w:t>
      </w:r>
    </w:p>
    <w:p w14:paraId="1C07FE46">
      <w:pPr>
        <w:pStyle w:val="701"/>
        <w:tabs>
          <w:tab w:val="left" w:pos="1511"/>
        </w:tabs>
        <w:autoSpaceDE w:val="0"/>
        <w:autoSpaceDN w:val="0"/>
        <w:spacing w:line="520" w:lineRule="exact"/>
        <w:ind w:firstLine="48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（3）合同约定由咨询人承担责任的其他情形。</w:t>
      </w:r>
    </w:p>
    <w:p w14:paraId="368E7D11">
      <w:pPr>
        <w:pStyle w:val="701"/>
        <w:tabs>
          <w:tab w:val="left" w:pos="1082"/>
        </w:tabs>
        <w:autoSpaceDE w:val="0"/>
        <w:autoSpaceDN w:val="0"/>
        <w:spacing w:line="520" w:lineRule="exact"/>
        <w:ind w:firstLine="482"/>
        <w:jc w:val="left"/>
        <w:rPr>
          <w:rFonts w:hint="eastAsia"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7.3 暂停期间的文件照管</w:t>
      </w:r>
    </w:p>
    <w:p w14:paraId="2BC9CE8D">
      <w:pPr>
        <w:pStyle w:val="33"/>
        <w:spacing w:after="0" w:line="520" w:lineRule="exact"/>
        <w:ind w:firstLine="480" w:firstLineChars="20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不论由于何种原因引起暂停</w:t>
      </w:r>
      <w:r>
        <w:rPr>
          <w:rFonts w:hint="eastAsia" w:ascii="宋体" w:hAnsi="宋体"/>
          <w:color w:val="000000" w:themeColor="text1"/>
          <w:sz w:val="24"/>
          <w:highlight w:val="none"/>
          <w14:textFill>
            <w14:solidFill>
              <w14:schemeClr w14:val="tx1"/>
            </w14:solidFill>
          </w14:textFill>
        </w:rPr>
        <w:t>咨询服务</w:t>
      </w:r>
      <w:r>
        <w:rPr>
          <w:rFonts w:ascii="宋体" w:hAnsi="宋体"/>
          <w:color w:val="000000" w:themeColor="text1"/>
          <w:sz w:val="24"/>
          <w:highlight w:val="none"/>
          <w14:textFill>
            <w14:solidFill>
              <w14:schemeClr w14:val="tx1"/>
            </w14:solidFill>
          </w14:textFill>
        </w:rPr>
        <w:t>的，暂停期间</w:t>
      </w:r>
      <w:r>
        <w:rPr>
          <w:rFonts w:hint="eastAsia" w:ascii="宋体" w:hAnsi="宋体"/>
          <w:color w:val="000000" w:themeColor="text1"/>
          <w:sz w:val="24"/>
          <w:highlight w:val="none"/>
          <w14:textFill>
            <w14:solidFill>
              <w14:schemeClr w14:val="tx1"/>
            </w14:solidFill>
          </w14:textFill>
        </w:rPr>
        <w:t>咨询人</w:t>
      </w:r>
      <w:r>
        <w:rPr>
          <w:rFonts w:ascii="宋体" w:hAnsi="宋体"/>
          <w:color w:val="000000" w:themeColor="text1"/>
          <w:sz w:val="24"/>
          <w:highlight w:val="none"/>
          <w14:textFill>
            <w14:solidFill>
              <w14:schemeClr w14:val="tx1"/>
            </w14:solidFill>
          </w14:textFill>
        </w:rPr>
        <w:t>应负责妥善保护已完部分的</w:t>
      </w:r>
      <w:r>
        <w:rPr>
          <w:rFonts w:hint="eastAsia" w:ascii="宋体" w:hAnsi="宋体"/>
          <w:color w:val="000000" w:themeColor="text1"/>
          <w:sz w:val="24"/>
          <w:highlight w:val="none"/>
          <w14:textFill>
            <w14:solidFill>
              <w14:schemeClr w14:val="tx1"/>
            </w14:solidFill>
          </w14:textFill>
        </w:rPr>
        <w:t>咨询服务</w:t>
      </w:r>
      <w:r>
        <w:rPr>
          <w:rFonts w:ascii="宋体" w:hAnsi="宋体"/>
          <w:color w:val="000000" w:themeColor="text1"/>
          <w:sz w:val="24"/>
          <w:highlight w:val="none"/>
          <w14:textFill>
            <w14:solidFill>
              <w14:schemeClr w14:val="tx1"/>
            </w14:solidFill>
          </w14:textFill>
        </w:rPr>
        <w:t>成果文件，由此增加的费用由责任方承担。</w:t>
      </w:r>
    </w:p>
    <w:p w14:paraId="6B5B942C">
      <w:pPr>
        <w:pStyle w:val="723"/>
        <w:spacing w:line="520" w:lineRule="exact"/>
        <w:ind w:firstLine="482"/>
        <w:outlineLvl w:val="1"/>
        <w:rPr>
          <w:rFonts w:ascii="宋体" w:hAnsi="宋体" w:eastAsia="宋体"/>
          <w:b w:val="0"/>
          <w:bCs/>
          <w:color w:val="000000" w:themeColor="text1"/>
          <w:szCs w:val="24"/>
          <w:highlight w:val="none"/>
          <w14:textFill>
            <w14:solidFill>
              <w14:schemeClr w14:val="tx1"/>
            </w14:solidFill>
          </w14:textFill>
        </w:rPr>
      </w:pPr>
      <w:bookmarkStart w:id="46" w:name="_Toc156986238"/>
      <w:bookmarkStart w:id="47" w:name="_Toc161231750"/>
      <w:r>
        <w:rPr>
          <w:rFonts w:ascii="宋体" w:hAnsi="宋体" w:eastAsia="宋体"/>
          <w:bCs/>
          <w:color w:val="000000" w:themeColor="text1"/>
          <w:szCs w:val="24"/>
          <w:highlight w:val="none"/>
          <w14:textFill>
            <w14:solidFill>
              <w14:schemeClr w14:val="tx1"/>
            </w14:solidFill>
          </w14:textFill>
        </w:rPr>
        <w:t>8.咨询服务成果文件</w:t>
      </w:r>
      <w:bookmarkEnd w:id="46"/>
      <w:bookmarkEnd w:id="47"/>
    </w:p>
    <w:p w14:paraId="61CA222B">
      <w:pPr>
        <w:pStyle w:val="701"/>
        <w:tabs>
          <w:tab w:val="left" w:pos="1082"/>
        </w:tabs>
        <w:autoSpaceDE w:val="0"/>
        <w:autoSpaceDN w:val="0"/>
        <w:spacing w:line="520" w:lineRule="exact"/>
        <w:ind w:firstLine="482"/>
        <w:jc w:val="left"/>
        <w:rPr>
          <w:rFonts w:hint="eastAsia"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8.1 咨询服务成果文件接收</w:t>
      </w:r>
    </w:p>
    <w:p w14:paraId="060C4263">
      <w:pPr>
        <w:pStyle w:val="701"/>
        <w:tabs>
          <w:tab w:val="left" w:pos="1510"/>
        </w:tabs>
        <w:autoSpaceDE w:val="0"/>
        <w:autoSpaceDN w:val="0"/>
        <w:spacing w:line="520" w:lineRule="exact"/>
        <w:ind w:firstLine="480"/>
        <w:jc w:val="left"/>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8.1.1 委托人应当及时接收咨询人提交的咨询服务成果文件。如无正当理由拒收的，视为委托人已经接收咨询服务成果文件。</w:t>
      </w:r>
    </w:p>
    <w:p w14:paraId="66B84041">
      <w:pPr>
        <w:pStyle w:val="701"/>
        <w:tabs>
          <w:tab w:val="left" w:pos="1447"/>
        </w:tabs>
        <w:autoSpaceDE w:val="0"/>
        <w:autoSpaceDN w:val="0"/>
        <w:spacing w:line="520" w:lineRule="exact"/>
        <w:ind w:firstLine="480"/>
        <w:jc w:val="left"/>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8.1.2 委托人接收咨询服务成果文件时，应向咨询人出具文件签收凭证。</w:t>
      </w:r>
    </w:p>
    <w:p w14:paraId="7DF37EF6">
      <w:pPr>
        <w:pStyle w:val="701"/>
        <w:tabs>
          <w:tab w:val="left" w:pos="1510"/>
        </w:tabs>
        <w:autoSpaceDE w:val="0"/>
        <w:autoSpaceDN w:val="0"/>
        <w:spacing w:line="520" w:lineRule="exact"/>
        <w:ind w:firstLine="480"/>
        <w:jc w:val="left"/>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8.1.3 咨询服务成果文件提交的份数、内容、纸幅、装订格式、电子文件要求，在专用合同条款中约定。</w:t>
      </w:r>
    </w:p>
    <w:p w14:paraId="670D29A1">
      <w:pPr>
        <w:pStyle w:val="701"/>
        <w:tabs>
          <w:tab w:val="left" w:pos="1082"/>
        </w:tabs>
        <w:autoSpaceDE w:val="0"/>
        <w:autoSpaceDN w:val="0"/>
        <w:spacing w:line="520" w:lineRule="exact"/>
        <w:ind w:firstLine="482"/>
        <w:jc w:val="left"/>
        <w:rPr>
          <w:rFonts w:hint="eastAsia" w:ascii="宋体" w:hAnsi="宋体"/>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8.2 委托人审查咨询服务成果文件</w:t>
      </w:r>
    </w:p>
    <w:p w14:paraId="19E7C4A7">
      <w:pPr>
        <w:pStyle w:val="701"/>
        <w:tabs>
          <w:tab w:val="left" w:pos="1507"/>
        </w:tabs>
        <w:autoSpaceDE w:val="0"/>
        <w:autoSpaceDN w:val="0"/>
        <w:spacing w:line="520" w:lineRule="exact"/>
        <w:ind w:firstLine="480"/>
        <w:jc w:val="left"/>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8.2.1 委托人接收咨询服务成果文件之后，可以自行或者组织专家会进行审查，咨询人应当给予配合。审查标准应当符合法律、规范标准、合同约定和委托人要求等；审查的具体范围、明细内容和费用分担，在专用合同条款中约定。</w:t>
      </w:r>
    </w:p>
    <w:p w14:paraId="2D423245">
      <w:pPr>
        <w:pStyle w:val="701"/>
        <w:tabs>
          <w:tab w:val="left" w:pos="1510"/>
        </w:tabs>
        <w:autoSpaceDE w:val="0"/>
        <w:autoSpaceDN w:val="0"/>
        <w:spacing w:line="520" w:lineRule="exact"/>
        <w:ind w:firstLine="480"/>
        <w:jc w:val="left"/>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8.2.2 除专用合同条款另有约定外，委托人对于咨询服务成果文件的审查期限，自文件接收之日起不应超过14天。委托人逾期未做出审查结论且未提出异议的，视为咨询人的咨询服务成果文件已经通过委托人审查。</w:t>
      </w:r>
    </w:p>
    <w:p w14:paraId="09ABACDF">
      <w:pPr>
        <w:pStyle w:val="701"/>
        <w:tabs>
          <w:tab w:val="left" w:pos="1510"/>
        </w:tabs>
        <w:autoSpaceDE w:val="0"/>
        <w:autoSpaceDN w:val="0"/>
        <w:spacing w:line="520" w:lineRule="exact"/>
        <w:ind w:firstLine="480"/>
        <w:jc w:val="left"/>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8.2.3 委托人审查后不同意咨询服务成果文件的，应以书面形式通知咨询人，说明审查不通过的理由及其具体内容。咨询人应根据委托人的审查意见修改完善咨询服务成果文件，并重新报送委托人审查，审查期限重新起算。</w:t>
      </w:r>
    </w:p>
    <w:p w14:paraId="03339C96">
      <w:pPr>
        <w:pStyle w:val="701"/>
        <w:tabs>
          <w:tab w:val="left" w:pos="1082"/>
        </w:tabs>
        <w:autoSpaceDE w:val="0"/>
        <w:autoSpaceDN w:val="0"/>
        <w:spacing w:line="520" w:lineRule="exact"/>
        <w:ind w:firstLine="482"/>
        <w:jc w:val="left"/>
        <w:rPr>
          <w:rFonts w:hint="eastAsia"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8.3 审查机构审查咨询服务成果文件</w:t>
      </w:r>
    </w:p>
    <w:p w14:paraId="7F093631">
      <w:pPr>
        <w:pStyle w:val="701"/>
        <w:tabs>
          <w:tab w:val="left" w:pos="1510"/>
        </w:tabs>
        <w:autoSpaceDE w:val="0"/>
        <w:autoSpaceDN w:val="0"/>
        <w:spacing w:line="520" w:lineRule="exact"/>
        <w:ind w:firstLine="480"/>
        <w:jc w:val="left"/>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8.3.1 咨询服务成果文件需经政府有关部门审查或批准的，委托人应在审查同意后，按照有关主管部门要求，将咨询服务成果文件和相关资料报送政府有关部门进行审查。委托人的审查和审查机构的审查不减免咨询人因为服务质量问题而应承担的咨询服务责任。</w:t>
      </w:r>
    </w:p>
    <w:p w14:paraId="6361A8F2">
      <w:pPr>
        <w:pStyle w:val="701"/>
        <w:tabs>
          <w:tab w:val="left" w:pos="1510"/>
        </w:tabs>
        <w:autoSpaceDE w:val="0"/>
        <w:autoSpaceDN w:val="0"/>
        <w:spacing w:line="520" w:lineRule="exact"/>
        <w:ind w:firstLine="480"/>
        <w:jc w:val="left"/>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8.3.2 对于审查机构的审查意见，如不需要修改委托人要求的，应由咨询人按照审查意见修改完善咨询服务成果文件，由此导致的费用增加和（或）周期延误由咨询人承担；如需修改委托人要求的，则由委托人重新修改和提出委托人要求，再由咨询人根据新的委托人要求修改完善咨询服务成果文件，由此导致的费用增加和（或）周期延误由委托人承担。</w:t>
      </w:r>
    </w:p>
    <w:p w14:paraId="5812C266">
      <w:pPr>
        <w:pStyle w:val="701"/>
        <w:tabs>
          <w:tab w:val="left" w:pos="1510"/>
        </w:tabs>
        <w:autoSpaceDE w:val="0"/>
        <w:autoSpaceDN w:val="0"/>
        <w:spacing w:line="520" w:lineRule="exact"/>
        <w:ind w:firstLine="480"/>
        <w:jc w:val="left"/>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8.3.3 由于自身原因造成咨询服务成果文件未通过审查机构审查的，咨询人应当承担违约责任，采取补救措施直至达到合同约定的质量标准，并自行承担由此导致的费用增加和（或）周期延误。</w:t>
      </w:r>
    </w:p>
    <w:p w14:paraId="12091897">
      <w:pPr>
        <w:pStyle w:val="723"/>
        <w:spacing w:line="520" w:lineRule="exact"/>
        <w:ind w:firstLine="482"/>
        <w:outlineLvl w:val="1"/>
        <w:rPr>
          <w:rFonts w:ascii="宋体" w:hAnsi="宋体" w:eastAsia="宋体"/>
          <w:b w:val="0"/>
          <w:bCs/>
          <w:color w:val="000000" w:themeColor="text1"/>
          <w:szCs w:val="24"/>
          <w:highlight w:val="none"/>
          <w14:textFill>
            <w14:solidFill>
              <w14:schemeClr w14:val="tx1"/>
            </w14:solidFill>
          </w14:textFill>
        </w:rPr>
      </w:pPr>
      <w:bookmarkStart w:id="48" w:name="_Toc156986239"/>
      <w:bookmarkStart w:id="49" w:name="_Toc161231751"/>
      <w:r>
        <w:rPr>
          <w:rFonts w:ascii="宋体" w:hAnsi="宋体" w:eastAsia="宋体"/>
          <w:bCs/>
          <w:color w:val="000000" w:themeColor="text1"/>
          <w:szCs w:val="24"/>
          <w:highlight w:val="none"/>
          <w14:textFill>
            <w14:solidFill>
              <w14:schemeClr w14:val="tx1"/>
            </w14:solidFill>
          </w14:textFill>
        </w:rPr>
        <w:t>9.咨询服务责任与保险</w:t>
      </w:r>
      <w:bookmarkEnd w:id="48"/>
      <w:bookmarkEnd w:id="49"/>
    </w:p>
    <w:p w14:paraId="37CD4360">
      <w:pPr>
        <w:pStyle w:val="701"/>
        <w:tabs>
          <w:tab w:val="left" w:pos="1082"/>
        </w:tabs>
        <w:autoSpaceDE w:val="0"/>
        <w:autoSpaceDN w:val="0"/>
        <w:spacing w:line="520" w:lineRule="exact"/>
        <w:ind w:firstLine="482"/>
        <w:jc w:val="left"/>
        <w:rPr>
          <w:rFonts w:hint="eastAsia"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9.1 工作质量责任</w:t>
      </w:r>
    </w:p>
    <w:p w14:paraId="6555012B">
      <w:pPr>
        <w:pStyle w:val="701"/>
        <w:tabs>
          <w:tab w:val="left" w:pos="1421"/>
        </w:tabs>
        <w:autoSpaceDE w:val="0"/>
        <w:autoSpaceDN w:val="0"/>
        <w:spacing w:line="520" w:lineRule="exact"/>
        <w:ind w:firstLine="480"/>
        <w:jc w:val="left"/>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9.1.1 咨询服务工作质量应满足法律规定、规范标准、合同约定和委托人要求等。</w:t>
      </w:r>
    </w:p>
    <w:p w14:paraId="62463CF1">
      <w:pPr>
        <w:pStyle w:val="701"/>
        <w:tabs>
          <w:tab w:val="left" w:pos="1483"/>
        </w:tabs>
        <w:autoSpaceDE w:val="0"/>
        <w:autoSpaceDN w:val="0"/>
        <w:spacing w:line="520" w:lineRule="exact"/>
        <w:ind w:firstLine="480"/>
        <w:jc w:val="left"/>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9.1.2 咨询人应做好咨询服务的质量与技术管理工作，加强咨询服务全过程的质量控制，建立完整的咨询服务成果文件的咨询服务、复核、审核、会签和批准制度，明确各阶段的责任人。</w:t>
      </w:r>
    </w:p>
    <w:p w14:paraId="55862D2D">
      <w:pPr>
        <w:pStyle w:val="701"/>
        <w:tabs>
          <w:tab w:val="left" w:pos="1510"/>
        </w:tabs>
        <w:autoSpaceDE w:val="0"/>
        <w:autoSpaceDN w:val="0"/>
        <w:spacing w:line="520" w:lineRule="exact"/>
        <w:ind w:firstLine="480"/>
        <w:jc w:val="left"/>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9.1.3 咨询人应按合同约定对咨询服务进行全过程的质量检查和检验，并作详细记录，编制咨询服务工作质量报表，报送委托人审查。</w:t>
      </w:r>
    </w:p>
    <w:p w14:paraId="4F7E98CE">
      <w:pPr>
        <w:pStyle w:val="701"/>
        <w:tabs>
          <w:tab w:val="left" w:pos="1510"/>
        </w:tabs>
        <w:autoSpaceDE w:val="0"/>
        <w:autoSpaceDN w:val="0"/>
        <w:spacing w:line="520" w:lineRule="exact"/>
        <w:ind w:firstLine="480"/>
        <w:jc w:val="left"/>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9.1.4 委托人有权对咨询服务工作质量进行检查和审核。咨询人应为委托人的检查和检验提供方便，包括委托人到咨询服务场地或合同约定的其他地方进行察看，查阅、审核咨询服务的原始记录和其他文件。委托人的检查和审核，不免除咨询人按合同约定应负的责任。</w:t>
      </w:r>
    </w:p>
    <w:p w14:paraId="509A22B3">
      <w:pPr>
        <w:pStyle w:val="701"/>
        <w:tabs>
          <w:tab w:val="left" w:pos="1082"/>
        </w:tabs>
        <w:autoSpaceDE w:val="0"/>
        <w:autoSpaceDN w:val="0"/>
        <w:spacing w:line="520" w:lineRule="exact"/>
        <w:ind w:firstLine="482"/>
        <w:jc w:val="left"/>
        <w:rPr>
          <w:rFonts w:hint="eastAsia"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 xml:space="preserve">9.2 </w:t>
      </w:r>
      <w:r>
        <w:rPr>
          <w:rFonts w:hint="eastAsia" w:ascii="宋体" w:hAnsi="宋体"/>
          <w:b/>
          <w:color w:val="000000" w:themeColor="text1"/>
          <w:sz w:val="24"/>
          <w:highlight w:val="none"/>
          <w14:textFill>
            <w14:solidFill>
              <w14:schemeClr w14:val="tx1"/>
            </w14:solidFill>
          </w14:textFill>
        </w:rPr>
        <w:t>咨询</w:t>
      </w:r>
      <w:r>
        <w:rPr>
          <w:rFonts w:ascii="宋体" w:hAnsi="宋体"/>
          <w:b/>
          <w:color w:val="000000" w:themeColor="text1"/>
          <w:sz w:val="24"/>
          <w:highlight w:val="none"/>
          <w14:textFill>
            <w14:solidFill>
              <w14:schemeClr w14:val="tx1"/>
            </w14:solidFill>
          </w14:textFill>
        </w:rPr>
        <w:t>成果文件错误责任</w:t>
      </w:r>
    </w:p>
    <w:p w14:paraId="19AB3BAE">
      <w:pPr>
        <w:pStyle w:val="701"/>
        <w:tabs>
          <w:tab w:val="left" w:pos="1447"/>
        </w:tabs>
        <w:autoSpaceDE w:val="0"/>
        <w:autoSpaceDN w:val="0"/>
        <w:spacing w:line="520" w:lineRule="exact"/>
        <w:ind w:firstLine="480"/>
        <w:jc w:val="left"/>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9.2.1 咨询服务成果文件存在错误、遗漏、含混、矛盾、不充分之处或其他缺陷，无论咨询人是否通过了委托人审查或审查机构审查，咨询人均应自费对前述问题带来的缺陷和工程问题进行改正，但因第1.6.2项约定由委托人提供的文件错误导致的除外。</w:t>
      </w:r>
    </w:p>
    <w:p w14:paraId="4EE39A71">
      <w:pPr>
        <w:pStyle w:val="701"/>
        <w:tabs>
          <w:tab w:val="left" w:pos="1510"/>
        </w:tabs>
        <w:autoSpaceDE w:val="0"/>
        <w:autoSpaceDN w:val="0"/>
        <w:spacing w:line="520" w:lineRule="exact"/>
        <w:ind w:firstLine="480"/>
        <w:jc w:val="left"/>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9.2.2 因咨询人原因造成咨询服务成果文件不合格的，委托人有权要求咨询人采取补救措施，直至达到合同要求的质量标准，并按第14.1款的约定承担责任。</w:t>
      </w:r>
    </w:p>
    <w:p w14:paraId="0BE96189">
      <w:pPr>
        <w:pStyle w:val="701"/>
        <w:tabs>
          <w:tab w:val="left" w:pos="1430"/>
        </w:tabs>
        <w:autoSpaceDE w:val="0"/>
        <w:autoSpaceDN w:val="0"/>
        <w:spacing w:line="520" w:lineRule="exact"/>
        <w:ind w:firstLine="480"/>
        <w:jc w:val="left"/>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9.2.3 因委托人原因造成咨询服务成果文件不合格的，咨询人应当采取补救措施，直至达到合同要求的质量标准，由此造成的咨询服务费用增加和（或）咨询服务期限延误由委托人承担。</w:t>
      </w:r>
    </w:p>
    <w:p w14:paraId="60FF4E4E">
      <w:pPr>
        <w:pStyle w:val="701"/>
        <w:tabs>
          <w:tab w:val="left" w:pos="1082"/>
        </w:tabs>
        <w:autoSpaceDE w:val="0"/>
        <w:autoSpaceDN w:val="0"/>
        <w:spacing w:line="520" w:lineRule="exact"/>
        <w:ind w:firstLine="482"/>
        <w:jc w:val="left"/>
        <w:rPr>
          <w:rFonts w:hint="eastAsia"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9.3 咨询责任主体</w:t>
      </w:r>
    </w:p>
    <w:p w14:paraId="0E04ECAB">
      <w:pPr>
        <w:pStyle w:val="33"/>
        <w:spacing w:after="0" w:line="52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咨询人</w:t>
      </w:r>
      <w:r>
        <w:rPr>
          <w:rFonts w:ascii="宋体" w:hAnsi="宋体"/>
          <w:color w:val="000000" w:themeColor="text1"/>
          <w:sz w:val="24"/>
          <w:highlight w:val="none"/>
          <w14:textFill>
            <w14:solidFill>
              <w14:schemeClr w14:val="tx1"/>
            </w14:solidFill>
          </w14:textFill>
        </w:rPr>
        <w:t>应运用一切合理的专业技术、知识技能和项目经验，按照职业道德准则和行业公认标准尽其全部职责，勤勉、谨慎、公正地履行其在本合同项下的责任和义务。</w:t>
      </w:r>
    </w:p>
    <w:p w14:paraId="36E74D80">
      <w:pPr>
        <w:pStyle w:val="701"/>
        <w:tabs>
          <w:tab w:val="left" w:pos="1082"/>
        </w:tabs>
        <w:autoSpaceDE w:val="0"/>
        <w:autoSpaceDN w:val="0"/>
        <w:spacing w:line="520" w:lineRule="exact"/>
        <w:ind w:firstLine="482"/>
        <w:jc w:val="left"/>
        <w:rPr>
          <w:rFonts w:hint="eastAsia"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9.4 咨询保险</w:t>
      </w:r>
    </w:p>
    <w:p w14:paraId="3FDB424B">
      <w:pPr>
        <w:pStyle w:val="33"/>
        <w:spacing w:after="0" w:line="520" w:lineRule="exact"/>
        <w:ind w:firstLine="480" w:firstLineChars="20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除专用合同条款另有约定外，</w:t>
      </w:r>
      <w:r>
        <w:rPr>
          <w:rFonts w:hint="eastAsia" w:ascii="宋体" w:hAnsi="宋体"/>
          <w:color w:val="000000" w:themeColor="text1"/>
          <w:sz w:val="24"/>
          <w:highlight w:val="none"/>
          <w14:textFill>
            <w14:solidFill>
              <w14:schemeClr w14:val="tx1"/>
            </w14:solidFill>
          </w14:textFill>
        </w:rPr>
        <w:t>咨询人</w:t>
      </w:r>
      <w:r>
        <w:rPr>
          <w:rFonts w:ascii="宋体" w:hAnsi="宋体"/>
          <w:color w:val="000000" w:themeColor="text1"/>
          <w:sz w:val="24"/>
          <w:highlight w:val="none"/>
          <w14:textFill>
            <w14:solidFill>
              <w14:schemeClr w14:val="tx1"/>
            </w14:solidFill>
          </w14:textFill>
        </w:rPr>
        <w:t>宜具有委托人认可的、履行本合同所需要的工程相关保险并使其于合同责任期内保持有效。</w:t>
      </w:r>
    </w:p>
    <w:p w14:paraId="5DA283D4">
      <w:pPr>
        <w:pStyle w:val="33"/>
        <w:spacing w:after="0" w:line="520" w:lineRule="exact"/>
        <w:ind w:firstLine="480" w:firstLineChars="20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工程相关保险应承担由于</w:t>
      </w:r>
      <w:r>
        <w:rPr>
          <w:rFonts w:hint="eastAsia" w:ascii="宋体" w:hAnsi="宋体"/>
          <w:color w:val="000000" w:themeColor="text1"/>
          <w:sz w:val="24"/>
          <w:highlight w:val="none"/>
          <w14:textFill>
            <w14:solidFill>
              <w14:schemeClr w14:val="tx1"/>
            </w14:solidFill>
          </w14:textFill>
        </w:rPr>
        <w:t>咨询人</w:t>
      </w:r>
      <w:r>
        <w:rPr>
          <w:rFonts w:ascii="宋体" w:hAnsi="宋体"/>
          <w:color w:val="000000" w:themeColor="text1"/>
          <w:sz w:val="24"/>
          <w:highlight w:val="none"/>
          <w14:textFill>
            <w14:solidFill>
              <w14:schemeClr w14:val="tx1"/>
            </w14:solidFill>
          </w14:textFill>
        </w:rPr>
        <w:t>的疏忽或过失而引发的工程质量事故所造成的建设工程本身的物质损失以及第三者人身伤亡、财产损失或费用的赔偿责任。</w:t>
      </w:r>
    </w:p>
    <w:p w14:paraId="5553E2F0">
      <w:pPr>
        <w:pStyle w:val="723"/>
        <w:spacing w:line="520" w:lineRule="exact"/>
        <w:ind w:firstLine="482"/>
        <w:outlineLvl w:val="1"/>
        <w:rPr>
          <w:rFonts w:ascii="宋体" w:hAnsi="宋体" w:eastAsia="宋体"/>
          <w:b w:val="0"/>
          <w:bCs/>
          <w:color w:val="000000" w:themeColor="text1"/>
          <w:szCs w:val="24"/>
          <w:highlight w:val="none"/>
          <w14:textFill>
            <w14:solidFill>
              <w14:schemeClr w14:val="tx1"/>
            </w14:solidFill>
          </w14:textFill>
        </w:rPr>
      </w:pPr>
      <w:bookmarkStart w:id="50" w:name="_Toc161231752"/>
      <w:bookmarkStart w:id="51" w:name="_Toc156986240"/>
      <w:r>
        <w:rPr>
          <w:rFonts w:ascii="宋体" w:hAnsi="宋体" w:eastAsia="宋体"/>
          <w:bCs/>
          <w:color w:val="000000" w:themeColor="text1"/>
          <w:szCs w:val="24"/>
          <w:highlight w:val="none"/>
          <w14:textFill>
            <w14:solidFill>
              <w14:schemeClr w14:val="tx1"/>
            </w14:solidFill>
          </w14:textFill>
        </w:rPr>
        <w:t>10.施工期间配合</w:t>
      </w:r>
      <w:bookmarkEnd w:id="50"/>
      <w:bookmarkEnd w:id="51"/>
    </w:p>
    <w:p w14:paraId="7D261192">
      <w:pPr>
        <w:pStyle w:val="701"/>
        <w:tabs>
          <w:tab w:val="left" w:pos="1423"/>
        </w:tabs>
        <w:autoSpaceDE w:val="0"/>
        <w:autoSpaceDN w:val="0"/>
        <w:spacing w:line="520" w:lineRule="exact"/>
        <w:ind w:firstLine="480"/>
        <w:jc w:val="left"/>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10.1 施工配合指咨询人配合施工承包人，在施工期间提供的咨询服务或其他配合工作，直至工程通过竣工验收为止。</w:t>
      </w:r>
    </w:p>
    <w:p w14:paraId="0EC0736C">
      <w:pPr>
        <w:pStyle w:val="701"/>
        <w:tabs>
          <w:tab w:val="left" w:pos="1426"/>
        </w:tabs>
        <w:autoSpaceDE w:val="0"/>
        <w:autoSpaceDN w:val="0"/>
        <w:spacing w:line="520" w:lineRule="exact"/>
        <w:ind w:firstLine="480"/>
        <w:jc w:val="left"/>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10.2 除专用合同条款另有约定外，委托人应为咨询人派赴施工现场的工作人员，在施工期间提供办公房间、办公桌椅、互联网接口、冷暖设施、生活设施、进出现场交通服务和其他便利条件。</w:t>
      </w:r>
    </w:p>
    <w:p w14:paraId="08FABFA4">
      <w:pPr>
        <w:pStyle w:val="701"/>
        <w:tabs>
          <w:tab w:val="left" w:pos="1368"/>
        </w:tabs>
        <w:autoSpaceDE w:val="0"/>
        <w:autoSpaceDN w:val="0"/>
        <w:spacing w:line="520" w:lineRule="exact"/>
        <w:ind w:firstLine="480"/>
        <w:jc w:val="left"/>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10.3 咨询人应在本工程的施工期间，积极提供咨询服务，包括并不限于</w:t>
      </w:r>
      <w:r>
        <w:rPr>
          <w:rFonts w:hint="eastAsia" w:ascii="宋体" w:hAnsi="宋体"/>
          <w:color w:val="000000" w:themeColor="text1"/>
          <w:sz w:val="24"/>
          <w:highlight w:val="none"/>
          <w14:textFill>
            <w14:solidFill>
              <w14:schemeClr w14:val="tx1"/>
            </w14:solidFill>
          </w14:textFill>
        </w:rPr>
        <w:t>咨询</w:t>
      </w:r>
      <w:r>
        <w:rPr>
          <w:rFonts w:ascii="宋体" w:hAnsi="宋体"/>
          <w:color w:val="000000" w:themeColor="text1"/>
          <w:sz w:val="24"/>
          <w:highlight w:val="none"/>
          <w14:textFill>
            <w14:solidFill>
              <w14:schemeClr w14:val="tx1"/>
            </w14:solidFill>
          </w14:textFill>
        </w:rPr>
        <w:t>服务技术交底、施工现场</w:t>
      </w:r>
      <w:r>
        <w:rPr>
          <w:rFonts w:hint="eastAsia" w:ascii="宋体" w:hAnsi="宋体"/>
          <w:color w:val="000000" w:themeColor="text1"/>
          <w:sz w:val="24"/>
          <w:highlight w:val="none"/>
          <w14:textFill>
            <w14:solidFill>
              <w14:schemeClr w14:val="tx1"/>
            </w14:solidFill>
          </w14:textFill>
        </w:rPr>
        <w:t>咨询</w:t>
      </w:r>
      <w:r>
        <w:rPr>
          <w:rFonts w:ascii="宋体" w:hAnsi="宋体"/>
          <w:color w:val="000000" w:themeColor="text1"/>
          <w:sz w:val="24"/>
          <w:highlight w:val="none"/>
          <w14:textFill>
            <w14:solidFill>
              <w14:schemeClr w14:val="tx1"/>
            </w14:solidFill>
          </w14:textFill>
        </w:rPr>
        <w:t>服务、参与施工过程验收、参与投产试车（试运行）、参与工程竣工验收等工作。</w:t>
      </w:r>
    </w:p>
    <w:p w14:paraId="243466AB">
      <w:pPr>
        <w:pStyle w:val="701"/>
        <w:tabs>
          <w:tab w:val="left" w:pos="1368"/>
        </w:tabs>
        <w:autoSpaceDE w:val="0"/>
        <w:autoSpaceDN w:val="0"/>
        <w:spacing w:line="520" w:lineRule="exact"/>
        <w:ind w:firstLine="480"/>
        <w:jc w:val="left"/>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10.4 </w:t>
      </w:r>
      <w:r>
        <w:rPr>
          <w:rFonts w:hint="eastAsia" w:ascii="宋体" w:hAnsi="宋体"/>
          <w:color w:val="000000" w:themeColor="text1"/>
          <w:sz w:val="24"/>
          <w:highlight w:val="none"/>
          <w14:textFill>
            <w14:solidFill>
              <w14:schemeClr w14:val="tx1"/>
            </w14:solidFill>
          </w14:textFill>
        </w:rPr>
        <w:t>委</w:t>
      </w:r>
      <w:r>
        <w:rPr>
          <w:rFonts w:ascii="宋体" w:hAnsi="宋体"/>
          <w:color w:val="000000" w:themeColor="text1"/>
          <w:sz w:val="24"/>
          <w:highlight w:val="none"/>
          <w14:textFill>
            <w14:solidFill>
              <w14:schemeClr w14:val="tx1"/>
            </w14:solidFill>
          </w14:textFill>
        </w:rPr>
        <w:t>托人应当组织</w:t>
      </w:r>
      <w:r>
        <w:rPr>
          <w:rFonts w:hint="eastAsia" w:ascii="宋体" w:hAnsi="宋体"/>
          <w:color w:val="000000" w:themeColor="text1"/>
          <w:sz w:val="24"/>
          <w:highlight w:val="none"/>
          <w14:textFill>
            <w14:solidFill>
              <w14:schemeClr w14:val="tx1"/>
            </w14:solidFill>
          </w14:textFill>
        </w:rPr>
        <w:t>咨询</w:t>
      </w:r>
      <w:r>
        <w:rPr>
          <w:rFonts w:ascii="宋体" w:hAnsi="宋体"/>
          <w:color w:val="000000" w:themeColor="text1"/>
          <w:sz w:val="24"/>
          <w:highlight w:val="none"/>
          <w14:textFill>
            <w14:solidFill>
              <w14:schemeClr w14:val="tx1"/>
            </w14:solidFill>
          </w14:textFill>
        </w:rPr>
        <w:t>服务技术交底会，由咨询人向委托人、监理人和施工承包人等进行</w:t>
      </w:r>
      <w:r>
        <w:rPr>
          <w:rFonts w:hint="eastAsia" w:ascii="宋体" w:hAnsi="宋体"/>
          <w:color w:val="000000" w:themeColor="text1"/>
          <w:sz w:val="24"/>
          <w:highlight w:val="none"/>
          <w14:textFill>
            <w14:solidFill>
              <w14:schemeClr w14:val="tx1"/>
            </w14:solidFill>
          </w14:textFill>
        </w:rPr>
        <w:t>咨询</w:t>
      </w:r>
      <w:r>
        <w:rPr>
          <w:rFonts w:ascii="宋体" w:hAnsi="宋体"/>
          <w:color w:val="000000" w:themeColor="text1"/>
          <w:sz w:val="24"/>
          <w:highlight w:val="none"/>
          <w14:textFill>
            <w14:solidFill>
              <w14:schemeClr w14:val="tx1"/>
            </w14:solidFill>
          </w14:textFill>
        </w:rPr>
        <w:t>服务交底，对本工程的</w:t>
      </w:r>
      <w:r>
        <w:rPr>
          <w:rFonts w:hint="eastAsia" w:ascii="宋体" w:hAnsi="宋体"/>
          <w:color w:val="000000" w:themeColor="text1"/>
          <w:sz w:val="24"/>
          <w:highlight w:val="none"/>
          <w14:textFill>
            <w14:solidFill>
              <w14:schemeClr w14:val="tx1"/>
            </w14:solidFill>
          </w14:textFill>
        </w:rPr>
        <w:t>咨询</w:t>
      </w:r>
      <w:r>
        <w:rPr>
          <w:rFonts w:ascii="宋体" w:hAnsi="宋体"/>
          <w:color w:val="000000" w:themeColor="text1"/>
          <w:sz w:val="24"/>
          <w:highlight w:val="none"/>
          <w14:textFill>
            <w14:solidFill>
              <w14:schemeClr w14:val="tx1"/>
            </w14:solidFill>
          </w14:textFill>
        </w:rPr>
        <w:t>服务意图、</w:t>
      </w:r>
      <w:r>
        <w:rPr>
          <w:rFonts w:hint="eastAsia" w:ascii="宋体" w:hAnsi="宋体"/>
          <w:color w:val="000000" w:themeColor="text1"/>
          <w:sz w:val="24"/>
          <w:highlight w:val="none"/>
          <w14:textFill>
            <w14:solidFill>
              <w14:schemeClr w14:val="tx1"/>
            </w14:solidFill>
          </w14:textFill>
        </w:rPr>
        <w:t>咨询</w:t>
      </w:r>
      <w:r>
        <w:rPr>
          <w:rFonts w:ascii="宋体" w:hAnsi="宋体"/>
          <w:color w:val="000000" w:themeColor="text1"/>
          <w:sz w:val="24"/>
          <w:highlight w:val="none"/>
          <w14:textFill>
            <w14:solidFill>
              <w14:schemeClr w14:val="tx1"/>
            </w14:solidFill>
          </w14:textFill>
        </w:rPr>
        <w:t>服务成果文件和施工要求等进行系统地说明和解释。</w:t>
      </w:r>
    </w:p>
    <w:p w14:paraId="6014B84F">
      <w:pPr>
        <w:pStyle w:val="701"/>
        <w:tabs>
          <w:tab w:val="left" w:pos="1368"/>
        </w:tabs>
        <w:autoSpaceDE w:val="0"/>
        <w:autoSpaceDN w:val="0"/>
        <w:spacing w:line="520" w:lineRule="exact"/>
        <w:ind w:firstLine="480"/>
        <w:jc w:val="left"/>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10.5 </w:t>
      </w:r>
      <w:r>
        <w:rPr>
          <w:rFonts w:hint="eastAsia" w:ascii="宋体" w:hAnsi="宋体"/>
          <w:color w:val="000000" w:themeColor="text1"/>
          <w:sz w:val="24"/>
          <w:highlight w:val="none"/>
          <w14:textFill>
            <w14:solidFill>
              <w14:schemeClr w14:val="tx1"/>
            </w14:solidFill>
          </w14:textFill>
        </w:rPr>
        <w:t>工</w:t>
      </w:r>
      <w:r>
        <w:rPr>
          <w:rFonts w:ascii="宋体" w:hAnsi="宋体"/>
          <w:color w:val="000000" w:themeColor="text1"/>
          <w:sz w:val="24"/>
          <w:highlight w:val="none"/>
          <w14:textFill>
            <w14:solidFill>
              <w14:schemeClr w14:val="tx1"/>
            </w14:solidFill>
          </w14:textFill>
        </w:rPr>
        <w:t>程施工完毕后，委托人应当组织投产试车（试运行）和工程竣工验收，咨询人参加验收并出具本单位的验收结论。如因咨询服务原因致使工程不合格的，咨询人应当承担违约责任，免费修改咨询服务成果文件和赔偿委托人由此产生的经济损失。</w:t>
      </w:r>
    </w:p>
    <w:p w14:paraId="7CE09DFF">
      <w:pPr>
        <w:pStyle w:val="723"/>
        <w:spacing w:line="520" w:lineRule="exact"/>
        <w:ind w:firstLine="482"/>
        <w:outlineLvl w:val="1"/>
        <w:rPr>
          <w:rFonts w:ascii="宋体" w:hAnsi="宋体" w:eastAsia="宋体"/>
          <w:b w:val="0"/>
          <w:bCs/>
          <w:color w:val="000000" w:themeColor="text1"/>
          <w:szCs w:val="24"/>
          <w:highlight w:val="none"/>
          <w14:textFill>
            <w14:solidFill>
              <w14:schemeClr w14:val="tx1"/>
            </w14:solidFill>
          </w14:textFill>
        </w:rPr>
      </w:pPr>
      <w:bookmarkStart w:id="52" w:name="_Toc161231753"/>
      <w:bookmarkStart w:id="53" w:name="_Toc156986241"/>
      <w:r>
        <w:rPr>
          <w:rFonts w:ascii="宋体" w:hAnsi="宋体" w:eastAsia="宋体"/>
          <w:bCs/>
          <w:color w:val="000000" w:themeColor="text1"/>
          <w:szCs w:val="24"/>
          <w:highlight w:val="none"/>
          <w14:textFill>
            <w14:solidFill>
              <w14:schemeClr w14:val="tx1"/>
            </w14:solidFill>
          </w14:textFill>
        </w:rPr>
        <w:t>11.合同变更</w:t>
      </w:r>
      <w:bookmarkEnd w:id="52"/>
      <w:bookmarkEnd w:id="53"/>
    </w:p>
    <w:p w14:paraId="7038DE33">
      <w:pPr>
        <w:pStyle w:val="701"/>
        <w:tabs>
          <w:tab w:val="left" w:pos="1082"/>
        </w:tabs>
        <w:autoSpaceDE w:val="0"/>
        <w:autoSpaceDN w:val="0"/>
        <w:spacing w:line="520" w:lineRule="exact"/>
        <w:ind w:firstLine="482"/>
        <w:jc w:val="left"/>
        <w:rPr>
          <w:rFonts w:hint="eastAsia"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11.1 变更情形</w:t>
      </w:r>
    </w:p>
    <w:p w14:paraId="7F512339">
      <w:pPr>
        <w:pStyle w:val="701"/>
        <w:tabs>
          <w:tab w:val="left" w:pos="1601"/>
        </w:tabs>
        <w:autoSpaceDE w:val="0"/>
        <w:autoSpaceDN w:val="0"/>
        <w:spacing w:line="520" w:lineRule="exact"/>
        <w:ind w:firstLine="480"/>
        <w:jc w:val="left"/>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11.1.1 合同履行中发生下述情形时，合同一方均可向对方提出变更请求，经双方协商一致后进行变更，咨询服务期限和咨询服务费用的调整方法在专用合同条款中约定。</w:t>
      </w:r>
    </w:p>
    <w:p w14:paraId="4E5D5356">
      <w:pPr>
        <w:pStyle w:val="701"/>
        <w:tabs>
          <w:tab w:val="left" w:pos="1511"/>
        </w:tabs>
        <w:autoSpaceDE w:val="0"/>
        <w:autoSpaceDN w:val="0"/>
        <w:spacing w:line="520" w:lineRule="exact"/>
        <w:ind w:firstLine="48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（1）咨询服务范围发生变化；</w:t>
      </w:r>
    </w:p>
    <w:p w14:paraId="38EE16D1">
      <w:pPr>
        <w:pStyle w:val="701"/>
        <w:tabs>
          <w:tab w:val="left" w:pos="1511"/>
        </w:tabs>
        <w:autoSpaceDE w:val="0"/>
        <w:autoSpaceDN w:val="0"/>
        <w:spacing w:line="520" w:lineRule="exact"/>
        <w:ind w:firstLine="48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（2）除不可抗力外，非咨询人的原因引起的周期延误；</w:t>
      </w:r>
    </w:p>
    <w:p w14:paraId="0781DBDA">
      <w:pPr>
        <w:pStyle w:val="701"/>
        <w:tabs>
          <w:tab w:val="left" w:pos="1511"/>
        </w:tabs>
        <w:autoSpaceDE w:val="0"/>
        <w:autoSpaceDN w:val="0"/>
        <w:spacing w:line="520" w:lineRule="exact"/>
        <w:ind w:firstLine="48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（3）非咨询人的原因，全部或部分重复进行咨询服务；</w:t>
      </w:r>
    </w:p>
    <w:p w14:paraId="7F936CCC">
      <w:pPr>
        <w:pStyle w:val="701"/>
        <w:tabs>
          <w:tab w:val="left" w:pos="1511"/>
        </w:tabs>
        <w:autoSpaceDE w:val="0"/>
        <w:autoSpaceDN w:val="0"/>
        <w:spacing w:line="520" w:lineRule="exact"/>
        <w:ind w:firstLine="48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（4）非咨询人的原因，暂停咨询服务及恢复咨询服务。</w:t>
      </w:r>
    </w:p>
    <w:p w14:paraId="2D99D45F">
      <w:pPr>
        <w:pStyle w:val="701"/>
        <w:tabs>
          <w:tab w:val="left" w:pos="1558"/>
        </w:tabs>
        <w:autoSpaceDE w:val="0"/>
        <w:autoSpaceDN w:val="0"/>
        <w:spacing w:line="520" w:lineRule="exact"/>
        <w:ind w:firstLine="480"/>
        <w:jc w:val="left"/>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11.1.2 基准日后，因颁布新的或修订原有法律、法规、规范和标准等引发合同变更情形的，按照上述约定进行调整。</w:t>
      </w:r>
    </w:p>
    <w:p w14:paraId="074AF580">
      <w:pPr>
        <w:pStyle w:val="701"/>
        <w:tabs>
          <w:tab w:val="left" w:pos="1082"/>
        </w:tabs>
        <w:autoSpaceDE w:val="0"/>
        <w:autoSpaceDN w:val="0"/>
        <w:spacing w:line="520" w:lineRule="exact"/>
        <w:ind w:firstLine="482"/>
        <w:jc w:val="left"/>
        <w:rPr>
          <w:rFonts w:hint="eastAsia"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11.2 合理化建议</w:t>
      </w:r>
    </w:p>
    <w:p w14:paraId="1A37351E">
      <w:pPr>
        <w:pStyle w:val="701"/>
        <w:tabs>
          <w:tab w:val="left" w:pos="1601"/>
        </w:tabs>
        <w:autoSpaceDE w:val="0"/>
        <w:autoSpaceDN w:val="0"/>
        <w:spacing w:line="520" w:lineRule="exact"/>
        <w:ind w:firstLine="480"/>
        <w:jc w:val="left"/>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11.2.1 合同履行中，咨询人可对委托人要求提出合理化建议。合理化建议应以书面形式提交委托人，被委托人采纳并构成变更的，执行第 11.1 款约定。</w:t>
      </w:r>
    </w:p>
    <w:p w14:paraId="6C9B2C1B">
      <w:pPr>
        <w:pStyle w:val="701"/>
        <w:tabs>
          <w:tab w:val="left" w:pos="1620"/>
        </w:tabs>
        <w:autoSpaceDE w:val="0"/>
        <w:autoSpaceDN w:val="0"/>
        <w:spacing w:line="520" w:lineRule="exact"/>
        <w:ind w:firstLine="480"/>
        <w:jc w:val="left"/>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11.2.2 咨询人提出的合理化建议能给委托人增加收益或减少损失的，委托人可以</w:t>
      </w:r>
      <w:r>
        <w:rPr>
          <w:rFonts w:hint="eastAsia" w:ascii="宋体" w:hAnsi="宋体"/>
          <w:color w:val="000000" w:themeColor="text1"/>
          <w:sz w:val="24"/>
          <w:highlight w:val="none"/>
          <w:lang w:eastAsia="zh-CN"/>
          <w14:textFill>
            <w14:solidFill>
              <w14:schemeClr w14:val="tx1"/>
            </w14:solidFill>
          </w14:textFill>
        </w:rPr>
        <w:t>给予</w:t>
      </w:r>
      <w:r>
        <w:rPr>
          <w:rFonts w:ascii="宋体" w:hAnsi="宋体"/>
          <w:color w:val="000000" w:themeColor="text1"/>
          <w:sz w:val="24"/>
          <w:highlight w:val="none"/>
          <w14:textFill>
            <w14:solidFill>
              <w14:schemeClr w14:val="tx1"/>
            </w14:solidFill>
          </w14:textFill>
        </w:rPr>
        <w:t>奖励，奖励的方式在专用合同条款中约定。</w:t>
      </w:r>
    </w:p>
    <w:p w14:paraId="6585A22F">
      <w:pPr>
        <w:pStyle w:val="723"/>
        <w:spacing w:line="520" w:lineRule="exact"/>
        <w:ind w:firstLine="482"/>
        <w:outlineLvl w:val="1"/>
        <w:rPr>
          <w:rFonts w:ascii="宋体" w:hAnsi="宋体" w:eastAsia="宋体"/>
          <w:b w:val="0"/>
          <w:bCs/>
          <w:color w:val="000000" w:themeColor="text1"/>
          <w:szCs w:val="24"/>
          <w:highlight w:val="none"/>
          <w14:textFill>
            <w14:solidFill>
              <w14:schemeClr w14:val="tx1"/>
            </w14:solidFill>
          </w14:textFill>
        </w:rPr>
      </w:pPr>
      <w:bookmarkStart w:id="54" w:name="_Toc161231754"/>
      <w:bookmarkStart w:id="55" w:name="_Toc156986242"/>
      <w:r>
        <w:rPr>
          <w:rFonts w:ascii="宋体" w:hAnsi="宋体" w:eastAsia="宋体"/>
          <w:bCs/>
          <w:color w:val="000000" w:themeColor="text1"/>
          <w:szCs w:val="24"/>
          <w:highlight w:val="none"/>
          <w14:textFill>
            <w14:solidFill>
              <w14:schemeClr w14:val="tx1"/>
            </w14:solidFill>
          </w14:textFill>
        </w:rPr>
        <w:t>12.合同价格与支付</w:t>
      </w:r>
      <w:bookmarkEnd w:id="54"/>
      <w:bookmarkEnd w:id="55"/>
    </w:p>
    <w:p w14:paraId="55480A26">
      <w:pPr>
        <w:pStyle w:val="701"/>
        <w:tabs>
          <w:tab w:val="left" w:pos="1082"/>
        </w:tabs>
        <w:autoSpaceDE w:val="0"/>
        <w:autoSpaceDN w:val="0"/>
        <w:spacing w:line="520" w:lineRule="exact"/>
        <w:ind w:firstLine="482"/>
        <w:jc w:val="left"/>
        <w:rPr>
          <w:rFonts w:hint="eastAsia"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12.1 合同价格</w:t>
      </w:r>
    </w:p>
    <w:p w14:paraId="5D13792C">
      <w:pPr>
        <w:pStyle w:val="701"/>
        <w:tabs>
          <w:tab w:val="left" w:pos="1630"/>
        </w:tabs>
        <w:autoSpaceDE w:val="0"/>
        <w:autoSpaceDN w:val="0"/>
        <w:spacing w:line="520" w:lineRule="exact"/>
        <w:ind w:firstLine="480"/>
        <w:jc w:val="left"/>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12.1.1 本合同的价款确定方式、调整方式和风险范围划分，在专用合同条款中约定。</w:t>
      </w:r>
    </w:p>
    <w:p w14:paraId="54073F64">
      <w:pPr>
        <w:pStyle w:val="701"/>
        <w:tabs>
          <w:tab w:val="left" w:pos="1598"/>
        </w:tabs>
        <w:autoSpaceDE w:val="0"/>
        <w:autoSpaceDN w:val="0"/>
        <w:spacing w:line="520" w:lineRule="exact"/>
        <w:ind w:firstLine="480"/>
        <w:jc w:val="left"/>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12.1.2 咨询服务费用实行委托人签证制度，即咨询人完成咨询服务项目后通知委托人进行验收，通过验收后由委托人代表对实施的咨询服务项目、数量、质量和实施时间签字确认，以此作为计算咨询服务费用的依据之一。</w:t>
      </w:r>
    </w:p>
    <w:p w14:paraId="1408E3AA">
      <w:pPr>
        <w:pStyle w:val="701"/>
        <w:tabs>
          <w:tab w:val="left" w:pos="1598"/>
        </w:tabs>
        <w:autoSpaceDE w:val="0"/>
        <w:autoSpaceDN w:val="0"/>
        <w:spacing w:line="520" w:lineRule="exact"/>
        <w:ind w:firstLine="480"/>
        <w:jc w:val="left"/>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12.1.3 除专用合同条款另有约定外，合同价格应当包括收集资料，踏勘现场，进行咨询服务、评估、审查等，编制咨询服务成果文件，施工配合等全部费用和国家规定的增值税税金。</w:t>
      </w:r>
    </w:p>
    <w:p w14:paraId="7EF0FC62">
      <w:pPr>
        <w:pStyle w:val="701"/>
        <w:tabs>
          <w:tab w:val="left" w:pos="1598"/>
        </w:tabs>
        <w:autoSpaceDE w:val="0"/>
        <w:autoSpaceDN w:val="0"/>
        <w:spacing w:line="520" w:lineRule="exact"/>
        <w:ind w:firstLine="480"/>
        <w:jc w:val="left"/>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12.1.4 委托人要求咨询人进行外出考察、试验检测、专项</w:t>
      </w:r>
      <w:r>
        <w:rPr>
          <w:rFonts w:hint="eastAsia" w:ascii="宋体" w:hAnsi="宋体"/>
          <w:color w:val="000000" w:themeColor="text1"/>
          <w:sz w:val="24"/>
          <w:highlight w:val="none"/>
          <w14:textFill>
            <w14:solidFill>
              <w14:schemeClr w14:val="tx1"/>
            </w14:solidFill>
          </w14:textFill>
        </w:rPr>
        <w:t>咨询</w:t>
      </w:r>
      <w:r>
        <w:rPr>
          <w:rFonts w:ascii="宋体" w:hAnsi="宋体"/>
          <w:color w:val="000000" w:themeColor="text1"/>
          <w:sz w:val="24"/>
          <w:highlight w:val="none"/>
          <w14:textFill>
            <w14:solidFill>
              <w14:schemeClr w14:val="tx1"/>
            </w14:solidFill>
          </w14:textFill>
        </w:rPr>
        <w:t>或专家评审时，相应费用不含在合同价格之中，由委托人另行支付。</w:t>
      </w:r>
    </w:p>
    <w:p w14:paraId="4456DB5D">
      <w:pPr>
        <w:pStyle w:val="701"/>
        <w:tabs>
          <w:tab w:val="left" w:pos="1082"/>
        </w:tabs>
        <w:autoSpaceDE w:val="0"/>
        <w:autoSpaceDN w:val="0"/>
        <w:spacing w:line="520" w:lineRule="exact"/>
        <w:ind w:firstLine="482"/>
        <w:jc w:val="left"/>
        <w:rPr>
          <w:rFonts w:hint="eastAsia"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12.2 定金或预付款</w:t>
      </w:r>
    </w:p>
    <w:p w14:paraId="27AADD2E">
      <w:pPr>
        <w:pStyle w:val="701"/>
        <w:tabs>
          <w:tab w:val="left" w:pos="1598"/>
        </w:tabs>
        <w:autoSpaceDE w:val="0"/>
        <w:autoSpaceDN w:val="0"/>
        <w:spacing w:line="520" w:lineRule="exact"/>
        <w:ind w:firstLine="480"/>
        <w:jc w:val="left"/>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12.2.1 定金或预付款应专用于本工程的咨询服务。定金或预付款的额度、支付方式及抵扣方式在专用合同条款中约定。</w:t>
      </w:r>
    </w:p>
    <w:p w14:paraId="4AE7CD3C">
      <w:pPr>
        <w:pStyle w:val="701"/>
        <w:tabs>
          <w:tab w:val="left" w:pos="1598"/>
        </w:tabs>
        <w:autoSpaceDE w:val="0"/>
        <w:autoSpaceDN w:val="0"/>
        <w:spacing w:line="520" w:lineRule="exact"/>
        <w:ind w:firstLine="480"/>
        <w:jc w:val="left"/>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12.2.2 委托人应在收到定金或预付款支付申请后28天内，将定金或预付款支付给咨询人；咨询人应当提供等额的增值税发票。</w:t>
      </w:r>
    </w:p>
    <w:p w14:paraId="52AEC74E">
      <w:pPr>
        <w:pStyle w:val="701"/>
        <w:tabs>
          <w:tab w:val="left" w:pos="1598"/>
        </w:tabs>
        <w:autoSpaceDE w:val="0"/>
        <w:autoSpaceDN w:val="0"/>
        <w:spacing w:line="520" w:lineRule="exact"/>
        <w:ind w:firstLine="480"/>
        <w:jc w:val="left"/>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12.2.3 咨询服务完成之前，由于不可抗力或其他非咨询人的原因解除合同时，定金不予退还。</w:t>
      </w:r>
    </w:p>
    <w:p w14:paraId="4A880FC8">
      <w:pPr>
        <w:pStyle w:val="701"/>
        <w:tabs>
          <w:tab w:val="left" w:pos="1082"/>
        </w:tabs>
        <w:autoSpaceDE w:val="0"/>
        <w:autoSpaceDN w:val="0"/>
        <w:spacing w:line="520" w:lineRule="exact"/>
        <w:ind w:firstLine="482"/>
        <w:jc w:val="left"/>
        <w:rPr>
          <w:rFonts w:hint="eastAsia"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12.</w:t>
      </w:r>
      <w:r>
        <w:rPr>
          <w:rFonts w:hint="eastAsia" w:ascii="宋体" w:hAnsi="宋体"/>
          <w:b/>
          <w:color w:val="000000" w:themeColor="text1"/>
          <w:sz w:val="24"/>
          <w:highlight w:val="none"/>
          <w:lang w:val="en-US" w:eastAsia="zh-CN"/>
          <w14:textFill>
            <w14:solidFill>
              <w14:schemeClr w14:val="tx1"/>
            </w14:solidFill>
          </w14:textFill>
        </w:rPr>
        <w:t>3</w:t>
      </w:r>
      <w:r>
        <w:rPr>
          <w:rFonts w:ascii="宋体" w:hAnsi="宋体"/>
          <w:b/>
          <w:color w:val="000000" w:themeColor="text1"/>
          <w:sz w:val="24"/>
          <w:highlight w:val="none"/>
          <w14:textFill>
            <w14:solidFill>
              <w14:schemeClr w14:val="tx1"/>
            </w14:solidFill>
          </w14:textFill>
        </w:rPr>
        <w:t xml:space="preserve"> 费用结算</w:t>
      </w:r>
    </w:p>
    <w:p w14:paraId="38BF2C42">
      <w:pPr>
        <w:pStyle w:val="701"/>
        <w:tabs>
          <w:tab w:val="left" w:pos="1567"/>
        </w:tabs>
        <w:autoSpaceDE w:val="0"/>
        <w:autoSpaceDN w:val="0"/>
        <w:spacing w:line="520" w:lineRule="exact"/>
        <w:ind w:firstLine="480"/>
        <w:jc w:val="left"/>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12.</w:t>
      </w:r>
      <w:r>
        <w:rPr>
          <w:rFonts w:hint="eastAsia" w:ascii="宋体" w:hAnsi="宋体"/>
          <w:color w:val="000000" w:themeColor="text1"/>
          <w:sz w:val="24"/>
          <w:highlight w:val="none"/>
          <w:lang w:val="en-US" w:eastAsia="zh-CN"/>
          <w14:textFill>
            <w14:solidFill>
              <w14:schemeClr w14:val="tx1"/>
            </w14:solidFill>
          </w14:textFill>
        </w:rPr>
        <w:t>3</w:t>
      </w:r>
      <w:r>
        <w:rPr>
          <w:rFonts w:ascii="宋体" w:hAnsi="宋体"/>
          <w:color w:val="000000" w:themeColor="text1"/>
          <w:sz w:val="24"/>
          <w:highlight w:val="none"/>
          <w14:textFill>
            <w14:solidFill>
              <w14:schemeClr w14:val="tx1"/>
            </w14:solidFill>
          </w14:textFill>
        </w:rPr>
        <w:t>.1 提交咨询服务成果文件后，咨询人可按专用合同条款约定的份数和期限，向委托人提交咨询服务费用结算申请，并提供相关证明材料。</w:t>
      </w:r>
    </w:p>
    <w:p w14:paraId="66EA4A1A">
      <w:pPr>
        <w:pStyle w:val="701"/>
        <w:tabs>
          <w:tab w:val="left" w:pos="1567"/>
        </w:tabs>
        <w:autoSpaceDE w:val="0"/>
        <w:autoSpaceDN w:val="0"/>
        <w:spacing w:line="520" w:lineRule="exact"/>
        <w:ind w:firstLine="480"/>
        <w:jc w:val="left"/>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12.</w:t>
      </w:r>
      <w:r>
        <w:rPr>
          <w:rFonts w:hint="eastAsia" w:ascii="宋体" w:hAnsi="宋体"/>
          <w:color w:val="000000" w:themeColor="text1"/>
          <w:sz w:val="24"/>
          <w:highlight w:val="none"/>
          <w:lang w:val="en-US" w:eastAsia="zh-CN"/>
          <w14:textFill>
            <w14:solidFill>
              <w14:schemeClr w14:val="tx1"/>
            </w14:solidFill>
          </w14:textFill>
        </w:rPr>
        <w:t>3</w:t>
      </w:r>
      <w:r>
        <w:rPr>
          <w:rFonts w:ascii="宋体" w:hAnsi="宋体"/>
          <w:color w:val="000000" w:themeColor="text1"/>
          <w:sz w:val="24"/>
          <w:highlight w:val="none"/>
          <w14:textFill>
            <w14:solidFill>
              <w14:schemeClr w14:val="tx1"/>
            </w14:solidFill>
          </w14:textFill>
        </w:rPr>
        <w:t>.2 委托人应在收到费用结算申请后的</w:t>
      </w:r>
      <w:r>
        <w:rPr>
          <w:rFonts w:hint="eastAsia" w:ascii="宋体" w:hAnsi="宋体"/>
          <w:color w:val="000000" w:themeColor="text1"/>
          <w:sz w:val="24"/>
          <w:highlight w:val="none"/>
          <w:lang w:val="en-US" w:eastAsia="zh-CN"/>
          <w14:textFill>
            <w14:solidFill>
              <w14:schemeClr w14:val="tx1"/>
            </w14:solidFill>
          </w14:textFill>
        </w:rPr>
        <w:t>14</w:t>
      </w:r>
      <w:r>
        <w:rPr>
          <w:rFonts w:ascii="宋体" w:hAnsi="宋体"/>
          <w:color w:val="000000" w:themeColor="text1"/>
          <w:sz w:val="24"/>
          <w:highlight w:val="none"/>
          <w14:textFill>
            <w14:solidFill>
              <w14:schemeClr w14:val="tx1"/>
            </w14:solidFill>
          </w14:textFill>
        </w:rPr>
        <w:t>天内完成审批，委托人对费用结算申请内容有异议的，有权要求咨询人进行修正和提供补充资料，由咨询人重新提交。咨询人对此有异议的，按第15条的约定执行。费用结算申请完成审批或视为被同意的，自该日起14天内，委托人将应付款项支付给咨询人；咨询人应当提供等额的增值税发票。委托人未能在前述时间内完成审批或不予答复的，视为委托人同意费用结算申请。委托人不按期支付的，按专用合同条款的约定支付逾期付款违约金。</w:t>
      </w:r>
    </w:p>
    <w:p w14:paraId="46369CFB">
      <w:pPr>
        <w:pStyle w:val="701"/>
        <w:tabs>
          <w:tab w:val="left" w:pos="1567"/>
        </w:tabs>
        <w:autoSpaceDE w:val="0"/>
        <w:autoSpaceDN w:val="0"/>
        <w:spacing w:line="520" w:lineRule="exact"/>
        <w:ind w:firstLine="480"/>
        <w:jc w:val="left"/>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12.</w:t>
      </w:r>
      <w:r>
        <w:rPr>
          <w:rFonts w:hint="eastAsia" w:ascii="宋体" w:hAnsi="宋体"/>
          <w:color w:val="000000" w:themeColor="text1"/>
          <w:sz w:val="24"/>
          <w:highlight w:val="none"/>
          <w:lang w:val="en-US" w:eastAsia="zh-CN"/>
          <w14:textFill>
            <w14:solidFill>
              <w14:schemeClr w14:val="tx1"/>
            </w14:solidFill>
          </w14:textFill>
        </w:rPr>
        <w:t>3</w:t>
      </w:r>
      <w:r>
        <w:rPr>
          <w:rFonts w:ascii="宋体" w:hAnsi="宋体"/>
          <w:color w:val="000000" w:themeColor="text1"/>
          <w:sz w:val="24"/>
          <w:highlight w:val="none"/>
          <w14:textFill>
            <w14:solidFill>
              <w14:schemeClr w14:val="tx1"/>
            </w14:solidFill>
          </w14:textFill>
        </w:rPr>
        <w:t>.3 最终结清付款涉及政府投资资金的，按第12.3.3项的约定执行。</w:t>
      </w:r>
    </w:p>
    <w:p w14:paraId="589B6A6B">
      <w:pPr>
        <w:pStyle w:val="723"/>
        <w:spacing w:line="520" w:lineRule="exact"/>
        <w:ind w:firstLine="482"/>
        <w:outlineLvl w:val="1"/>
        <w:rPr>
          <w:rFonts w:ascii="宋体" w:hAnsi="宋体" w:eastAsia="宋体"/>
          <w:b w:val="0"/>
          <w:bCs/>
          <w:color w:val="000000" w:themeColor="text1"/>
          <w:szCs w:val="24"/>
          <w:highlight w:val="none"/>
          <w14:textFill>
            <w14:solidFill>
              <w14:schemeClr w14:val="tx1"/>
            </w14:solidFill>
          </w14:textFill>
        </w:rPr>
      </w:pPr>
      <w:bookmarkStart w:id="56" w:name="_Toc161231755"/>
      <w:bookmarkStart w:id="57" w:name="_Toc156986243"/>
      <w:r>
        <w:rPr>
          <w:rFonts w:ascii="宋体" w:hAnsi="宋体" w:eastAsia="宋体"/>
          <w:bCs/>
          <w:color w:val="000000" w:themeColor="text1"/>
          <w:szCs w:val="24"/>
          <w:highlight w:val="none"/>
          <w14:textFill>
            <w14:solidFill>
              <w14:schemeClr w14:val="tx1"/>
            </w14:solidFill>
          </w14:textFill>
        </w:rPr>
        <w:t>13.不可抗力</w:t>
      </w:r>
      <w:bookmarkEnd w:id="56"/>
      <w:bookmarkEnd w:id="57"/>
    </w:p>
    <w:p w14:paraId="31F875D6">
      <w:pPr>
        <w:pStyle w:val="701"/>
        <w:tabs>
          <w:tab w:val="left" w:pos="1082"/>
        </w:tabs>
        <w:autoSpaceDE w:val="0"/>
        <w:autoSpaceDN w:val="0"/>
        <w:spacing w:line="520" w:lineRule="exact"/>
        <w:ind w:firstLine="482"/>
        <w:jc w:val="left"/>
        <w:rPr>
          <w:rFonts w:hint="eastAsia"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13.1 不可抗力的确认</w:t>
      </w:r>
    </w:p>
    <w:p w14:paraId="254C00B8">
      <w:pPr>
        <w:pStyle w:val="701"/>
        <w:tabs>
          <w:tab w:val="left" w:pos="1598"/>
        </w:tabs>
        <w:autoSpaceDE w:val="0"/>
        <w:autoSpaceDN w:val="0"/>
        <w:spacing w:line="520" w:lineRule="exact"/>
        <w:ind w:firstLine="480"/>
        <w:jc w:val="left"/>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13.1.1 不可抗力是指咨询人和委托人在订立合同时不可预见，在履行合同过程中不可避免发生并不能克服的自然灾害和社会性突发事件，如地震、海啸、瘟疫、水灾、骚乱、暴动、战争和专用合同条款约定的其他情形。</w:t>
      </w:r>
    </w:p>
    <w:p w14:paraId="370C2D7F">
      <w:pPr>
        <w:pStyle w:val="701"/>
        <w:tabs>
          <w:tab w:val="left" w:pos="1598"/>
        </w:tabs>
        <w:autoSpaceDE w:val="0"/>
        <w:autoSpaceDN w:val="0"/>
        <w:spacing w:line="520" w:lineRule="exact"/>
        <w:ind w:firstLine="480"/>
        <w:jc w:val="left"/>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13.1.2 不可抗力发生后，委托人和咨询人应及时认真统计所造成的损失，收集不可抗力造成损失的证据。合同双方对是否属于不可抗力或其损失的意见不一致的， 由合同双方协商确定。</w:t>
      </w:r>
    </w:p>
    <w:p w14:paraId="0B6D7721">
      <w:pPr>
        <w:pStyle w:val="701"/>
        <w:tabs>
          <w:tab w:val="left" w:pos="1082"/>
        </w:tabs>
        <w:autoSpaceDE w:val="0"/>
        <w:autoSpaceDN w:val="0"/>
        <w:spacing w:line="520" w:lineRule="exact"/>
        <w:ind w:firstLine="482"/>
        <w:jc w:val="left"/>
        <w:rPr>
          <w:rFonts w:hint="eastAsia"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13.2 不可抗力的通知</w:t>
      </w:r>
    </w:p>
    <w:p w14:paraId="4268C638">
      <w:pPr>
        <w:pStyle w:val="701"/>
        <w:tabs>
          <w:tab w:val="left" w:pos="1598"/>
        </w:tabs>
        <w:autoSpaceDE w:val="0"/>
        <w:autoSpaceDN w:val="0"/>
        <w:spacing w:line="520" w:lineRule="exact"/>
        <w:ind w:firstLine="480"/>
        <w:jc w:val="left"/>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13.2.1 合同一方当事人遇到不可抗力事件，使其履行合同义务受到阻碍时，应立即通知合同另一方当事人，书面说明不可抗力和受阻碍的详细情况，并提供必要的证明。</w:t>
      </w:r>
    </w:p>
    <w:p w14:paraId="0A63E405">
      <w:pPr>
        <w:pStyle w:val="701"/>
        <w:tabs>
          <w:tab w:val="left" w:pos="1598"/>
        </w:tabs>
        <w:autoSpaceDE w:val="0"/>
        <w:autoSpaceDN w:val="0"/>
        <w:spacing w:line="520" w:lineRule="exact"/>
        <w:ind w:firstLine="480"/>
        <w:jc w:val="left"/>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13.2.2 如不可抗力持续发生，合同一方当事人应及时向合同另一方当事人提交中间报告，说明不可抗力和履行合同受阻的情况，并于不可抗力事件结束后28天内提交最终报告及有关资料。</w:t>
      </w:r>
    </w:p>
    <w:p w14:paraId="54328F1D">
      <w:pPr>
        <w:pStyle w:val="701"/>
        <w:tabs>
          <w:tab w:val="left" w:pos="1082"/>
        </w:tabs>
        <w:autoSpaceDE w:val="0"/>
        <w:autoSpaceDN w:val="0"/>
        <w:spacing w:line="520" w:lineRule="exact"/>
        <w:ind w:firstLine="482"/>
        <w:jc w:val="left"/>
        <w:rPr>
          <w:rFonts w:hint="eastAsia"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13.3 不可抗力后果及其处理</w:t>
      </w:r>
    </w:p>
    <w:p w14:paraId="55F8565C">
      <w:pPr>
        <w:pStyle w:val="701"/>
        <w:tabs>
          <w:tab w:val="left" w:pos="1567"/>
        </w:tabs>
        <w:autoSpaceDE w:val="0"/>
        <w:autoSpaceDN w:val="0"/>
        <w:spacing w:line="520" w:lineRule="exact"/>
        <w:ind w:firstLine="480"/>
        <w:jc w:val="left"/>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13.3.1 不可抗力引起的后果及其损失，应由合同当事人依据法律规定各自承担。不可抗力发生前已完成的咨询服务工作，应当按照合同约定进行支付。</w:t>
      </w:r>
    </w:p>
    <w:p w14:paraId="79BA90F0">
      <w:pPr>
        <w:pStyle w:val="701"/>
        <w:tabs>
          <w:tab w:val="left" w:pos="1598"/>
        </w:tabs>
        <w:autoSpaceDE w:val="0"/>
        <w:autoSpaceDN w:val="0"/>
        <w:spacing w:line="520" w:lineRule="exact"/>
        <w:ind w:firstLine="480"/>
        <w:jc w:val="left"/>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13.3.2 不可抗力发生后，合同当事人应当采取有效措施避免损失进一步扩大，如未采取有效措施致使损失扩大的，应当自行承担扩大部分的损失。</w:t>
      </w:r>
    </w:p>
    <w:p w14:paraId="2FB5715F">
      <w:pPr>
        <w:pStyle w:val="701"/>
        <w:tabs>
          <w:tab w:val="left" w:pos="1750"/>
        </w:tabs>
        <w:autoSpaceDE w:val="0"/>
        <w:autoSpaceDN w:val="0"/>
        <w:spacing w:line="520" w:lineRule="exact"/>
        <w:ind w:firstLine="480"/>
        <w:jc w:val="left"/>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13.3.3 因一方当事人迟延履行合同义务，致使迟延履行期间遭遇不可抗力的，应由该当事人承担全部损失且不免除其违约责任。</w:t>
      </w:r>
    </w:p>
    <w:p w14:paraId="4BC98786">
      <w:pPr>
        <w:pStyle w:val="723"/>
        <w:spacing w:line="520" w:lineRule="exact"/>
        <w:ind w:firstLine="482"/>
        <w:outlineLvl w:val="1"/>
        <w:rPr>
          <w:rFonts w:ascii="宋体" w:hAnsi="宋体" w:eastAsia="宋体"/>
          <w:b w:val="0"/>
          <w:bCs/>
          <w:color w:val="000000" w:themeColor="text1"/>
          <w:szCs w:val="24"/>
          <w:highlight w:val="none"/>
          <w14:textFill>
            <w14:solidFill>
              <w14:schemeClr w14:val="tx1"/>
            </w14:solidFill>
          </w14:textFill>
        </w:rPr>
      </w:pPr>
      <w:bookmarkStart w:id="58" w:name="_Toc161231756"/>
      <w:bookmarkStart w:id="59" w:name="_Toc156986244"/>
      <w:r>
        <w:rPr>
          <w:rFonts w:ascii="宋体" w:hAnsi="宋体" w:eastAsia="宋体"/>
          <w:bCs/>
          <w:color w:val="000000" w:themeColor="text1"/>
          <w:szCs w:val="24"/>
          <w:highlight w:val="none"/>
          <w14:textFill>
            <w14:solidFill>
              <w14:schemeClr w14:val="tx1"/>
            </w14:solidFill>
          </w14:textFill>
        </w:rPr>
        <w:t>14.违约</w:t>
      </w:r>
      <w:bookmarkEnd w:id="58"/>
      <w:bookmarkEnd w:id="59"/>
    </w:p>
    <w:p w14:paraId="406341E8">
      <w:pPr>
        <w:pStyle w:val="701"/>
        <w:tabs>
          <w:tab w:val="left" w:pos="1082"/>
        </w:tabs>
        <w:autoSpaceDE w:val="0"/>
        <w:autoSpaceDN w:val="0"/>
        <w:spacing w:line="520" w:lineRule="exact"/>
        <w:ind w:firstLine="482"/>
        <w:jc w:val="left"/>
        <w:rPr>
          <w:rFonts w:hint="eastAsia"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14.1 咨询人违约</w:t>
      </w:r>
    </w:p>
    <w:p w14:paraId="4BDAEB03">
      <w:pPr>
        <w:pStyle w:val="701"/>
        <w:tabs>
          <w:tab w:val="left" w:pos="1567"/>
        </w:tabs>
        <w:autoSpaceDE w:val="0"/>
        <w:autoSpaceDN w:val="0"/>
        <w:spacing w:line="520" w:lineRule="exact"/>
        <w:ind w:firstLine="480"/>
        <w:jc w:val="left"/>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14.1.1 合同履行中发生下列情况之一的，属咨询人违约：</w:t>
      </w:r>
    </w:p>
    <w:p w14:paraId="263B5452">
      <w:pPr>
        <w:pStyle w:val="701"/>
        <w:tabs>
          <w:tab w:val="left" w:pos="1511"/>
        </w:tabs>
        <w:autoSpaceDE w:val="0"/>
        <w:autoSpaceDN w:val="0"/>
        <w:spacing w:line="520" w:lineRule="exact"/>
        <w:ind w:firstLine="48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（1）咨询服务成果文件不符合法律以及合同约定；</w:t>
      </w:r>
    </w:p>
    <w:p w14:paraId="0B2DC7E8">
      <w:pPr>
        <w:pStyle w:val="701"/>
        <w:tabs>
          <w:tab w:val="left" w:pos="1511"/>
        </w:tabs>
        <w:autoSpaceDE w:val="0"/>
        <w:autoSpaceDN w:val="0"/>
        <w:spacing w:line="520" w:lineRule="exact"/>
        <w:ind w:firstLine="48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（2）咨询人转包、违法分包或者未经委托人同意擅自分包；</w:t>
      </w:r>
    </w:p>
    <w:p w14:paraId="32A1D592">
      <w:pPr>
        <w:pStyle w:val="701"/>
        <w:tabs>
          <w:tab w:val="left" w:pos="1511"/>
        </w:tabs>
        <w:autoSpaceDE w:val="0"/>
        <w:autoSpaceDN w:val="0"/>
        <w:spacing w:line="520" w:lineRule="exact"/>
        <w:ind w:firstLine="48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（3）咨询人未按合同计划完成咨询服务，从而造成工程损失；</w:t>
      </w:r>
    </w:p>
    <w:p w14:paraId="5C6E259F">
      <w:pPr>
        <w:pStyle w:val="701"/>
        <w:tabs>
          <w:tab w:val="left" w:pos="1506"/>
        </w:tabs>
        <w:autoSpaceDE w:val="0"/>
        <w:autoSpaceDN w:val="0"/>
        <w:spacing w:line="520" w:lineRule="exact"/>
        <w:ind w:firstLine="48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（4）咨询人明确表示或以其行为表明不履行合同主要义务的；</w:t>
      </w:r>
    </w:p>
    <w:p w14:paraId="553EC4D7">
      <w:pPr>
        <w:pStyle w:val="701"/>
        <w:tabs>
          <w:tab w:val="left" w:pos="1511"/>
        </w:tabs>
        <w:autoSpaceDE w:val="0"/>
        <w:autoSpaceDN w:val="0"/>
        <w:spacing w:line="520" w:lineRule="exact"/>
        <w:ind w:firstLine="48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（5）咨询人不履行合同约定的其他义务。</w:t>
      </w:r>
    </w:p>
    <w:p w14:paraId="59B91B0A">
      <w:pPr>
        <w:pStyle w:val="701"/>
        <w:tabs>
          <w:tab w:val="left" w:pos="1598"/>
        </w:tabs>
        <w:autoSpaceDE w:val="0"/>
        <w:autoSpaceDN w:val="0"/>
        <w:spacing w:line="520" w:lineRule="exact"/>
        <w:ind w:firstLine="480"/>
        <w:jc w:val="left"/>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14.1.2 咨询人发生违约情况时，委托人可向咨询人发出整改通知，要求其在限定期限内纠正；逾期仍不纠正的，委托人有权解除合同并向咨询人发出解除合同通知。咨询人应当承担由于违约所造成的费用增加、周期延误和委托人损失等。</w:t>
      </w:r>
    </w:p>
    <w:p w14:paraId="31BFEC6C">
      <w:pPr>
        <w:pStyle w:val="701"/>
        <w:tabs>
          <w:tab w:val="left" w:pos="1082"/>
        </w:tabs>
        <w:autoSpaceDE w:val="0"/>
        <w:autoSpaceDN w:val="0"/>
        <w:spacing w:line="520" w:lineRule="exact"/>
        <w:ind w:firstLine="482"/>
        <w:jc w:val="left"/>
        <w:rPr>
          <w:rFonts w:hint="eastAsia"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14.2 委托人违约</w:t>
      </w:r>
    </w:p>
    <w:p w14:paraId="5A8F5096">
      <w:pPr>
        <w:pStyle w:val="701"/>
        <w:tabs>
          <w:tab w:val="left" w:pos="1567"/>
        </w:tabs>
        <w:autoSpaceDE w:val="0"/>
        <w:autoSpaceDN w:val="0"/>
        <w:spacing w:line="520" w:lineRule="exact"/>
        <w:ind w:firstLine="480"/>
        <w:jc w:val="left"/>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14.2.1 合同履行中发生下列情况之一的，属委托人违约：</w:t>
      </w:r>
    </w:p>
    <w:p w14:paraId="18DF9CB4">
      <w:pPr>
        <w:pStyle w:val="701"/>
        <w:tabs>
          <w:tab w:val="left" w:pos="1511"/>
        </w:tabs>
        <w:autoSpaceDE w:val="0"/>
        <w:autoSpaceDN w:val="0"/>
        <w:spacing w:line="520" w:lineRule="exact"/>
        <w:ind w:firstLine="48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（1）委托人未按合同约定支付咨询服务费用；</w:t>
      </w:r>
    </w:p>
    <w:p w14:paraId="5E8BAB6B">
      <w:pPr>
        <w:pStyle w:val="701"/>
        <w:tabs>
          <w:tab w:val="left" w:pos="1511"/>
        </w:tabs>
        <w:autoSpaceDE w:val="0"/>
        <w:autoSpaceDN w:val="0"/>
        <w:spacing w:line="520" w:lineRule="exact"/>
        <w:ind w:firstLine="48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（2）委托人原因造成咨询服务停止；</w:t>
      </w:r>
    </w:p>
    <w:p w14:paraId="307F789E">
      <w:pPr>
        <w:pStyle w:val="701"/>
        <w:tabs>
          <w:tab w:val="left" w:pos="1506"/>
        </w:tabs>
        <w:autoSpaceDE w:val="0"/>
        <w:autoSpaceDN w:val="0"/>
        <w:spacing w:line="520" w:lineRule="exact"/>
        <w:ind w:firstLine="48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（3）委托人明确表示或以其行为表明不履行合同主要义务的；</w:t>
      </w:r>
    </w:p>
    <w:p w14:paraId="273B4415">
      <w:pPr>
        <w:pStyle w:val="701"/>
        <w:tabs>
          <w:tab w:val="left" w:pos="1511"/>
        </w:tabs>
        <w:autoSpaceDE w:val="0"/>
        <w:autoSpaceDN w:val="0"/>
        <w:spacing w:line="520" w:lineRule="exact"/>
        <w:ind w:firstLine="48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（4）委托人不履行合同约定的其他义务。</w:t>
      </w:r>
    </w:p>
    <w:p w14:paraId="42209570">
      <w:pPr>
        <w:pStyle w:val="701"/>
        <w:tabs>
          <w:tab w:val="left" w:pos="1598"/>
        </w:tabs>
        <w:autoSpaceDE w:val="0"/>
        <w:autoSpaceDN w:val="0"/>
        <w:spacing w:line="520" w:lineRule="exact"/>
        <w:ind w:firstLine="480"/>
        <w:jc w:val="left"/>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14.2.2 委托人发生违约情况时，咨询人可向委托人发出暂停咨询服务通知，要求其在限定期限内纠正；逾期仍不纠正的，咨询人有权解除合同并向委托人发出解除合同通知。委托人应当承担由于违约所造成的费用增加、周期延误和咨询人损失等。</w:t>
      </w:r>
    </w:p>
    <w:p w14:paraId="754D6A7A">
      <w:pPr>
        <w:pStyle w:val="701"/>
        <w:tabs>
          <w:tab w:val="left" w:pos="1082"/>
        </w:tabs>
        <w:autoSpaceDE w:val="0"/>
        <w:autoSpaceDN w:val="0"/>
        <w:spacing w:line="520" w:lineRule="exact"/>
        <w:ind w:firstLine="482"/>
        <w:jc w:val="left"/>
        <w:rPr>
          <w:rFonts w:hint="eastAsia"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14.3 第三人造成的违约</w:t>
      </w:r>
    </w:p>
    <w:p w14:paraId="68CDEE03">
      <w:pPr>
        <w:pStyle w:val="33"/>
        <w:spacing w:after="0" w:line="520" w:lineRule="exact"/>
        <w:ind w:firstLine="480" w:firstLineChars="20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在履行合同过程中，一方当事人因第三人的原因造成违约的，应当向对方当事人承担违约责任。一方当事人和第三人之间的纠纷，依照法律规定或者按照约定解决。</w:t>
      </w:r>
    </w:p>
    <w:p w14:paraId="388DFF44">
      <w:pPr>
        <w:pStyle w:val="723"/>
        <w:spacing w:line="520" w:lineRule="exact"/>
        <w:ind w:firstLine="482"/>
        <w:outlineLvl w:val="1"/>
        <w:rPr>
          <w:rFonts w:ascii="宋体" w:hAnsi="宋体" w:eastAsia="宋体"/>
          <w:b w:val="0"/>
          <w:bCs/>
          <w:color w:val="000000" w:themeColor="text1"/>
          <w:szCs w:val="24"/>
          <w:highlight w:val="none"/>
          <w14:textFill>
            <w14:solidFill>
              <w14:schemeClr w14:val="tx1"/>
            </w14:solidFill>
          </w14:textFill>
        </w:rPr>
      </w:pPr>
      <w:bookmarkStart w:id="60" w:name="_Toc161231757"/>
      <w:bookmarkStart w:id="61" w:name="_Toc156986245"/>
      <w:r>
        <w:rPr>
          <w:rFonts w:ascii="宋体" w:hAnsi="宋体" w:eastAsia="宋体"/>
          <w:bCs/>
          <w:color w:val="000000" w:themeColor="text1"/>
          <w:szCs w:val="24"/>
          <w:highlight w:val="none"/>
          <w14:textFill>
            <w14:solidFill>
              <w14:schemeClr w14:val="tx1"/>
            </w14:solidFill>
          </w14:textFill>
        </w:rPr>
        <w:t>15.争议的解决</w:t>
      </w:r>
      <w:bookmarkEnd w:id="60"/>
      <w:bookmarkEnd w:id="61"/>
    </w:p>
    <w:p w14:paraId="609C5CF2">
      <w:pPr>
        <w:spacing w:line="520" w:lineRule="exact"/>
        <w:ind w:firstLine="480" w:firstLineChars="20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委托人和咨询人在履行合同中发生争议的，可以友好协商解决。合同当事人友好协商解决不成的，可在专用合同条款中约定下列一种方式解决：</w:t>
      </w:r>
    </w:p>
    <w:p w14:paraId="3E4BE813">
      <w:pPr>
        <w:spacing w:line="520" w:lineRule="exact"/>
        <w:ind w:firstLine="480" w:firstLineChars="20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（1）向约定的仲裁委员会申请仲裁；</w:t>
      </w:r>
    </w:p>
    <w:p w14:paraId="2493BFDC">
      <w:pPr>
        <w:spacing w:line="520" w:lineRule="exact"/>
        <w:ind w:firstLine="480" w:firstLineChars="20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（2）向有管辖权的人民法院提起诉讼。</w:t>
      </w:r>
    </w:p>
    <w:p w14:paraId="68848B10">
      <w:pPr>
        <w:spacing w:line="360" w:lineRule="auto"/>
        <w:rPr>
          <w:color w:val="000000" w:themeColor="text1"/>
          <w:sz w:val="24"/>
          <w:highlight w:val="none"/>
          <w14:textFill>
            <w14:solidFill>
              <w14:schemeClr w14:val="tx1"/>
            </w14:solidFill>
          </w14:textFill>
        </w:rPr>
      </w:pPr>
    </w:p>
    <w:p w14:paraId="205C85DA">
      <w:pPr>
        <w:pageBreakBefore w:val="0"/>
        <w:widowControl/>
        <w:kinsoku/>
        <w:wordWrap/>
        <w:overflowPunct/>
        <w:topLinePunct w:val="0"/>
        <w:autoSpaceDE/>
        <w:autoSpaceDN/>
        <w:bidi w:val="0"/>
        <w:spacing w:before="260" w:after="260" w:line="440" w:lineRule="exact"/>
        <w:jc w:val="center"/>
        <w:outlineLvl w:val="1"/>
        <w:rPr>
          <w:rFonts w:hint="eastAsia" w:ascii="宋体" w:hAnsi="宋体" w:eastAsia="宋体" w:cs="宋体"/>
          <w:b/>
          <w:bCs/>
          <w:color w:val="auto"/>
          <w:spacing w:val="1"/>
          <w:kern w:val="0"/>
          <w:sz w:val="32"/>
          <w:szCs w:val="32"/>
          <w:highlight w:val="none"/>
        </w:rPr>
      </w:pPr>
      <w:r>
        <w:rPr>
          <w:color w:val="000000" w:themeColor="text1"/>
          <w:sz w:val="24"/>
          <w:szCs w:val="24"/>
          <w:highlight w:val="none"/>
          <w14:textFill>
            <w14:solidFill>
              <w14:schemeClr w14:val="tx1"/>
            </w14:solidFill>
          </w14:textFill>
        </w:rPr>
        <w:br w:type="page"/>
      </w:r>
      <w:bookmarkEnd w:id="21"/>
      <w:bookmarkEnd w:id="22"/>
      <w:bookmarkEnd w:id="23"/>
      <w:bookmarkEnd w:id="24"/>
      <w:bookmarkEnd w:id="25"/>
      <w:bookmarkEnd w:id="26"/>
      <w:bookmarkEnd w:id="27"/>
      <w:bookmarkEnd w:id="28"/>
      <w:bookmarkEnd w:id="29"/>
      <w:bookmarkEnd w:id="30"/>
      <w:bookmarkEnd w:id="31"/>
      <w:bookmarkStart w:id="62" w:name="_Toc234833230"/>
      <w:r>
        <w:rPr>
          <w:rFonts w:hint="eastAsia" w:ascii="宋体" w:hAnsi="宋体" w:eastAsia="宋体" w:cs="宋体"/>
          <w:b/>
          <w:bCs/>
          <w:color w:val="auto"/>
          <w:spacing w:val="1"/>
          <w:kern w:val="0"/>
          <w:sz w:val="32"/>
          <w:szCs w:val="32"/>
          <w:highlight w:val="none"/>
        </w:rPr>
        <w:t>第二节</w:t>
      </w:r>
      <w:r>
        <w:rPr>
          <w:rFonts w:hint="eastAsia" w:ascii="宋体" w:hAnsi="宋体" w:eastAsia="宋体" w:cs="宋体"/>
          <w:b/>
          <w:bCs/>
          <w:color w:val="auto"/>
          <w:spacing w:val="1"/>
          <w:kern w:val="0"/>
          <w:sz w:val="32"/>
          <w:szCs w:val="32"/>
          <w:highlight w:val="none"/>
          <w:lang w:val="en-US" w:eastAsia="zh-CN"/>
        </w:rPr>
        <w:t xml:space="preserve"> </w:t>
      </w:r>
      <w:r>
        <w:rPr>
          <w:rFonts w:hint="eastAsia" w:ascii="宋体" w:hAnsi="宋体" w:eastAsia="宋体" w:cs="宋体"/>
          <w:b/>
          <w:bCs/>
          <w:color w:val="auto"/>
          <w:spacing w:val="1"/>
          <w:kern w:val="0"/>
          <w:sz w:val="32"/>
          <w:szCs w:val="32"/>
          <w:highlight w:val="none"/>
        </w:rPr>
        <w:t>专用合同条款</w:t>
      </w:r>
    </w:p>
    <w:p w14:paraId="0D8196E7">
      <w:pPr>
        <w:pageBreakBefore w:val="0"/>
        <w:widowControl/>
        <w:kinsoku/>
        <w:wordWrap/>
        <w:overflowPunct/>
        <w:topLinePunct w:val="0"/>
        <w:autoSpaceDE/>
        <w:autoSpaceDN/>
        <w:bidi w:val="0"/>
        <w:spacing w:after="120" w:line="440" w:lineRule="exact"/>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本合同条款是对咨询服务通用合同条款中相关条款的补充、修改或增加。当专用合同条款与通用条款不一致时，以专用合同条款为准，通用合同条款中未作修改或增补的条款继续有效。</w:t>
      </w:r>
    </w:p>
    <w:p w14:paraId="7D2766B8">
      <w:pPr>
        <w:keepNext/>
        <w:pageBreakBefore w:val="0"/>
        <w:kinsoku/>
        <w:wordWrap/>
        <w:overflowPunct/>
        <w:topLinePunct w:val="0"/>
        <w:autoSpaceDE/>
        <w:autoSpaceDN/>
        <w:bidi w:val="0"/>
        <w:spacing w:before="60" w:beforeLines="25" w:after="60" w:afterLines="25" w:line="440" w:lineRule="exact"/>
        <w:jc w:val="both"/>
        <w:outlineLvl w:val="2"/>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1．一般约定</w:t>
      </w:r>
    </w:p>
    <w:p w14:paraId="2D7DE4F1">
      <w:pPr>
        <w:keepNext/>
        <w:keepLines/>
        <w:pageBreakBefore w:val="0"/>
        <w:kinsoku/>
        <w:wordWrap/>
        <w:overflowPunct/>
        <w:topLinePunct w:val="0"/>
        <w:autoSpaceDE/>
        <w:autoSpaceDN/>
        <w:bidi w:val="0"/>
        <w:spacing w:before="60" w:beforeLines="25" w:after="60" w:afterLines="25" w:line="440" w:lineRule="exact"/>
        <w:ind w:firstLine="480" w:firstLineChars="200"/>
        <w:jc w:val="both"/>
        <w:outlineLvl w:val="3"/>
        <w:rPr>
          <w:rFonts w:hint="eastAsia" w:ascii="宋体" w:hAnsi="宋体" w:eastAsia="宋体" w:cs="宋体"/>
          <w:b w:val="0"/>
          <w:bCs w:val="0"/>
          <w:i w:val="0"/>
          <w:iCs/>
          <w:color w:val="auto"/>
          <w:kern w:val="2"/>
          <w:sz w:val="24"/>
          <w:szCs w:val="24"/>
          <w:highlight w:val="none"/>
          <w:lang w:val="en-US" w:eastAsia="zh-CN" w:bidi="ar-SA"/>
        </w:rPr>
      </w:pPr>
      <w:bookmarkStart w:id="63" w:name="_Toc237230858"/>
      <w:r>
        <w:rPr>
          <w:rFonts w:hint="eastAsia" w:ascii="宋体" w:hAnsi="宋体" w:eastAsia="宋体" w:cs="宋体"/>
          <w:b w:val="0"/>
          <w:bCs w:val="0"/>
          <w:i w:val="0"/>
          <w:iCs/>
          <w:color w:val="auto"/>
          <w:kern w:val="2"/>
          <w:sz w:val="24"/>
          <w:szCs w:val="24"/>
          <w:highlight w:val="none"/>
          <w:lang w:val="en-US" w:eastAsia="zh-CN" w:bidi="ar-SA"/>
        </w:rPr>
        <w:t>1.1 词语定义</w:t>
      </w:r>
      <w:bookmarkEnd w:id="63"/>
    </w:p>
    <w:p w14:paraId="4262B1AC">
      <w:pPr>
        <w:pageBreakBefore w:val="0"/>
        <w:widowControl/>
        <w:kinsoku/>
        <w:wordWrap/>
        <w:overflowPunct/>
        <w:topLinePunct w:val="0"/>
        <w:autoSpaceDE/>
        <w:autoSpaceDN/>
        <w:bidi w:val="0"/>
        <w:spacing w:before="60" w:beforeLines="25" w:after="60" w:afterLines="25" w:line="440" w:lineRule="exact"/>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合同条款的下列词语应具有本款所赋予的含义。</w:t>
      </w:r>
    </w:p>
    <w:p w14:paraId="4AC3AD8C">
      <w:pPr>
        <w:pageBreakBefore w:val="0"/>
        <w:widowControl/>
        <w:kinsoku/>
        <w:wordWrap/>
        <w:overflowPunct/>
        <w:topLinePunct w:val="0"/>
        <w:autoSpaceDE/>
        <w:autoSpaceDN/>
        <w:bidi w:val="0"/>
        <w:spacing w:before="60" w:beforeLines="25" w:after="60" w:afterLines="25" w:line="440" w:lineRule="exact"/>
        <w:ind w:firstLine="480" w:firstLineChars="200"/>
        <w:jc w:val="left"/>
        <w:outlineLvl w:val="4"/>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1.1.1 合同</w:t>
      </w:r>
    </w:p>
    <w:p w14:paraId="2A2E3E53">
      <w:pPr>
        <w:pageBreakBefore w:val="0"/>
        <w:widowControl/>
        <w:kinsoku/>
        <w:wordWrap/>
        <w:overflowPunct/>
        <w:topLinePunct w:val="0"/>
        <w:autoSpaceDE/>
        <w:autoSpaceDN/>
        <w:bidi w:val="0"/>
        <w:spacing w:before="60" w:beforeLines="25" w:after="60" w:afterLines="25" w:line="440" w:lineRule="exact"/>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1.1.1.1 合同文件（或称合同）：指合同协议书、中标通知书、投标函（报价函）及投标函附录、合同条款、技术标准和要求，以及其他合同文件。</w:t>
      </w:r>
    </w:p>
    <w:p w14:paraId="3A546955">
      <w:pPr>
        <w:pageBreakBefore w:val="0"/>
        <w:widowControl/>
        <w:kinsoku/>
        <w:wordWrap/>
        <w:overflowPunct/>
        <w:topLinePunct w:val="0"/>
        <w:autoSpaceDE/>
        <w:autoSpaceDN/>
        <w:bidi w:val="0"/>
        <w:spacing w:before="60" w:beforeLines="25" w:after="60" w:afterLines="25" w:line="440" w:lineRule="exact"/>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1.1.1.2 合同协议书：指第1.5 款所指的合同协议书。</w:t>
      </w:r>
    </w:p>
    <w:p w14:paraId="020E3049">
      <w:pPr>
        <w:pageBreakBefore w:val="0"/>
        <w:widowControl/>
        <w:kinsoku/>
        <w:wordWrap/>
        <w:overflowPunct/>
        <w:topLinePunct w:val="0"/>
        <w:autoSpaceDE/>
        <w:autoSpaceDN/>
        <w:bidi w:val="0"/>
        <w:spacing w:before="60" w:beforeLines="25" w:after="60" w:afterLines="25" w:line="440" w:lineRule="exact"/>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1.1.1.3 中标通知书：指发包人通知承包人中标的函件。</w:t>
      </w:r>
    </w:p>
    <w:p w14:paraId="36FA7301">
      <w:pPr>
        <w:pageBreakBefore w:val="0"/>
        <w:widowControl/>
        <w:kinsoku/>
        <w:wordWrap/>
        <w:overflowPunct/>
        <w:topLinePunct w:val="0"/>
        <w:autoSpaceDE/>
        <w:autoSpaceDN/>
        <w:bidi w:val="0"/>
        <w:spacing w:before="60" w:beforeLines="25" w:after="60" w:afterLines="25" w:line="440" w:lineRule="exact"/>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1.1.1.4 投标函（报价函）：指构成合同文件组成部分的由承包人填写并签署的投标函（报价函）。</w:t>
      </w:r>
    </w:p>
    <w:p w14:paraId="19D26887">
      <w:pPr>
        <w:pageBreakBefore w:val="0"/>
        <w:widowControl/>
        <w:kinsoku/>
        <w:wordWrap/>
        <w:overflowPunct/>
        <w:topLinePunct w:val="0"/>
        <w:autoSpaceDE/>
        <w:autoSpaceDN/>
        <w:bidi w:val="0"/>
        <w:spacing w:before="60" w:beforeLines="25" w:after="60" w:afterLines="25" w:line="440" w:lineRule="exact"/>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1.1.1.5 投标函（报价函）附录：指附在投标函（报价函）后构成合同文件的投标函附录。</w:t>
      </w:r>
    </w:p>
    <w:p w14:paraId="6989ACB9">
      <w:pPr>
        <w:pageBreakBefore w:val="0"/>
        <w:widowControl/>
        <w:kinsoku/>
        <w:wordWrap/>
        <w:overflowPunct/>
        <w:topLinePunct w:val="0"/>
        <w:autoSpaceDE/>
        <w:autoSpaceDN/>
        <w:bidi w:val="0"/>
        <w:spacing w:before="60" w:beforeLines="25" w:after="60" w:afterLines="25" w:line="440" w:lineRule="exact"/>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1.1.1.6 技术标准和要求：指构成合同文件组成部分的名为技术标准和要求的文件，包括合同双方当事人约定对其所作的修改或补充。</w:t>
      </w:r>
    </w:p>
    <w:p w14:paraId="0ABAC649">
      <w:pPr>
        <w:pageBreakBefore w:val="0"/>
        <w:widowControl/>
        <w:kinsoku/>
        <w:wordWrap/>
        <w:overflowPunct/>
        <w:topLinePunct w:val="0"/>
        <w:autoSpaceDE/>
        <w:autoSpaceDN/>
        <w:bidi w:val="0"/>
        <w:spacing w:before="60" w:beforeLines="25" w:after="60" w:afterLines="25" w:line="440" w:lineRule="exact"/>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1.1.1.7 其他合同文件：指经合同双方当事人确认构成合同文件的其他文件。</w:t>
      </w:r>
    </w:p>
    <w:p w14:paraId="469B2449">
      <w:pPr>
        <w:pageBreakBefore w:val="0"/>
        <w:widowControl/>
        <w:kinsoku/>
        <w:wordWrap/>
        <w:overflowPunct/>
        <w:topLinePunct w:val="0"/>
        <w:autoSpaceDE/>
        <w:autoSpaceDN/>
        <w:bidi w:val="0"/>
        <w:spacing w:before="60" w:beforeLines="25" w:after="60" w:afterLines="25" w:line="440" w:lineRule="exact"/>
        <w:ind w:firstLine="480" w:firstLineChars="200"/>
        <w:jc w:val="left"/>
        <w:outlineLvl w:val="4"/>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1.1.2 合同当事人和人员</w:t>
      </w:r>
    </w:p>
    <w:p w14:paraId="092B6849">
      <w:pPr>
        <w:pageBreakBefore w:val="0"/>
        <w:widowControl/>
        <w:kinsoku/>
        <w:wordWrap/>
        <w:overflowPunct/>
        <w:topLinePunct w:val="0"/>
        <w:autoSpaceDE/>
        <w:autoSpaceDN/>
        <w:bidi w:val="0"/>
        <w:spacing w:before="60" w:beforeLines="25" w:after="60" w:afterLines="25" w:line="440" w:lineRule="exact"/>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1.1.2.1 合同当事人：指发包人和（或）承包人。</w:t>
      </w:r>
    </w:p>
    <w:p w14:paraId="2842D150">
      <w:pPr>
        <w:pageBreakBefore w:val="0"/>
        <w:widowControl/>
        <w:kinsoku/>
        <w:wordWrap/>
        <w:overflowPunct/>
        <w:topLinePunct w:val="0"/>
        <w:autoSpaceDE/>
        <w:autoSpaceDN/>
        <w:bidi w:val="0"/>
        <w:spacing w:before="60" w:beforeLines="25" w:after="60" w:afterLines="25" w:line="440" w:lineRule="exact"/>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1.1.2.2 发包人：指与承包人在合同协议书中签字的当事人，本项目指“湖南省新新张官高速公路建设开发有限公司</w:t>
      </w:r>
      <w:r>
        <w:rPr>
          <w:rFonts w:hint="eastAsia" w:ascii="宋体" w:hAnsi="宋体" w:eastAsia="宋体" w:cs="宋体"/>
          <w:b w:val="0"/>
          <w:bCs w:val="0"/>
          <w:color w:val="auto"/>
          <w:sz w:val="24"/>
          <w:szCs w:val="24"/>
          <w:highlight w:val="none"/>
          <w:lang w:val="en-US" w:eastAsia="zh-CN"/>
        </w:rPr>
        <w:t>张家界</w:t>
      </w:r>
      <w:r>
        <w:rPr>
          <w:rFonts w:hint="eastAsia" w:ascii="宋体" w:hAnsi="宋体" w:eastAsia="宋体" w:cs="宋体"/>
          <w:b w:val="0"/>
          <w:bCs w:val="0"/>
          <w:color w:val="auto"/>
          <w:sz w:val="24"/>
          <w:szCs w:val="24"/>
          <w:highlight w:val="none"/>
        </w:rPr>
        <w:t>分公司”。</w:t>
      </w:r>
    </w:p>
    <w:p w14:paraId="7F29630A">
      <w:pPr>
        <w:pageBreakBefore w:val="0"/>
        <w:widowControl/>
        <w:kinsoku/>
        <w:wordWrap/>
        <w:overflowPunct/>
        <w:topLinePunct w:val="0"/>
        <w:autoSpaceDE/>
        <w:autoSpaceDN/>
        <w:bidi w:val="0"/>
        <w:spacing w:before="60" w:beforeLines="25" w:after="60" w:afterLines="25" w:line="440" w:lineRule="exact"/>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1.1.2.3 承包人：指与发包人签订合同协议书的当事人，及其合法继承人。</w:t>
      </w:r>
    </w:p>
    <w:p w14:paraId="30FD2C79">
      <w:pPr>
        <w:pageBreakBefore w:val="0"/>
        <w:widowControl/>
        <w:kinsoku/>
        <w:wordWrap/>
        <w:overflowPunct/>
        <w:topLinePunct w:val="0"/>
        <w:autoSpaceDE/>
        <w:autoSpaceDN/>
        <w:bidi w:val="0"/>
        <w:spacing w:before="60" w:beforeLines="25" w:after="60" w:afterLines="25" w:line="440" w:lineRule="exact"/>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1.1.2.4 承包人项目负责人：指由承包人任命，代表承包人行使权利和履行义务的全权负责人。</w:t>
      </w:r>
    </w:p>
    <w:p w14:paraId="402E69EC">
      <w:pPr>
        <w:pageBreakBefore w:val="0"/>
        <w:widowControl/>
        <w:kinsoku/>
        <w:wordWrap/>
        <w:overflowPunct/>
        <w:topLinePunct w:val="0"/>
        <w:autoSpaceDE/>
        <w:autoSpaceDN/>
        <w:bidi w:val="0"/>
        <w:spacing w:before="60" w:beforeLines="25" w:after="60" w:afterLines="25" w:line="440" w:lineRule="exact"/>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1.1.2.5 分包人：指从承包人处分包合同中某一部分工程，并与其签订分包合同的分包人。</w:t>
      </w:r>
    </w:p>
    <w:p w14:paraId="44B03525">
      <w:pPr>
        <w:pageBreakBefore w:val="0"/>
        <w:widowControl/>
        <w:kinsoku/>
        <w:wordWrap/>
        <w:overflowPunct/>
        <w:topLinePunct w:val="0"/>
        <w:autoSpaceDE/>
        <w:autoSpaceDN/>
        <w:bidi w:val="0"/>
        <w:spacing w:before="60" w:beforeLines="25" w:after="60" w:afterLines="25" w:line="440" w:lineRule="exact"/>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1.1.2.6 监理人：指受发包人委托对合同履行实施管理的法人或其他组织。本项目监理人已由发包人通过公开招标的方式选定。</w:t>
      </w:r>
    </w:p>
    <w:p w14:paraId="56C7DB31">
      <w:pPr>
        <w:pageBreakBefore w:val="0"/>
        <w:widowControl w:val="0"/>
        <w:kinsoku/>
        <w:wordWrap/>
        <w:overflowPunct/>
        <w:topLinePunct w:val="0"/>
        <w:autoSpaceDE/>
        <w:autoSpaceDN/>
        <w:bidi w:val="0"/>
        <w:spacing w:line="440" w:lineRule="exact"/>
        <w:ind w:firstLine="480" w:firstLineChars="200"/>
        <w:jc w:val="both"/>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1.1.2.7 行政管理部门：指交通运输主管部门或对本工程依法享有行政监督权的其他政府部门。</w:t>
      </w:r>
    </w:p>
    <w:p w14:paraId="3D2B44BA">
      <w:pPr>
        <w:pageBreakBefore w:val="0"/>
        <w:widowControl/>
        <w:kinsoku/>
        <w:wordWrap/>
        <w:overflowPunct/>
        <w:topLinePunct w:val="0"/>
        <w:autoSpaceDE/>
        <w:autoSpaceDN/>
        <w:bidi w:val="0"/>
        <w:spacing w:line="440" w:lineRule="exact"/>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1.1.2.8 第三方：指除发包人、承包人之外与本工程建设相关的其他当事人。</w:t>
      </w:r>
    </w:p>
    <w:p w14:paraId="34394D93">
      <w:pPr>
        <w:pageBreakBefore w:val="0"/>
        <w:widowControl/>
        <w:kinsoku/>
        <w:wordWrap/>
        <w:overflowPunct/>
        <w:topLinePunct w:val="0"/>
        <w:autoSpaceDE/>
        <w:autoSpaceDN/>
        <w:bidi w:val="0"/>
        <w:spacing w:before="60" w:beforeLines="25" w:after="60" w:afterLines="25" w:line="440" w:lineRule="exact"/>
        <w:ind w:firstLine="480" w:firstLineChars="200"/>
        <w:jc w:val="left"/>
        <w:outlineLvl w:val="4"/>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1.1.3 工程和设备</w:t>
      </w:r>
    </w:p>
    <w:p w14:paraId="3CD67D5D">
      <w:pPr>
        <w:pageBreakBefore w:val="0"/>
        <w:widowControl/>
        <w:kinsoku/>
        <w:wordWrap/>
        <w:overflowPunct/>
        <w:topLinePunct w:val="0"/>
        <w:autoSpaceDE/>
        <w:autoSpaceDN/>
        <w:bidi w:val="0"/>
        <w:spacing w:before="60" w:beforeLines="25" w:after="60" w:afterLines="25" w:line="440" w:lineRule="exact"/>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1.1.3.1 工程：为完成项目所实施的一项或若干项永久或临时工程（包括向发包人提供的物资和设备）。</w:t>
      </w:r>
    </w:p>
    <w:p w14:paraId="192DD868">
      <w:pPr>
        <w:pageBreakBefore w:val="0"/>
        <w:widowControl/>
        <w:kinsoku/>
        <w:wordWrap/>
        <w:overflowPunct/>
        <w:topLinePunct w:val="0"/>
        <w:autoSpaceDE/>
        <w:autoSpaceDN/>
        <w:bidi w:val="0"/>
        <w:spacing w:before="60" w:beforeLines="25" w:after="60" w:afterLines="25" w:line="440" w:lineRule="exact"/>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1.1.3.2 永久工程：指按合同约定建造并移交给发包人的工程，包括工程设备。</w:t>
      </w:r>
    </w:p>
    <w:p w14:paraId="5CCD4BF1">
      <w:pPr>
        <w:pageBreakBefore w:val="0"/>
        <w:widowControl/>
        <w:kinsoku/>
        <w:wordWrap/>
        <w:overflowPunct/>
        <w:topLinePunct w:val="0"/>
        <w:autoSpaceDE/>
        <w:autoSpaceDN/>
        <w:bidi w:val="0"/>
        <w:spacing w:before="60" w:beforeLines="25" w:after="60" w:afterLines="25" w:line="440" w:lineRule="exact"/>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1.1.3.3 临时工程：指为完成合同约定的永久工程所修建的各类临时性工程。</w:t>
      </w:r>
    </w:p>
    <w:p w14:paraId="72042F5A">
      <w:pPr>
        <w:pageBreakBefore w:val="0"/>
        <w:widowControl/>
        <w:kinsoku/>
        <w:wordWrap/>
        <w:overflowPunct/>
        <w:topLinePunct w:val="0"/>
        <w:autoSpaceDE/>
        <w:autoSpaceDN/>
        <w:bidi w:val="0"/>
        <w:spacing w:before="60" w:beforeLines="25" w:after="60" w:afterLines="25" w:line="440" w:lineRule="exact"/>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1.1.3.4 工程设备：指构成或计划构成永久工程一部分的机电设备、金属结构设备、仪器装置及其他类似的设备和装置。</w:t>
      </w:r>
    </w:p>
    <w:p w14:paraId="19C037FA">
      <w:pPr>
        <w:pageBreakBefore w:val="0"/>
        <w:widowControl/>
        <w:kinsoku/>
        <w:wordWrap/>
        <w:overflowPunct/>
        <w:topLinePunct w:val="0"/>
        <w:autoSpaceDE/>
        <w:autoSpaceDN/>
        <w:bidi w:val="0"/>
        <w:spacing w:before="60" w:beforeLines="25" w:after="60" w:afterLines="25" w:line="440" w:lineRule="exact"/>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1.1.3.5 试验检测设备：指为完成合同约定的各项工作所需的设备、器具和其他物品，不包括临时工程和材料。</w:t>
      </w:r>
    </w:p>
    <w:p w14:paraId="7DBDDC1E">
      <w:pPr>
        <w:pageBreakBefore w:val="0"/>
        <w:widowControl/>
        <w:kinsoku/>
        <w:wordWrap/>
        <w:overflowPunct/>
        <w:topLinePunct w:val="0"/>
        <w:autoSpaceDE/>
        <w:autoSpaceDN/>
        <w:bidi w:val="0"/>
        <w:spacing w:before="60" w:beforeLines="25" w:after="60" w:afterLines="25" w:line="440" w:lineRule="exact"/>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1.1.3.6 承包人设备：指承包人自带的试验检测设备。</w:t>
      </w:r>
    </w:p>
    <w:p w14:paraId="2A4D59E9">
      <w:pPr>
        <w:pageBreakBefore w:val="0"/>
        <w:widowControl/>
        <w:kinsoku/>
        <w:wordWrap/>
        <w:overflowPunct/>
        <w:topLinePunct w:val="0"/>
        <w:autoSpaceDE/>
        <w:autoSpaceDN/>
        <w:bidi w:val="0"/>
        <w:spacing w:before="60" w:beforeLines="25" w:after="60" w:afterLines="25" w:line="440" w:lineRule="exact"/>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1.1.3.7 施工场地（或称工地、现场）：指用于合同工程试验检测的场所，以及在合同中指定作为</w:t>
      </w:r>
      <w:r>
        <w:rPr>
          <w:rFonts w:hint="eastAsia" w:ascii="宋体" w:hAnsi="宋体" w:cs="宋体"/>
          <w:b w:val="0"/>
          <w:bCs w:val="0"/>
          <w:color w:val="auto"/>
          <w:sz w:val="24"/>
          <w:szCs w:val="24"/>
          <w:highlight w:val="none"/>
          <w:lang w:val="en-US" w:eastAsia="zh-CN"/>
        </w:rPr>
        <w:t>监</w:t>
      </w:r>
      <w:r>
        <w:rPr>
          <w:rFonts w:hint="eastAsia" w:ascii="宋体" w:hAnsi="宋体" w:eastAsia="宋体" w:cs="宋体"/>
          <w:b w:val="0"/>
          <w:bCs w:val="0"/>
          <w:color w:val="auto"/>
          <w:sz w:val="24"/>
          <w:szCs w:val="24"/>
          <w:highlight w:val="none"/>
        </w:rPr>
        <w:t>测场地组成部分的其他场所。</w:t>
      </w:r>
    </w:p>
    <w:p w14:paraId="339BBEE6">
      <w:pPr>
        <w:pageBreakBefore w:val="0"/>
        <w:widowControl w:val="0"/>
        <w:kinsoku/>
        <w:wordWrap/>
        <w:overflowPunct/>
        <w:topLinePunct w:val="0"/>
        <w:autoSpaceDE/>
        <w:autoSpaceDN/>
        <w:bidi w:val="0"/>
        <w:spacing w:before="60" w:beforeLines="25" w:after="60" w:afterLines="25" w:line="440" w:lineRule="exact"/>
        <w:ind w:firstLine="480" w:firstLineChars="200"/>
        <w:jc w:val="both"/>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1.1.3.8 施工过程监控：承包人就本项目工程为发包人提供的服务。本合同施工过程监控包括</w:t>
      </w:r>
      <w:r>
        <w:rPr>
          <w:rFonts w:hint="eastAsia" w:ascii="宋体" w:hAnsi="宋体" w:eastAsia="宋体" w:cs="宋体"/>
          <w:b w:val="0"/>
          <w:bCs w:val="0"/>
          <w:color w:val="auto"/>
          <w:kern w:val="2"/>
          <w:sz w:val="24"/>
          <w:szCs w:val="24"/>
          <w:highlight w:val="none"/>
          <w:u w:val="none"/>
          <w:lang w:val="en-US" w:eastAsia="zh-CN" w:bidi="ar-SA"/>
        </w:rPr>
        <w:t>：G59呼北高速张家界至官庄段第二标段</w:t>
      </w:r>
      <w:r>
        <w:rPr>
          <w:rFonts w:hint="eastAsia" w:ascii="宋体" w:hAnsi="宋体" w:cs="宋体"/>
          <w:b w:val="0"/>
          <w:bCs w:val="0"/>
          <w:color w:val="auto"/>
          <w:kern w:val="2"/>
          <w:sz w:val="24"/>
          <w:szCs w:val="24"/>
          <w:highlight w:val="none"/>
          <w:u w:val="none"/>
          <w:lang w:val="en-US" w:eastAsia="zh-CN" w:bidi="ar-SA"/>
        </w:rPr>
        <w:t>镰刀湾特大桥施工监控、数据分析、合理化建议等</w:t>
      </w:r>
      <w:r>
        <w:rPr>
          <w:rFonts w:hint="eastAsia" w:ascii="宋体" w:hAnsi="宋体" w:eastAsia="宋体" w:cs="宋体"/>
          <w:b w:val="0"/>
          <w:bCs w:val="0"/>
          <w:color w:val="auto"/>
          <w:kern w:val="2"/>
          <w:sz w:val="24"/>
          <w:szCs w:val="24"/>
          <w:highlight w:val="none"/>
          <w:u w:val="none"/>
          <w:lang w:val="en-US" w:eastAsia="zh-CN" w:bidi="ar-SA"/>
        </w:rPr>
        <w:t>技术咨询服务</w:t>
      </w:r>
      <w:r>
        <w:rPr>
          <w:rFonts w:hint="eastAsia" w:ascii="宋体" w:hAnsi="宋体" w:eastAsia="宋体" w:cs="宋体"/>
          <w:b w:val="0"/>
          <w:bCs w:val="0"/>
          <w:color w:val="auto"/>
          <w:kern w:val="2"/>
          <w:sz w:val="24"/>
          <w:szCs w:val="24"/>
          <w:highlight w:val="none"/>
          <w:lang w:val="en-US" w:eastAsia="zh-CN" w:bidi="ar-SA"/>
        </w:rPr>
        <w:t>。</w:t>
      </w:r>
    </w:p>
    <w:p w14:paraId="44CAA180">
      <w:pPr>
        <w:pageBreakBefore w:val="0"/>
        <w:widowControl w:val="0"/>
        <w:kinsoku/>
        <w:wordWrap/>
        <w:overflowPunct/>
        <w:topLinePunct w:val="0"/>
        <w:autoSpaceDE/>
        <w:autoSpaceDN/>
        <w:bidi w:val="0"/>
        <w:spacing w:before="60" w:beforeLines="25" w:after="60" w:afterLines="25" w:line="440" w:lineRule="exact"/>
        <w:ind w:firstLine="480" w:firstLineChars="200"/>
        <w:jc w:val="both"/>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1.1.3.9 技术咨询报告：指承包人在履行本合同技术咨询过程中，依据</w:t>
      </w:r>
      <w:r>
        <w:rPr>
          <w:rFonts w:hint="eastAsia" w:ascii="宋体" w:hAnsi="宋体" w:cs="宋体"/>
          <w:b w:val="0"/>
          <w:bCs w:val="0"/>
          <w:color w:val="auto"/>
          <w:kern w:val="2"/>
          <w:sz w:val="24"/>
          <w:szCs w:val="24"/>
          <w:highlight w:val="none"/>
          <w:lang w:val="en-US" w:eastAsia="zh-CN" w:bidi="ar-SA"/>
        </w:rPr>
        <w:t>监控等</w:t>
      </w:r>
      <w:r>
        <w:rPr>
          <w:rFonts w:hint="eastAsia" w:ascii="宋体" w:hAnsi="宋体" w:eastAsia="宋体" w:cs="宋体"/>
          <w:b w:val="0"/>
          <w:bCs w:val="0"/>
          <w:color w:val="auto"/>
          <w:kern w:val="2"/>
          <w:sz w:val="24"/>
          <w:szCs w:val="24"/>
          <w:highlight w:val="none"/>
          <w:lang w:val="en-US" w:eastAsia="zh-CN" w:bidi="ar-SA"/>
        </w:rPr>
        <w:t>技术</w:t>
      </w:r>
      <w:r>
        <w:rPr>
          <w:rFonts w:hint="eastAsia" w:ascii="宋体" w:hAnsi="宋体" w:cs="宋体"/>
          <w:b w:val="0"/>
          <w:bCs w:val="0"/>
          <w:color w:val="auto"/>
          <w:kern w:val="2"/>
          <w:sz w:val="24"/>
          <w:szCs w:val="24"/>
          <w:highlight w:val="none"/>
          <w:lang w:val="en-US" w:eastAsia="zh-CN" w:bidi="ar-SA"/>
        </w:rPr>
        <w:t>手段采集数据，计算分析</w:t>
      </w:r>
      <w:r>
        <w:rPr>
          <w:rFonts w:hint="eastAsia" w:ascii="宋体" w:hAnsi="宋体" w:eastAsia="宋体" w:cs="宋体"/>
          <w:b w:val="0"/>
          <w:bCs w:val="0"/>
          <w:color w:val="auto"/>
          <w:kern w:val="2"/>
          <w:sz w:val="24"/>
          <w:szCs w:val="24"/>
          <w:highlight w:val="none"/>
          <w:lang w:val="en-US" w:eastAsia="zh-CN" w:bidi="ar-SA"/>
        </w:rPr>
        <w:t xml:space="preserve">结果出具的书面报告、通知、意见等文件。 </w:t>
      </w:r>
    </w:p>
    <w:p w14:paraId="6D425B1A">
      <w:pPr>
        <w:pageBreakBefore w:val="0"/>
        <w:widowControl/>
        <w:kinsoku/>
        <w:wordWrap/>
        <w:overflowPunct/>
        <w:topLinePunct w:val="0"/>
        <w:autoSpaceDE/>
        <w:autoSpaceDN/>
        <w:bidi w:val="0"/>
        <w:spacing w:before="60" w:beforeLines="25" w:after="60" w:afterLines="25" w:line="440" w:lineRule="exact"/>
        <w:ind w:firstLine="480" w:firstLineChars="200"/>
        <w:jc w:val="left"/>
        <w:outlineLvl w:val="4"/>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1.1.4 日期</w:t>
      </w:r>
    </w:p>
    <w:p w14:paraId="7D57AE5C">
      <w:pPr>
        <w:pageBreakBefore w:val="0"/>
        <w:widowControl w:val="0"/>
        <w:kinsoku/>
        <w:wordWrap/>
        <w:overflowPunct/>
        <w:topLinePunct w:val="0"/>
        <w:autoSpaceDE/>
        <w:autoSpaceDN/>
        <w:bidi w:val="0"/>
        <w:spacing w:before="60" w:beforeLines="25" w:after="60" w:afterLines="25" w:line="440" w:lineRule="exact"/>
        <w:ind w:firstLine="480" w:firstLineChars="200"/>
        <w:jc w:val="both"/>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1.1.4.1 开始技术咨询通知：指发包人通知承包人开始成</w:t>
      </w:r>
      <w:r>
        <w:rPr>
          <w:rFonts w:hint="eastAsia" w:ascii="宋体" w:hAnsi="宋体" w:cs="宋体"/>
          <w:b w:val="0"/>
          <w:bCs w:val="0"/>
          <w:color w:val="auto"/>
          <w:kern w:val="2"/>
          <w:sz w:val="24"/>
          <w:szCs w:val="24"/>
          <w:highlight w:val="none"/>
          <w:lang w:val="en-US" w:eastAsia="zh-CN" w:bidi="ar-SA"/>
        </w:rPr>
        <w:t>施工监控</w:t>
      </w:r>
      <w:r>
        <w:rPr>
          <w:rFonts w:hint="eastAsia" w:ascii="宋体" w:hAnsi="宋体" w:eastAsia="宋体" w:cs="宋体"/>
          <w:b w:val="0"/>
          <w:bCs w:val="0"/>
          <w:color w:val="auto"/>
          <w:kern w:val="2"/>
          <w:sz w:val="24"/>
          <w:szCs w:val="24"/>
          <w:highlight w:val="none"/>
          <w:lang w:val="en-US" w:eastAsia="zh-CN" w:bidi="ar-SA"/>
        </w:rPr>
        <w:t>技术咨询的函件</w:t>
      </w:r>
      <w:r>
        <w:rPr>
          <w:rFonts w:hint="eastAsia" w:ascii="宋体" w:hAnsi="宋体" w:cs="宋体"/>
          <w:b w:val="0"/>
          <w:bCs w:val="0"/>
          <w:color w:val="auto"/>
          <w:kern w:val="2"/>
          <w:sz w:val="24"/>
          <w:szCs w:val="24"/>
          <w:highlight w:val="none"/>
          <w:lang w:val="en-US" w:eastAsia="zh-CN" w:bidi="ar-SA"/>
        </w:rPr>
        <w:t>或其它形式，如微信</w:t>
      </w:r>
      <w:r>
        <w:rPr>
          <w:rFonts w:hint="eastAsia" w:ascii="宋体" w:hAnsi="宋体" w:eastAsia="宋体" w:cs="宋体"/>
          <w:b w:val="0"/>
          <w:bCs w:val="0"/>
          <w:color w:val="auto"/>
          <w:kern w:val="2"/>
          <w:sz w:val="24"/>
          <w:szCs w:val="24"/>
          <w:highlight w:val="none"/>
          <w:lang w:val="en-US" w:eastAsia="zh-CN" w:bidi="ar-SA"/>
        </w:rPr>
        <w:t xml:space="preserve">。 </w:t>
      </w:r>
    </w:p>
    <w:p w14:paraId="1C3AC362">
      <w:pPr>
        <w:pageBreakBefore w:val="0"/>
        <w:widowControl w:val="0"/>
        <w:kinsoku/>
        <w:wordWrap/>
        <w:overflowPunct/>
        <w:topLinePunct w:val="0"/>
        <w:autoSpaceDE/>
        <w:autoSpaceDN/>
        <w:bidi w:val="0"/>
        <w:spacing w:before="60" w:beforeLines="25" w:after="60" w:afterLines="25" w:line="440" w:lineRule="exact"/>
        <w:ind w:firstLine="480" w:firstLineChars="200"/>
        <w:jc w:val="both"/>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1.1.4.2 开始技术咨询日期：指发包人通知</w:t>
      </w:r>
      <w:r>
        <w:rPr>
          <w:rFonts w:hint="eastAsia" w:ascii="宋体" w:hAnsi="宋体" w:cs="宋体"/>
          <w:b w:val="0"/>
          <w:bCs w:val="0"/>
          <w:color w:val="auto"/>
          <w:kern w:val="2"/>
          <w:sz w:val="24"/>
          <w:szCs w:val="24"/>
          <w:highlight w:val="none"/>
          <w:lang w:val="en-US" w:eastAsia="zh-CN" w:bidi="ar-SA"/>
        </w:rPr>
        <w:t>承包</w:t>
      </w:r>
      <w:r>
        <w:rPr>
          <w:rFonts w:hint="eastAsia" w:ascii="宋体" w:hAnsi="宋体" w:eastAsia="宋体" w:cs="宋体"/>
          <w:b w:val="0"/>
          <w:bCs w:val="0"/>
          <w:color w:val="auto"/>
          <w:kern w:val="2"/>
          <w:sz w:val="24"/>
          <w:szCs w:val="24"/>
          <w:highlight w:val="none"/>
          <w:lang w:val="en-US" w:eastAsia="zh-CN" w:bidi="ar-SA"/>
        </w:rPr>
        <w:t>人开始成</w:t>
      </w:r>
      <w:r>
        <w:rPr>
          <w:rFonts w:hint="eastAsia" w:ascii="宋体" w:hAnsi="宋体" w:cs="宋体"/>
          <w:b w:val="0"/>
          <w:bCs w:val="0"/>
          <w:color w:val="auto"/>
          <w:kern w:val="2"/>
          <w:sz w:val="24"/>
          <w:szCs w:val="24"/>
          <w:highlight w:val="none"/>
          <w:lang w:val="en-US" w:eastAsia="zh-CN" w:bidi="ar-SA"/>
        </w:rPr>
        <w:t>施工监控</w:t>
      </w:r>
      <w:r>
        <w:rPr>
          <w:rFonts w:hint="eastAsia" w:ascii="宋体" w:hAnsi="宋体" w:eastAsia="宋体" w:cs="宋体"/>
          <w:b w:val="0"/>
          <w:bCs w:val="0"/>
          <w:color w:val="auto"/>
          <w:kern w:val="2"/>
          <w:sz w:val="24"/>
          <w:szCs w:val="24"/>
          <w:highlight w:val="none"/>
          <w:lang w:val="en-US" w:eastAsia="zh-CN" w:bidi="ar-SA"/>
        </w:rPr>
        <w:t>技术咨询日期。</w:t>
      </w:r>
    </w:p>
    <w:p w14:paraId="0EDE703A">
      <w:pPr>
        <w:pageBreakBefore w:val="0"/>
        <w:widowControl/>
        <w:kinsoku/>
        <w:wordWrap/>
        <w:overflowPunct/>
        <w:topLinePunct w:val="0"/>
        <w:autoSpaceDE/>
        <w:autoSpaceDN/>
        <w:bidi w:val="0"/>
        <w:spacing w:before="60" w:beforeLines="25" w:after="60" w:afterLines="25" w:line="440" w:lineRule="exact"/>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1.1.4.3 服务期：指承包人在投标函中承诺的完成合同工程所需的期限，包括延长的</w:t>
      </w:r>
      <w:r>
        <w:rPr>
          <w:rFonts w:hint="eastAsia" w:ascii="宋体" w:hAnsi="宋体" w:cs="宋体"/>
          <w:b w:val="0"/>
          <w:bCs w:val="0"/>
          <w:color w:val="auto"/>
          <w:sz w:val="24"/>
          <w:szCs w:val="24"/>
          <w:highlight w:val="none"/>
          <w:lang w:val="en-US" w:eastAsia="zh-CN"/>
        </w:rPr>
        <w:t>施工监控</w:t>
      </w:r>
      <w:r>
        <w:rPr>
          <w:rFonts w:hint="eastAsia" w:ascii="宋体" w:hAnsi="宋体" w:eastAsia="宋体" w:cs="宋体"/>
          <w:b w:val="0"/>
          <w:bCs w:val="0"/>
          <w:color w:val="auto"/>
          <w:sz w:val="24"/>
          <w:szCs w:val="24"/>
          <w:highlight w:val="none"/>
        </w:rPr>
        <w:t>技术咨询服务期限。</w:t>
      </w:r>
    </w:p>
    <w:p w14:paraId="5A80B1DC">
      <w:pPr>
        <w:pageBreakBefore w:val="0"/>
        <w:widowControl/>
        <w:kinsoku/>
        <w:wordWrap/>
        <w:overflowPunct/>
        <w:topLinePunct w:val="0"/>
        <w:autoSpaceDE/>
        <w:autoSpaceDN/>
        <w:bidi w:val="0"/>
        <w:spacing w:before="60" w:beforeLines="25" w:after="60" w:afterLines="25" w:line="440" w:lineRule="exact"/>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1.1.4.4 基准日期：指投标截止时间前28 天的日期。</w:t>
      </w:r>
    </w:p>
    <w:p w14:paraId="067268AA">
      <w:pPr>
        <w:pageBreakBefore w:val="0"/>
        <w:widowControl/>
        <w:kinsoku/>
        <w:wordWrap/>
        <w:overflowPunct/>
        <w:topLinePunct w:val="0"/>
        <w:autoSpaceDE/>
        <w:autoSpaceDN/>
        <w:bidi w:val="0"/>
        <w:spacing w:before="60" w:beforeLines="25" w:after="60" w:afterLines="25" w:line="440" w:lineRule="exact"/>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1.1.4.5 天：除特别指明外，指日历天。合同中按天计算时间的，开始当天不计入，从次日开始计算。期限最后一天的截止时间为当天24:00。</w:t>
      </w:r>
    </w:p>
    <w:p w14:paraId="7B68BDD6">
      <w:pPr>
        <w:pageBreakBefore w:val="0"/>
        <w:widowControl/>
        <w:kinsoku/>
        <w:wordWrap/>
        <w:overflowPunct/>
        <w:topLinePunct w:val="0"/>
        <w:autoSpaceDE/>
        <w:autoSpaceDN/>
        <w:bidi w:val="0"/>
        <w:spacing w:before="60" w:beforeLines="25" w:after="60" w:afterLines="25" w:line="440" w:lineRule="exact"/>
        <w:ind w:firstLine="480" w:firstLineChars="200"/>
        <w:jc w:val="left"/>
        <w:outlineLvl w:val="4"/>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1.1.5 合同价格和费用</w:t>
      </w:r>
    </w:p>
    <w:p w14:paraId="5F5CACCF">
      <w:pPr>
        <w:pageBreakBefore w:val="0"/>
        <w:widowControl/>
        <w:kinsoku/>
        <w:wordWrap/>
        <w:overflowPunct/>
        <w:topLinePunct w:val="0"/>
        <w:autoSpaceDE/>
        <w:autoSpaceDN/>
        <w:bidi w:val="0"/>
        <w:spacing w:before="60" w:beforeLines="25" w:after="60" w:afterLines="25" w:line="440" w:lineRule="exact"/>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1.1.5.1 签约合同价：指签订合同时合同协议书中写明的</w:t>
      </w:r>
      <w:r>
        <w:rPr>
          <w:rFonts w:hint="eastAsia" w:ascii="宋体" w:hAnsi="宋体" w:cs="宋体"/>
          <w:b w:val="0"/>
          <w:bCs w:val="0"/>
          <w:color w:val="auto"/>
          <w:sz w:val="24"/>
          <w:szCs w:val="24"/>
          <w:highlight w:val="none"/>
          <w:lang w:val="en-US" w:eastAsia="zh-CN"/>
        </w:rPr>
        <w:t>施工监控</w:t>
      </w:r>
      <w:r>
        <w:rPr>
          <w:rFonts w:hint="eastAsia" w:ascii="宋体" w:hAnsi="宋体" w:eastAsia="宋体" w:cs="宋体"/>
          <w:b w:val="0"/>
          <w:bCs w:val="0"/>
          <w:color w:val="auto"/>
          <w:sz w:val="24"/>
          <w:szCs w:val="24"/>
          <w:highlight w:val="none"/>
        </w:rPr>
        <w:t>技术咨询服务费总金额。</w:t>
      </w:r>
    </w:p>
    <w:p w14:paraId="5452EC02">
      <w:pPr>
        <w:pageBreakBefore w:val="0"/>
        <w:widowControl/>
        <w:kinsoku/>
        <w:wordWrap/>
        <w:overflowPunct/>
        <w:topLinePunct w:val="0"/>
        <w:autoSpaceDE/>
        <w:autoSpaceDN/>
        <w:bidi w:val="0"/>
        <w:spacing w:before="60" w:beforeLines="25" w:after="60" w:afterLines="25" w:line="440" w:lineRule="exact"/>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1.1.5.2 合同价格：指承包人按合同约定完成全部承包工作后，发包人应付给承包人的金额。</w:t>
      </w:r>
    </w:p>
    <w:p w14:paraId="2242579B">
      <w:pPr>
        <w:pageBreakBefore w:val="0"/>
        <w:widowControl/>
        <w:kinsoku/>
        <w:wordWrap/>
        <w:overflowPunct/>
        <w:topLinePunct w:val="0"/>
        <w:autoSpaceDE/>
        <w:autoSpaceDN/>
        <w:bidi w:val="0"/>
        <w:spacing w:before="60" w:beforeLines="25" w:after="60" w:afterLines="25" w:line="440" w:lineRule="exact"/>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1.1.5.3 费用：指为履行合同所发生的或将要发生的所有合理开支，包括管理费和应分摊的其他费用，但不包括利润。</w:t>
      </w:r>
    </w:p>
    <w:p w14:paraId="4AF6D9AF">
      <w:pPr>
        <w:pageBreakBefore w:val="0"/>
        <w:widowControl/>
        <w:kinsoku/>
        <w:wordWrap/>
        <w:overflowPunct/>
        <w:topLinePunct w:val="0"/>
        <w:autoSpaceDE/>
        <w:autoSpaceDN/>
        <w:bidi w:val="0"/>
        <w:spacing w:before="60" w:beforeLines="25" w:after="60" w:afterLines="25" w:line="440" w:lineRule="exact"/>
        <w:ind w:firstLine="480" w:firstLineChars="200"/>
        <w:jc w:val="left"/>
        <w:outlineLvl w:val="4"/>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1.1.6 其他</w:t>
      </w:r>
    </w:p>
    <w:p w14:paraId="67036FBB">
      <w:pPr>
        <w:pageBreakBefore w:val="0"/>
        <w:widowControl/>
        <w:kinsoku/>
        <w:wordWrap/>
        <w:overflowPunct/>
        <w:topLinePunct w:val="0"/>
        <w:autoSpaceDE/>
        <w:autoSpaceDN/>
        <w:bidi w:val="0"/>
        <w:spacing w:before="60" w:beforeLines="25" w:after="60" w:afterLines="25" w:line="440" w:lineRule="exact"/>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1.1.6.1 书面形式：指合同文件、信函、电报、传真等可以有形地表现所载内容的形式。</w:t>
      </w:r>
    </w:p>
    <w:p w14:paraId="4D833D62">
      <w:pPr>
        <w:keepNext/>
        <w:keepLines/>
        <w:pageBreakBefore w:val="0"/>
        <w:kinsoku/>
        <w:wordWrap/>
        <w:overflowPunct/>
        <w:topLinePunct w:val="0"/>
        <w:autoSpaceDE/>
        <w:autoSpaceDN/>
        <w:bidi w:val="0"/>
        <w:spacing w:before="60" w:beforeLines="25" w:after="60" w:afterLines="25" w:line="440" w:lineRule="exact"/>
        <w:ind w:firstLine="480" w:firstLineChars="200"/>
        <w:jc w:val="both"/>
        <w:outlineLvl w:val="3"/>
        <w:rPr>
          <w:rFonts w:hint="eastAsia" w:ascii="宋体" w:hAnsi="宋体" w:eastAsia="宋体" w:cs="宋体"/>
          <w:b w:val="0"/>
          <w:bCs w:val="0"/>
          <w:i w:val="0"/>
          <w:iCs/>
          <w:color w:val="auto"/>
          <w:kern w:val="2"/>
          <w:sz w:val="24"/>
          <w:szCs w:val="24"/>
          <w:highlight w:val="none"/>
          <w:lang w:val="en-US" w:eastAsia="zh-CN" w:bidi="ar-SA"/>
        </w:rPr>
      </w:pPr>
      <w:bookmarkStart w:id="64" w:name="_Toc237230859"/>
      <w:r>
        <w:rPr>
          <w:rFonts w:hint="eastAsia" w:ascii="宋体" w:hAnsi="宋体" w:eastAsia="宋体" w:cs="宋体"/>
          <w:b w:val="0"/>
          <w:bCs w:val="0"/>
          <w:i w:val="0"/>
          <w:iCs/>
          <w:color w:val="auto"/>
          <w:kern w:val="2"/>
          <w:sz w:val="24"/>
          <w:szCs w:val="24"/>
          <w:highlight w:val="none"/>
          <w:lang w:val="en-US" w:eastAsia="zh-CN" w:bidi="ar-SA"/>
        </w:rPr>
        <w:t>1.2 语言文字</w:t>
      </w:r>
      <w:bookmarkEnd w:id="64"/>
    </w:p>
    <w:p w14:paraId="2ECF0585">
      <w:pPr>
        <w:pageBreakBefore w:val="0"/>
        <w:widowControl/>
        <w:kinsoku/>
        <w:wordWrap/>
        <w:overflowPunct/>
        <w:topLinePunct w:val="0"/>
        <w:autoSpaceDE/>
        <w:autoSpaceDN/>
        <w:bidi w:val="0"/>
        <w:spacing w:before="60" w:beforeLines="25" w:after="60" w:afterLines="25" w:line="440" w:lineRule="exact"/>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合同使用的语言文字为中文。必要时专用术语应附有中文注释。</w:t>
      </w:r>
    </w:p>
    <w:p w14:paraId="6230587B">
      <w:pPr>
        <w:keepNext/>
        <w:keepLines/>
        <w:pageBreakBefore w:val="0"/>
        <w:kinsoku/>
        <w:wordWrap/>
        <w:overflowPunct/>
        <w:topLinePunct w:val="0"/>
        <w:autoSpaceDE/>
        <w:autoSpaceDN/>
        <w:bidi w:val="0"/>
        <w:spacing w:before="60" w:beforeLines="25" w:after="60" w:afterLines="25" w:line="440" w:lineRule="exact"/>
        <w:ind w:firstLine="480" w:firstLineChars="200"/>
        <w:jc w:val="both"/>
        <w:outlineLvl w:val="3"/>
        <w:rPr>
          <w:rFonts w:hint="eastAsia" w:ascii="宋体" w:hAnsi="宋体" w:eastAsia="宋体" w:cs="宋体"/>
          <w:b w:val="0"/>
          <w:bCs w:val="0"/>
          <w:i w:val="0"/>
          <w:iCs/>
          <w:color w:val="auto"/>
          <w:kern w:val="2"/>
          <w:sz w:val="24"/>
          <w:szCs w:val="24"/>
          <w:highlight w:val="none"/>
          <w:lang w:val="en-US" w:eastAsia="zh-CN" w:bidi="ar-SA"/>
        </w:rPr>
      </w:pPr>
      <w:bookmarkStart w:id="65" w:name="_Toc237230860"/>
      <w:r>
        <w:rPr>
          <w:rFonts w:hint="eastAsia" w:ascii="宋体" w:hAnsi="宋体" w:eastAsia="宋体" w:cs="宋体"/>
          <w:b w:val="0"/>
          <w:bCs w:val="0"/>
          <w:i w:val="0"/>
          <w:iCs/>
          <w:color w:val="auto"/>
          <w:kern w:val="2"/>
          <w:sz w:val="24"/>
          <w:szCs w:val="24"/>
          <w:highlight w:val="none"/>
          <w:lang w:val="en-US" w:eastAsia="zh-CN" w:bidi="ar-SA"/>
        </w:rPr>
        <w:t>1.3 法律</w:t>
      </w:r>
      <w:bookmarkEnd w:id="65"/>
    </w:p>
    <w:p w14:paraId="1E9E9C00">
      <w:pPr>
        <w:pageBreakBefore w:val="0"/>
        <w:widowControl/>
        <w:kinsoku/>
        <w:wordWrap/>
        <w:overflowPunct/>
        <w:topLinePunct w:val="0"/>
        <w:autoSpaceDE/>
        <w:autoSpaceDN/>
        <w:bidi w:val="0"/>
        <w:spacing w:before="60" w:beforeLines="25" w:after="60" w:afterLines="25" w:line="440" w:lineRule="exact"/>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适用于合同的法律包括中华人民共和国法律、行政法规、部门规章，以及工程所在地的地方法规、自治条例、单行条例和地方政府规章。</w:t>
      </w:r>
    </w:p>
    <w:p w14:paraId="682E5047">
      <w:pPr>
        <w:keepNext/>
        <w:keepLines/>
        <w:pageBreakBefore w:val="0"/>
        <w:kinsoku/>
        <w:wordWrap/>
        <w:overflowPunct/>
        <w:topLinePunct w:val="0"/>
        <w:autoSpaceDE/>
        <w:autoSpaceDN/>
        <w:bidi w:val="0"/>
        <w:spacing w:before="60" w:beforeLines="25" w:after="60" w:afterLines="25" w:line="440" w:lineRule="exact"/>
        <w:ind w:firstLine="480" w:firstLineChars="200"/>
        <w:jc w:val="both"/>
        <w:outlineLvl w:val="3"/>
        <w:rPr>
          <w:rFonts w:hint="eastAsia" w:ascii="宋体" w:hAnsi="宋体" w:eastAsia="宋体" w:cs="宋体"/>
          <w:b w:val="0"/>
          <w:bCs w:val="0"/>
          <w:i w:val="0"/>
          <w:iCs/>
          <w:color w:val="auto"/>
          <w:kern w:val="2"/>
          <w:sz w:val="24"/>
          <w:szCs w:val="24"/>
          <w:highlight w:val="none"/>
          <w:lang w:val="en-US" w:eastAsia="zh-CN" w:bidi="ar-SA"/>
        </w:rPr>
      </w:pPr>
      <w:bookmarkStart w:id="66" w:name="_Toc237230861"/>
      <w:r>
        <w:rPr>
          <w:rFonts w:hint="eastAsia" w:ascii="宋体" w:hAnsi="宋体" w:eastAsia="宋体" w:cs="宋体"/>
          <w:b w:val="0"/>
          <w:bCs w:val="0"/>
          <w:i w:val="0"/>
          <w:iCs/>
          <w:color w:val="auto"/>
          <w:kern w:val="2"/>
          <w:sz w:val="24"/>
          <w:szCs w:val="24"/>
          <w:highlight w:val="none"/>
          <w:lang w:val="en-US" w:eastAsia="zh-CN" w:bidi="ar-SA"/>
        </w:rPr>
        <w:t>1.4 合同文件的优先顺序</w:t>
      </w:r>
      <w:bookmarkEnd w:id="66"/>
    </w:p>
    <w:p w14:paraId="313F9257">
      <w:pPr>
        <w:pageBreakBefore w:val="0"/>
        <w:widowControl/>
        <w:kinsoku/>
        <w:wordWrap/>
        <w:overflowPunct/>
        <w:topLinePunct w:val="0"/>
        <w:autoSpaceDE/>
        <w:autoSpaceDN/>
        <w:bidi w:val="0"/>
        <w:spacing w:before="60" w:beforeLines="25" w:after="60" w:afterLines="25" w:line="440" w:lineRule="exact"/>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组成合同的各项文件应互相解释，互为说明。除专用合同条款另有约定外，解释合同文件的优先顺序如下：</w:t>
      </w:r>
    </w:p>
    <w:p w14:paraId="4DCC5B94">
      <w:pPr>
        <w:pageBreakBefore w:val="0"/>
        <w:widowControl/>
        <w:kinsoku/>
        <w:wordWrap/>
        <w:overflowPunct/>
        <w:topLinePunct w:val="0"/>
        <w:autoSpaceDE/>
        <w:autoSpaceDN/>
        <w:bidi w:val="0"/>
        <w:spacing w:before="60" w:beforeLines="25" w:after="60" w:afterLines="25" w:line="440" w:lineRule="exact"/>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a.本协议书（含补遗书）承诺书及各种合同附件（含评标期间和合同谈判过程中的澄清文件和补充资料）；</w:t>
      </w:r>
    </w:p>
    <w:p w14:paraId="68959603">
      <w:pPr>
        <w:pageBreakBefore w:val="0"/>
        <w:widowControl/>
        <w:kinsoku/>
        <w:wordWrap/>
        <w:overflowPunct/>
        <w:topLinePunct w:val="0"/>
        <w:autoSpaceDE/>
        <w:autoSpaceDN/>
        <w:bidi w:val="0"/>
        <w:spacing w:before="60" w:beforeLines="25" w:after="60" w:afterLines="25" w:line="440" w:lineRule="exact"/>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b.中标通知书；</w:t>
      </w:r>
    </w:p>
    <w:p w14:paraId="7B0C4D59">
      <w:pPr>
        <w:pageBreakBefore w:val="0"/>
        <w:widowControl/>
        <w:kinsoku/>
        <w:wordWrap/>
        <w:overflowPunct/>
        <w:topLinePunct w:val="0"/>
        <w:autoSpaceDE/>
        <w:autoSpaceDN/>
        <w:bidi w:val="0"/>
        <w:spacing w:before="60" w:beforeLines="25" w:after="60" w:afterLines="25" w:line="440" w:lineRule="exact"/>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c.投标函及投标函录；</w:t>
      </w:r>
    </w:p>
    <w:p w14:paraId="7261F905">
      <w:pPr>
        <w:pageBreakBefore w:val="0"/>
        <w:widowControl/>
        <w:kinsoku/>
        <w:wordWrap/>
        <w:overflowPunct/>
        <w:topLinePunct w:val="0"/>
        <w:autoSpaceDE/>
        <w:autoSpaceDN/>
        <w:bidi w:val="0"/>
        <w:spacing w:before="60" w:beforeLines="25" w:after="60" w:afterLines="25" w:line="440" w:lineRule="exact"/>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d.承诺函；</w:t>
      </w:r>
    </w:p>
    <w:p w14:paraId="34CFF752">
      <w:pPr>
        <w:pageBreakBefore w:val="0"/>
        <w:widowControl/>
        <w:kinsoku/>
        <w:wordWrap/>
        <w:overflowPunct/>
        <w:topLinePunct w:val="0"/>
        <w:autoSpaceDE/>
        <w:autoSpaceDN/>
        <w:bidi w:val="0"/>
        <w:spacing w:before="60" w:beforeLines="25" w:after="60" w:afterLines="25" w:line="440" w:lineRule="exact"/>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e.</w:t>
      </w:r>
      <w:r>
        <w:rPr>
          <w:rFonts w:hint="eastAsia" w:ascii="宋体" w:hAnsi="宋体" w:eastAsia="宋体" w:cs="宋体"/>
          <w:b w:val="0"/>
          <w:bCs w:val="0"/>
          <w:color w:val="auto"/>
          <w:sz w:val="24"/>
          <w:szCs w:val="24"/>
          <w:highlight w:val="none"/>
          <w:lang w:val="en-US" w:eastAsia="zh-CN"/>
        </w:rPr>
        <w:t>施工监控</w:t>
      </w:r>
      <w:r>
        <w:rPr>
          <w:rFonts w:hint="eastAsia" w:ascii="宋体" w:hAnsi="宋体" w:eastAsia="宋体" w:cs="宋体"/>
          <w:b w:val="0"/>
          <w:bCs w:val="0"/>
          <w:color w:val="auto"/>
          <w:sz w:val="24"/>
          <w:szCs w:val="24"/>
          <w:highlight w:val="none"/>
        </w:rPr>
        <w:t>合同条款及其附件；</w:t>
      </w:r>
    </w:p>
    <w:p w14:paraId="44D7FEA3">
      <w:pPr>
        <w:pageBreakBefore w:val="0"/>
        <w:widowControl/>
        <w:kinsoku/>
        <w:wordWrap/>
        <w:overflowPunct/>
        <w:topLinePunct w:val="0"/>
        <w:autoSpaceDE/>
        <w:autoSpaceDN/>
        <w:bidi w:val="0"/>
        <w:spacing w:before="60" w:beforeLines="25" w:after="60" w:afterLines="25" w:line="440" w:lineRule="exact"/>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f.本项目建设管理办法（如有）；</w:t>
      </w:r>
    </w:p>
    <w:p w14:paraId="244DD475">
      <w:pPr>
        <w:pageBreakBefore w:val="0"/>
        <w:widowControl/>
        <w:kinsoku/>
        <w:wordWrap/>
        <w:overflowPunct/>
        <w:topLinePunct w:val="0"/>
        <w:autoSpaceDE/>
        <w:autoSpaceDN/>
        <w:bidi w:val="0"/>
        <w:spacing w:before="60" w:beforeLines="25" w:after="60" w:afterLines="25" w:line="440" w:lineRule="exact"/>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g.相关技术标准、规范、规程；</w:t>
      </w:r>
    </w:p>
    <w:p w14:paraId="43A1540A">
      <w:pPr>
        <w:pageBreakBefore w:val="0"/>
        <w:widowControl/>
        <w:kinsoku/>
        <w:wordWrap/>
        <w:overflowPunct/>
        <w:topLinePunct w:val="0"/>
        <w:autoSpaceDE/>
        <w:autoSpaceDN/>
        <w:bidi w:val="0"/>
        <w:spacing w:before="60" w:beforeLines="25" w:after="60" w:afterLines="25" w:line="440" w:lineRule="exact"/>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h.设计图表；</w:t>
      </w:r>
    </w:p>
    <w:p w14:paraId="1FD57E58">
      <w:pPr>
        <w:pageBreakBefore w:val="0"/>
        <w:widowControl/>
        <w:kinsoku/>
        <w:wordWrap/>
        <w:overflowPunct/>
        <w:topLinePunct w:val="0"/>
        <w:autoSpaceDE/>
        <w:autoSpaceDN/>
        <w:bidi w:val="0"/>
        <w:spacing w:before="60" w:beforeLines="25" w:after="60" w:afterLines="25" w:line="440" w:lineRule="exact"/>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i.</w:t>
      </w:r>
      <w:r>
        <w:rPr>
          <w:rFonts w:hint="eastAsia" w:ascii="宋体" w:hAnsi="宋体" w:eastAsia="宋体" w:cs="宋体"/>
          <w:b w:val="0"/>
          <w:bCs w:val="0"/>
          <w:color w:val="auto"/>
          <w:sz w:val="24"/>
          <w:szCs w:val="24"/>
          <w:highlight w:val="none"/>
          <w:lang w:val="en-US" w:eastAsia="zh-CN"/>
        </w:rPr>
        <w:t>施工监控</w:t>
      </w:r>
      <w:r>
        <w:rPr>
          <w:rFonts w:hint="eastAsia" w:ascii="宋体" w:hAnsi="宋体" w:eastAsia="宋体" w:cs="宋体"/>
          <w:b w:val="0"/>
          <w:bCs w:val="0"/>
          <w:color w:val="auto"/>
          <w:sz w:val="24"/>
          <w:szCs w:val="24"/>
          <w:highlight w:val="none"/>
        </w:rPr>
        <w:t>工程量清单；</w:t>
      </w:r>
    </w:p>
    <w:p w14:paraId="2F9AB723">
      <w:pPr>
        <w:pageBreakBefore w:val="0"/>
        <w:widowControl/>
        <w:kinsoku/>
        <w:wordWrap/>
        <w:overflowPunct/>
        <w:topLinePunct w:val="0"/>
        <w:autoSpaceDE/>
        <w:autoSpaceDN/>
        <w:bidi w:val="0"/>
        <w:spacing w:before="60" w:beforeLines="25" w:after="60" w:afterLines="25" w:line="440" w:lineRule="exact"/>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j.承包人有关人员、仪器、设备投入的承诺及投标文件中的详细</w:t>
      </w:r>
      <w:r>
        <w:rPr>
          <w:rFonts w:hint="eastAsia" w:ascii="宋体" w:hAnsi="宋体" w:eastAsia="宋体" w:cs="Times New Roman"/>
          <w:color w:val="auto"/>
          <w:position w:val="0"/>
          <w:sz w:val="24"/>
          <w:szCs w:val="24"/>
          <w:highlight w:val="none"/>
          <w:lang w:val="en-US" w:eastAsia="zh-CN"/>
        </w:rPr>
        <w:t>施工监控</w:t>
      </w:r>
      <w:r>
        <w:rPr>
          <w:rFonts w:hint="eastAsia" w:ascii="宋体" w:hAnsi="宋体" w:eastAsia="宋体" w:cs="宋体"/>
          <w:b w:val="0"/>
          <w:bCs w:val="0"/>
          <w:color w:val="auto"/>
          <w:sz w:val="24"/>
          <w:szCs w:val="24"/>
          <w:highlight w:val="none"/>
        </w:rPr>
        <w:t xml:space="preserve">方案； </w:t>
      </w:r>
    </w:p>
    <w:p w14:paraId="478D8A5E">
      <w:pPr>
        <w:pageBreakBefore w:val="0"/>
        <w:widowControl/>
        <w:kinsoku/>
        <w:wordWrap/>
        <w:overflowPunct/>
        <w:topLinePunct w:val="0"/>
        <w:autoSpaceDE/>
        <w:autoSpaceDN/>
        <w:bidi w:val="0"/>
        <w:spacing w:before="60" w:beforeLines="25" w:after="60" w:afterLines="25" w:line="440" w:lineRule="exact"/>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k.发包人相关</w:t>
      </w:r>
      <w:r>
        <w:rPr>
          <w:rFonts w:hint="eastAsia" w:ascii="宋体" w:hAnsi="宋体" w:eastAsia="宋体" w:cs="宋体"/>
          <w:b w:val="0"/>
          <w:bCs w:val="0"/>
          <w:color w:val="auto"/>
          <w:sz w:val="24"/>
          <w:szCs w:val="24"/>
          <w:highlight w:val="none"/>
          <w:lang w:val="en-US" w:eastAsia="zh-CN"/>
        </w:rPr>
        <w:t>施工监控</w:t>
      </w:r>
      <w:r>
        <w:rPr>
          <w:rFonts w:hint="eastAsia" w:ascii="宋体" w:hAnsi="宋体" w:eastAsia="宋体" w:cs="宋体"/>
          <w:b w:val="0"/>
          <w:bCs w:val="0"/>
          <w:color w:val="auto"/>
          <w:sz w:val="24"/>
          <w:szCs w:val="24"/>
          <w:highlight w:val="none"/>
        </w:rPr>
        <w:t>管理制度；</w:t>
      </w:r>
    </w:p>
    <w:p w14:paraId="27604554">
      <w:pPr>
        <w:pageBreakBefore w:val="0"/>
        <w:widowControl/>
        <w:kinsoku/>
        <w:wordWrap/>
        <w:overflowPunct/>
        <w:topLinePunct w:val="0"/>
        <w:autoSpaceDE/>
        <w:autoSpaceDN/>
        <w:bidi w:val="0"/>
        <w:spacing w:before="60" w:beforeLines="25" w:after="60" w:afterLines="25" w:line="440" w:lineRule="exact"/>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l.其他合同文件。</w:t>
      </w:r>
    </w:p>
    <w:p w14:paraId="39DDD16A">
      <w:pPr>
        <w:pageBreakBefore w:val="0"/>
        <w:widowControl/>
        <w:kinsoku/>
        <w:wordWrap/>
        <w:overflowPunct/>
        <w:topLinePunct w:val="0"/>
        <w:autoSpaceDE/>
        <w:autoSpaceDN/>
        <w:bidi w:val="0"/>
        <w:spacing w:before="60" w:beforeLines="25" w:after="60" w:afterLines="25" w:line="440" w:lineRule="exact"/>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对于同一类合同文件，以其最新版本或最新颁发者为准。</w:t>
      </w:r>
    </w:p>
    <w:p w14:paraId="7394931D">
      <w:pPr>
        <w:keepNext/>
        <w:keepLines/>
        <w:pageBreakBefore w:val="0"/>
        <w:kinsoku/>
        <w:wordWrap/>
        <w:overflowPunct/>
        <w:topLinePunct w:val="0"/>
        <w:autoSpaceDE/>
        <w:autoSpaceDN/>
        <w:bidi w:val="0"/>
        <w:spacing w:before="60" w:beforeLines="25" w:after="60" w:afterLines="25" w:line="440" w:lineRule="exact"/>
        <w:ind w:firstLine="480" w:firstLineChars="200"/>
        <w:jc w:val="both"/>
        <w:outlineLvl w:val="3"/>
        <w:rPr>
          <w:rFonts w:hint="eastAsia" w:ascii="宋体" w:hAnsi="宋体" w:eastAsia="宋体" w:cs="宋体"/>
          <w:b w:val="0"/>
          <w:bCs w:val="0"/>
          <w:i w:val="0"/>
          <w:iCs/>
          <w:color w:val="auto"/>
          <w:kern w:val="2"/>
          <w:sz w:val="24"/>
          <w:szCs w:val="24"/>
          <w:highlight w:val="none"/>
          <w:lang w:val="en-US" w:eastAsia="zh-CN" w:bidi="ar-SA"/>
        </w:rPr>
      </w:pPr>
      <w:bookmarkStart w:id="67" w:name="_Toc237230862"/>
      <w:r>
        <w:rPr>
          <w:rFonts w:hint="eastAsia" w:ascii="宋体" w:hAnsi="宋体" w:eastAsia="宋体" w:cs="宋体"/>
          <w:b w:val="0"/>
          <w:bCs w:val="0"/>
          <w:i w:val="0"/>
          <w:iCs/>
          <w:color w:val="auto"/>
          <w:kern w:val="2"/>
          <w:sz w:val="24"/>
          <w:szCs w:val="24"/>
          <w:highlight w:val="none"/>
          <w:lang w:val="en-US" w:eastAsia="zh-CN" w:bidi="ar-SA"/>
        </w:rPr>
        <w:t>1.5 合同协议书</w:t>
      </w:r>
      <w:bookmarkEnd w:id="67"/>
    </w:p>
    <w:p w14:paraId="7B5B0EDA">
      <w:pPr>
        <w:pageBreakBefore w:val="0"/>
        <w:widowControl/>
        <w:kinsoku/>
        <w:wordWrap/>
        <w:overflowPunct/>
        <w:topLinePunct w:val="0"/>
        <w:autoSpaceDE/>
        <w:autoSpaceDN/>
        <w:bidi w:val="0"/>
        <w:spacing w:before="60" w:beforeLines="25" w:after="60" w:afterLines="25" w:line="440" w:lineRule="exact"/>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承包人按中标通知书规定的时间与发包人签订合同协议书并提交履约担保。除法律另有规定或合同另有约定外，发包人和承包人的法定代表人或其委托代理人在合同协议书上签字并盖单位章后，合同生效。</w:t>
      </w:r>
    </w:p>
    <w:p w14:paraId="7C1C3B67">
      <w:pPr>
        <w:keepNext/>
        <w:keepLines/>
        <w:pageBreakBefore w:val="0"/>
        <w:kinsoku/>
        <w:wordWrap/>
        <w:overflowPunct/>
        <w:topLinePunct w:val="0"/>
        <w:autoSpaceDE/>
        <w:autoSpaceDN/>
        <w:bidi w:val="0"/>
        <w:spacing w:before="60" w:beforeLines="25" w:after="60" w:afterLines="25" w:line="440" w:lineRule="exact"/>
        <w:ind w:firstLine="480" w:firstLineChars="200"/>
        <w:jc w:val="both"/>
        <w:outlineLvl w:val="3"/>
        <w:rPr>
          <w:rFonts w:hint="eastAsia" w:ascii="宋体" w:hAnsi="宋体" w:eastAsia="宋体" w:cs="宋体"/>
          <w:b w:val="0"/>
          <w:bCs w:val="0"/>
          <w:i w:val="0"/>
          <w:iCs/>
          <w:color w:val="auto"/>
          <w:kern w:val="2"/>
          <w:sz w:val="24"/>
          <w:szCs w:val="24"/>
          <w:highlight w:val="none"/>
          <w:lang w:val="en-US" w:eastAsia="zh-CN" w:bidi="ar-SA"/>
        </w:rPr>
      </w:pPr>
      <w:r>
        <w:rPr>
          <w:rFonts w:hint="eastAsia" w:ascii="宋体" w:hAnsi="宋体" w:eastAsia="宋体" w:cs="宋体"/>
          <w:b w:val="0"/>
          <w:bCs w:val="0"/>
          <w:i w:val="0"/>
          <w:iCs/>
          <w:color w:val="auto"/>
          <w:kern w:val="2"/>
          <w:sz w:val="24"/>
          <w:szCs w:val="24"/>
          <w:highlight w:val="none"/>
          <w:lang w:val="en-US" w:eastAsia="zh-CN" w:bidi="ar-SA"/>
        </w:rPr>
        <w:t>1.6 相关图纸资料的</w:t>
      </w:r>
    </w:p>
    <w:p w14:paraId="194757EE">
      <w:pPr>
        <w:pageBreakBefore w:val="0"/>
        <w:widowControl/>
        <w:kinsoku/>
        <w:wordWrap/>
        <w:overflowPunct/>
        <w:topLinePunct w:val="0"/>
        <w:autoSpaceDE/>
        <w:autoSpaceDN/>
        <w:bidi w:val="0"/>
        <w:spacing w:before="60" w:beforeLines="25" w:after="60" w:afterLines="25" w:line="440" w:lineRule="exact"/>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承包人进场后应向发包人提供完成承包工作所需的图纸资料清单明细，发包人应在14天内将其所拥有的资料提交给承包人，但发包人处没有的资料，承包人应自行收集，发包人对此不负任何责任。</w:t>
      </w:r>
    </w:p>
    <w:p w14:paraId="22010573">
      <w:pPr>
        <w:keepNext/>
        <w:keepLines/>
        <w:pageBreakBefore w:val="0"/>
        <w:kinsoku/>
        <w:wordWrap/>
        <w:overflowPunct/>
        <w:topLinePunct w:val="0"/>
        <w:autoSpaceDE/>
        <w:autoSpaceDN/>
        <w:bidi w:val="0"/>
        <w:spacing w:before="60" w:beforeLines="25" w:after="60" w:afterLines="25" w:line="440" w:lineRule="exact"/>
        <w:ind w:firstLine="480" w:firstLineChars="200"/>
        <w:jc w:val="both"/>
        <w:outlineLvl w:val="3"/>
        <w:rPr>
          <w:rFonts w:hint="eastAsia" w:ascii="宋体" w:hAnsi="宋体" w:eastAsia="宋体" w:cs="宋体"/>
          <w:b w:val="0"/>
          <w:bCs w:val="0"/>
          <w:i w:val="0"/>
          <w:iCs/>
          <w:color w:val="auto"/>
          <w:kern w:val="2"/>
          <w:sz w:val="24"/>
          <w:szCs w:val="24"/>
          <w:highlight w:val="none"/>
          <w:lang w:val="en-US" w:eastAsia="zh-CN" w:bidi="ar-SA"/>
        </w:rPr>
      </w:pPr>
      <w:bookmarkStart w:id="68" w:name="_Toc237230864"/>
      <w:r>
        <w:rPr>
          <w:rFonts w:hint="eastAsia" w:ascii="宋体" w:hAnsi="宋体" w:eastAsia="宋体" w:cs="宋体"/>
          <w:b w:val="0"/>
          <w:bCs w:val="0"/>
          <w:i w:val="0"/>
          <w:iCs/>
          <w:color w:val="auto"/>
          <w:kern w:val="2"/>
          <w:sz w:val="24"/>
          <w:szCs w:val="24"/>
          <w:highlight w:val="none"/>
          <w:lang w:val="en-US" w:eastAsia="zh-CN" w:bidi="ar-SA"/>
        </w:rPr>
        <w:t>1.7 联络</w:t>
      </w:r>
      <w:bookmarkEnd w:id="68"/>
    </w:p>
    <w:p w14:paraId="7FE92784">
      <w:pPr>
        <w:pageBreakBefore w:val="0"/>
        <w:widowControl/>
        <w:kinsoku/>
        <w:wordWrap/>
        <w:overflowPunct/>
        <w:topLinePunct w:val="0"/>
        <w:autoSpaceDE/>
        <w:autoSpaceDN/>
        <w:bidi w:val="0"/>
        <w:spacing w:before="60" w:beforeLines="25" w:after="60" w:afterLines="25" w:line="440" w:lineRule="exact"/>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1.7.1 与合同有关的通知、批准、证明、证书、指示、要求、请求、同意、意见、确定和决定等，均应采用书面形式。</w:t>
      </w:r>
    </w:p>
    <w:p w14:paraId="0DB7FB51">
      <w:pPr>
        <w:pageBreakBefore w:val="0"/>
        <w:widowControl/>
        <w:kinsoku/>
        <w:wordWrap/>
        <w:overflowPunct/>
        <w:topLinePunct w:val="0"/>
        <w:autoSpaceDE/>
        <w:autoSpaceDN/>
        <w:bidi w:val="0"/>
        <w:spacing w:before="60" w:beforeLines="25" w:after="60" w:afterLines="25" w:line="440" w:lineRule="exact"/>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1.7.2 第1.7.1 项中的通知、批准、证明、证书、指示、要求、请求、同意、意见、确定和决定等来往函件，均应在合同约定的期限内送达指定地点和接收人，并办理签收手续。</w:t>
      </w:r>
    </w:p>
    <w:p w14:paraId="660315FB">
      <w:pPr>
        <w:keepNext/>
        <w:keepLines/>
        <w:pageBreakBefore w:val="0"/>
        <w:kinsoku/>
        <w:wordWrap/>
        <w:overflowPunct/>
        <w:topLinePunct w:val="0"/>
        <w:autoSpaceDE/>
        <w:autoSpaceDN/>
        <w:bidi w:val="0"/>
        <w:spacing w:before="60" w:beforeLines="25" w:after="60" w:afterLines="25" w:line="440" w:lineRule="exact"/>
        <w:ind w:firstLine="480" w:firstLineChars="200"/>
        <w:jc w:val="both"/>
        <w:outlineLvl w:val="3"/>
        <w:rPr>
          <w:rFonts w:hint="eastAsia" w:ascii="宋体" w:hAnsi="宋体" w:eastAsia="宋体" w:cs="宋体"/>
          <w:b w:val="0"/>
          <w:bCs w:val="0"/>
          <w:i w:val="0"/>
          <w:iCs/>
          <w:color w:val="auto"/>
          <w:kern w:val="2"/>
          <w:sz w:val="24"/>
          <w:szCs w:val="24"/>
          <w:highlight w:val="none"/>
          <w:lang w:val="en-US" w:eastAsia="zh-CN" w:bidi="ar-SA"/>
        </w:rPr>
      </w:pPr>
      <w:bookmarkStart w:id="69" w:name="_Toc237230865"/>
      <w:r>
        <w:rPr>
          <w:rFonts w:hint="eastAsia" w:ascii="宋体" w:hAnsi="宋体" w:eastAsia="宋体" w:cs="宋体"/>
          <w:b w:val="0"/>
          <w:bCs w:val="0"/>
          <w:i w:val="0"/>
          <w:iCs/>
          <w:color w:val="auto"/>
          <w:kern w:val="2"/>
          <w:sz w:val="24"/>
          <w:szCs w:val="24"/>
          <w:highlight w:val="none"/>
          <w:lang w:val="en-US" w:eastAsia="zh-CN" w:bidi="ar-SA"/>
        </w:rPr>
        <w:t>1.8 转让</w:t>
      </w:r>
      <w:bookmarkEnd w:id="69"/>
    </w:p>
    <w:p w14:paraId="6F2811AF">
      <w:pPr>
        <w:pageBreakBefore w:val="0"/>
        <w:widowControl/>
        <w:kinsoku/>
        <w:wordWrap/>
        <w:overflowPunct/>
        <w:topLinePunct w:val="0"/>
        <w:autoSpaceDE/>
        <w:autoSpaceDN/>
        <w:bidi w:val="0"/>
        <w:spacing w:before="60" w:beforeLines="25" w:after="60" w:afterLines="25" w:line="440" w:lineRule="exact"/>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除合同另有约定外，未经对方当事人同意，一方当事人不得将合同权利全部或部分转让给第三人，也不得全部或部分转移合同义务。</w:t>
      </w:r>
    </w:p>
    <w:p w14:paraId="004A4C9F">
      <w:pPr>
        <w:keepNext/>
        <w:keepLines/>
        <w:pageBreakBefore w:val="0"/>
        <w:kinsoku/>
        <w:wordWrap/>
        <w:overflowPunct/>
        <w:topLinePunct w:val="0"/>
        <w:autoSpaceDE/>
        <w:autoSpaceDN/>
        <w:bidi w:val="0"/>
        <w:spacing w:before="60" w:beforeLines="25" w:after="60" w:afterLines="25" w:line="440" w:lineRule="exact"/>
        <w:ind w:firstLine="480" w:firstLineChars="200"/>
        <w:jc w:val="both"/>
        <w:outlineLvl w:val="3"/>
        <w:rPr>
          <w:rFonts w:hint="eastAsia" w:ascii="宋体" w:hAnsi="宋体" w:eastAsia="宋体" w:cs="宋体"/>
          <w:b w:val="0"/>
          <w:bCs w:val="0"/>
          <w:i w:val="0"/>
          <w:iCs/>
          <w:color w:val="auto"/>
          <w:kern w:val="2"/>
          <w:sz w:val="24"/>
          <w:szCs w:val="24"/>
          <w:highlight w:val="none"/>
          <w:lang w:val="en-US" w:eastAsia="zh-CN" w:bidi="ar-SA"/>
        </w:rPr>
      </w:pPr>
      <w:bookmarkStart w:id="70" w:name="_Toc237230866"/>
      <w:r>
        <w:rPr>
          <w:rFonts w:hint="eastAsia" w:ascii="宋体" w:hAnsi="宋体" w:eastAsia="宋体" w:cs="宋体"/>
          <w:b w:val="0"/>
          <w:bCs w:val="0"/>
          <w:i w:val="0"/>
          <w:iCs/>
          <w:color w:val="auto"/>
          <w:kern w:val="2"/>
          <w:sz w:val="24"/>
          <w:szCs w:val="24"/>
          <w:highlight w:val="none"/>
          <w:lang w:val="en-US" w:eastAsia="zh-CN" w:bidi="ar-SA"/>
        </w:rPr>
        <w:t>1.9 严禁贿赂</w:t>
      </w:r>
      <w:bookmarkEnd w:id="70"/>
    </w:p>
    <w:p w14:paraId="361370C1">
      <w:pPr>
        <w:pageBreakBefore w:val="0"/>
        <w:widowControl/>
        <w:kinsoku/>
        <w:wordWrap/>
        <w:overflowPunct/>
        <w:topLinePunct w:val="0"/>
        <w:autoSpaceDE/>
        <w:autoSpaceDN/>
        <w:bidi w:val="0"/>
        <w:spacing w:before="60" w:beforeLines="25" w:after="60" w:afterLines="25" w:line="440" w:lineRule="exact"/>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合同双方当事人不得以贿赂或变相贿赂的方式，谋取不当利益或损害对方权益。因贿赂造成对方损失的，行为人应赔偿损失，并承担相应的法律责任。</w:t>
      </w:r>
    </w:p>
    <w:p w14:paraId="46601D97">
      <w:pPr>
        <w:keepNext/>
        <w:keepLines/>
        <w:pageBreakBefore w:val="0"/>
        <w:kinsoku/>
        <w:wordWrap/>
        <w:overflowPunct/>
        <w:topLinePunct w:val="0"/>
        <w:autoSpaceDE/>
        <w:autoSpaceDN/>
        <w:bidi w:val="0"/>
        <w:spacing w:before="60" w:beforeLines="25" w:after="60" w:afterLines="25" w:line="440" w:lineRule="exact"/>
        <w:ind w:firstLine="480" w:firstLineChars="200"/>
        <w:jc w:val="both"/>
        <w:outlineLvl w:val="3"/>
        <w:rPr>
          <w:rFonts w:hint="eastAsia" w:ascii="宋体" w:hAnsi="宋体" w:eastAsia="宋体" w:cs="宋体"/>
          <w:b w:val="0"/>
          <w:bCs w:val="0"/>
          <w:i w:val="0"/>
          <w:iCs/>
          <w:color w:val="auto"/>
          <w:kern w:val="2"/>
          <w:sz w:val="24"/>
          <w:szCs w:val="24"/>
          <w:highlight w:val="none"/>
          <w:lang w:val="en-US" w:eastAsia="zh-CN" w:bidi="ar-SA"/>
        </w:rPr>
      </w:pPr>
      <w:bookmarkStart w:id="71" w:name="_Toc237230868"/>
      <w:r>
        <w:rPr>
          <w:rFonts w:hint="eastAsia" w:ascii="宋体" w:hAnsi="宋体" w:eastAsia="宋体" w:cs="宋体"/>
          <w:b w:val="0"/>
          <w:bCs w:val="0"/>
          <w:i w:val="0"/>
          <w:iCs/>
          <w:color w:val="auto"/>
          <w:kern w:val="2"/>
          <w:sz w:val="24"/>
          <w:szCs w:val="24"/>
          <w:highlight w:val="none"/>
          <w:lang w:val="en-US" w:eastAsia="zh-CN" w:bidi="ar-SA"/>
        </w:rPr>
        <w:t>1.10 专利技术</w:t>
      </w:r>
      <w:bookmarkEnd w:id="71"/>
    </w:p>
    <w:p w14:paraId="6C7EFAFF">
      <w:pPr>
        <w:pageBreakBefore w:val="0"/>
        <w:widowControl/>
        <w:kinsoku/>
        <w:wordWrap/>
        <w:overflowPunct/>
        <w:topLinePunct w:val="0"/>
        <w:autoSpaceDE/>
        <w:autoSpaceDN/>
        <w:bidi w:val="0"/>
        <w:spacing w:before="60" w:beforeLines="25" w:after="60" w:afterLines="25" w:line="440" w:lineRule="exact"/>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1.10.1 承包人在使用任何材料、设备、技术，因侵犯专利权或其他知识产权所引起的责任，由承包人承担。</w:t>
      </w:r>
    </w:p>
    <w:p w14:paraId="6D390755">
      <w:pPr>
        <w:pageBreakBefore w:val="0"/>
        <w:widowControl/>
        <w:kinsoku/>
        <w:wordWrap/>
        <w:overflowPunct/>
        <w:topLinePunct w:val="0"/>
        <w:autoSpaceDE/>
        <w:autoSpaceDN/>
        <w:bidi w:val="0"/>
        <w:spacing w:before="60" w:beforeLines="25" w:after="60" w:afterLines="25" w:line="440" w:lineRule="exact"/>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1.10.2 承包人在投标文件中采用专利技术的，专利技术的使用费包含在投标报价（</w:t>
      </w:r>
      <w:r>
        <w:rPr>
          <w:rFonts w:hint="eastAsia" w:ascii="宋体" w:hAnsi="宋体" w:cs="宋体"/>
          <w:b w:val="0"/>
          <w:bCs w:val="0"/>
          <w:color w:val="auto"/>
          <w:sz w:val="24"/>
          <w:szCs w:val="24"/>
          <w:highlight w:val="none"/>
          <w:lang w:val="en-US" w:eastAsia="zh-CN"/>
        </w:rPr>
        <w:t>镰刀湾特大桥施工监控</w:t>
      </w:r>
      <w:r>
        <w:rPr>
          <w:rFonts w:hint="eastAsia" w:ascii="宋体" w:hAnsi="宋体" w:eastAsia="宋体" w:cs="宋体"/>
          <w:b w:val="0"/>
          <w:bCs w:val="0"/>
          <w:color w:val="auto"/>
          <w:sz w:val="24"/>
          <w:szCs w:val="24"/>
          <w:highlight w:val="none"/>
        </w:rPr>
        <w:t>技术咨询服务费）内。</w:t>
      </w:r>
    </w:p>
    <w:p w14:paraId="1E325FBB">
      <w:pPr>
        <w:pageBreakBefore w:val="0"/>
        <w:widowControl/>
        <w:kinsoku/>
        <w:wordWrap/>
        <w:overflowPunct/>
        <w:topLinePunct w:val="0"/>
        <w:autoSpaceDE/>
        <w:autoSpaceDN/>
        <w:bidi w:val="0"/>
        <w:spacing w:before="60" w:beforeLines="25" w:after="60" w:afterLines="25" w:line="440" w:lineRule="exact"/>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1.10.3 承包人的技术秘密和声明需要保密的资料和信息，发包人和其他相关人不得为合同以外的目的泄露给他人。</w:t>
      </w:r>
    </w:p>
    <w:p w14:paraId="7760689A">
      <w:pPr>
        <w:keepNext/>
        <w:pageBreakBefore w:val="0"/>
        <w:kinsoku/>
        <w:wordWrap/>
        <w:overflowPunct/>
        <w:topLinePunct w:val="0"/>
        <w:autoSpaceDE/>
        <w:autoSpaceDN/>
        <w:bidi w:val="0"/>
        <w:spacing w:before="60" w:beforeLines="25" w:after="60" w:afterLines="25" w:line="440" w:lineRule="exact"/>
        <w:jc w:val="both"/>
        <w:outlineLvl w:val="2"/>
        <w:rPr>
          <w:rFonts w:hint="eastAsia" w:ascii="宋体" w:hAnsi="宋体" w:eastAsia="宋体" w:cs="宋体"/>
          <w:b w:val="0"/>
          <w:bCs w:val="0"/>
          <w:color w:val="auto"/>
          <w:kern w:val="2"/>
          <w:sz w:val="24"/>
          <w:szCs w:val="24"/>
          <w:highlight w:val="none"/>
          <w:lang w:val="en-US" w:eastAsia="zh-CN" w:bidi="ar-SA"/>
        </w:rPr>
      </w:pPr>
      <w:bookmarkStart w:id="72" w:name="_Toc488236005"/>
      <w:bookmarkStart w:id="73" w:name="_Toc184635099"/>
      <w:bookmarkStart w:id="74" w:name="_Toc237061008"/>
      <w:bookmarkStart w:id="75" w:name="_Toc237230870"/>
      <w:r>
        <w:rPr>
          <w:rFonts w:hint="eastAsia" w:ascii="宋体" w:hAnsi="宋体" w:eastAsia="宋体" w:cs="宋体"/>
          <w:b w:val="0"/>
          <w:bCs w:val="0"/>
          <w:color w:val="auto"/>
          <w:kern w:val="2"/>
          <w:sz w:val="24"/>
          <w:szCs w:val="24"/>
          <w:highlight w:val="none"/>
          <w:lang w:val="en-US" w:eastAsia="zh-CN" w:bidi="ar-SA"/>
        </w:rPr>
        <w:t>2．发包人义务</w:t>
      </w:r>
      <w:bookmarkEnd w:id="72"/>
      <w:bookmarkEnd w:id="73"/>
      <w:bookmarkEnd w:id="74"/>
      <w:bookmarkEnd w:id="75"/>
    </w:p>
    <w:p w14:paraId="168CCBF0">
      <w:pPr>
        <w:keepNext/>
        <w:keepLines/>
        <w:pageBreakBefore w:val="0"/>
        <w:kinsoku/>
        <w:wordWrap/>
        <w:overflowPunct/>
        <w:topLinePunct w:val="0"/>
        <w:autoSpaceDE/>
        <w:autoSpaceDN/>
        <w:bidi w:val="0"/>
        <w:spacing w:before="60" w:beforeLines="25" w:after="60" w:afterLines="25" w:line="440" w:lineRule="exact"/>
        <w:ind w:firstLine="480" w:firstLineChars="200"/>
        <w:jc w:val="both"/>
        <w:outlineLvl w:val="3"/>
        <w:rPr>
          <w:rFonts w:hint="eastAsia" w:ascii="宋体" w:hAnsi="宋体" w:eastAsia="宋体" w:cs="宋体"/>
          <w:b w:val="0"/>
          <w:bCs w:val="0"/>
          <w:i w:val="0"/>
          <w:iCs/>
          <w:color w:val="auto"/>
          <w:kern w:val="2"/>
          <w:sz w:val="24"/>
          <w:szCs w:val="24"/>
          <w:highlight w:val="none"/>
          <w:lang w:val="en-US" w:eastAsia="zh-CN" w:bidi="ar-SA"/>
        </w:rPr>
      </w:pPr>
      <w:bookmarkStart w:id="76" w:name="_Toc237230871"/>
      <w:r>
        <w:rPr>
          <w:rFonts w:hint="eastAsia" w:ascii="宋体" w:hAnsi="宋体" w:eastAsia="宋体" w:cs="宋体"/>
          <w:b w:val="0"/>
          <w:bCs w:val="0"/>
          <w:i w:val="0"/>
          <w:iCs/>
          <w:color w:val="auto"/>
          <w:kern w:val="2"/>
          <w:sz w:val="24"/>
          <w:szCs w:val="24"/>
          <w:highlight w:val="none"/>
          <w:lang w:val="en-US" w:eastAsia="zh-CN" w:bidi="ar-SA"/>
        </w:rPr>
        <w:t>2.1 遵守法律</w:t>
      </w:r>
      <w:bookmarkEnd w:id="76"/>
    </w:p>
    <w:p w14:paraId="768F1B09">
      <w:pPr>
        <w:pageBreakBefore w:val="0"/>
        <w:widowControl/>
        <w:kinsoku/>
        <w:wordWrap/>
        <w:overflowPunct/>
        <w:topLinePunct w:val="0"/>
        <w:autoSpaceDE/>
        <w:autoSpaceDN/>
        <w:bidi w:val="0"/>
        <w:spacing w:before="60" w:beforeLines="25" w:after="60" w:afterLines="25" w:line="440" w:lineRule="exact"/>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发包人在履行合同过程中应遵守法律，并保证承包人免于承担因发包人违反法律而引起的任何责任。</w:t>
      </w:r>
    </w:p>
    <w:p w14:paraId="7ACAE600">
      <w:pPr>
        <w:pageBreakBefore w:val="0"/>
        <w:widowControl w:val="0"/>
        <w:kinsoku/>
        <w:wordWrap/>
        <w:overflowPunct/>
        <w:topLinePunct w:val="0"/>
        <w:autoSpaceDE/>
        <w:autoSpaceDN/>
        <w:bidi w:val="0"/>
        <w:spacing w:line="440" w:lineRule="exact"/>
        <w:ind w:firstLine="480" w:firstLineChars="200"/>
        <w:jc w:val="both"/>
        <w:outlineLvl w:val="3"/>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2.2 提供设备、设施</w:t>
      </w:r>
    </w:p>
    <w:p w14:paraId="57BE6DD1">
      <w:pPr>
        <w:pageBreakBefore w:val="0"/>
        <w:widowControl w:val="0"/>
        <w:kinsoku/>
        <w:wordWrap/>
        <w:overflowPunct/>
        <w:topLinePunct w:val="0"/>
        <w:autoSpaceDE/>
        <w:autoSpaceDN/>
        <w:bidi w:val="0"/>
        <w:spacing w:before="60" w:beforeLines="25" w:after="60" w:afterLines="25" w:line="440" w:lineRule="exact"/>
        <w:ind w:firstLine="480" w:firstLineChars="200"/>
        <w:jc w:val="both"/>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在</w:t>
      </w:r>
      <w:r>
        <w:rPr>
          <w:rFonts w:hint="eastAsia" w:ascii="宋体" w:hAnsi="宋体" w:cs="宋体"/>
          <w:b w:val="0"/>
          <w:bCs w:val="0"/>
          <w:color w:val="auto"/>
          <w:kern w:val="2"/>
          <w:sz w:val="24"/>
          <w:szCs w:val="24"/>
          <w:highlight w:val="none"/>
          <w:lang w:val="en-US" w:eastAsia="zh-CN" w:bidi="ar-SA"/>
        </w:rPr>
        <w:t>施工监控</w:t>
      </w:r>
      <w:r>
        <w:rPr>
          <w:rFonts w:hint="eastAsia" w:ascii="宋体" w:hAnsi="宋体" w:eastAsia="宋体" w:cs="宋体"/>
          <w:b w:val="0"/>
          <w:bCs w:val="0"/>
          <w:color w:val="auto"/>
          <w:kern w:val="2"/>
          <w:sz w:val="24"/>
          <w:szCs w:val="24"/>
          <w:highlight w:val="none"/>
          <w:lang w:val="en-US" w:eastAsia="zh-CN" w:bidi="ar-SA"/>
        </w:rPr>
        <w:t>服务期间，发包人不为承包人提供现场人员所需的办公房间、办公桌椅、互联网接口、冷暖设施、生活设施、进出现场交通服务、设备实施和其他便利条件，所产生的费用视为包含在其投标报价中。</w:t>
      </w:r>
    </w:p>
    <w:p w14:paraId="455C61AF">
      <w:pPr>
        <w:keepNext/>
        <w:keepLines/>
        <w:pageBreakBefore w:val="0"/>
        <w:kinsoku/>
        <w:wordWrap/>
        <w:overflowPunct/>
        <w:topLinePunct w:val="0"/>
        <w:autoSpaceDE/>
        <w:autoSpaceDN/>
        <w:bidi w:val="0"/>
        <w:spacing w:before="60" w:beforeLines="25" w:after="60" w:afterLines="25" w:line="440" w:lineRule="exact"/>
        <w:ind w:firstLine="480" w:firstLineChars="200"/>
        <w:jc w:val="both"/>
        <w:outlineLvl w:val="3"/>
        <w:rPr>
          <w:rFonts w:hint="eastAsia" w:ascii="宋体" w:hAnsi="宋体" w:eastAsia="宋体" w:cs="宋体"/>
          <w:b w:val="0"/>
          <w:bCs w:val="0"/>
          <w:i w:val="0"/>
          <w:iCs/>
          <w:color w:val="auto"/>
          <w:kern w:val="2"/>
          <w:sz w:val="24"/>
          <w:szCs w:val="24"/>
          <w:highlight w:val="none"/>
          <w:lang w:val="en-US" w:eastAsia="zh-CN" w:bidi="ar-SA"/>
        </w:rPr>
      </w:pPr>
      <w:bookmarkStart w:id="77" w:name="_Toc237230874"/>
      <w:r>
        <w:rPr>
          <w:rFonts w:hint="eastAsia" w:ascii="宋体" w:hAnsi="宋体" w:eastAsia="宋体" w:cs="宋体"/>
          <w:b w:val="0"/>
          <w:bCs w:val="0"/>
          <w:i w:val="0"/>
          <w:iCs/>
          <w:color w:val="auto"/>
          <w:kern w:val="2"/>
          <w:sz w:val="24"/>
          <w:szCs w:val="24"/>
          <w:highlight w:val="none"/>
          <w:lang w:val="en-US" w:eastAsia="zh-CN" w:bidi="ar-SA"/>
        </w:rPr>
        <w:t>2.3 办理证件和批件</w:t>
      </w:r>
      <w:bookmarkEnd w:id="77"/>
    </w:p>
    <w:p w14:paraId="0654E551">
      <w:pPr>
        <w:pageBreakBefore w:val="0"/>
        <w:widowControl/>
        <w:kinsoku/>
        <w:wordWrap/>
        <w:overflowPunct/>
        <w:topLinePunct w:val="0"/>
        <w:autoSpaceDE/>
        <w:autoSpaceDN/>
        <w:bidi w:val="0"/>
        <w:spacing w:before="60" w:beforeLines="25" w:after="60" w:afterLines="25" w:line="440" w:lineRule="exact"/>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法律规定和（或）合同约定由发包人负责办理的工程建设项目必须履行的各类审批、核准或备案手续，发包人应当按时办理，承包人应给予必要的协助。 </w:t>
      </w:r>
    </w:p>
    <w:p w14:paraId="5127E2B7">
      <w:pPr>
        <w:pageBreakBefore w:val="0"/>
        <w:widowControl/>
        <w:kinsoku/>
        <w:wordWrap/>
        <w:overflowPunct/>
        <w:topLinePunct w:val="0"/>
        <w:autoSpaceDE/>
        <w:autoSpaceDN/>
        <w:bidi w:val="0"/>
        <w:spacing w:before="60" w:beforeLines="25" w:after="60" w:afterLines="25" w:line="440" w:lineRule="exact"/>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法律规定和（或）合同约定由承包人负责办理所需的证件和批件，发包人应给予必要的协助。 </w:t>
      </w:r>
    </w:p>
    <w:p w14:paraId="0E84637F">
      <w:pPr>
        <w:keepNext/>
        <w:keepLines/>
        <w:pageBreakBefore w:val="0"/>
        <w:kinsoku/>
        <w:wordWrap/>
        <w:overflowPunct/>
        <w:topLinePunct w:val="0"/>
        <w:autoSpaceDE/>
        <w:autoSpaceDN/>
        <w:bidi w:val="0"/>
        <w:snapToGrid/>
        <w:spacing w:before="60" w:beforeLines="25" w:after="60" w:afterLines="25" w:line="420" w:lineRule="exact"/>
        <w:ind w:firstLine="480" w:firstLineChars="200"/>
        <w:jc w:val="both"/>
        <w:outlineLvl w:val="3"/>
        <w:rPr>
          <w:rFonts w:hint="eastAsia" w:ascii="宋体" w:hAnsi="宋体" w:eastAsia="宋体" w:cs="宋体"/>
          <w:b w:val="0"/>
          <w:bCs w:val="0"/>
          <w:i w:val="0"/>
          <w:iCs/>
          <w:color w:val="auto"/>
          <w:kern w:val="2"/>
          <w:sz w:val="24"/>
          <w:szCs w:val="24"/>
          <w:highlight w:val="none"/>
          <w:lang w:val="en-US" w:eastAsia="zh-CN" w:bidi="ar-SA"/>
        </w:rPr>
      </w:pPr>
      <w:bookmarkStart w:id="78" w:name="_Toc237230876"/>
      <w:r>
        <w:rPr>
          <w:rFonts w:hint="eastAsia" w:ascii="宋体" w:hAnsi="宋体" w:eastAsia="宋体" w:cs="宋体"/>
          <w:b w:val="0"/>
          <w:bCs w:val="0"/>
          <w:i w:val="0"/>
          <w:iCs/>
          <w:color w:val="auto"/>
          <w:kern w:val="2"/>
          <w:sz w:val="24"/>
          <w:szCs w:val="24"/>
          <w:highlight w:val="none"/>
          <w:lang w:val="en-US" w:eastAsia="zh-CN" w:bidi="ar-SA"/>
        </w:rPr>
        <w:t>2.4 支付合同价款</w:t>
      </w:r>
      <w:bookmarkEnd w:id="78"/>
    </w:p>
    <w:p w14:paraId="02C7064F">
      <w:pPr>
        <w:pageBreakBefore w:val="0"/>
        <w:widowControl/>
        <w:kinsoku/>
        <w:wordWrap/>
        <w:overflowPunct/>
        <w:topLinePunct w:val="0"/>
        <w:autoSpaceDE/>
        <w:autoSpaceDN/>
        <w:bidi w:val="0"/>
        <w:snapToGrid/>
        <w:spacing w:before="60" w:beforeLines="25" w:after="60" w:afterLines="25" w:line="420" w:lineRule="exact"/>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发包人按合同约定向承包人支付合同价款。</w:t>
      </w:r>
    </w:p>
    <w:p w14:paraId="15674B93">
      <w:pPr>
        <w:pageBreakBefore w:val="0"/>
        <w:widowControl/>
        <w:kinsoku/>
        <w:wordWrap/>
        <w:overflowPunct/>
        <w:topLinePunct w:val="0"/>
        <w:autoSpaceDE/>
        <w:autoSpaceDN/>
        <w:bidi w:val="0"/>
        <w:snapToGrid/>
        <w:spacing w:before="60" w:beforeLines="25" w:after="60" w:afterLines="25" w:line="420" w:lineRule="exact"/>
        <w:ind w:firstLine="480" w:firstLineChars="200"/>
        <w:jc w:val="left"/>
        <w:outlineLvl w:val="3"/>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2.5 提供文件和资料</w:t>
      </w:r>
    </w:p>
    <w:p w14:paraId="5C10E795">
      <w:pPr>
        <w:pageBreakBefore w:val="0"/>
        <w:widowControl/>
        <w:kinsoku/>
        <w:wordWrap/>
        <w:overflowPunct/>
        <w:topLinePunct w:val="0"/>
        <w:autoSpaceDE/>
        <w:autoSpaceDN/>
        <w:bidi w:val="0"/>
        <w:snapToGrid/>
        <w:spacing w:before="60" w:beforeLines="25" w:after="60" w:afterLines="25" w:line="420" w:lineRule="exact"/>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在本合同生效之日起，且在取得相关文件、资料 7 日内，向承包人免费提供下 述文件、资料： </w:t>
      </w:r>
    </w:p>
    <w:p w14:paraId="74452462">
      <w:pPr>
        <w:pageBreakBefore w:val="0"/>
        <w:widowControl/>
        <w:kinsoku/>
        <w:wordWrap/>
        <w:overflowPunct/>
        <w:topLinePunct w:val="0"/>
        <w:autoSpaceDE/>
        <w:autoSpaceDN/>
        <w:bidi w:val="0"/>
        <w:snapToGrid/>
        <w:spacing w:before="60" w:beforeLines="25" w:after="60" w:afterLines="25" w:line="420" w:lineRule="exact"/>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（1）发包人与承包人签订的合同 1 份电子版（如有）。 </w:t>
      </w:r>
    </w:p>
    <w:p w14:paraId="6F94B2C1">
      <w:pPr>
        <w:pageBreakBefore w:val="0"/>
        <w:widowControl/>
        <w:kinsoku/>
        <w:wordWrap/>
        <w:overflowPunct/>
        <w:topLinePunct w:val="0"/>
        <w:autoSpaceDE/>
        <w:autoSpaceDN/>
        <w:bidi w:val="0"/>
        <w:snapToGrid/>
        <w:spacing w:before="60" w:beforeLines="25" w:after="60" w:afterLines="25" w:line="420" w:lineRule="exact"/>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（2）图纸和相关的标准图纸及说明 1 套（电子版）。 </w:t>
      </w:r>
    </w:p>
    <w:p w14:paraId="1668AD76">
      <w:pPr>
        <w:pageBreakBefore w:val="0"/>
        <w:widowControl/>
        <w:kinsoku/>
        <w:wordWrap/>
        <w:overflowPunct/>
        <w:topLinePunct w:val="0"/>
        <w:autoSpaceDE/>
        <w:autoSpaceDN/>
        <w:bidi w:val="0"/>
        <w:snapToGrid/>
        <w:spacing w:before="60" w:beforeLines="25" w:after="60" w:afterLines="25" w:line="420" w:lineRule="exact"/>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技术规范、检验评定标准、操作规程、交通运输部和其他行政主管部门颁发的范本、技术规范、规程、标准等由承包人自行购买。 </w:t>
      </w:r>
    </w:p>
    <w:p w14:paraId="03B05D58">
      <w:pPr>
        <w:pageBreakBefore w:val="0"/>
        <w:widowControl/>
        <w:kinsoku/>
        <w:wordWrap/>
        <w:overflowPunct/>
        <w:topLinePunct w:val="0"/>
        <w:autoSpaceDE/>
        <w:autoSpaceDN/>
        <w:bidi w:val="0"/>
        <w:snapToGrid/>
        <w:spacing w:before="60" w:beforeLines="25" w:after="60" w:afterLines="25" w:line="420" w:lineRule="exact"/>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任何一方当事人发现文件中存在的明显错误或疏忽，均应及时通知对方当事人，并应立即采取适当的措施防止损失扩大。</w:t>
      </w:r>
    </w:p>
    <w:p w14:paraId="5B973DED">
      <w:pPr>
        <w:pageBreakBefore w:val="0"/>
        <w:widowControl w:val="0"/>
        <w:kinsoku/>
        <w:wordWrap/>
        <w:overflowPunct/>
        <w:topLinePunct w:val="0"/>
        <w:autoSpaceDE/>
        <w:autoSpaceDN/>
        <w:bidi w:val="0"/>
        <w:snapToGrid/>
        <w:spacing w:before="60" w:beforeLines="25" w:after="60" w:afterLines="25" w:line="420" w:lineRule="exact"/>
        <w:ind w:firstLine="480" w:firstLineChars="200"/>
        <w:jc w:val="both"/>
        <w:outlineLvl w:val="3"/>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 xml:space="preserve">2.6 授权通知 </w:t>
      </w:r>
    </w:p>
    <w:p w14:paraId="7553F78A">
      <w:pPr>
        <w:pageBreakBefore w:val="0"/>
        <w:widowControl w:val="0"/>
        <w:kinsoku/>
        <w:wordWrap/>
        <w:overflowPunct/>
        <w:topLinePunct w:val="0"/>
        <w:autoSpaceDE/>
        <w:autoSpaceDN/>
        <w:bidi w:val="0"/>
        <w:snapToGrid/>
        <w:spacing w:before="60" w:beforeLines="25" w:after="60" w:afterLines="25" w:line="420" w:lineRule="exact"/>
        <w:ind w:firstLine="480" w:firstLineChars="200"/>
        <w:jc w:val="both"/>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发包人必须将履行咨询服务的人员及发包人授予承包人的权力，及时用书面形式通知第三方。</w:t>
      </w:r>
    </w:p>
    <w:p w14:paraId="2135C430">
      <w:pPr>
        <w:pageBreakBefore w:val="0"/>
        <w:widowControl/>
        <w:kinsoku/>
        <w:wordWrap/>
        <w:overflowPunct/>
        <w:topLinePunct w:val="0"/>
        <w:autoSpaceDE/>
        <w:autoSpaceDN/>
        <w:bidi w:val="0"/>
        <w:snapToGrid/>
        <w:spacing w:before="60" w:beforeLines="25" w:after="60" w:afterLines="25" w:line="420" w:lineRule="exact"/>
        <w:ind w:firstLine="480" w:firstLineChars="200"/>
        <w:jc w:val="left"/>
        <w:outlineLvl w:val="3"/>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2.7 发包人代表（若有）</w:t>
      </w:r>
    </w:p>
    <w:p w14:paraId="7A7DF49E">
      <w:pPr>
        <w:pageBreakBefore w:val="0"/>
        <w:widowControl/>
        <w:kinsoku/>
        <w:wordWrap/>
        <w:overflowPunct/>
        <w:topLinePunct w:val="0"/>
        <w:autoSpaceDE/>
        <w:autoSpaceDN/>
        <w:bidi w:val="0"/>
        <w:snapToGrid/>
        <w:spacing w:before="60" w:beforeLines="25" w:after="60" w:afterLines="25" w:line="420" w:lineRule="exact"/>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发包人应在合同签订后 14 天内将发包人代表的姓名、职务、联系方式、授权范围和授权期限书面通知承包人，与承包人建立工作联系。更换该代表或变更其授权时，必须提前 7 日通知承包人。</w:t>
      </w:r>
    </w:p>
    <w:p w14:paraId="0D9A7FF7">
      <w:pPr>
        <w:pageBreakBefore w:val="0"/>
        <w:widowControl w:val="0"/>
        <w:kinsoku/>
        <w:wordWrap/>
        <w:overflowPunct/>
        <w:topLinePunct w:val="0"/>
        <w:autoSpaceDE/>
        <w:autoSpaceDN/>
        <w:bidi w:val="0"/>
        <w:snapToGrid/>
        <w:spacing w:line="420" w:lineRule="exact"/>
        <w:jc w:val="both"/>
        <w:outlineLvl w:val="3"/>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 xml:space="preserve">    2.8 决定或答复 </w:t>
      </w:r>
    </w:p>
    <w:p w14:paraId="70A1AE6A">
      <w:pPr>
        <w:pageBreakBefore w:val="0"/>
        <w:widowControl w:val="0"/>
        <w:kinsoku/>
        <w:wordWrap/>
        <w:overflowPunct/>
        <w:topLinePunct w:val="0"/>
        <w:autoSpaceDE/>
        <w:autoSpaceDN/>
        <w:bidi w:val="0"/>
        <w:snapToGrid/>
        <w:spacing w:before="60" w:beforeLines="25" w:after="60" w:afterLines="25" w:line="420" w:lineRule="exact"/>
        <w:ind w:firstLine="480" w:firstLineChars="200"/>
        <w:jc w:val="both"/>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发包人根据承包人有关针对本工程的工期、质量、进度、合同和安全等问题的请示及时予以决定。对上述请示给予书面答复的期限，自收到书面请示之日起最长不超过 7 日，重大问题不得超过 28 日。逾期没有作出答复的，视为已获得发包人的批准。</w:t>
      </w:r>
    </w:p>
    <w:p w14:paraId="4B109F3B">
      <w:pPr>
        <w:pageBreakBefore w:val="0"/>
        <w:widowControl w:val="0"/>
        <w:kinsoku/>
        <w:wordWrap/>
        <w:overflowPunct/>
        <w:topLinePunct w:val="0"/>
        <w:autoSpaceDE/>
        <w:autoSpaceDN/>
        <w:bidi w:val="0"/>
        <w:snapToGrid/>
        <w:spacing w:before="60" w:beforeLines="25" w:after="60" w:afterLines="25" w:line="420" w:lineRule="exact"/>
        <w:ind w:firstLine="480" w:firstLineChars="200"/>
        <w:jc w:val="both"/>
        <w:outlineLvl w:val="3"/>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2.9 协助</w:t>
      </w:r>
    </w:p>
    <w:p w14:paraId="187DE307">
      <w:pPr>
        <w:pageBreakBefore w:val="0"/>
        <w:widowControl w:val="0"/>
        <w:kinsoku/>
        <w:wordWrap/>
        <w:overflowPunct/>
        <w:topLinePunct w:val="0"/>
        <w:autoSpaceDE/>
        <w:autoSpaceDN/>
        <w:bidi w:val="0"/>
        <w:snapToGrid/>
        <w:spacing w:before="60" w:beforeLines="25" w:after="60" w:afterLines="25" w:line="420" w:lineRule="exact"/>
        <w:ind w:firstLine="480" w:firstLineChars="200"/>
        <w:jc w:val="both"/>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 xml:space="preserve"> 发包人在工程所在地对承包人提供进驻现场的相关条件，协助承包人进场施工现场，解决非承包人原因而发生意外事件时，咨询人员的撤场和相关事宜；并避免承包人根据合同进行服务而导致的第三方的收费(不含税金)。 </w:t>
      </w:r>
    </w:p>
    <w:p w14:paraId="4ECAC24A">
      <w:pPr>
        <w:keepNext/>
        <w:keepLines/>
        <w:pageBreakBefore w:val="0"/>
        <w:kinsoku/>
        <w:wordWrap/>
        <w:overflowPunct/>
        <w:topLinePunct w:val="0"/>
        <w:autoSpaceDE/>
        <w:autoSpaceDN/>
        <w:bidi w:val="0"/>
        <w:snapToGrid/>
        <w:spacing w:before="60" w:beforeLines="25" w:after="60" w:afterLines="25" w:line="420" w:lineRule="exact"/>
        <w:ind w:firstLine="480" w:firstLineChars="200"/>
        <w:jc w:val="both"/>
        <w:outlineLvl w:val="3"/>
        <w:rPr>
          <w:rFonts w:hint="eastAsia" w:ascii="宋体" w:hAnsi="宋体" w:eastAsia="宋体" w:cs="宋体"/>
          <w:b w:val="0"/>
          <w:bCs w:val="0"/>
          <w:i w:val="0"/>
          <w:iCs/>
          <w:color w:val="auto"/>
          <w:kern w:val="2"/>
          <w:sz w:val="24"/>
          <w:szCs w:val="24"/>
          <w:highlight w:val="none"/>
          <w:lang w:val="en-US" w:eastAsia="zh-CN" w:bidi="ar-SA"/>
        </w:rPr>
      </w:pPr>
      <w:bookmarkStart w:id="79" w:name="_Toc237230878"/>
      <w:r>
        <w:rPr>
          <w:rFonts w:hint="eastAsia" w:ascii="宋体" w:hAnsi="宋体" w:eastAsia="宋体" w:cs="宋体"/>
          <w:b w:val="0"/>
          <w:bCs w:val="0"/>
          <w:i w:val="0"/>
          <w:iCs/>
          <w:color w:val="auto"/>
          <w:kern w:val="2"/>
          <w:sz w:val="24"/>
          <w:szCs w:val="24"/>
          <w:highlight w:val="none"/>
          <w:lang w:val="en-US" w:eastAsia="zh-CN" w:bidi="ar-SA"/>
        </w:rPr>
        <w:t>2.10 其他义务</w:t>
      </w:r>
      <w:bookmarkEnd w:id="79"/>
    </w:p>
    <w:p w14:paraId="3786A956">
      <w:pPr>
        <w:pageBreakBefore w:val="0"/>
        <w:widowControl/>
        <w:kinsoku/>
        <w:wordWrap/>
        <w:overflowPunct/>
        <w:topLinePunct w:val="0"/>
        <w:autoSpaceDE/>
        <w:autoSpaceDN/>
        <w:bidi w:val="0"/>
        <w:snapToGrid/>
        <w:spacing w:before="60" w:beforeLines="25" w:after="60" w:afterLines="25" w:line="420" w:lineRule="exact"/>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2.10.1 对工期、质量、人员、设备、仪器进行监督检查，对不符合《技术要求》的工作，有权要求承包人进行整改直到合格，并由承包人承担相应费用。</w:t>
      </w:r>
    </w:p>
    <w:p w14:paraId="162D9BD9">
      <w:pPr>
        <w:pageBreakBefore w:val="0"/>
        <w:widowControl/>
        <w:kinsoku/>
        <w:wordWrap/>
        <w:overflowPunct/>
        <w:topLinePunct w:val="0"/>
        <w:autoSpaceDE/>
        <w:autoSpaceDN/>
        <w:bidi w:val="0"/>
        <w:snapToGrid/>
        <w:spacing w:before="60" w:beforeLines="25" w:after="60" w:afterLines="25" w:line="420" w:lineRule="exact"/>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2.10.2 有权根据设计、施工的需要调整工作内容、范围和工作计划，承包人不得对此有异议。</w:t>
      </w:r>
    </w:p>
    <w:p w14:paraId="1A135AD7">
      <w:pPr>
        <w:pageBreakBefore w:val="0"/>
        <w:widowControl/>
        <w:kinsoku/>
        <w:wordWrap/>
        <w:overflowPunct/>
        <w:topLinePunct w:val="0"/>
        <w:autoSpaceDE/>
        <w:autoSpaceDN/>
        <w:bidi w:val="0"/>
        <w:snapToGrid/>
        <w:spacing w:before="60" w:beforeLines="25" w:after="60" w:afterLines="25" w:line="420" w:lineRule="exact"/>
        <w:ind w:firstLine="480" w:firstLineChars="200"/>
        <w:jc w:val="left"/>
        <w:outlineLvl w:val="4"/>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2.10.3发包人应履行合同约定的其他义务。</w:t>
      </w:r>
    </w:p>
    <w:p w14:paraId="0FBA0D49">
      <w:pPr>
        <w:keepNext/>
        <w:pageBreakBefore w:val="0"/>
        <w:kinsoku/>
        <w:wordWrap/>
        <w:overflowPunct/>
        <w:topLinePunct w:val="0"/>
        <w:autoSpaceDE/>
        <w:autoSpaceDN/>
        <w:bidi w:val="0"/>
        <w:snapToGrid/>
        <w:spacing w:before="60" w:beforeLines="25" w:after="60" w:afterLines="25" w:line="420" w:lineRule="exact"/>
        <w:jc w:val="both"/>
        <w:outlineLvl w:val="2"/>
        <w:rPr>
          <w:rFonts w:hint="eastAsia" w:ascii="宋体" w:hAnsi="宋体" w:eastAsia="宋体" w:cs="宋体"/>
          <w:b w:val="0"/>
          <w:bCs w:val="0"/>
          <w:color w:val="auto"/>
          <w:kern w:val="2"/>
          <w:sz w:val="24"/>
          <w:szCs w:val="24"/>
          <w:highlight w:val="none"/>
          <w:lang w:val="en-US" w:eastAsia="zh-CN" w:bidi="ar-SA"/>
        </w:rPr>
      </w:pPr>
      <w:bookmarkStart w:id="80" w:name="_Toc237230885"/>
      <w:bookmarkStart w:id="81" w:name="_Toc237061010"/>
      <w:bookmarkStart w:id="82" w:name="_Toc184635101"/>
      <w:bookmarkStart w:id="83" w:name="_Toc488236006"/>
      <w:r>
        <w:rPr>
          <w:rFonts w:hint="eastAsia" w:ascii="宋体" w:hAnsi="宋体" w:eastAsia="宋体" w:cs="宋体"/>
          <w:b w:val="0"/>
          <w:bCs w:val="0"/>
          <w:color w:val="auto"/>
          <w:kern w:val="2"/>
          <w:sz w:val="24"/>
          <w:szCs w:val="24"/>
          <w:highlight w:val="none"/>
          <w:lang w:val="en-US" w:eastAsia="zh-CN" w:bidi="ar-SA"/>
        </w:rPr>
        <w:t>3．承包人</w:t>
      </w:r>
      <w:bookmarkEnd w:id="80"/>
      <w:bookmarkEnd w:id="81"/>
      <w:bookmarkEnd w:id="82"/>
      <w:r>
        <w:rPr>
          <w:rFonts w:hint="eastAsia" w:ascii="宋体" w:hAnsi="宋体" w:eastAsia="宋体" w:cs="宋体"/>
          <w:b w:val="0"/>
          <w:bCs w:val="0"/>
          <w:color w:val="auto"/>
          <w:kern w:val="2"/>
          <w:sz w:val="24"/>
          <w:szCs w:val="24"/>
          <w:highlight w:val="none"/>
          <w:lang w:val="en-US" w:eastAsia="zh-CN" w:bidi="ar-SA"/>
        </w:rPr>
        <w:t>义务</w:t>
      </w:r>
      <w:bookmarkEnd w:id="83"/>
    </w:p>
    <w:p w14:paraId="613ABFEA">
      <w:pPr>
        <w:keepNext/>
        <w:keepLines/>
        <w:pageBreakBefore w:val="0"/>
        <w:kinsoku/>
        <w:wordWrap/>
        <w:overflowPunct/>
        <w:topLinePunct w:val="0"/>
        <w:autoSpaceDE/>
        <w:autoSpaceDN/>
        <w:bidi w:val="0"/>
        <w:snapToGrid/>
        <w:spacing w:before="60" w:beforeLines="25" w:after="60" w:afterLines="25" w:line="420" w:lineRule="exact"/>
        <w:ind w:firstLine="480" w:firstLineChars="200"/>
        <w:jc w:val="both"/>
        <w:outlineLvl w:val="3"/>
        <w:rPr>
          <w:rFonts w:hint="eastAsia" w:ascii="宋体" w:hAnsi="宋体" w:eastAsia="宋体" w:cs="宋体"/>
          <w:b w:val="0"/>
          <w:bCs w:val="0"/>
          <w:i w:val="0"/>
          <w:iCs/>
          <w:color w:val="auto"/>
          <w:kern w:val="2"/>
          <w:sz w:val="24"/>
          <w:szCs w:val="24"/>
          <w:highlight w:val="none"/>
          <w:lang w:val="en-US" w:eastAsia="zh-CN" w:bidi="ar-SA"/>
        </w:rPr>
      </w:pPr>
      <w:bookmarkStart w:id="84" w:name="_Toc237230886"/>
      <w:r>
        <w:rPr>
          <w:rFonts w:hint="eastAsia" w:ascii="宋体" w:hAnsi="宋体" w:eastAsia="宋体" w:cs="宋体"/>
          <w:b w:val="0"/>
          <w:bCs w:val="0"/>
          <w:i w:val="0"/>
          <w:iCs/>
          <w:color w:val="auto"/>
          <w:kern w:val="2"/>
          <w:sz w:val="24"/>
          <w:szCs w:val="24"/>
          <w:highlight w:val="none"/>
          <w:lang w:val="en-US" w:eastAsia="zh-CN" w:bidi="ar-SA"/>
        </w:rPr>
        <w:t>3.1 承包人的一般义务</w:t>
      </w:r>
      <w:bookmarkEnd w:id="84"/>
    </w:p>
    <w:p w14:paraId="5A078245">
      <w:pPr>
        <w:pageBreakBefore w:val="0"/>
        <w:widowControl/>
        <w:kinsoku/>
        <w:wordWrap/>
        <w:overflowPunct/>
        <w:topLinePunct w:val="0"/>
        <w:autoSpaceDE/>
        <w:autoSpaceDN/>
        <w:bidi w:val="0"/>
        <w:snapToGrid/>
        <w:spacing w:before="60" w:beforeLines="25" w:after="60" w:afterLines="25" w:line="420" w:lineRule="exact"/>
        <w:ind w:firstLine="480" w:firstLineChars="200"/>
        <w:jc w:val="left"/>
        <w:outlineLvl w:val="4"/>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3.1.1 遵守法律</w:t>
      </w:r>
    </w:p>
    <w:p w14:paraId="13497D41">
      <w:pPr>
        <w:pageBreakBefore w:val="0"/>
        <w:widowControl/>
        <w:kinsoku/>
        <w:wordWrap/>
        <w:overflowPunct/>
        <w:topLinePunct w:val="0"/>
        <w:autoSpaceDE/>
        <w:autoSpaceDN/>
        <w:bidi w:val="0"/>
        <w:snapToGrid/>
        <w:spacing w:before="60" w:beforeLines="25" w:after="60" w:afterLines="25" w:line="420" w:lineRule="exact"/>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承包人在履行合同过程中应遵守法律，并保证发包人免于承担因承包人违反法律而引起的任何责任。</w:t>
      </w:r>
    </w:p>
    <w:p w14:paraId="76702E98">
      <w:pPr>
        <w:pageBreakBefore w:val="0"/>
        <w:widowControl/>
        <w:kinsoku/>
        <w:wordWrap/>
        <w:overflowPunct/>
        <w:topLinePunct w:val="0"/>
        <w:autoSpaceDE/>
        <w:autoSpaceDN/>
        <w:bidi w:val="0"/>
        <w:snapToGrid/>
        <w:spacing w:before="60" w:beforeLines="25" w:after="60" w:afterLines="25" w:line="420" w:lineRule="exact"/>
        <w:ind w:firstLine="480" w:firstLineChars="200"/>
        <w:jc w:val="left"/>
        <w:outlineLvl w:val="4"/>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3.1.2 依法纳税</w:t>
      </w:r>
    </w:p>
    <w:p w14:paraId="7B716A7C">
      <w:pPr>
        <w:pageBreakBefore w:val="0"/>
        <w:widowControl/>
        <w:kinsoku/>
        <w:wordWrap/>
        <w:overflowPunct/>
        <w:topLinePunct w:val="0"/>
        <w:autoSpaceDE/>
        <w:autoSpaceDN/>
        <w:bidi w:val="0"/>
        <w:snapToGrid/>
        <w:spacing w:before="60" w:beforeLines="25" w:after="60" w:afterLines="25" w:line="420" w:lineRule="exact"/>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承包人应按有关法律规定纳税，应缴纳的税金包括在合同价格内。</w:t>
      </w:r>
    </w:p>
    <w:p w14:paraId="46465453">
      <w:pPr>
        <w:pageBreakBefore w:val="0"/>
        <w:widowControl/>
        <w:kinsoku/>
        <w:wordWrap/>
        <w:overflowPunct/>
        <w:topLinePunct w:val="0"/>
        <w:autoSpaceDE/>
        <w:autoSpaceDN/>
        <w:bidi w:val="0"/>
        <w:snapToGrid/>
        <w:spacing w:before="60" w:beforeLines="25" w:after="60" w:afterLines="25" w:line="420" w:lineRule="exact"/>
        <w:ind w:firstLine="480" w:firstLineChars="200"/>
        <w:jc w:val="left"/>
        <w:outlineLvl w:val="4"/>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3.1.3 完成各项承包工作</w:t>
      </w:r>
    </w:p>
    <w:p w14:paraId="3F9E34CA">
      <w:pPr>
        <w:pageBreakBefore w:val="0"/>
        <w:widowControl/>
        <w:kinsoku/>
        <w:wordWrap/>
        <w:overflowPunct/>
        <w:topLinePunct w:val="0"/>
        <w:autoSpaceDE/>
        <w:autoSpaceDN/>
        <w:bidi w:val="0"/>
        <w:snapToGrid/>
        <w:spacing w:before="60" w:beforeLines="25" w:after="60" w:afterLines="25" w:line="420" w:lineRule="exact"/>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承包人应按合同约定实施、完成全部工作，承包人应提供为完成合同工作所需的劳务、材料、施工设备、工程设备和其他物品，并按合同约定负责临时设施的设计、建造、运行、维护、管理和拆除。</w:t>
      </w:r>
    </w:p>
    <w:p w14:paraId="003D1421">
      <w:pPr>
        <w:pageBreakBefore w:val="0"/>
        <w:widowControl/>
        <w:kinsoku/>
        <w:wordWrap/>
        <w:overflowPunct/>
        <w:topLinePunct w:val="0"/>
        <w:autoSpaceDE/>
        <w:autoSpaceDN/>
        <w:bidi w:val="0"/>
        <w:snapToGrid/>
        <w:spacing w:before="60" w:beforeLines="25" w:after="60" w:afterLines="25" w:line="420" w:lineRule="exact"/>
        <w:ind w:firstLine="480" w:firstLineChars="200"/>
        <w:jc w:val="left"/>
        <w:outlineLvl w:val="4"/>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3.1.4 对作业和方法的完备性负责</w:t>
      </w:r>
    </w:p>
    <w:p w14:paraId="0A524E70">
      <w:pPr>
        <w:pageBreakBefore w:val="0"/>
        <w:widowControl/>
        <w:kinsoku/>
        <w:wordWrap/>
        <w:overflowPunct/>
        <w:topLinePunct w:val="0"/>
        <w:autoSpaceDE/>
        <w:autoSpaceDN/>
        <w:bidi w:val="0"/>
        <w:snapToGrid/>
        <w:spacing w:before="60" w:beforeLines="25" w:after="60" w:afterLines="25" w:line="420" w:lineRule="exact"/>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承包人应按合同约定的工作内容，按照国家现行的标准、规范、规程，以及《技术要求》进行路面技术咨询服务，按规定的进度交付成果资料，并对所有作业和方法的完备性和安全可靠性负责。</w:t>
      </w:r>
    </w:p>
    <w:p w14:paraId="6120A01C">
      <w:pPr>
        <w:pageBreakBefore w:val="0"/>
        <w:widowControl/>
        <w:kinsoku/>
        <w:wordWrap/>
        <w:overflowPunct/>
        <w:topLinePunct w:val="0"/>
        <w:autoSpaceDE/>
        <w:autoSpaceDN/>
        <w:bidi w:val="0"/>
        <w:snapToGrid/>
        <w:spacing w:before="60" w:beforeLines="25" w:after="60" w:afterLines="25" w:line="420" w:lineRule="exact"/>
        <w:ind w:firstLine="480" w:firstLineChars="200"/>
        <w:jc w:val="left"/>
        <w:outlineLvl w:val="4"/>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3.1.5 保证施工和人员的安全</w:t>
      </w:r>
    </w:p>
    <w:p w14:paraId="2E37AFEF">
      <w:pPr>
        <w:pageBreakBefore w:val="0"/>
        <w:widowControl/>
        <w:kinsoku/>
        <w:wordWrap/>
        <w:overflowPunct/>
        <w:topLinePunct w:val="0"/>
        <w:autoSpaceDE/>
        <w:autoSpaceDN/>
        <w:bidi w:val="0"/>
        <w:snapToGrid/>
        <w:spacing w:before="60" w:beforeLines="25" w:after="60" w:afterLines="25" w:line="420" w:lineRule="exact"/>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承包人应采取施工安全措施，确保工程及其人员、材料、设备和设施的安全，防止因工程施工造成的人身伤害和财产损失。</w:t>
      </w:r>
    </w:p>
    <w:p w14:paraId="049CA2AE">
      <w:pPr>
        <w:pageBreakBefore w:val="0"/>
        <w:widowControl/>
        <w:kinsoku/>
        <w:wordWrap/>
        <w:overflowPunct/>
        <w:topLinePunct w:val="0"/>
        <w:autoSpaceDE/>
        <w:autoSpaceDN/>
        <w:bidi w:val="0"/>
        <w:snapToGrid/>
        <w:spacing w:before="60" w:beforeLines="25" w:after="60" w:afterLines="25" w:line="420" w:lineRule="exact"/>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3.1.6若本项目工期延长，承包人不得向发包人提出费用索赔。</w:t>
      </w:r>
    </w:p>
    <w:p w14:paraId="65D127F2">
      <w:pPr>
        <w:pageBreakBefore w:val="0"/>
        <w:widowControl/>
        <w:kinsoku/>
        <w:wordWrap/>
        <w:overflowPunct/>
        <w:topLinePunct w:val="0"/>
        <w:autoSpaceDE/>
        <w:autoSpaceDN/>
        <w:bidi w:val="0"/>
        <w:snapToGrid/>
        <w:spacing w:before="60" w:beforeLines="25" w:after="60" w:afterLines="25" w:line="420" w:lineRule="exact"/>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3.1.7承包人应履行合同约定的其他义务。</w:t>
      </w:r>
    </w:p>
    <w:p w14:paraId="569B959D">
      <w:pPr>
        <w:pageBreakBefore w:val="0"/>
        <w:widowControl/>
        <w:kinsoku/>
        <w:wordWrap/>
        <w:overflowPunct/>
        <w:topLinePunct w:val="0"/>
        <w:autoSpaceDE/>
        <w:autoSpaceDN/>
        <w:bidi w:val="0"/>
        <w:snapToGrid/>
        <w:spacing w:before="60" w:beforeLines="25" w:after="60" w:afterLines="25" w:line="420" w:lineRule="exact"/>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无。</w:t>
      </w:r>
    </w:p>
    <w:p w14:paraId="58505F01">
      <w:pPr>
        <w:pageBreakBefore w:val="0"/>
        <w:widowControl/>
        <w:kinsoku/>
        <w:wordWrap/>
        <w:overflowPunct/>
        <w:topLinePunct w:val="0"/>
        <w:autoSpaceDE/>
        <w:autoSpaceDN/>
        <w:bidi w:val="0"/>
        <w:snapToGrid/>
        <w:spacing w:before="60" w:beforeLines="25" w:after="60" w:afterLines="25" w:line="420" w:lineRule="exact"/>
        <w:ind w:firstLine="482"/>
        <w:jc w:val="left"/>
        <w:outlineLvl w:val="3"/>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3.2 承包人职责 </w:t>
      </w:r>
    </w:p>
    <w:p w14:paraId="751B6CAD">
      <w:pPr>
        <w:pageBreakBefore w:val="0"/>
        <w:widowControl/>
        <w:kinsoku/>
        <w:wordWrap/>
        <w:overflowPunct/>
        <w:topLinePunct w:val="0"/>
        <w:autoSpaceDE/>
        <w:autoSpaceDN/>
        <w:bidi w:val="0"/>
        <w:snapToGrid/>
        <w:spacing w:before="60" w:beforeLines="25" w:after="60" w:afterLines="25" w:line="420" w:lineRule="exact"/>
        <w:ind w:firstLine="482"/>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3.2.1 承包人应按照合同的要求，履行</w:t>
      </w:r>
      <w:r>
        <w:rPr>
          <w:rFonts w:hint="eastAsia" w:ascii="宋体" w:hAnsi="宋体" w:cs="宋体"/>
          <w:b w:val="0"/>
          <w:bCs w:val="0"/>
          <w:color w:val="auto"/>
          <w:sz w:val="24"/>
          <w:szCs w:val="24"/>
          <w:highlight w:val="none"/>
          <w:lang w:val="en-US" w:eastAsia="zh-CN"/>
        </w:rPr>
        <w:t>施工监控</w:t>
      </w:r>
      <w:r>
        <w:rPr>
          <w:rFonts w:hint="eastAsia" w:ascii="宋体" w:hAnsi="宋体" w:eastAsia="宋体" w:cs="宋体"/>
          <w:b w:val="0"/>
          <w:bCs w:val="0"/>
          <w:color w:val="auto"/>
          <w:sz w:val="24"/>
          <w:szCs w:val="24"/>
          <w:highlight w:val="none"/>
        </w:rPr>
        <w:t xml:space="preserve">服务。 </w:t>
      </w:r>
    </w:p>
    <w:p w14:paraId="67791F9B">
      <w:pPr>
        <w:pageBreakBefore w:val="0"/>
        <w:widowControl/>
        <w:kinsoku/>
        <w:wordWrap/>
        <w:overflowPunct/>
        <w:topLinePunct w:val="0"/>
        <w:autoSpaceDE/>
        <w:autoSpaceDN/>
        <w:bidi w:val="0"/>
        <w:snapToGrid/>
        <w:spacing w:before="60" w:beforeLines="25" w:after="60" w:afterLines="25" w:line="420" w:lineRule="exact"/>
        <w:ind w:firstLine="482"/>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3.2.2如果承包人在履行咨询服务过程中行使的权力或所需的授权，来自于发包人和第三方签订的工程合同文件，该合同文件必须成为本</w:t>
      </w:r>
      <w:r>
        <w:rPr>
          <w:rFonts w:hint="eastAsia" w:ascii="宋体" w:hAnsi="宋体" w:eastAsia="宋体" w:cs="宋体"/>
          <w:b w:val="0"/>
          <w:bCs w:val="0"/>
          <w:color w:val="auto"/>
          <w:sz w:val="24"/>
          <w:szCs w:val="24"/>
          <w:highlight w:val="none"/>
          <w:lang w:val="en-US" w:eastAsia="zh-CN"/>
        </w:rPr>
        <w:t>试验检测</w:t>
      </w:r>
      <w:r>
        <w:rPr>
          <w:rFonts w:hint="eastAsia" w:ascii="宋体" w:hAnsi="宋体" w:eastAsia="宋体" w:cs="宋体"/>
          <w:b w:val="0"/>
          <w:bCs w:val="0"/>
          <w:color w:val="auto"/>
          <w:sz w:val="24"/>
          <w:szCs w:val="24"/>
          <w:highlight w:val="none"/>
        </w:rPr>
        <w:t>合同的组成部分，两者之间如出现矛盾，则应编制补充说明文件一并列入合同。此时承包人应：</w:t>
      </w:r>
    </w:p>
    <w:p w14:paraId="78235550">
      <w:pPr>
        <w:pageBreakBefore w:val="0"/>
        <w:widowControl/>
        <w:kinsoku/>
        <w:wordWrap/>
        <w:overflowPunct/>
        <w:topLinePunct w:val="0"/>
        <w:autoSpaceDE/>
        <w:autoSpaceDN/>
        <w:bidi w:val="0"/>
        <w:snapToGrid/>
        <w:spacing w:before="60" w:beforeLines="25" w:after="60" w:afterLines="25" w:line="420" w:lineRule="exact"/>
        <w:ind w:firstLine="482"/>
        <w:jc w:val="left"/>
        <w:outlineLvl w:val="4"/>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（1）根据合同文件和工程合同文件履行咨询服务；</w:t>
      </w:r>
    </w:p>
    <w:p w14:paraId="43FC123E">
      <w:pPr>
        <w:pageBreakBefore w:val="0"/>
        <w:widowControl/>
        <w:kinsoku/>
        <w:wordWrap/>
        <w:overflowPunct/>
        <w:topLinePunct w:val="0"/>
        <w:autoSpaceDE/>
        <w:autoSpaceDN/>
        <w:bidi w:val="0"/>
        <w:snapToGrid/>
        <w:spacing w:before="60" w:beforeLines="25" w:after="60" w:afterLines="25" w:line="420" w:lineRule="exact"/>
        <w:ind w:firstLine="482"/>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（2）根据职责范围，在发包人和第三方之间独立公正地行使上述合同文件赋予的权力。</w:t>
      </w:r>
    </w:p>
    <w:p w14:paraId="52D1672F">
      <w:pPr>
        <w:pageBreakBefore w:val="0"/>
        <w:widowControl/>
        <w:kinsoku/>
        <w:wordWrap/>
        <w:overflowPunct/>
        <w:topLinePunct w:val="0"/>
        <w:autoSpaceDE/>
        <w:autoSpaceDN/>
        <w:bidi w:val="0"/>
        <w:snapToGrid/>
        <w:spacing w:before="60" w:beforeLines="25" w:after="60" w:afterLines="25" w:line="420" w:lineRule="exact"/>
        <w:ind w:firstLine="482"/>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3.2.3 承包人应严格执行本技术咨询合同、施工技术规范、补充技术规范、</w:t>
      </w:r>
      <w:r>
        <w:rPr>
          <w:rFonts w:hint="eastAsia" w:ascii="宋体" w:hAnsi="宋体" w:eastAsia="宋体" w:cs="宋体"/>
          <w:b w:val="0"/>
          <w:bCs w:val="0"/>
          <w:color w:val="auto"/>
          <w:sz w:val="24"/>
          <w:szCs w:val="24"/>
          <w:highlight w:val="none"/>
          <w:lang w:val="en-US" w:eastAsia="zh-CN"/>
        </w:rPr>
        <w:t>监控</w:t>
      </w:r>
      <w:r>
        <w:rPr>
          <w:rFonts w:hint="eastAsia" w:ascii="宋体" w:hAnsi="宋体" w:eastAsia="宋体" w:cs="宋体"/>
          <w:b w:val="0"/>
          <w:bCs w:val="0"/>
          <w:color w:val="auto"/>
          <w:sz w:val="24"/>
          <w:szCs w:val="24"/>
          <w:highlight w:val="none"/>
        </w:rPr>
        <w:t xml:space="preserve">规范、设计图纸及湖南省交通运输厅、发包人一切有关该项目的文件、信函、规定和指令。 </w:t>
      </w:r>
    </w:p>
    <w:p w14:paraId="60F5EA29">
      <w:pPr>
        <w:pageBreakBefore w:val="0"/>
        <w:widowControl/>
        <w:kinsoku/>
        <w:wordWrap/>
        <w:overflowPunct/>
        <w:topLinePunct w:val="0"/>
        <w:autoSpaceDE/>
        <w:autoSpaceDN/>
        <w:bidi w:val="0"/>
        <w:snapToGrid/>
        <w:spacing w:before="60" w:beforeLines="25" w:after="60" w:afterLines="25" w:line="420" w:lineRule="exact"/>
        <w:ind w:firstLine="482"/>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3.2.4 承包人应服从发包人的监督与管理，执行发包人授权代表的、咨询工作指令。认真开展咨询工作，及时提供咨询成果与报告，并对其真实性负责，以确保工程质量完全处于受控状态。</w:t>
      </w:r>
    </w:p>
    <w:p w14:paraId="5E7FC183">
      <w:pPr>
        <w:pageBreakBefore w:val="0"/>
        <w:widowControl/>
        <w:kinsoku/>
        <w:wordWrap/>
        <w:overflowPunct/>
        <w:topLinePunct w:val="0"/>
        <w:autoSpaceDE/>
        <w:autoSpaceDN/>
        <w:bidi w:val="0"/>
        <w:snapToGrid/>
        <w:spacing w:before="60" w:beforeLines="25" w:after="60" w:afterLines="25" w:line="420" w:lineRule="exact"/>
        <w:ind w:firstLine="482"/>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3.2.5 承包人应及时、准确地为发包人提供报告、咨询分析意见；发包人认为有必要时，可为监理单位提供，作为监理单位实施工程质量控制和评估依据。</w:t>
      </w:r>
    </w:p>
    <w:p w14:paraId="3C2F67E7">
      <w:pPr>
        <w:pageBreakBefore w:val="0"/>
        <w:widowControl/>
        <w:kinsoku/>
        <w:wordWrap/>
        <w:overflowPunct/>
        <w:topLinePunct w:val="0"/>
        <w:autoSpaceDE/>
        <w:autoSpaceDN/>
        <w:bidi w:val="0"/>
        <w:snapToGrid/>
        <w:spacing w:before="60" w:beforeLines="25" w:after="60" w:afterLines="25" w:line="420" w:lineRule="exact"/>
        <w:ind w:firstLine="482"/>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3.2.7 承包人编制相应的</w:t>
      </w:r>
      <w:r>
        <w:rPr>
          <w:rFonts w:hint="eastAsia" w:ascii="宋体" w:hAnsi="宋体" w:eastAsia="宋体" w:cs="宋体"/>
          <w:b w:val="0"/>
          <w:bCs w:val="0"/>
          <w:color w:val="auto"/>
          <w:sz w:val="24"/>
          <w:szCs w:val="24"/>
          <w:highlight w:val="none"/>
          <w:lang w:val="en-US" w:eastAsia="zh-CN"/>
        </w:rPr>
        <w:t>施工监控</w:t>
      </w:r>
      <w:r>
        <w:rPr>
          <w:rFonts w:hint="eastAsia" w:ascii="宋体" w:hAnsi="宋体" w:eastAsia="宋体" w:cs="宋体"/>
          <w:b w:val="0"/>
          <w:bCs w:val="0"/>
          <w:color w:val="auto"/>
          <w:sz w:val="24"/>
          <w:szCs w:val="24"/>
          <w:highlight w:val="none"/>
        </w:rPr>
        <w:t>方案，报送发包人或发包人代表批准，同时抄送监理人。</w:t>
      </w:r>
    </w:p>
    <w:p w14:paraId="04E230AC">
      <w:pPr>
        <w:pageBreakBefore w:val="0"/>
        <w:widowControl/>
        <w:kinsoku/>
        <w:wordWrap/>
        <w:overflowPunct/>
        <w:topLinePunct w:val="0"/>
        <w:autoSpaceDE/>
        <w:autoSpaceDN/>
        <w:bidi w:val="0"/>
        <w:snapToGrid/>
        <w:spacing w:before="60" w:beforeLines="25" w:after="60" w:afterLines="25" w:line="420" w:lineRule="exact"/>
        <w:ind w:firstLine="482"/>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3.2.8 承包人及时参加监理人主持召开的工地例会及相关质量专题分析会议。 </w:t>
      </w:r>
    </w:p>
    <w:p w14:paraId="5E24EEE7">
      <w:pPr>
        <w:pageBreakBefore w:val="0"/>
        <w:widowControl/>
        <w:kinsoku/>
        <w:wordWrap/>
        <w:overflowPunct/>
        <w:topLinePunct w:val="0"/>
        <w:autoSpaceDE/>
        <w:autoSpaceDN/>
        <w:bidi w:val="0"/>
        <w:snapToGrid/>
        <w:spacing w:before="60" w:beforeLines="25" w:after="60" w:afterLines="25" w:line="420" w:lineRule="exact"/>
        <w:ind w:firstLine="482"/>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3.2.9 积极配合发包人对质量问题的处理。 </w:t>
      </w:r>
    </w:p>
    <w:p w14:paraId="7D9EE031">
      <w:pPr>
        <w:keepNext/>
        <w:keepLines/>
        <w:pageBreakBefore w:val="0"/>
        <w:kinsoku/>
        <w:wordWrap/>
        <w:overflowPunct/>
        <w:topLinePunct w:val="0"/>
        <w:autoSpaceDE/>
        <w:autoSpaceDN/>
        <w:bidi w:val="0"/>
        <w:snapToGrid/>
        <w:spacing w:before="60" w:beforeLines="25" w:after="60" w:afterLines="25" w:line="420" w:lineRule="exact"/>
        <w:ind w:firstLine="480" w:firstLineChars="200"/>
        <w:jc w:val="both"/>
        <w:outlineLvl w:val="3"/>
        <w:rPr>
          <w:rFonts w:hint="eastAsia" w:ascii="宋体" w:hAnsi="宋体" w:eastAsia="宋体" w:cs="宋体"/>
          <w:b w:val="0"/>
          <w:bCs w:val="0"/>
          <w:i w:val="0"/>
          <w:iCs/>
          <w:color w:val="auto"/>
          <w:kern w:val="2"/>
          <w:sz w:val="24"/>
          <w:szCs w:val="24"/>
          <w:highlight w:val="none"/>
          <w:lang w:val="en-US" w:eastAsia="zh-CN" w:bidi="ar-SA"/>
        </w:rPr>
      </w:pPr>
      <w:bookmarkStart w:id="85" w:name="_Toc237230887"/>
      <w:r>
        <w:rPr>
          <w:rFonts w:hint="eastAsia" w:ascii="宋体" w:hAnsi="宋体" w:eastAsia="宋体" w:cs="宋体"/>
          <w:b w:val="0"/>
          <w:bCs w:val="0"/>
          <w:i w:val="0"/>
          <w:iCs/>
          <w:color w:val="auto"/>
          <w:kern w:val="2"/>
          <w:sz w:val="24"/>
          <w:szCs w:val="24"/>
          <w:highlight w:val="none"/>
          <w:lang w:val="en-US" w:eastAsia="zh-CN" w:bidi="ar-SA"/>
        </w:rPr>
        <w:t>3.3 履约担保</w:t>
      </w:r>
      <w:bookmarkEnd w:id="85"/>
    </w:p>
    <w:p w14:paraId="29C37D2D">
      <w:pPr>
        <w:pageBreakBefore w:val="0"/>
        <w:widowControl/>
        <w:kinsoku/>
        <w:wordWrap/>
        <w:overflowPunct/>
        <w:topLinePunct w:val="0"/>
        <w:autoSpaceDE/>
        <w:autoSpaceDN/>
        <w:bidi w:val="0"/>
        <w:snapToGrid/>
        <w:spacing w:before="60" w:beforeLines="25" w:after="60" w:afterLines="25" w:line="420" w:lineRule="exact"/>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3.3.1承包人应按规定提交履约担保，并应保证其履约担保在服务工作实质上完工（承包人咨询成果全部提交且经发包人验收通过）前一直有效。履约担保在所咨询范围内的项目</w:t>
      </w:r>
      <w:r>
        <w:rPr>
          <w:rFonts w:hint="eastAsia" w:ascii="宋体" w:hAnsi="宋体" w:eastAsia="宋体" w:cs="宋体"/>
          <w:b w:val="0"/>
          <w:bCs w:val="0"/>
          <w:color w:val="auto"/>
          <w:sz w:val="24"/>
          <w:szCs w:val="24"/>
          <w:highlight w:val="none"/>
          <w:lang w:val="en-US" w:eastAsia="zh-CN"/>
        </w:rPr>
        <w:t>交工验收</w:t>
      </w:r>
      <w:r>
        <w:rPr>
          <w:rFonts w:hint="eastAsia" w:ascii="宋体" w:hAnsi="宋体" w:eastAsia="宋体" w:cs="宋体"/>
          <w:b w:val="0"/>
          <w:bCs w:val="0"/>
          <w:color w:val="auto"/>
          <w:sz w:val="24"/>
          <w:szCs w:val="24"/>
          <w:highlight w:val="none"/>
        </w:rPr>
        <w:t>后28日内退还承包人。</w:t>
      </w:r>
    </w:p>
    <w:p w14:paraId="23409226">
      <w:pPr>
        <w:pageBreakBefore w:val="0"/>
        <w:widowControl/>
        <w:kinsoku/>
        <w:wordWrap/>
        <w:overflowPunct/>
        <w:topLinePunct w:val="0"/>
        <w:autoSpaceDE/>
        <w:autoSpaceDN/>
        <w:bidi w:val="0"/>
        <w:snapToGrid/>
        <w:spacing w:before="60" w:beforeLines="25" w:after="60" w:afterLines="25" w:line="420" w:lineRule="exact"/>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3.3.2履约保证金的形式：银行保函或现金、支票形式</w:t>
      </w:r>
    </w:p>
    <w:p w14:paraId="128A6079">
      <w:pPr>
        <w:pageBreakBefore w:val="0"/>
        <w:widowControl/>
        <w:kinsoku/>
        <w:wordWrap/>
        <w:overflowPunct/>
        <w:topLinePunct w:val="0"/>
        <w:autoSpaceDE/>
        <w:autoSpaceDN/>
        <w:bidi w:val="0"/>
        <w:snapToGrid/>
        <w:spacing w:before="60" w:beforeLines="25" w:after="60" w:afterLines="25" w:line="420" w:lineRule="exact"/>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3.3.3履约保证金的金额：10％签约合同价</w:t>
      </w:r>
    </w:p>
    <w:p w14:paraId="37723771">
      <w:pPr>
        <w:pageBreakBefore w:val="0"/>
        <w:widowControl/>
        <w:kinsoku/>
        <w:wordWrap/>
        <w:overflowPunct/>
        <w:topLinePunct w:val="0"/>
        <w:autoSpaceDE/>
        <w:autoSpaceDN/>
        <w:bidi w:val="0"/>
        <w:snapToGrid/>
        <w:spacing w:before="60" w:beforeLines="25" w:after="60" w:afterLines="25" w:line="420" w:lineRule="exact"/>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3.3.4采用银行保函时，出具保函的银行级别：若采取部分或全部现金形式,投标人应将现金履约担保以银行转账、电汇、网银形式汇至招标人指定账号上，剩余部分采用银行保函或工程保证保险形式。履约保证金由中标人的基本银行账户出具。工程保证保险应由具有工程保证保险承保资格的保险公司开具保函或保单。</w:t>
      </w:r>
    </w:p>
    <w:p w14:paraId="012FB0C1">
      <w:pPr>
        <w:keepNext/>
        <w:keepLines/>
        <w:pageBreakBefore w:val="0"/>
        <w:kinsoku/>
        <w:wordWrap/>
        <w:overflowPunct/>
        <w:topLinePunct w:val="0"/>
        <w:autoSpaceDE/>
        <w:autoSpaceDN/>
        <w:bidi w:val="0"/>
        <w:snapToGrid/>
        <w:spacing w:before="60" w:beforeLines="25" w:after="60" w:afterLines="25" w:line="420" w:lineRule="exact"/>
        <w:ind w:firstLine="480" w:firstLineChars="200"/>
        <w:jc w:val="both"/>
        <w:outlineLvl w:val="3"/>
        <w:rPr>
          <w:rFonts w:hint="eastAsia" w:ascii="宋体" w:hAnsi="宋体" w:eastAsia="宋体" w:cs="宋体"/>
          <w:b w:val="0"/>
          <w:bCs w:val="0"/>
          <w:i w:val="0"/>
          <w:iCs/>
          <w:color w:val="auto"/>
          <w:kern w:val="2"/>
          <w:sz w:val="24"/>
          <w:szCs w:val="24"/>
          <w:highlight w:val="none"/>
          <w:lang w:val="en-US" w:eastAsia="zh-CN" w:bidi="ar-SA"/>
        </w:rPr>
      </w:pPr>
      <w:bookmarkStart w:id="86" w:name="_Toc237230888"/>
      <w:r>
        <w:rPr>
          <w:rFonts w:hint="eastAsia" w:ascii="宋体" w:hAnsi="宋体" w:eastAsia="宋体" w:cs="宋体"/>
          <w:b w:val="0"/>
          <w:bCs w:val="0"/>
          <w:i w:val="0"/>
          <w:iCs/>
          <w:color w:val="auto"/>
          <w:kern w:val="2"/>
          <w:sz w:val="24"/>
          <w:szCs w:val="24"/>
          <w:highlight w:val="none"/>
          <w:lang w:val="en-US" w:eastAsia="zh-CN" w:bidi="ar-SA"/>
        </w:rPr>
        <w:t>3.4 分包</w:t>
      </w:r>
      <w:bookmarkEnd w:id="86"/>
    </w:p>
    <w:p w14:paraId="3B8746C6">
      <w:pPr>
        <w:pageBreakBefore w:val="0"/>
        <w:widowControl/>
        <w:kinsoku/>
        <w:wordWrap/>
        <w:overflowPunct/>
        <w:topLinePunct w:val="0"/>
        <w:autoSpaceDE/>
        <w:autoSpaceDN/>
        <w:bidi w:val="0"/>
        <w:snapToGrid/>
        <w:spacing w:before="60" w:beforeLines="25" w:after="60" w:afterLines="25" w:line="420" w:lineRule="exact"/>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本项目不接受任何形式的分包、转包。</w:t>
      </w:r>
    </w:p>
    <w:p w14:paraId="662565F0">
      <w:pPr>
        <w:keepNext/>
        <w:keepLines/>
        <w:pageBreakBefore w:val="0"/>
        <w:kinsoku/>
        <w:wordWrap/>
        <w:overflowPunct/>
        <w:topLinePunct w:val="0"/>
        <w:autoSpaceDE/>
        <w:autoSpaceDN/>
        <w:bidi w:val="0"/>
        <w:snapToGrid/>
        <w:spacing w:before="60" w:beforeLines="25" w:after="60" w:afterLines="25" w:line="420" w:lineRule="exact"/>
        <w:ind w:firstLine="480" w:firstLineChars="200"/>
        <w:jc w:val="both"/>
        <w:outlineLvl w:val="3"/>
        <w:rPr>
          <w:rFonts w:hint="eastAsia" w:ascii="宋体" w:hAnsi="宋体" w:eastAsia="宋体" w:cs="宋体"/>
          <w:b w:val="0"/>
          <w:bCs w:val="0"/>
          <w:i w:val="0"/>
          <w:iCs/>
          <w:color w:val="auto"/>
          <w:kern w:val="2"/>
          <w:sz w:val="24"/>
          <w:szCs w:val="24"/>
          <w:highlight w:val="none"/>
          <w:lang w:val="en-US" w:eastAsia="zh-CN" w:bidi="ar-SA"/>
        </w:rPr>
      </w:pPr>
      <w:bookmarkStart w:id="87" w:name="_Toc237230890"/>
      <w:r>
        <w:rPr>
          <w:rFonts w:hint="eastAsia" w:ascii="宋体" w:hAnsi="宋体" w:eastAsia="宋体" w:cs="宋体"/>
          <w:b w:val="0"/>
          <w:bCs w:val="0"/>
          <w:i w:val="0"/>
          <w:iCs/>
          <w:color w:val="auto"/>
          <w:kern w:val="2"/>
          <w:sz w:val="24"/>
          <w:szCs w:val="24"/>
          <w:highlight w:val="none"/>
          <w:lang w:val="en-US" w:eastAsia="zh-CN" w:bidi="ar-SA"/>
        </w:rPr>
        <w:t>3.5 承包人项目</w:t>
      </w:r>
      <w:bookmarkEnd w:id="87"/>
      <w:r>
        <w:rPr>
          <w:rFonts w:hint="eastAsia" w:ascii="宋体" w:hAnsi="宋体" w:eastAsia="宋体" w:cs="宋体"/>
          <w:b w:val="0"/>
          <w:bCs w:val="0"/>
          <w:i w:val="0"/>
          <w:iCs/>
          <w:color w:val="auto"/>
          <w:kern w:val="2"/>
          <w:sz w:val="24"/>
          <w:szCs w:val="24"/>
          <w:highlight w:val="none"/>
          <w:lang w:val="en-US" w:eastAsia="zh-CN" w:bidi="ar-SA"/>
        </w:rPr>
        <w:t>负责人及技术负责人</w:t>
      </w:r>
    </w:p>
    <w:p w14:paraId="468587F7">
      <w:pPr>
        <w:pageBreakBefore w:val="0"/>
        <w:widowControl/>
        <w:kinsoku/>
        <w:wordWrap/>
        <w:overflowPunct/>
        <w:topLinePunct w:val="0"/>
        <w:autoSpaceDE/>
        <w:autoSpaceDN/>
        <w:bidi w:val="0"/>
        <w:snapToGrid/>
        <w:spacing w:before="60" w:beforeLines="25" w:after="60" w:afterLines="25" w:line="420" w:lineRule="exact"/>
        <w:ind w:firstLine="480" w:firstLineChars="200"/>
        <w:jc w:val="left"/>
        <w:rPr>
          <w:rFonts w:hint="eastAsia" w:ascii="宋体" w:hAnsi="宋体" w:eastAsia="宋体" w:cs="宋体"/>
          <w:b w:val="0"/>
          <w:bCs w:val="0"/>
          <w:color w:val="auto"/>
          <w:sz w:val="24"/>
          <w:szCs w:val="24"/>
          <w:highlight w:val="none"/>
        </w:rPr>
      </w:pPr>
      <w:bookmarkStart w:id="88" w:name="_Toc237230891"/>
      <w:r>
        <w:rPr>
          <w:rFonts w:hint="eastAsia" w:ascii="宋体" w:hAnsi="宋体" w:eastAsia="宋体" w:cs="宋体"/>
          <w:b w:val="0"/>
          <w:bCs w:val="0"/>
          <w:color w:val="auto"/>
          <w:sz w:val="24"/>
          <w:szCs w:val="24"/>
          <w:highlight w:val="none"/>
        </w:rPr>
        <w:t>3.5.1 承包人应按合同约定指派项目负责人及技术负责人，并在约定的期限内到职。承包人更换项目负责人或技术负责人应事先征得发包人同意，并应在更换14天前通知发包人。承包人项目负责人短期离开施工场地，应事先征得发包人同意，并委派代表代行其职责。并按10.1条的规定处理。</w:t>
      </w:r>
    </w:p>
    <w:p w14:paraId="2BB5A03C">
      <w:pPr>
        <w:pageBreakBefore w:val="0"/>
        <w:widowControl/>
        <w:kinsoku/>
        <w:wordWrap/>
        <w:overflowPunct/>
        <w:topLinePunct w:val="0"/>
        <w:autoSpaceDE/>
        <w:autoSpaceDN/>
        <w:bidi w:val="0"/>
        <w:snapToGrid/>
        <w:spacing w:before="60" w:beforeLines="25" w:after="60" w:afterLines="25" w:line="420" w:lineRule="exact"/>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3.5.2 承包人为履行合同发出的一切函件均应盖有承包人授权的施工场地管理机构章，并由承包人项目负责人或其授权代表签字。</w:t>
      </w:r>
    </w:p>
    <w:p w14:paraId="08C4761F">
      <w:pPr>
        <w:keepNext/>
        <w:keepLines/>
        <w:pageBreakBefore w:val="0"/>
        <w:kinsoku/>
        <w:wordWrap/>
        <w:overflowPunct/>
        <w:topLinePunct w:val="0"/>
        <w:autoSpaceDE/>
        <w:autoSpaceDN/>
        <w:bidi w:val="0"/>
        <w:snapToGrid/>
        <w:spacing w:before="60" w:beforeLines="25" w:after="60" w:afterLines="25" w:line="420" w:lineRule="exact"/>
        <w:ind w:firstLine="480" w:firstLineChars="200"/>
        <w:jc w:val="both"/>
        <w:outlineLvl w:val="3"/>
        <w:rPr>
          <w:rFonts w:hint="eastAsia" w:ascii="宋体" w:hAnsi="宋体" w:eastAsia="宋体" w:cs="宋体"/>
          <w:b w:val="0"/>
          <w:bCs w:val="0"/>
          <w:i w:val="0"/>
          <w:iCs/>
          <w:color w:val="auto"/>
          <w:kern w:val="2"/>
          <w:sz w:val="24"/>
          <w:szCs w:val="24"/>
          <w:highlight w:val="none"/>
          <w:lang w:val="en-US" w:eastAsia="zh-CN" w:bidi="ar-SA"/>
        </w:rPr>
      </w:pPr>
      <w:r>
        <w:rPr>
          <w:rFonts w:hint="eastAsia" w:ascii="宋体" w:hAnsi="宋体" w:eastAsia="宋体" w:cs="宋体"/>
          <w:b w:val="0"/>
          <w:bCs w:val="0"/>
          <w:i w:val="0"/>
          <w:iCs/>
          <w:color w:val="auto"/>
          <w:kern w:val="2"/>
          <w:sz w:val="24"/>
          <w:szCs w:val="24"/>
          <w:highlight w:val="none"/>
          <w:lang w:val="en-US" w:eastAsia="zh-CN" w:bidi="ar-SA"/>
        </w:rPr>
        <w:t>3.6 承包人人员的管理</w:t>
      </w:r>
      <w:bookmarkEnd w:id="88"/>
    </w:p>
    <w:p w14:paraId="11193857">
      <w:pPr>
        <w:pageBreakBefore w:val="0"/>
        <w:widowControl/>
        <w:kinsoku/>
        <w:wordWrap/>
        <w:overflowPunct/>
        <w:topLinePunct w:val="0"/>
        <w:autoSpaceDE/>
        <w:autoSpaceDN/>
        <w:bidi w:val="0"/>
        <w:snapToGrid/>
        <w:spacing w:before="60" w:beforeLines="25" w:after="60" w:afterLines="25" w:line="420" w:lineRule="exact"/>
        <w:ind w:firstLine="480" w:firstLineChars="200"/>
        <w:jc w:val="left"/>
        <w:rPr>
          <w:rFonts w:hint="eastAsia" w:ascii="宋体" w:hAnsi="宋体" w:eastAsia="宋体" w:cs="宋体"/>
          <w:b w:val="0"/>
          <w:bCs w:val="0"/>
          <w:color w:val="auto"/>
          <w:sz w:val="24"/>
          <w:szCs w:val="24"/>
          <w:highlight w:val="none"/>
        </w:rPr>
      </w:pPr>
      <w:bookmarkStart w:id="89" w:name="_Toc237230893"/>
      <w:r>
        <w:rPr>
          <w:rFonts w:hint="eastAsia" w:ascii="宋体" w:hAnsi="宋体" w:eastAsia="宋体" w:cs="宋体"/>
          <w:b w:val="0"/>
          <w:bCs w:val="0"/>
          <w:color w:val="auto"/>
          <w:sz w:val="24"/>
          <w:szCs w:val="24"/>
          <w:highlight w:val="none"/>
        </w:rPr>
        <w:t>3.6.1承包人应按投标承诺和合同谈判中承诺的人员名单派驻到工地现场，保证所有投标时和合同谈判中承诺配备的人员及时到位，并应相对稳定，若因工作安排或其他原因，需要更换派驻到项目所在地履行咨询任务的主要人员时，更换人员资质应不低于原人员资质，并应事先得到发包人的批准，并按10.1条的规定处理。</w:t>
      </w:r>
    </w:p>
    <w:p w14:paraId="254B51D9">
      <w:pPr>
        <w:pageBreakBefore w:val="0"/>
        <w:widowControl/>
        <w:kinsoku/>
        <w:wordWrap/>
        <w:overflowPunct/>
        <w:topLinePunct w:val="0"/>
        <w:autoSpaceDE/>
        <w:autoSpaceDN/>
        <w:bidi w:val="0"/>
        <w:snapToGrid/>
        <w:spacing w:before="60" w:beforeLines="25" w:after="60" w:afterLines="25" w:line="420" w:lineRule="exact"/>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3.6.2 为完成合同约定的各项工作，承包人应向施工场地派遣足够数量的人员常驻现场。若出于某种原因需要暂时离开现场时，必须书面申请并经发包人或发包人授权代表批准后方可离开，发包人对此批准而产生的相关风险不承担任何责任。具体批准程序在发包人相关管理制度中制定。</w:t>
      </w:r>
    </w:p>
    <w:p w14:paraId="56ECCDEF">
      <w:pPr>
        <w:pageBreakBefore w:val="0"/>
        <w:widowControl/>
        <w:kinsoku/>
        <w:wordWrap/>
        <w:overflowPunct/>
        <w:topLinePunct w:val="0"/>
        <w:autoSpaceDE/>
        <w:autoSpaceDN/>
        <w:bidi w:val="0"/>
        <w:snapToGrid/>
        <w:spacing w:before="60" w:beforeLines="25" w:after="60" w:afterLines="25" w:line="420" w:lineRule="exact"/>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3.6.3 特殊岗位的工作人员均应持有相应的资格证明，发包人有权随时检查。</w:t>
      </w:r>
    </w:p>
    <w:p w14:paraId="0E827D71">
      <w:pPr>
        <w:pageBreakBefore w:val="0"/>
        <w:widowControl/>
        <w:kinsoku/>
        <w:wordWrap/>
        <w:overflowPunct/>
        <w:topLinePunct w:val="0"/>
        <w:autoSpaceDE/>
        <w:autoSpaceDN/>
        <w:bidi w:val="0"/>
        <w:snapToGrid/>
        <w:spacing w:before="60" w:beforeLines="25" w:after="60" w:afterLines="25" w:line="420" w:lineRule="exact"/>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3.6.4承包人派驻现场的人员经发包人考核认定不能胜任时，发包人有权要求承包人更换，且按“10.1条”约定的违约金对承包人进行处罚。</w:t>
      </w:r>
    </w:p>
    <w:p w14:paraId="0645EFD0">
      <w:pPr>
        <w:keepNext/>
        <w:keepLines/>
        <w:pageBreakBefore w:val="0"/>
        <w:kinsoku/>
        <w:wordWrap/>
        <w:overflowPunct/>
        <w:topLinePunct w:val="0"/>
        <w:autoSpaceDE/>
        <w:autoSpaceDN/>
        <w:bidi w:val="0"/>
        <w:snapToGrid/>
        <w:spacing w:before="60" w:beforeLines="25" w:after="60" w:afterLines="25" w:line="420" w:lineRule="exact"/>
        <w:ind w:firstLine="480" w:firstLineChars="200"/>
        <w:jc w:val="both"/>
        <w:outlineLvl w:val="3"/>
        <w:rPr>
          <w:rFonts w:hint="eastAsia" w:ascii="宋体" w:hAnsi="宋体" w:eastAsia="宋体" w:cs="宋体"/>
          <w:b w:val="0"/>
          <w:bCs w:val="0"/>
          <w:i w:val="0"/>
          <w:iCs/>
          <w:color w:val="auto"/>
          <w:kern w:val="2"/>
          <w:sz w:val="24"/>
          <w:szCs w:val="24"/>
          <w:highlight w:val="none"/>
          <w:lang w:val="en-US" w:eastAsia="zh-CN" w:bidi="ar-SA"/>
        </w:rPr>
      </w:pPr>
      <w:r>
        <w:rPr>
          <w:rFonts w:hint="eastAsia" w:ascii="宋体" w:hAnsi="宋体" w:eastAsia="宋体" w:cs="宋体"/>
          <w:b w:val="0"/>
          <w:bCs w:val="0"/>
          <w:i w:val="0"/>
          <w:iCs/>
          <w:color w:val="auto"/>
          <w:kern w:val="2"/>
          <w:sz w:val="24"/>
          <w:szCs w:val="24"/>
          <w:highlight w:val="none"/>
          <w:lang w:val="en-US" w:eastAsia="zh-CN" w:bidi="ar-SA"/>
        </w:rPr>
        <w:t>3.7 保障承包人人员的合法权益</w:t>
      </w:r>
      <w:bookmarkEnd w:id="89"/>
    </w:p>
    <w:p w14:paraId="51CE4B42">
      <w:pPr>
        <w:pageBreakBefore w:val="0"/>
        <w:widowControl/>
        <w:kinsoku/>
        <w:wordWrap/>
        <w:overflowPunct/>
        <w:topLinePunct w:val="0"/>
        <w:autoSpaceDE/>
        <w:autoSpaceDN/>
        <w:bidi w:val="0"/>
        <w:snapToGrid/>
        <w:spacing w:before="60" w:beforeLines="25" w:after="60" w:afterLines="25" w:line="420" w:lineRule="exact"/>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3.7.1 承包人应与其雇佣的人员签订劳动合同，并按时发放工资。</w:t>
      </w:r>
    </w:p>
    <w:p w14:paraId="5A732D26">
      <w:pPr>
        <w:pageBreakBefore w:val="0"/>
        <w:widowControl/>
        <w:kinsoku/>
        <w:wordWrap/>
        <w:overflowPunct/>
        <w:topLinePunct w:val="0"/>
        <w:autoSpaceDE/>
        <w:autoSpaceDN/>
        <w:bidi w:val="0"/>
        <w:snapToGrid/>
        <w:spacing w:before="60" w:beforeLines="25" w:after="60" w:afterLines="25" w:line="420" w:lineRule="exact"/>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3.7.2 承包人应按劳动法的规定安排工作时间，保证其雇佣人员享有休息和休假的权利。因工程施工的特殊需要占用休假日或延长工作时间的，应不超过法律规定的限度，并按法律规定给予补休或付酬。</w:t>
      </w:r>
    </w:p>
    <w:p w14:paraId="0599E302">
      <w:pPr>
        <w:pageBreakBefore w:val="0"/>
        <w:widowControl/>
        <w:kinsoku/>
        <w:wordWrap/>
        <w:overflowPunct/>
        <w:topLinePunct w:val="0"/>
        <w:autoSpaceDE/>
        <w:autoSpaceDN/>
        <w:bidi w:val="0"/>
        <w:snapToGrid/>
        <w:spacing w:before="60" w:beforeLines="25" w:after="60" w:afterLines="25" w:line="420" w:lineRule="exact"/>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3.7.3 承包人应为其雇佣人员提供必要的食宿条件，以及符合环境保护和卫生要求的生活环境，在远离城镇的施工场地，还应配备必要的伤病防治和急救的医务人员与医疗设施。</w:t>
      </w:r>
    </w:p>
    <w:p w14:paraId="3635F232">
      <w:pPr>
        <w:pageBreakBefore w:val="0"/>
        <w:widowControl/>
        <w:kinsoku/>
        <w:wordWrap/>
        <w:overflowPunct/>
        <w:topLinePunct w:val="0"/>
        <w:autoSpaceDE/>
        <w:autoSpaceDN/>
        <w:bidi w:val="0"/>
        <w:snapToGrid/>
        <w:spacing w:before="60" w:beforeLines="25" w:after="60" w:afterLines="25" w:line="420" w:lineRule="exact"/>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3.7.4 承包人应按国家有关劳动保护的规定，采取有效的防止粉尘、降低噪声、控制有害气体和保障高温、高寒、高空作业安全等劳动保护措施。其雇佣人员在施工中受到伤害的，承包人应立即采取有效措施进行抢救和治疗。</w:t>
      </w:r>
    </w:p>
    <w:p w14:paraId="199A7C4E">
      <w:pPr>
        <w:pageBreakBefore w:val="0"/>
        <w:widowControl/>
        <w:kinsoku/>
        <w:wordWrap/>
        <w:overflowPunct/>
        <w:topLinePunct w:val="0"/>
        <w:autoSpaceDE/>
        <w:autoSpaceDN/>
        <w:bidi w:val="0"/>
        <w:snapToGrid/>
        <w:spacing w:before="60" w:beforeLines="25" w:after="60" w:afterLines="25" w:line="420" w:lineRule="exact"/>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3.7.5 承包人应按有关法律规定和合同约定，为其雇佣人员办理保险。</w:t>
      </w:r>
    </w:p>
    <w:p w14:paraId="70A2965E">
      <w:pPr>
        <w:pageBreakBefore w:val="0"/>
        <w:widowControl/>
        <w:kinsoku/>
        <w:wordWrap/>
        <w:overflowPunct/>
        <w:topLinePunct w:val="0"/>
        <w:autoSpaceDE/>
        <w:autoSpaceDN/>
        <w:bidi w:val="0"/>
        <w:snapToGrid/>
        <w:spacing w:before="60" w:beforeLines="25" w:after="60" w:afterLines="25" w:line="420" w:lineRule="exact"/>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3.7.6 承包人应负责处理其雇佣人员因工伤亡事故的善后事宜。</w:t>
      </w:r>
    </w:p>
    <w:p w14:paraId="65E43C74">
      <w:pPr>
        <w:keepNext/>
        <w:keepLines/>
        <w:pageBreakBefore w:val="0"/>
        <w:kinsoku/>
        <w:wordWrap/>
        <w:overflowPunct/>
        <w:topLinePunct w:val="0"/>
        <w:autoSpaceDE/>
        <w:autoSpaceDN/>
        <w:bidi w:val="0"/>
        <w:snapToGrid/>
        <w:spacing w:before="60" w:beforeLines="25" w:after="60" w:afterLines="25" w:line="420" w:lineRule="exact"/>
        <w:ind w:firstLine="480" w:firstLineChars="200"/>
        <w:jc w:val="both"/>
        <w:outlineLvl w:val="3"/>
        <w:rPr>
          <w:rFonts w:hint="eastAsia" w:ascii="宋体" w:hAnsi="宋体" w:eastAsia="宋体" w:cs="宋体"/>
          <w:b w:val="0"/>
          <w:bCs w:val="0"/>
          <w:i w:val="0"/>
          <w:iCs/>
          <w:color w:val="auto"/>
          <w:kern w:val="2"/>
          <w:sz w:val="24"/>
          <w:szCs w:val="24"/>
          <w:highlight w:val="none"/>
          <w:lang w:val="en-US" w:eastAsia="zh-CN" w:bidi="ar-SA"/>
        </w:rPr>
      </w:pPr>
      <w:bookmarkStart w:id="90" w:name="_Toc237230894"/>
      <w:r>
        <w:rPr>
          <w:rFonts w:hint="eastAsia" w:ascii="宋体" w:hAnsi="宋体" w:eastAsia="宋体" w:cs="宋体"/>
          <w:b w:val="0"/>
          <w:bCs w:val="0"/>
          <w:i w:val="0"/>
          <w:iCs/>
          <w:color w:val="auto"/>
          <w:kern w:val="2"/>
          <w:sz w:val="24"/>
          <w:szCs w:val="24"/>
          <w:highlight w:val="none"/>
          <w:lang w:val="en-US" w:eastAsia="zh-CN" w:bidi="ar-SA"/>
        </w:rPr>
        <w:t>3.8 工程价款应专款专用</w:t>
      </w:r>
      <w:bookmarkEnd w:id="90"/>
    </w:p>
    <w:p w14:paraId="1CEA449D">
      <w:pPr>
        <w:pageBreakBefore w:val="0"/>
        <w:widowControl/>
        <w:kinsoku/>
        <w:wordWrap/>
        <w:overflowPunct/>
        <w:topLinePunct w:val="0"/>
        <w:autoSpaceDE/>
        <w:autoSpaceDN/>
        <w:bidi w:val="0"/>
        <w:snapToGrid/>
        <w:spacing w:before="60" w:beforeLines="25" w:after="60" w:afterLines="25" w:line="420" w:lineRule="exact"/>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发包人按合同约定支付给承包人的各项价款应专用于本项目</w:t>
      </w:r>
      <w:r>
        <w:rPr>
          <w:rFonts w:hint="eastAsia" w:ascii="宋体" w:hAnsi="宋体" w:eastAsia="宋体" w:cs="宋体"/>
          <w:b w:val="0"/>
          <w:bCs w:val="0"/>
          <w:color w:val="auto"/>
          <w:sz w:val="24"/>
          <w:szCs w:val="24"/>
          <w:highlight w:val="none"/>
          <w:lang w:val="en-US" w:eastAsia="zh-CN"/>
        </w:rPr>
        <w:t>施工监控</w:t>
      </w:r>
      <w:r>
        <w:rPr>
          <w:rFonts w:hint="eastAsia" w:ascii="宋体" w:hAnsi="宋体" w:eastAsia="宋体" w:cs="宋体"/>
          <w:b w:val="0"/>
          <w:bCs w:val="0"/>
          <w:color w:val="auto"/>
          <w:sz w:val="24"/>
          <w:szCs w:val="24"/>
          <w:highlight w:val="none"/>
        </w:rPr>
        <w:t>工作。</w:t>
      </w:r>
    </w:p>
    <w:p w14:paraId="1708A5AE">
      <w:pPr>
        <w:keepNext/>
        <w:keepLines/>
        <w:pageBreakBefore w:val="0"/>
        <w:kinsoku/>
        <w:wordWrap/>
        <w:overflowPunct/>
        <w:topLinePunct w:val="0"/>
        <w:autoSpaceDE/>
        <w:autoSpaceDN/>
        <w:bidi w:val="0"/>
        <w:snapToGrid/>
        <w:spacing w:before="60" w:beforeLines="25" w:after="60" w:afterLines="25" w:line="420" w:lineRule="exact"/>
        <w:ind w:firstLine="480" w:firstLineChars="200"/>
        <w:jc w:val="both"/>
        <w:outlineLvl w:val="3"/>
        <w:rPr>
          <w:rFonts w:hint="eastAsia" w:ascii="宋体" w:hAnsi="宋体" w:eastAsia="宋体" w:cs="宋体"/>
          <w:b w:val="0"/>
          <w:bCs w:val="0"/>
          <w:i w:val="0"/>
          <w:iCs/>
          <w:color w:val="auto"/>
          <w:kern w:val="2"/>
          <w:sz w:val="24"/>
          <w:szCs w:val="24"/>
          <w:highlight w:val="none"/>
          <w:lang w:val="en-US" w:eastAsia="zh-CN" w:bidi="ar-SA"/>
        </w:rPr>
      </w:pPr>
      <w:r>
        <w:rPr>
          <w:rFonts w:hint="eastAsia" w:ascii="宋体" w:hAnsi="宋体" w:eastAsia="宋体" w:cs="宋体"/>
          <w:b w:val="0"/>
          <w:bCs w:val="0"/>
          <w:i w:val="0"/>
          <w:iCs/>
          <w:color w:val="auto"/>
          <w:kern w:val="2"/>
          <w:sz w:val="24"/>
          <w:szCs w:val="24"/>
          <w:highlight w:val="none"/>
          <w:lang w:val="en-US" w:eastAsia="zh-CN" w:bidi="ar-SA"/>
        </w:rPr>
        <w:t>3.9 接受第三方的管理</w:t>
      </w:r>
    </w:p>
    <w:p w14:paraId="0ED1B7BF">
      <w:pPr>
        <w:pageBreakBefore w:val="0"/>
        <w:widowControl/>
        <w:kinsoku/>
        <w:wordWrap/>
        <w:overflowPunct/>
        <w:topLinePunct w:val="0"/>
        <w:autoSpaceDE/>
        <w:autoSpaceDN/>
        <w:bidi w:val="0"/>
        <w:snapToGrid/>
        <w:spacing w:before="60" w:beforeLines="25" w:after="60" w:afterLines="25" w:line="420" w:lineRule="exact"/>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3.9.1合同实施期间，承包人有配合及接受第三方（监理人、质量监督部门）管理的义务，并应尽量为第三人的管理工作提供方便。</w:t>
      </w:r>
    </w:p>
    <w:p w14:paraId="0F782B74">
      <w:pPr>
        <w:pageBreakBefore w:val="0"/>
        <w:widowControl w:val="0"/>
        <w:kinsoku/>
        <w:wordWrap/>
        <w:overflowPunct/>
        <w:topLinePunct w:val="0"/>
        <w:autoSpaceDE/>
        <w:autoSpaceDN/>
        <w:bidi w:val="0"/>
        <w:snapToGrid/>
        <w:spacing w:line="420" w:lineRule="exact"/>
        <w:ind w:firstLine="480" w:firstLineChars="200"/>
        <w:jc w:val="both"/>
        <w:outlineLvl w:val="3"/>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3.10 仪器</w:t>
      </w:r>
    </w:p>
    <w:p w14:paraId="264B9901">
      <w:pPr>
        <w:pageBreakBefore w:val="0"/>
        <w:widowControl/>
        <w:kinsoku/>
        <w:wordWrap/>
        <w:overflowPunct/>
        <w:topLinePunct w:val="0"/>
        <w:autoSpaceDE/>
        <w:autoSpaceDN/>
        <w:bidi w:val="0"/>
        <w:snapToGrid/>
        <w:spacing w:before="60" w:beforeLines="25" w:after="60" w:afterLines="25" w:line="420" w:lineRule="exact"/>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尽管承包人已按计划配置了仪器和设备，但若发包人认为上述仪器和设备仍不足以满足咨询服务的需要而影响了对工程质量、安全及进度的控制时，发包人有权要求承包人另外增加仪器和设备。承包人在接到通知后应在 7 日内执行发包人的指示，不得拖延。承包人因此增加的费用支出应视为已包括在投标报价中，发包人将不另行支付。</w:t>
      </w:r>
    </w:p>
    <w:p w14:paraId="0E3F1C0F">
      <w:pPr>
        <w:pageBreakBefore w:val="0"/>
        <w:widowControl w:val="0"/>
        <w:kinsoku/>
        <w:wordWrap/>
        <w:overflowPunct/>
        <w:topLinePunct w:val="0"/>
        <w:autoSpaceDE/>
        <w:autoSpaceDN/>
        <w:bidi w:val="0"/>
        <w:snapToGrid/>
        <w:spacing w:line="420" w:lineRule="exact"/>
        <w:ind w:firstLine="480" w:firstLineChars="200"/>
        <w:jc w:val="both"/>
        <w:outlineLvl w:val="3"/>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3.11 保密</w:t>
      </w:r>
    </w:p>
    <w:p w14:paraId="167C38C9">
      <w:pPr>
        <w:pageBreakBefore w:val="0"/>
        <w:widowControl/>
        <w:kinsoku/>
        <w:wordWrap/>
        <w:overflowPunct/>
        <w:topLinePunct w:val="0"/>
        <w:autoSpaceDE/>
        <w:autoSpaceDN/>
        <w:bidi w:val="0"/>
        <w:snapToGrid/>
        <w:spacing w:before="60" w:beforeLines="25" w:after="60" w:afterLines="25" w:line="420" w:lineRule="exact"/>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承包人在服务期间及交工验收交付使用后，未经发包人的书面同意，承包人不得泄露发包人与本项目、本工程、本咨询合同有关的保密资料。 </w:t>
      </w:r>
    </w:p>
    <w:p w14:paraId="12144CB6">
      <w:pPr>
        <w:keepNext/>
        <w:keepLines/>
        <w:pageBreakBefore w:val="0"/>
        <w:kinsoku/>
        <w:wordWrap/>
        <w:overflowPunct/>
        <w:topLinePunct w:val="0"/>
        <w:autoSpaceDE/>
        <w:autoSpaceDN/>
        <w:bidi w:val="0"/>
        <w:snapToGrid/>
        <w:spacing w:before="60" w:beforeLines="25" w:after="60" w:afterLines="25" w:line="420" w:lineRule="exact"/>
        <w:ind w:left="0" w:leftChars="0" w:firstLine="0" w:firstLineChars="0"/>
        <w:jc w:val="both"/>
        <w:outlineLvl w:val="3"/>
        <w:rPr>
          <w:rFonts w:hint="eastAsia" w:ascii="宋体" w:hAnsi="宋体" w:eastAsia="宋体" w:cs="宋体"/>
          <w:b w:val="0"/>
          <w:bCs w:val="0"/>
          <w:i w:val="0"/>
          <w:iCs/>
          <w:color w:val="auto"/>
          <w:kern w:val="2"/>
          <w:sz w:val="24"/>
          <w:szCs w:val="24"/>
          <w:highlight w:val="none"/>
          <w:lang w:val="en-US" w:eastAsia="zh-CN" w:bidi="ar-SA"/>
        </w:rPr>
      </w:pPr>
      <w:bookmarkStart w:id="91" w:name="_Toc237061015"/>
      <w:bookmarkStart w:id="92" w:name="_Toc184635106"/>
      <w:bookmarkStart w:id="93" w:name="_Toc237230919"/>
      <w:bookmarkStart w:id="94" w:name="_Toc488236007"/>
      <w:r>
        <w:rPr>
          <w:rFonts w:hint="eastAsia" w:ascii="宋体" w:hAnsi="宋体" w:eastAsia="宋体" w:cs="宋体"/>
          <w:b w:val="0"/>
          <w:bCs w:val="0"/>
          <w:i w:val="0"/>
          <w:iCs/>
          <w:color w:val="auto"/>
          <w:kern w:val="2"/>
          <w:sz w:val="24"/>
          <w:szCs w:val="24"/>
          <w:highlight w:val="none"/>
          <w:lang w:val="en-US" w:eastAsia="zh-CN" w:bidi="ar-SA"/>
        </w:rPr>
        <w:t>4．安全和环境保护</w:t>
      </w:r>
      <w:bookmarkEnd w:id="91"/>
      <w:bookmarkEnd w:id="92"/>
      <w:bookmarkEnd w:id="93"/>
      <w:bookmarkEnd w:id="94"/>
    </w:p>
    <w:p w14:paraId="483BE2AC">
      <w:pPr>
        <w:keepNext/>
        <w:keepLines w:val="0"/>
        <w:pageBreakBefore w:val="0"/>
        <w:widowControl w:val="0"/>
        <w:kinsoku/>
        <w:wordWrap/>
        <w:overflowPunct/>
        <w:topLinePunct w:val="0"/>
        <w:autoSpaceDE/>
        <w:autoSpaceDN/>
        <w:bidi w:val="0"/>
        <w:snapToGrid/>
        <w:spacing w:before="60" w:beforeLines="25" w:after="60" w:afterLines="25" w:line="420" w:lineRule="exact"/>
        <w:ind w:firstLine="480" w:firstLineChars="200"/>
        <w:jc w:val="both"/>
        <w:outlineLvl w:val="3"/>
        <w:rPr>
          <w:rFonts w:hint="eastAsia" w:ascii="宋体" w:hAnsi="宋体" w:eastAsia="宋体" w:cs="宋体"/>
          <w:b w:val="0"/>
          <w:bCs w:val="0"/>
          <w:i w:val="0"/>
          <w:iCs/>
          <w:color w:val="auto"/>
          <w:kern w:val="2"/>
          <w:sz w:val="24"/>
          <w:szCs w:val="24"/>
          <w:highlight w:val="none"/>
          <w:lang w:val="en-US" w:eastAsia="zh-CN" w:bidi="ar-SA"/>
        </w:rPr>
      </w:pPr>
      <w:bookmarkStart w:id="95" w:name="_Toc237230920"/>
      <w:r>
        <w:rPr>
          <w:rFonts w:hint="eastAsia" w:ascii="宋体" w:hAnsi="宋体" w:eastAsia="宋体" w:cs="宋体"/>
          <w:b w:val="0"/>
          <w:bCs w:val="0"/>
          <w:i w:val="0"/>
          <w:iCs/>
          <w:color w:val="auto"/>
          <w:kern w:val="2"/>
          <w:sz w:val="24"/>
          <w:szCs w:val="24"/>
          <w:highlight w:val="none"/>
          <w:lang w:val="en-US" w:eastAsia="zh-CN" w:bidi="ar-SA"/>
        </w:rPr>
        <w:t>4.1 发包人的安全责任</w:t>
      </w:r>
      <w:bookmarkEnd w:id="95"/>
    </w:p>
    <w:p w14:paraId="3D2E78AC">
      <w:pPr>
        <w:keepLines w:val="0"/>
        <w:pageBreakBefore w:val="0"/>
        <w:widowControl w:val="0"/>
        <w:kinsoku/>
        <w:wordWrap/>
        <w:overflowPunct/>
        <w:topLinePunct w:val="0"/>
        <w:autoSpaceDE/>
        <w:autoSpaceDN/>
        <w:bidi w:val="0"/>
        <w:snapToGrid/>
        <w:spacing w:before="60" w:beforeLines="25" w:after="60" w:afterLines="25" w:line="420" w:lineRule="exact"/>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发包人应对其现场机构雇佣的全部人员的工伤事故承担责任，但由于承包人原因造成发包人人员工伤或第三者人身伤亡和财产损失的，应由承包人承担责任。</w:t>
      </w:r>
    </w:p>
    <w:p w14:paraId="608EFF50">
      <w:pPr>
        <w:keepNext/>
        <w:keepLines w:val="0"/>
        <w:pageBreakBefore w:val="0"/>
        <w:widowControl w:val="0"/>
        <w:kinsoku/>
        <w:wordWrap/>
        <w:overflowPunct/>
        <w:topLinePunct w:val="0"/>
        <w:autoSpaceDE/>
        <w:autoSpaceDN/>
        <w:bidi w:val="0"/>
        <w:snapToGrid/>
        <w:spacing w:before="60" w:beforeLines="25" w:after="60" w:afterLines="25" w:line="420" w:lineRule="exact"/>
        <w:ind w:firstLine="480" w:firstLineChars="200"/>
        <w:jc w:val="both"/>
        <w:outlineLvl w:val="3"/>
        <w:rPr>
          <w:rFonts w:hint="eastAsia" w:ascii="宋体" w:hAnsi="宋体" w:eastAsia="宋体" w:cs="宋体"/>
          <w:b w:val="0"/>
          <w:bCs w:val="0"/>
          <w:i w:val="0"/>
          <w:iCs/>
          <w:color w:val="auto"/>
          <w:kern w:val="2"/>
          <w:sz w:val="24"/>
          <w:szCs w:val="24"/>
          <w:highlight w:val="none"/>
          <w:lang w:val="en-US" w:eastAsia="zh-CN" w:bidi="ar-SA"/>
        </w:rPr>
      </w:pPr>
      <w:bookmarkStart w:id="96" w:name="_Toc237230921"/>
      <w:r>
        <w:rPr>
          <w:rFonts w:hint="eastAsia" w:ascii="宋体" w:hAnsi="宋体" w:eastAsia="宋体" w:cs="宋体"/>
          <w:b w:val="0"/>
          <w:bCs w:val="0"/>
          <w:i w:val="0"/>
          <w:iCs/>
          <w:color w:val="auto"/>
          <w:kern w:val="2"/>
          <w:sz w:val="24"/>
          <w:szCs w:val="24"/>
          <w:highlight w:val="none"/>
          <w:lang w:val="en-US" w:eastAsia="zh-CN" w:bidi="ar-SA"/>
        </w:rPr>
        <w:t>4.2 承包人的安全责任</w:t>
      </w:r>
      <w:bookmarkEnd w:id="96"/>
    </w:p>
    <w:p w14:paraId="074CF54E">
      <w:pPr>
        <w:keepLines w:val="0"/>
        <w:pageBreakBefore w:val="0"/>
        <w:widowControl w:val="0"/>
        <w:kinsoku/>
        <w:wordWrap/>
        <w:overflowPunct/>
        <w:topLinePunct w:val="0"/>
        <w:autoSpaceDE/>
        <w:autoSpaceDN/>
        <w:bidi w:val="0"/>
        <w:snapToGrid/>
        <w:spacing w:before="60" w:beforeLines="25" w:after="60" w:afterLines="25" w:line="420" w:lineRule="exact"/>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4.2.1 承包人应按合同约定履行安全职责，加强施工作业安全管理，严格按照国家安全标准制定施工安全操作规程，配备必要的安全生产和劳动保护设施。 </w:t>
      </w:r>
    </w:p>
    <w:p w14:paraId="684795B0">
      <w:pPr>
        <w:keepLines w:val="0"/>
        <w:pageBreakBefore w:val="0"/>
        <w:widowControl w:val="0"/>
        <w:kinsoku/>
        <w:wordWrap/>
        <w:overflowPunct/>
        <w:topLinePunct w:val="0"/>
        <w:autoSpaceDE/>
        <w:autoSpaceDN/>
        <w:bidi w:val="0"/>
        <w:snapToGrid/>
        <w:spacing w:before="60" w:beforeLines="25" w:after="60" w:afterLines="25" w:line="420" w:lineRule="exact"/>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4.2.2 合同约定的安全作业环境及安全施工措施所需费用应遵守有关规定，并包括在相关工作的合同价格中。</w:t>
      </w:r>
    </w:p>
    <w:p w14:paraId="373E96F9">
      <w:pPr>
        <w:keepLines w:val="0"/>
        <w:pageBreakBefore w:val="0"/>
        <w:widowControl w:val="0"/>
        <w:kinsoku/>
        <w:wordWrap/>
        <w:overflowPunct/>
        <w:topLinePunct w:val="0"/>
        <w:autoSpaceDE/>
        <w:autoSpaceDN/>
        <w:bidi w:val="0"/>
        <w:snapToGrid/>
        <w:spacing w:before="60" w:beforeLines="25" w:after="60" w:afterLines="25" w:line="420" w:lineRule="exact"/>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4.2.3 承包人应对其履行合同所雇佣的全部人员的工伤事故承担责任，但由于发包人原因造成承包人人员工伤事故的，应由发包人承担责任。</w:t>
      </w:r>
    </w:p>
    <w:p w14:paraId="4963BEE9">
      <w:pPr>
        <w:keepLines w:val="0"/>
        <w:pageBreakBefore w:val="0"/>
        <w:widowControl w:val="0"/>
        <w:kinsoku/>
        <w:wordWrap/>
        <w:overflowPunct/>
        <w:topLinePunct w:val="0"/>
        <w:autoSpaceDE/>
        <w:autoSpaceDN/>
        <w:bidi w:val="0"/>
        <w:snapToGrid/>
        <w:spacing w:before="60" w:beforeLines="25" w:after="60" w:afterLines="25" w:line="420" w:lineRule="exact"/>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4.2.4 由于承包人原因在施工场地内及其毗邻地带造成的第三者人员伤亡和财产损失，由承包人负责赔偿。</w:t>
      </w:r>
    </w:p>
    <w:p w14:paraId="657AFC1A">
      <w:pPr>
        <w:keepNext/>
        <w:keepLines/>
        <w:pageBreakBefore w:val="0"/>
        <w:kinsoku/>
        <w:wordWrap/>
        <w:overflowPunct/>
        <w:topLinePunct w:val="0"/>
        <w:autoSpaceDE/>
        <w:autoSpaceDN/>
        <w:bidi w:val="0"/>
        <w:snapToGrid/>
        <w:spacing w:before="60" w:beforeLines="25" w:after="60" w:afterLines="25" w:line="420" w:lineRule="exact"/>
        <w:ind w:firstLine="480" w:firstLineChars="200"/>
        <w:jc w:val="both"/>
        <w:outlineLvl w:val="3"/>
        <w:rPr>
          <w:rFonts w:hint="eastAsia" w:ascii="宋体" w:hAnsi="宋体" w:eastAsia="宋体" w:cs="宋体"/>
          <w:b w:val="0"/>
          <w:bCs w:val="0"/>
          <w:i w:val="0"/>
          <w:iCs/>
          <w:color w:val="auto"/>
          <w:kern w:val="2"/>
          <w:sz w:val="24"/>
          <w:szCs w:val="24"/>
          <w:highlight w:val="none"/>
          <w:lang w:val="en-US" w:eastAsia="zh-CN" w:bidi="ar-SA"/>
        </w:rPr>
      </w:pPr>
      <w:bookmarkStart w:id="97" w:name="_Toc237230924"/>
      <w:r>
        <w:rPr>
          <w:rFonts w:hint="eastAsia" w:ascii="宋体" w:hAnsi="宋体" w:eastAsia="宋体" w:cs="宋体"/>
          <w:b w:val="0"/>
          <w:bCs w:val="0"/>
          <w:i w:val="0"/>
          <w:iCs/>
          <w:color w:val="auto"/>
          <w:kern w:val="2"/>
          <w:sz w:val="24"/>
          <w:szCs w:val="24"/>
          <w:highlight w:val="none"/>
          <w:lang w:val="en-US" w:eastAsia="zh-CN" w:bidi="ar-SA"/>
        </w:rPr>
        <w:t>4.3 事故处理</w:t>
      </w:r>
      <w:bookmarkEnd w:id="97"/>
    </w:p>
    <w:p w14:paraId="5EA1D282">
      <w:pPr>
        <w:pageBreakBefore w:val="0"/>
        <w:widowControl/>
        <w:kinsoku/>
        <w:wordWrap/>
        <w:overflowPunct/>
        <w:topLinePunct w:val="0"/>
        <w:autoSpaceDE/>
        <w:autoSpaceDN/>
        <w:bidi w:val="0"/>
        <w:snapToGrid/>
        <w:spacing w:before="60" w:beforeLines="25" w:after="60" w:afterLines="25" w:line="420" w:lineRule="exact"/>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工程施工过程中发生事故的，承包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bookmarkStart w:id="98" w:name="_Toc237061017"/>
      <w:bookmarkStart w:id="99" w:name="_Toc237230928"/>
      <w:bookmarkStart w:id="100" w:name="_Toc184635108"/>
      <w:bookmarkStart w:id="101" w:name="_Toc488236008"/>
    </w:p>
    <w:p w14:paraId="2F698C17">
      <w:pPr>
        <w:pageBreakBefore w:val="0"/>
        <w:widowControl/>
        <w:kinsoku/>
        <w:wordWrap/>
        <w:overflowPunct/>
        <w:topLinePunct w:val="0"/>
        <w:autoSpaceDE/>
        <w:autoSpaceDN/>
        <w:bidi w:val="0"/>
        <w:snapToGrid/>
        <w:spacing w:before="60" w:beforeLines="25" w:after="60" w:afterLines="25" w:line="420" w:lineRule="exact"/>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5．</w:t>
      </w:r>
      <w:bookmarkEnd w:id="98"/>
      <w:bookmarkEnd w:id="99"/>
      <w:bookmarkEnd w:id="100"/>
      <w:r>
        <w:rPr>
          <w:rFonts w:hint="eastAsia" w:ascii="宋体" w:hAnsi="宋体" w:cs="宋体"/>
          <w:b w:val="0"/>
          <w:bCs w:val="0"/>
          <w:color w:val="auto"/>
          <w:sz w:val="24"/>
          <w:szCs w:val="24"/>
          <w:highlight w:val="none"/>
          <w:lang w:val="en-US" w:eastAsia="zh-CN"/>
        </w:rPr>
        <w:t>监控</w:t>
      </w:r>
      <w:r>
        <w:rPr>
          <w:rFonts w:hint="eastAsia" w:ascii="宋体" w:hAnsi="宋体" w:eastAsia="宋体" w:cs="宋体"/>
          <w:b w:val="0"/>
          <w:bCs w:val="0"/>
          <w:color w:val="auto"/>
          <w:sz w:val="24"/>
          <w:szCs w:val="24"/>
          <w:highlight w:val="none"/>
        </w:rPr>
        <w:t>工作条件</w:t>
      </w:r>
      <w:bookmarkEnd w:id="101"/>
    </w:p>
    <w:p w14:paraId="6E9B2C20">
      <w:pPr>
        <w:keepNext/>
        <w:keepLines/>
        <w:pageBreakBefore w:val="0"/>
        <w:kinsoku/>
        <w:wordWrap/>
        <w:overflowPunct/>
        <w:topLinePunct w:val="0"/>
        <w:autoSpaceDE/>
        <w:autoSpaceDN/>
        <w:bidi w:val="0"/>
        <w:snapToGrid/>
        <w:spacing w:before="60" w:beforeLines="25" w:after="60" w:afterLines="25" w:line="420" w:lineRule="exact"/>
        <w:ind w:firstLine="480" w:firstLineChars="200"/>
        <w:jc w:val="both"/>
        <w:outlineLvl w:val="3"/>
        <w:rPr>
          <w:rFonts w:hint="eastAsia" w:ascii="宋体" w:hAnsi="宋体" w:eastAsia="宋体" w:cs="宋体"/>
          <w:b w:val="0"/>
          <w:bCs w:val="0"/>
          <w:i w:val="0"/>
          <w:iCs/>
          <w:color w:val="auto"/>
          <w:kern w:val="2"/>
          <w:sz w:val="24"/>
          <w:szCs w:val="24"/>
          <w:highlight w:val="none"/>
          <w:lang w:val="en-US" w:eastAsia="zh-CN" w:bidi="ar-SA"/>
        </w:rPr>
      </w:pPr>
      <w:bookmarkStart w:id="102" w:name="_Toc237230931"/>
      <w:r>
        <w:rPr>
          <w:rFonts w:hint="eastAsia" w:ascii="宋体" w:hAnsi="宋体" w:eastAsia="宋体" w:cs="宋体"/>
          <w:b w:val="0"/>
          <w:bCs w:val="0"/>
          <w:i w:val="0"/>
          <w:iCs/>
          <w:color w:val="auto"/>
          <w:kern w:val="2"/>
          <w:sz w:val="24"/>
          <w:szCs w:val="24"/>
          <w:highlight w:val="none"/>
          <w:lang w:val="en-US" w:eastAsia="zh-CN" w:bidi="ar-SA"/>
        </w:rPr>
        <w:t xml:space="preserve">5.1 </w:t>
      </w:r>
      <w:bookmarkEnd w:id="102"/>
      <w:r>
        <w:rPr>
          <w:rFonts w:hint="eastAsia" w:ascii="宋体" w:hAnsi="宋体" w:cs="宋体"/>
          <w:b w:val="0"/>
          <w:bCs w:val="0"/>
          <w:i w:val="0"/>
          <w:iCs/>
          <w:color w:val="auto"/>
          <w:kern w:val="2"/>
          <w:sz w:val="24"/>
          <w:szCs w:val="24"/>
          <w:highlight w:val="none"/>
          <w:lang w:val="en-US" w:eastAsia="zh-CN" w:bidi="ar-SA"/>
        </w:rPr>
        <w:t>监控</w:t>
      </w:r>
      <w:r>
        <w:rPr>
          <w:rFonts w:hint="eastAsia" w:ascii="宋体" w:hAnsi="宋体" w:eastAsia="宋体" w:cs="宋体"/>
          <w:b w:val="0"/>
          <w:bCs w:val="0"/>
          <w:i w:val="0"/>
          <w:iCs/>
          <w:color w:val="auto"/>
          <w:kern w:val="2"/>
          <w:sz w:val="24"/>
          <w:szCs w:val="24"/>
          <w:highlight w:val="none"/>
          <w:lang w:val="en-US" w:eastAsia="zh-CN" w:bidi="ar-SA"/>
        </w:rPr>
        <w:t>工作条件</w:t>
      </w:r>
    </w:p>
    <w:p w14:paraId="7AF2C42B">
      <w:pPr>
        <w:pageBreakBefore w:val="0"/>
        <w:widowControl/>
        <w:kinsoku/>
        <w:wordWrap/>
        <w:overflowPunct/>
        <w:topLinePunct w:val="0"/>
        <w:autoSpaceDE/>
        <w:autoSpaceDN/>
        <w:bidi w:val="0"/>
        <w:snapToGrid/>
        <w:spacing w:before="60" w:beforeLines="25" w:after="60" w:afterLines="25" w:line="420" w:lineRule="exact"/>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w:t>
      </w:r>
      <w:r>
        <w:rPr>
          <w:rFonts w:hint="eastAsia" w:ascii="宋体" w:hAnsi="宋体" w:cs="宋体"/>
          <w:b w:val="0"/>
          <w:bCs w:val="0"/>
          <w:color w:val="auto"/>
          <w:sz w:val="24"/>
          <w:szCs w:val="24"/>
          <w:highlight w:val="none"/>
          <w:lang w:val="en-US" w:eastAsia="zh-CN"/>
        </w:rPr>
        <w:t>镰刀湾特大桥施工监控</w:t>
      </w:r>
      <w:r>
        <w:rPr>
          <w:rFonts w:hint="eastAsia" w:ascii="宋体" w:hAnsi="宋体" w:eastAsia="宋体" w:cs="宋体"/>
          <w:b w:val="0"/>
          <w:bCs w:val="0"/>
          <w:color w:val="auto"/>
          <w:sz w:val="24"/>
          <w:szCs w:val="24"/>
          <w:highlight w:val="none"/>
        </w:rPr>
        <w:t>系本项目单项业务工作，其工作环境会受到土建施工承包人等一些交叉作业的影响，发包人将尽力为咨询工作创造好的工作环境及条件，但咨询承包人应充分估计</w:t>
      </w:r>
      <w:r>
        <w:rPr>
          <w:rFonts w:hint="eastAsia" w:ascii="宋体" w:hAnsi="宋体" w:eastAsia="宋体" w:cs="宋体"/>
          <w:b w:val="0"/>
          <w:bCs w:val="0"/>
          <w:color w:val="auto"/>
          <w:sz w:val="24"/>
          <w:szCs w:val="24"/>
          <w:highlight w:val="none"/>
          <w:lang w:val="en-US" w:eastAsia="zh-CN"/>
        </w:rPr>
        <w:t>本</w:t>
      </w:r>
      <w:r>
        <w:rPr>
          <w:rFonts w:hint="eastAsia" w:ascii="宋体" w:hAnsi="宋体" w:eastAsia="宋体" w:cs="宋体"/>
          <w:b w:val="0"/>
          <w:bCs w:val="0"/>
          <w:color w:val="auto"/>
          <w:sz w:val="24"/>
          <w:szCs w:val="24"/>
          <w:highlight w:val="none"/>
        </w:rPr>
        <w:t>服务工作环境的困难和制约，并在投标和</w:t>
      </w:r>
      <w:r>
        <w:rPr>
          <w:rFonts w:hint="eastAsia" w:ascii="宋体" w:hAnsi="宋体" w:eastAsia="宋体" w:cs="宋体"/>
          <w:b w:val="0"/>
          <w:bCs w:val="0"/>
          <w:color w:val="auto"/>
          <w:sz w:val="24"/>
          <w:szCs w:val="24"/>
          <w:highlight w:val="none"/>
          <w:lang w:val="en-US" w:eastAsia="zh-CN"/>
        </w:rPr>
        <w:t>施工监控</w:t>
      </w:r>
      <w:r>
        <w:rPr>
          <w:rFonts w:hint="eastAsia" w:ascii="宋体" w:hAnsi="宋体" w:eastAsia="宋体" w:cs="宋体"/>
          <w:b w:val="0"/>
          <w:bCs w:val="0"/>
          <w:color w:val="auto"/>
          <w:sz w:val="24"/>
          <w:szCs w:val="24"/>
          <w:highlight w:val="none"/>
        </w:rPr>
        <w:t>服务过程中予以充分考虑。</w:t>
      </w:r>
    </w:p>
    <w:p w14:paraId="2015F685">
      <w:pPr>
        <w:pageBreakBefore w:val="0"/>
        <w:widowControl/>
        <w:kinsoku/>
        <w:wordWrap/>
        <w:overflowPunct/>
        <w:topLinePunct w:val="0"/>
        <w:autoSpaceDE/>
        <w:autoSpaceDN/>
        <w:bidi w:val="0"/>
        <w:snapToGrid/>
        <w:spacing w:before="60" w:beforeLines="25" w:after="60" w:afterLines="25" w:line="420" w:lineRule="exact"/>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w:t>
      </w:r>
      <w:r>
        <w:rPr>
          <w:rFonts w:hint="eastAsia" w:ascii="宋体" w:hAnsi="宋体" w:cs="宋体"/>
          <w:b w:val="0"/>
          <w:bCs w:val="0"/>
          <w:color w:val="auto"/>
          <w:sz w:val="24"/>
          <w:szCs w:val="24"/>
          <w:highlight w:val="none"/>
          <w:lang w:val="en-US" w:eastAsia="zh-CN"/>
        </w:rPr>
        <w:t>监控</w:t>
      </w:r>
      <w:r>
        <w:rPr>
          <w:rFonts w:hint="eastAsia" w:ascii="宋体" w:hAnsi="宋体" w:eastAsia="宋体" w:cs="宋体"/>
          <w:b w:val="0"/>
          <w:bCs w:val="0"/>
          <w:color w:val="auto"/>
          <w:sz w:val="24"/>
          <w:szCs w:val="24"/>
          <w:highlight w:val="none"/>
        </w:rPr>
        <w:t>承包人必须紧密跟踪土建工程施工承包人的施工进展情况，编制并及时修订</w:t>
      </w:r>
      <w:r>
        <w:rPr>
          <w:rFonts w:hint="eastAsia" w:ascii="宋体" w:hAnsi="宋体" w:cs="宋体"/>
          <w:b w:val="0"/>
          <w:bCs w:val="0"/>
          <w:color w:val="auto"/>
          <w:sz w:val="24"/>
          <w:szCs w:val="24"/>
          <w:highlight w:val="none"/>
          <w:lang w:val="en-US" w:eastAsia="zh-CN"/>
        </w:rPr>
        <w:t>监控</w:t>
      </w:r>
      <w:r>
        <w:rPr>
          <w:rFonts w:hint="eastAsia" w:ascii="宋体" w:hAnsi="宋体" w:eastAsia="宋体" w:cs="宋体"/>
          <w:b w:val="0"/>
          <w:bCs w:val="0"/>
          <w:color w:val="auto"/>
          <w:sz w:val="24"/>
          <w:szCs w:val="24"/>
          <w:highlight w:val="none"/>
        </w:rPr>
        <w:t>工作计划，确保</w:t>
      </w:r>
      <w:r>
        <w:rPr>
          <w:rFonts w:hint="eastAsia" w:ascii="宋体" w:hAnsi="宋体" w:cs="宋体"/>
          <w:b w:val="0"/>
          <w:bCs w:val="0"/>
          <w:color w:val="auto"/>
          <w:sz w:val="24"/>
          <w:szCs w:val="24"/>
          <w:highlight w:val="none"/>
          <w:lang w:val="en-US" w:eastAsia="zh-CN"/>
        </w:rPr>
        <w:t>监控</w:t>
      </w:r>
      <w:r>
        <w:rPr>
          <w:rFonts w:hint="eastAsia" w:ascii="宋体" w:hAnsi="宋体" w:eastAsia="宋体" w:cs="宋体"/>
          <w:b w:val="0"/>
          <w:bCs w:val="0"/>
          <w:color w:val="auto"/>
          <w:sz w:val="24"/>
          <w:szCs w:val="24"/>
          <w:highlight w:val="none"/>
        </w:rPr>
        <w:t>工作合同的有效履行。</w:t>
      </w:r>
    </w:p>
    <w:p w14:paraId="368C52DD">
      <w:pPr>
        <w:keepNext/>
        <w:pageBreakBefore w:val="0"/>
        <w:kinsoku/>
        <w:wordWrap/>
        <w:overflowPunct/>
        <w:topLinePunct w:val="0"/>
        <w:autoSpaceDE/>
        <w:autoSpaceDN/>
        <w:bidi w:val="0"/>
        <w:snapToGrid/>
        <w:spacing w:before="60" w:beforeLines="25" w:after="60" w:afterLines="25" w:line="420" w:lineRule="exact"/>
        <w:jc w:val="both"/>
        <w:outlineLvl w:val="2"/>
        <w:rPr>
          <w:rFonts w:hint="eastAsia" w:ascii="宋体" w:hAnsi="宋体" w:eastAsia="宋体" w:cs="宋体"/>
          <w:b w:val="0"/>
          <w:bCs w:val="0"/>
          <w:color w:val="auto"/>
          <w:kern w:val="2"/>
          <w:sz w:val="24"/>
          <w:szCs w:val="24"/>
          <w:highlight w:val="none"/>
          <w:lang w:val="en-US" w:eastAsia="zh-CN" w:bidi="ar-SA"/>
        </w:rPr>
      </w:pPr>
      <w:bookmarkStart w:id="103" w:name="_Toc237230941"/>
      <w:bookmarkStart w:id="104" w:name="_Toc237061019"/>
      <w:bookmarkStart w:id="105" w:name="_Toc184635110"/>
      <w:bookmarkStart w:id="106" w:name="_Toc488236009"/>
      <w:r>
        <w:rPr>
          <w:rFonts w:hint="eastAsia" w:ascii="宋体" w:hAnsi="宋体" w:eastAsia="宋体" w:cs="宋体"/>
          <w:b w:val="0"/>
          <w:bCs w:val="0"/>
          <w:color w:val="auto"/>
          <w:kern w:val="2"/>
          <w:sz w:val="24"/>
          <w:szCs w:val="24"/>
          <w:highlight w:val="none"/>
          <w:lang w:val="en-US" w:eastAsia="zh-CN" w:bidi="ar-SA"/>
        </w:rPr>
        <w:t>6．</w:t>
      </w:r>
      <w:bookmarkEnd w:id="103"/>
      <w:bookmarkEnd w:id="104"/>
      <w:bookmarkEnd w:id="105"/>
      <w:r>
        <w:rPr>
          <w:rFonts w:hint="eastAsia" w:ascii="宋体" w:hAnsi="宋体" w:cs="宋体"/>
          <w:b w:val="0"/>
          <w:bCs w:val="0"/>
          <w:color w:val="auto"/>
          <w:kern w:val="2"/>
          <w:sz w:val="24"/>
          <w:szCs w:val="24"/>
          <w:highlight w:val="none"/>
          <w:lang w:val="en-US" w:eastAsia="zh-CN" w:bidi="ar-SA"/>
        </w:rPr>
        <w:t>监控</w:t>
      </w:r>
      <w:r>
        <w:rPr>
          <w:rFonts w:hint="eastAsia" w:ascii="宋体" w:hAnsi="宋体" w:eastAsia="宋体" w:cs="宋体"/>
          <w:b w:val="0"/>
          <w:bCs w:val="0"/>
          <w:color w:val="auto"/>
          <w:kern w:val="2"/>
          <w:sz w:val="24"/>
          <w:szCs w:val="24"/>
          <w:highlight w:val="none"/>
          <w:lang w:val="en-US" w:eastAsia="zh-CN" w:bidi="ar-SA"/>
        </w:rPr>
        <w:t>工作要求</w:t>
      </w:r>
      <w:bookmarkEnd w:id="106"/>
    </w:p>
    <w:p w14:paraId="6DB413EF">
      <w:pPr>
        <w:keepNext/>
        <w:keepLines/>
        <w:pageBreakBefore w:val="0"/>
        <w:kinsoku/>
        <w:wordWrap/>
        <w:overflowPunct/>
        <w:topLinePunct w:val="0"/>
        <w:autoSpaceDE/>
        <w:autoSpaceDN/>
        <w:bidi w:val="0"/>
        <w:snapToGrid/>
        <w:spacing w:before="60" w:beforeLines="25" w:after="60" w:afterLines="25" w:line="420" w:lineRule="exact"/>
        <w:ind w:firstLine="480" w:firstLineChars="200"/>
        <w:jc w:val="both"/>
        <w:outlineLvl w:val="3"/>
        <w:rPr>
          <w:rFonts w:hint="eastAsia" w:ascii="宋体" w:hAnsi="宋体" w:eastAsia="宋体" w:cs="宋体"/>
          <w:b w:val="0"/>
          <w:bCs w:val="0"/>
          <w:i w:val="0"/>
          <w:iCs/>
          <w:color w:val="auto"/>
          <w:kern w:val="2"/>
          <w:sz w:val="24"/>
          <w:szCs w:val="24"/>
          <w:highlight w:val="none"/>
          <w:lang w:val="en-US" w:eastAsia="zh-CN" w:bidi="ar-SA"/>
        </w:rPr>
      </w:pPr>
      <w:r>
        <w:rPr>
          <w:rFonts w:hint="eastAsia" w:ascii="宋体" w:hAnsi="宋体" w:eastAsia="宋体" w:cs="宋体"/>
          <w:b w:val="0"/>
          <w:bCs w:val="0"/>
          <w:i w:val="0"/>
          <w:iCs/>
          <w:color w:val="auto"/>
          <w:kern w:val="2"/>
          <w:sz w:val="24"/>
          <w:szCs w:val="24"/>
          <w:highlight w:val="none"/>
          <w:lang w:val="en-US" w:eastAsia="zh-CN" w:bidi="ar-SA"/>
        </w:rPr>
        <w:t xml:space="preserve">6.1 </w:t>
      </w:r>
      <w:r>
        <w:rPr>
          <w:rFonts w:hint="eastAsia" w:ascii="宋体" w:hAnsi="宋体" w:cs="宋体"/>
          <w:b w:val="0"/>
          <w:bCs w:val="0"/>
          <w:i w:val="0"/>
          <w:iCs/>
          <w:color w:val="auto"/>
          <w:kern w:val="2"/>
          <w:sz w:val="24"/>
          <w:szCs w:val="24"/>
          <w:highlight w:val="none"/>
          <w:lang w:val="en-US" w:eastAsia="zh-CN" w:bidi="ar-SA"/>
        </w:rPr>
        <w:t>监控</w:t>
      </w:r>
      <w:r>
        <w:rPr>
          <w:rFonts w:hint="eastAsia" w:ascii="宋体" w:hAnsi="宋体" w:eastAsia="宋体" w:cs="宋体"/>
          <w:b w:val="0"/>
          <w:bCs w:val="0"/>
          <w:i w:val="0"/>
          <w:iCs/>
          <w:color w:val="auto"/>
          <w:kern w:val="2"/>
          <w:sz w:val="24"/>
          <w:szCs w:val="24"/>
          <w:highlight w:val="none"/>
          <w:lang w:val="en-US" w:eastAsia="zh-CN" w:bidi="ar-SA"/>
        </w:rPr>
        <w:t>工作要求</w:t>
      </w:r>
    </w:p>
    <w:p w14:paraId="34200C10">
      <w:pPr>
        <w:pageBreakBefore w:val="0"/>
        <w:widowControl/>
        <w:kinsoku/>
        <w:wordWrap/>
        <w:overflowPunct/>
        <w:topLinePunct w:val="0"/>
        <w:autoSpaceDE/>
        <w:autoSpaceDN/>
        <w:bidi w:val="0"/>
        <w:snapToGrid/>
        <w:spacing w:line="420" w:lineRule="exact"/>
        <w:ind w:firstLine="480" w:firstLineChars="200"/>
        <w:jc w:val="left"/>
        <w:outlineLvl w:val="4"/>
        <w:rPr>
          <w:rFonts w:hint="eastAsia" w:ascii="宋体" w:hAnsi="宋体" w:eastAsia="宋体" w:cs="宋体"/>
          <w:b w:val="0"/>
          <w:bCs w:val="0"/>
          <w:color w:val="auto"/>
          <w:sz w:val="24"/>
          <w:szCs w:val="24"/>
          <w:highlight w:val="none"/>
        </w:rPr>
      </w:pPr>
      <w:bookmarkStart w:id="107" w:name="OLE_LINK5"/>
      <w:r>
        <w:rPr>
          <w:rFonts w:hint="eastAsia" w:ascii="宋体" w:hAnsi="宋体" w:eastAsia="宋体" w:cs="宋体"/>
          <w:b w:val="0"/>
          <w:bCs w:val="0"/>
          <w:color w:val="auto"/>
          <w:sz w:val="24"/>
          <w:szCs w:val="24"/>
          <w:highlight w:val="none"/>
        </w:rPr>
        <w:t xml:space="preserve">6.1.1 </w:t>
      </w:r>
      <w:r>
        <w:rPr>
          <w:rFonts w:hint="eastAsia" w:ascii="宋体" w:hAnsi="宋体" w:cs="宋体"/>
          <w:b w:val="0"/>
          <w:bCs w:val="0"/>
          <w:color w:val="auto"/>
          <w:sz w:val="24"/>
          <w:szCs w:val="24"/>
          <w:highlight w:val="none"/>
          <w:lang w:val="en-US" w:eastAsia="zh-CN"/>
        </w:rPr>
        <w:t>监控</w:t>
      </w:r>
      <w:r>
        <w:rPr>
          <w:rFonts w:hint="eastAsia" w:ascii="宋体" w:hAnsi="宋体" w:eastAsia="宋体" w:cs="宋体"/>
          <w:b w:val="0"/>
          <w:bCs w:val="0"/>
          <w:color w:val="auto"/>
          <w:sz w:val="24"/>
          <w:szCs w:val="24"/>
          <w:highlight w:val="none"/>
        </w:rPr>
        <w:t>范围</w:t>
      </w:r>
    </w:p>
    <w:p w14:paraId="2BCCF0E0">
      <w:pPr>
        <w:pageBreakBefore w:val="0"/>
        <w:widowControl w:val="0"/>
        <w:kinsoku/>
        <w:wordWrap/>
        <w:overflowPunct/>
        <w:topLinePunct w:val="0"/>
        <w:autoSpaceDE/>
        <w:autoSpaceDN/>
        <w:bidi w:val="0"/>
        <w:snapToGrid/>
        <w:spacing w:before="60" w:beforeLines="25" w:after="60" w:afterLines="25" w:line="420" w:lineRule="exact"/>
        <w:ind w:firstLine="480" w:firstLineChars="200"/>
        <w:jc w:val="both"/>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承包人</w:t>
      </w:r>
      <w:r>
        <w:rPr>
          <w:rFonts w:hint="eastAsia" w:ascii="宋体" w:hAnsi="宋体" w:cs="宋体"/>
          <w:b w:val="0"/>
          <w:bCs w:val="0"/>
          <w:color w:val="auto"/>
          <w:kern w:val="2"/>
          <w:sz w:val="24"/>
          <w:szCs w:val="24"/>
          <w:highlight w:val="none"/>
          <w:lang w:val="en-US" w:eastAsia="zh-CN" w:bidi="ar-SA"/>
        </w:rPr>
        <w:t>监控</w:t>
      </w:r>
      <w:r>
        <w:rPr>
          <w:rFonts w:hint="eastAsia" w:ascii="宋体" w:hAnsi="宋体" w:eastAsia="宋体" w:cs="宋体"/>
          <w:b w:val="0"/>
          <w:bCs w:val="0"/>
          <w:color w:val="auto"/>
          <w:kern w:val="2"/>
          <w:sz w:val="24"/>
          <w:szCs w:val="24"/>
          <w:highlight w:val="none"/>
          <w:lang w:val="en-US" w:eastAsia="zh-CN" w:bidi="ar-SA"/>
        </w:rPr>
        <w:t>服务范围包括对</w:t>
      </w:r>
      <w:r>
        <w:rPr>
          <w:rFonts w:hint="eastAsia" w:ascii="宋体" w:hAnsi="宋体" w:eastAsia="宋体" w:cs="宋体"/>
          <w:b w:val="0"/>
          <w:bCs w:val="0"/>
          <w:color w:val="auto"/>
          <w:kern w:val="2"/>
          <w:sz w:val="24"/>
          <w:szCs w:val="24"/>
          <w:highlight w:val="none"/>
          <w:u w:val="none"/>
          <w:lang w:val="en-US" w:eastAsia="zh-CN" w:bidi="ar-SA"/>
        </w:rPr>
        <w:t>G59呼北高速张家界至官庄段第二标段</w:t>
      </w:r>
      <w:r>
        <w:rPr>
          <w:rFonts w:hint="eastAsia" w:ascii="宋体" w:hAnsi="宋体" w:cs="宋体"/>
          <w:b w:val="0"/>
          <w:bCs w:val="0"/>
          <w:color w:val="auto"/>
          <w:kern w:val="2"/>
          <w:sz w:val="24"/>
          <w:szCs w:val="24"/>
          <w:highlight w:val="none"/>
          <w:u w:val="none"/>
          <w:lang w:val="en-US" w:eastAsia="zh-CN" w:bidi="ar-SA"/>
        </w:rPr>
        <w:t>镰刀湾特大桥</w:t>
      </w:r>
      <w:r>
        <w:rPr>
          <w:rFonts w:hint="eastAsia" w:ascii="宋体" w:hAnsi="宋体" w:eastAsia="宋体" w:cs="宋体"/>
          <w:b w:val="0"/>
          <w:bCs w:val="0"/>
          <w:color w:val="auto"/>
          <w:kern w:val="2"/>
          <w:sz w:val="24"/>
          <w:szCs w:val="24"/>
          <w:highlight w:val="none"/>
          <w:lang w:val="en-US" w:eastAsia="zh-CN" w:bidi="ar-SA"/>
        </w:rPr>
        <w:t>进行施工过程</w:t>
      </w:r>
      <w:r>
        <w:rPr>
          <w:rFonts w:hint="eastAsia" w:ascii="宋体" w:hAnsi="宋体" w:cs="宋体"/>
          <w:b w:val="0"/>
          <w:bCs w:val="0"/>
          <w:color w:val="auto"/>
          <w:kern w:val="2"/>
          <w:sz w:val="24"/>
          <w:szCs w:val="24"/>
          <w:highlight w:val="none"/>
          <w:lang w:val="en-US" w:eastAsia="zh-CN" w:bidi="ar-SA"/>
        </w:rPr>
        <w:t>监控</w:t>
      </w:r>
      <w:r>
        <w:rPr>
          <w:rFonts w:hint="eastAsia" w:ascii="宋体" w:hAnsi="宋体" w:eastAsia="宋体" w:cs="宋体"/>
          <w:b w:val="0"/>
          <w:bCs w:val="0"/>
          <w:color w:val="auto"/>
          <w:kern w:val="2"/>
          <w:sz w:val="24"/>
          <w:szCs w:val="24"/>
          <w:highlight w:val="none"/>
          <w:lang w:val="en-US" w:eastAsia="zh-CN" w:bidi="ar-SA"/>
        </w:rPr>
        <w:t>服务，科学数据分析，形成项目</w:t>
      </w:r>
      <w:r>
        <w:rPr>
          <w:rFonts w:hint="eastAsia" w:ascii="宋体" w:hAnsi="宋体" w:cs="宋体"/>
          <w:b w:val="0"/>
          <w:bCs w:val="0"/>
          <w:color w:val="auto"/>
          <w:kern w:val="2"/>
          <w:sz w:val="24"/>
          <w:szCs w:val="24"/>
          <w:highlight w:val="none"/>
          <w:lang w:val="en-US" w:eastAsia="zh-CN" w:bidi="ar-SA"/>
        </w:rPr>
        <w:t>施工监控</w:t>
      </w:r>
      <w:r>
        <w:rPr>
          <w:rFonts w:hint="eastAsia" w:ascii="宋体" w:hAnsi="宋体" w:eastAsia="宋体" w:cs="宋体"/>
          <w:b w:val="0"/>
          <w:bCs w:val="0"/>
          <w:color w:val="auto"/>
          <w:kern w:val="2"/>
          <w:sz w:val="24"/>
          <w:szCs w:val="24"/>
          <w:highlight w:val="none"/>
          <w:lang w:val="en-US" w:eastAsia="zh-CN" w:bidi="ar-SA"/>
        </w:rPr>
        <w:t>报告，提出施工合理化建议和具体要求。</w:t>
      </w:r>
      <w:bookmarkEnd w:id="107"/>
      <w:r>
        <w:rPr>
          <w:rFonts w:hint="eastAsia" w:ascii="宋体" w:hAnsi="宋体" w:eastAsia="宋体" w:cs="宋体"/>
          <w:b w:val="0"/>
          <w:bCs w:val="0"/>
          <w:color w:val="auto"/>
          <w:kern w:val="2"/>
          <w:sz w:val="24"/>
          <w:szCs w:val="24"/>
          <w:highlight w:val="none"/>
          <w:lang w:val="en-US" w:eastAsia="zh-CN" w:bidi="ar-SA"/>
        </w:rPr>
        <w:t>具体</w:t>
      </w:r>
      <w:r>
        <w:rPr>
          <w:rFonts w:hint="eastAsia" w:ascii="宋体" w:hAnsi="宋体" w:cs="宋体"/>
          <w:b w:val="0"/>
          <w:bCs w:val="0"/>
          <w:color w:val="auto"/>
          <w:kern w:val="2"/>
          <w:sz w:val="24"/>
          <w:szCs w:val="24"/>
          <w:highlight w:val="none"/>
          <w:lang w:val="en-US" w:eastAsia="zh-CN" w:bidi="ar-SA"/>
        </w:rPr>
        <w:t>监控</w:t>
      </w:r>
      <w:r>
        <w:rPr>
          <w:rFonts w:hint="eastAsia" w:ascii="宋体" w:hAnsi="宋体" w:eastAsia="宋体" w:cs="宋体"/>
          <w:b w:val="0"/>
          <w:bCs w:val="0"/>
          <w:color w:val="auto"/>
          <w:kern w:val="2"/>
          <w:sz w:val="24"/>
          <w:szCs w:val="24"/>
          <w:highlight w:val="none"/>
          <w:lang w:val="en-US" w:eastAsia="zh-CN" w:bidi="ar-SA"/>
        </w:rPr>
        <w:t>范围详见合同。</w:t>
      </w:r>
    </w:p>
    <w:p w14:paraId="480D642E">
      <w:pPr>
        <w:pageBreakBefore w:val="0"/>
        <w:widowControl w:val="0"/>
        <w:kinsoku/>
        <w:wordWrap/>
        <w:overflowPunct/>
        <w:topLinePunct w:val="0"/>
        <w:autoSpaceDE/>
        <w:autoSpaceDN/>
        <w:bidi w:val="0"/>
        <w:snapToGrid/>
        <w:spacing w:line="420" w:lineRule="exact"/>
        <w:ind w:firstLine="480" w:firstLineChars="200"/>
        <w:jc w:val="both"/>
        <w:outlineLvl w:val="3"/>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 xml:space="preserve">6.2 </w:t>
      </w:r>
      <w:r>
        <w:rPr>
          <w:rFonts w:hint="eastAsia" w:ascii="宋体" w:hAnsi="宋体" w:cs="宋体"/>
          <w:b w:val="0"/>
          <w:bCs w:val="0"/>
          <w:color w:val="auto"/>
          <w:kern w:val="2"/>
          <w:sz w:val="24"/>
          <w:szCs w:val="24"/>
          <w:highlight w:val="none"/>
          <w:lang w:val="en-US" w:eastAsia="zh-CN" w:bidi="ar-SA"/>
        </w:rPr>
        <w:t>监控</w:t>
      </w:r>
      <w:r>
        <w:rPr>
          <w:rFonts w:hint="eastAsia" w:ascii="宋体" w:hAnsi="宋体" w:eastAsia="宋体" w:cs="宋体"/>
          <w:b w:val="0"/>
          <w:bCs w:val="0"/>
          <w:color w:val="auto"/>
          <w:kern w:val="2"/>
          <w:sz w:val="24"/>
          <w:szCs w:val="24"/>
          <w:highlight w:val="none"/>
          <w:lang w:val="en-US" w:eastAsia="zh-CN" w:bidi="ar-SA"/>
        </w:rPr>
        <w:t>依据</w:t>
      </w:r>
    </w:p>
    <w:p w14:paraId="2AEEF2E0">
      <w:pPr>
        <w:pageBreakBefore w:val="0"/>
        <w:widowControl/>
        <w:kinsoku/>
        <w:wordWrap/>
        <w:overflowPunct/>
        <w:topLinePunct w:val="0"/>
        <w:autoSpaceDE/>
        <w:autoSpaceDN/>
        <w:bidi w:val="0"/>
        <w:snapToGrid/>
        <w:spacing w:before="60" w:beforeLines="25" w:after="60" w:afterLines="25" w:line="420" w:lineRule="exact"/>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（1）适用的法律、行政法规及部门规章。 </w:t>
      </w:r>
    </w:p>
    <w:p w14:paraId="363026AC">
      <w:pPr>
        <w:pageBreakBefore w:val="0"/>
        <w:widowControl/>
        <w:kinsoku/>
        <w:wordWrap/>
        <w:overflowPunct/>
        <w:topLinePunct w:val="0"/>
        <w:autoSpaceDE/>
        <w:autoSpaceDN/>
        <w:bidi w:val="0"/>
        <w:snapToGrid/>
        <w:spacing w:before="60" w:beforeLines="25" w:after="60" w:afterLines="25" w:line="420" w:lineRule="exact"/>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（2）所有与工程施工有关的国家现行的公路建设标准、规范、规程及相关文件。 </w:t>
      </w:r>
    </w:p>
    <w:p w14:paraId="5D34AFAD">
      <w:pPr>
        <w:pageBreakBefore w:val="0"/>
        <w:widowControl/>
        <w:kinsoku/>
        <w:wordWrap/>
        <w:overflowPunct/>
        <w:topLinePunct w:val="0"/>
        <w:autoSpaceDE/>
        <w:autoSpaceDN/>
        <w:bidi w:val="0"/>
        <w:snapToGrid/>
        <w:spacing w:before="60" w:beforeLines="25" w:after="60" w:afterLines="25" w:line="420" w:lineRule="exact"/>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（3）委托人签订的勘察、设计和施工承包合同。 </w:t>
      </w:r>
    </w:p>
    <w:p w14:paraId="14E2F0BF">
      <w:pPr>
        <w:pageBreakBefore w:val="0"/>
        <w:widowControl/>
        <w:kinsoku/>
        <w:wordWrap/>
        <w:overflowPunct/>
        <w:topLinePunct w:val="0"/>
        <w:autoSpaceDE/>
        <w:autoSpaceDN/>
        <w:bidi w:val="0"/>
        <w:snapToGrid/>
        <w:spacing w:before="60" w:beforeLines="25" w:after="60" w:afterLines="25" w:line="420" w:lineRule="exact"/>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（4）施工合同。 </w:t>
      </w:r>
    </w:p>
    <w:p w14:paraId="36F045C8">
      <w:pPr>
        <w:pageBreakBefore w:val="0"/>
        <w:widowControl/>
        <w:kinsoku/>
        <w:wordWrap/>
        <w:overflowPunct/>
        <w:topLinePunct w:val="0"/>
        <w:autoSpaceDE/>
        <w:autoSpaceDN/>
        <w:bidi w:val="0"/>
        <w:snapToGrid/>
        <w:spacing w:before="60" w:beforeLines="25" w:after="60" w:afterLines="25" w:line="420" w:lineRule="exact"/>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（5）工程前期有关文件。 </w:t>
      </w:r>
    </w:p>
    <w:p w14:paraId="61D426F0">
      <w:pPr>
        <w:pageBreakBefore w:val="0"/>
        <w:widowControl/>
        <w:kinsoku/>
        <w:wordWrap/>
        <w:overflowPunct/>
        <w:topLinePunct w:val="0"/>
        <w:autoSpaceDE/>
        <w:autoSpaceDN/>
        <w:bidi w:val="0"/>
        <w:snapToGrid/>
        <w:spacing w:before="60" w:beforeLines="25" w:after="60" w:afterLines="25" w:line="420" w:lineRule="exact"/>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（6）工程设计文件和图纸。 </w:t>
      </w:r>
    </w:p>
    <w:p w14:paraId="27F9D3C2">
      <w:pPr>
        <w:pageBreakBefore w:val="0"/>
        <w:widowControl/>
        <w:kinsoku/>
        <w:wordWrap/>
        <w:overflowPunct/>
        <w:topLinePunct w:val="0"/>
        <w:autoSpaceDE/>
        <w:autoSpaceDN/>
        <w:bidi w:val="0"/>
        <w:snapToGrid/>
        <w:spacing w:before="60" w:beforeLines="25" w:after="60" w:afterLines="25" w:line="420" w:lineRule="exact"/>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（7）工程实施过程中有关的函件。 </w:t>
      </w:r>
    </w:p>
    <w:p w14:paraId="29E8B4FC">
      <w:pPr>
        <w:pageBreakBefore w:val="0"/>
        <w:widowControl/>
        <w:kinsoku/>
        <w:wordWrap/>
        <w:overflowPunct/>
        <w:topLinePunct w:val="0"/>
        <w:autoSpaceDE/>
        <w:autoSpaceDN/>
        <w:bidi w:val="0"/>
        <w:snapToGrid/>
        <w:spacing w:before="60" w:beforeLines="25" w:after="60" w:afterLines="25" w:line="420" w:lineRule="exact"/>
        <w:ind w:firstLine="480" w:firstLineChars="200"/>
        <w:jc w:val="left"/>
        <w:outlineLvl w:val="3"/>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6.3 </w:t>
      </w:r>
      <w:r>
        <w:rPr>
          <w:rFonts w:hint="eastAsia" w:ascii="宋体" w:hAnsi="宋体" w:cs="宋体"/>
          <w:b w:val="0"/>
          <w:bCs w:val="0"/>
          <w:color w:val="auto"/>
          <w:sz w:val="24"/>
          <w:szCs w:val="24"/>
          <w:highlight w:val="none"/>
          <w:lang w:val="en-US" w:eastAsia="zh-CN"/>
        </w:rPr>
        <w:t>监控</w:t>
      </w:r>
      <w:r>
        <w:rPr>
          <w:rFonts w:hint="eastAsia" w:ascii="宋体" w:hAnsi="宋体" w:eastAsia="宋体" w:cs="宋体"/>
          <w:b w:val="0"/>
          <w:bCs w:val="0"/>
          <w:color w:val="auto"/>
          <w:sz w:val="24"/>
          <w:szCs w:val="24"/>
          <w:highlight w:val="none"/>
        </w:rPr>
        <w:t>内容</w:t>
      </w:r>
    </w:p>
    <w:p w14:paraId="45636AFD">
      <w:pPr>
        <w:pageBreakBefore w:val="0"/>
        <w:widowControl/>
        <w:kinsoku/>
        <w:wordWrap/>
        <w:overflowPunct/>
        <w:topLinePunct w:val="0"/>
        <w:autoSpaceDE/>
        <w:autoSpaceDN/>
        <w:bidi w:val="0"/>
        <w:snapToGrid/>
        <w:spacing w:before="60" w:beforeLines="25" w:after="60" w:afterLines="25" w:line="420" w:lineRule="exact"/>
        <w:ind w:firstLine="480" w:firstLineChars="200"/>
        <w:jc w:val="left"/>
        <w:outlineLvl w:val="3"/>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各施工阶段监测内容</w:t>
      </w:r>
    </w:p>
    <w:p w14:paraId="794E4FA7">
      <w:pPr>
        <w:pageBreakBefore w:val="0"/>
        <w:widowControl/>
        <w:kinsoku/>
        <w:wordWrap/>
        <w:overflowPunct/>
        <w:topLinePunct w:val="0"/>
        <w:autoSpaceDE/>
        <w:autoSpaceDN/>
        <w:bidi w:val="0"/>
        <w:snapToGrid/>
        <w:spacing w:before="60" w:beforeLines="25" w:after="60" w:afterLines="25" w:line="420" w:lineRule="exact"/>
        <w:ind w:firstLine="480" w:firstLineChars="200"/>
        <w:jc w:val="left"/>
        <w:outlineLvl w:val="3"/>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交界墩、扣塔施工阶段：监测交界墩垂直度、扣塔安装线形，同步开展温度监测，浇筑完成后按规范核查目标线形。 </w:t>
      </w:r>
    </w:p>
    <w:p w14:paraId="69F199AD">
      <w:pPr>
        <w:pageBreakBefore w:val="0"/>
        <w:widowControl/>
        <w:kinsoku/>
        <w:wordWrap/>
        <w:overflowPunct/>
        <w:topLinePunct w:val="0"/>
        <w:autoSpaceDE/>
        <w:autoSpaceDN/>
        <w:bidi w:val="0"/>
        <w:snapToGrid/>
        <w:spacing w:before="60" w:beforeLines="25" w:after="60" w:afterLines="25" w:line="420" w:lineRule="exact"/>
        <w:ind w:firstLine="480" w:firstLineChars="200"/>
        <w:jc w:val="left"/>
        <w:outlineLvl w:val="3"/>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拱脚 0# 现浇施工阶段：重点监控立模标高（含支架预压变形）、应变传感器布设与测试、扣锚索初张力确定与测试，以及支架拆除与体系转换。 </w:t>
      </w:r>
    </w:p>
    <w:p w14:paraId="5B8FFE72">
      <w:pPr>
        <w:pageBreakBefore w:val="0"/>
        <w:widowControl/>
        <w:kinsoku/>
        <w:wordWrap/>
        <w:overflowPunct/>
        <w:topLinePunct w:val="0"/>
        <w:autoSpaceDE/>
        <w:autoSpaceDN/>
        <w:bidi w:val="0"/>
        <w:snapToGrid/>
        <w:spacing w:before="60" w:beforeLines="25" w:after="60" w:afterLines="25" w:line="420" w:lineRule="exact"/>
        <w:ind w:firstLine="480" w:firstLineChars="200"/>
        <w:jc w:val="left"/>
        <w:outlineLvl w:val="3"/>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挂篮预压试验：通过分级加载（60%、100%、120% 设计荷载）与卸载，检验挂篮承载力与变形性能，采集挂篮变形、拱脚应力、杆件应变数据，消除非弹性变形。 </w:t>
      </w:r>
    </w:p>
    <w:p w14:paraId="02146D9E">
      <w:pPr>
        <w:pageBreakBefore w:val="0"/>
        <w:widowControl/>
        <w:kinsoku/>
        <w:wordWrap/>
        <w:overflowPunct/>
        <w:topLinePunct w:val="0"/>
        <w:autoSpaceDE/>
        <w:autoSpaceDN/>
        <w:bidi w:val="0"/>
        <w:snapToGrid/>
        <w:spacing w:before="60" w:beforeLines="25" w:after="60" w:afterLines="25" w:line="420" w:lineRule="exact"/>
        <w:ind w:firstLine="480" w:firstLineChars="200"/>
        <w:jc w:val="left"/>
        <w:outlineLvl w:val="3"/>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拱圈 1~16#节段施工阶段：监测立模标高、轴线偏位、控制截面应变、扣塔顺桥向偏位及扣锚索索力，按挂篮前移、立模调整、混凝土浇筑、索张拉四工况开展监测。 </w:t>
      </w:r>
    </w:p>
    <w:p w14:paraId="0C433C35">
      <w:pPr>
        <w:pageBreakBefore w:val="0"/>
        <w:widowControl/>
        <w:kinsoku/>
        <w:wordWrap/>
        <w:overflowPunct/>
        <w:topLinePunct w:val="0"/>
        <w:autoSpaceDE/>
        <w:autoSpaceDN/>
        <w:bidi w:val="0"/>
        <w:snapToGrid/>
        <w:spacing w:before="60" w:beforeLines="25" w:after="60" w:afterLines="25" w:line="420" w:lineRule="exact"/>
        <w:ind w:firstLine="480" w:firstLineChars="200"/>
        <w:jc w:val="left"/>
        <w:outlineLvl w:val="3"/>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合龙段施工阶段：分内力调整、吊架安装、劲性骨架锁定、混凝土浇筑、吊架拆除五工况，重点监测温度、节段标高、控制截面应变、索力及扣塔偏位，锁定工作优选15℃左右温度稳定时段。 </w:t>
      </w:r>
    </w:p>
    <w:p w14:paraId="3EC7301B">
      <w:pPr>
        <w:pageBreakBefore w:val="0"/>
        <w:widowControl/>
        <w:kinsoku/>
        <w:wordWrap/>
        <w:overflowPunct/>
        <w:topLinePunct w:val="0"/>
        <w:autoSpaceDE/>
        <w:autoSpaceDN/>
        <w:bidi w:val="0"/>
        <w:snapToGrid/>
        <w:spacing w:before="60" w:beforeLines="25" w:after="60" w:afterLines="25" w:line="420" w:lineRule="exact"/>
        <w:ind w:firstLine="480" w:firstLineChars="200"/>
        <w:jc w:val="left"/>
        <w:outlineLvl w:val="3"/>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松索施工阶段：合龙段混凝土强度达 100% 且龄期超 96 小时后，按张拉逆程序对称松索，监测拱圈关键截面应变、节段标高及轴线偏位，确保体系转换安全。</w:t>
      </w:r>
    </w:p>
    <w:p w14:paraId="49FC1C7F">
      <w:pPr>
        <w:pageBreakBefore w:val="0"/>
        <w:widowControl w:val="0"/>
        <w:kinsoku/>
        <w:wordWrap/>
        <w:overflowPunct/>
        <w:topLinePunct w:val="0"/>
        <w:autoSpaceDE/>
        <w:autoSpaceDN/>
        <w:bidi w:val="0"/>
        <w:snapToGrid/>
        <w:spacing w:line="420" w:lineRule="exact"/>
        <w:ind w:firstLine="480" w:firstLineChars="200"/>
        <w:jc w:val="both"/>
        <w:outlineLvl w:val="3"/>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6.4 其他要求</w:t>
      </w:r>
    </w:p>
    <w:p w14:paraId="27C9C17A">
      <w:pPr>
        <w:pageBreakBefore w:val="0"/>
        <w:widowControl/>
        <w:kinsoku/>
        <w:wordWrap/>
        <w:overflowPunct/>
        <w:topLinePunct w:val="0"/>
        <w:autoSpaceDE/>
        <w:autoSpaceDN/>
        <w:bidi w:val="0"/>
        <w:snapToGrid/>
        <w:spacing w:before="60" w:beforeLines="25" w:after="60" w:afterLines="25" w:line="420" w:lineRule="exact"/>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w:t>
      </w:r>
      <w:r>
        <w:rPr>
          <w:rFonts w:hint="eastAsia" w:ascii="宋体" w:hAnsi="宋体" w:cs="宋体"/>
          <w:b w:val="0"/>
          <w:bCs w:val="0"/>
          <w:color w:val="auto"/>
          <w:sz w:val="24"/>
          <w:szCs w:val="24"/>
          <w:highlight w:val="none"/>
          <w:lang w:val="en-US" w:eastAsia="zh-CN"/>
        </w:rPr>
        <w:t>监控</w:t>
      </w:r>
      <w:r>
        <w:rPr>
          <w:rFonts w:hint="eastAsia" w:ascii="宋体" w:hAnsi="宋体" w:eastAsia="宋体" w:cs="宋体"/>
          <w:b w:val="0"/>
          <w:bCs w:val="0"/>
          <w:color w:val="auto"/>
          <w:sz w:val="24"/>
          <w:szCs w:val="24"/>
          <w:highlight w:val="none"/>
        </w:rPr>
        <w:t>工作必须接受发包人的管理。</w:t>
      </w:r>
    </w:p>
    <w:p w14:paraId="4236A792">
      <w:pPr>
        <w:pageBreakBefore w:val="0"/>
        <w:widowControl/>
        <w:kinsoku/>
        <w:wordWrap/>
        <w:overflowPunct/>
        <w:topLinePunct w:val="0"/>
        <w:autoSpaceDE/>
        <w:autoSpaceDN/>
        <w:bidi w:val="0"/>
        <w:snapToGrid/>
        <w:spacing w:before="60" w:beforeLines="25" w:after="60" w:afterLines="25" w:line="420" w:lineRule="exact"/>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w:t>
      </w:r>
      <w:r>
        <w:rPr>
          <w:rFonts w:hint="eastAsia" w:ascii="宋体" w:hAnsi="宋体" w:cs="宋体"/>
          <w:b w:val="0"/>
          <w:bCs w:val="0"/>
          <w:color w:val="auto"/>
          <w:sz w:val="24"/>
          <w:szCs w:val="24"/>
          <w:highlight w:val="none"/>
          <w:lang w:val="en-US" w:eastAsia="zh-CN"/>
        </w:rPr>
        <w:t>监控</w:t>
      </w:r>
      <w:r>
        <w:rPr>
          <w:rFonts w:hint="eastAsia" w:ascii="宋体" w:hAnsi="宋体" w:eastAsia="宋体" w:cs="宋体"/>
          <w:b w:val="0"/>
          <w:bCs w:val="0"/>
          <w:color w:val="auto"/>
          <w:sz w:val="24"/>
          <w:szCs w:val="24"/>
          <w:highlight w:val="none"/>
        </w:rPr>
        <w:t>承包人必须本着“秉公办事、一丝不苟、严肃认真、实事求是，对</w:t>
      </w:r>
      <w:r>
        <w:rPr>
          <w:rFonts w:hint="eastAsia" w:ascii="宋体" w:hAnsi="宋体" w:eastAsia="宋体" w:cs="宋体"/>
          <w:b w:val="0"/>
          <w:bCs w:val="0"/>
          <w:color w:val="auto"/>
          <w:sz w:val="24"/>
          <w:szCs w:val="24"/>
          <w:highlight w:val="none"/>
          <w:lang w:val="en-US" w:eastAsia="zh-CN"/>
        </w:rPr>
        <w:t>监控数据</w:t>
      </w:r>
      <w:r>
        <w:rPr>
          <w:rFonts w:hint="eastAsia" w:ascii="宋体" w:hAnsi="宋体" w:eastAsia="宋体" w:cs="宋体"/>
          <w:b w:val="0"/>
          <w:bCs w:val="0"/>
          <w:color w:val="auto"/>
          <w:sz w:val="24"/>
          <w:szCs w:val="24"/>
          <w:highlight w:val="none"/>
        </w:rPr>
        <w:t>结论高度负责”的原则，认真履行</w:t>
      </w:r>
      <w:r>
        <w:rPr>
          <w:rFonts w:hint="eastAsia" w:ascii="宋体" w:hAnsi="宋体" w:cs="宋体"/>
          <w:b w:val="0"/>
          <w:bCs w:val="0"/>
          <w:color w:val="auto"/>
          <w:sz w:val="24"/>
          <w:szCs w:val="24"/>
          <w:highlight w:val="none"/>
          <w:lang w:val="en-US" w:eastAsia="zh-CN"/>
        </w:rPr>
        <w:t>监控</w:t>
      </w:r>
      <w:r>
        <w:rPr>
          <w:rFonts w:hint="eastAsia" w:ascii="宋体" w:hAnsi="宋体" w:eastAsia="宋体" w:cs="宋体"/>
          <w:b w:val="0"/>
          <w:bCs w:val="0"/>
          <w:color w:val="auto"/>
          <w:sz w:val="24"/>
          <w:szCs w:val="24"/>
          <w:highlight w:val="none"/>
        </w:rPr>
        <w:t>合同，及时按规定向</w:t>
      </w:r>
      <w:r>
        <w:rPr>
          <w:rFonts w:hint="eastAsia" w:ascii="宋体" w:hAnsi="宋体" w:eastAsia="宋体" w:cs="宋体"/>
          <w:b w:val="0"/>
          <w:bCs w:val="0"/>
          <w:color w:val="auto"/>
          <w:sz w:val="24"/>
          <w:szCs w:val="24"/>
          <w:highlight w:val="none"/>
          <w:lang w:val="en-US" w:eastAsia="zh-CN"/>
        </w:rPr>
        <w:t>发包人</w:t>
      </w:r>
      <w:r>
        <w:rPr>
          <w:rFonts w:hint="eastAsia" w:ascii="宋体" w:hAnsi="宋体" w:eastAsia="宋体" w:cs="宋体"/>
          <w:b w:val="0"/>
          <w:bCs w:val="0"/>
          <w:color w:val="auto"/>
          <w:sz w:val="24"/>
          <w:szCs w:val="24"/>
          <w:highlight w:val="none"/>
        </w:rPr>
        <w:t>管理部门提交</w:t>
      </w:r>
      <w:r>
        <w:rPr>
          <w:rFonts w:hint="eastAsia" w:ascii="宋体" w:hAnsi="宋体" w:cs="宋体"/>
          <w:b w:val="0"/>
          <w:bCs w:val="0"/>
          <w:color w:val="auto"/>
          <w:sz w:val="24"/>
          <w:szCs w:val="24"/>
          <w:highlight w:val="none"/>
          <w:lang w:val="en-US" w:eastAsia="zh-CN"/>
        </w:rPr>
        <w:t>监控</w:t>
      </w:r>
      <w:r>
        <w:rPr>
          <w:rFonts w:hint="eastAsia" w:ascii="宋体" w:hAnsi="宋体" w:eastAsia="宋体" w:cs="宋体"/>
          <w:b w:val="0"/>
          <w:bCs w:val="0"/>
          <w:color w:val="auto"/>
          <w:sz w:val="24"/>
          <w:szCs w:val="24"/>
          <w:highlight w:val="none"/>
        </w:rPr>
        <w:t>报告。</w:t>
      </w:r>
    </w:p>
    <w:p w14:paraId="6BB77809">
      <w:pPr>
        <w:pageBreakBefore w:val="0"/>
        <w:widowControl/>
        <w:kinsoku/>
        <w:wordWrap/>
        <w:overflowPunct/>
        <w:topLinePunct w:val="0"/>
        <w:autoSpaceDE/>
        <w:autoSpaceDN/>
        <w:bidi w:val="0"/>
        <w:snapToGrid/>
        <w:spacing w:before="60" w:beforeLines="25" w:after="60" w:afterLines="25" w:line="420" w:lineRule="exact"/>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w:t>
      </w:r>
      <w:r>
        <w:rPr>
          <w:rFonts w:hint="eastAsia" w:ascii="宋体" w:hAnsi="宋体" w:cs="宋体"/>
          <w:b w:val="0"/>
          <w:bCs w:val="0"/>
          <w:color w:val="auto"/>
          <w:sz w:val="24"/>
          <w:szCs w:val="24"/>
          <w:highlight w:val="none"/>
          <w:lang w:val="en-US" w:eastAsia="zh-CN"/>
        </w:rPr>
        <w:t>监控</w:t>
      </w:r>
      <w:r>
        <w:rPr>
          <w:rFonts w:hint="eastAsia" w:ascii="宋体" w:hAnsi="宋体" w:eastAsia="宋体" w:cs="宋体"/>
          <w:b w:val="0"/>
          <w:bCs w:val="0"/>
          <w:color w:val="auto"/>
          <w:sz w:val="24"/>
          <w:szCs w:val="24"/>
          <w:highlight w:val="none"/>
        </w:rPr>
        <w:t>承包人提交的</w:t>
      </w:r>
      <w:r>
        <w:rPr>
          <w:rFonts w:hint="eastAsia" w:ascii="宋体" w:hAnsi="宋体" w:cs="宋体"/>
          <w:b w:val="0"/>
          <w:bCs w:val="0"/>
          <w:color w:val="auto"/>
          <w:sz w:val="24"/>
          <w:szCs w:val="24"/>
          <w:highlight w:val="none"/>
          <w:lang w:val="en-US" w:eastAsia="zh-CN"/>
        </w:rPr>
        <w:t>监控</w:t>
      </w:r>
      <w:r>
        <w:rPr>
          <w:rFonts w:hint="eastAsia" w:ascii="宋体" w:hAnsi="宋体" w:eastAsia="宋体" w:cs="宋体"/>
          <w:b w:val="0"/>
          <w:bCs w:val="0"/>
          <w:color w:val="auto"/>
          <w:sz w:val="24"/>
          <w:szCs w:val="24"/>
          <w:highlight w:val="none"/>
        </w:rPr>
        <w:t>报告，必须真实、客观、准确反映实际情况，如承包人与施工单位串通存在数据造假的行为，由此产生的一切后果和损失由承包人承担，且发包人将根据相关条款，对承包人进行处罚，并视情节严重程度，最终上报交通行政主管部门给予通报，如出现重大偏差导致事故，承包人必须承担由此造成的赔偿责任和法律责任。</w:t>
      </w:r>
    </w:p>
    <w:p w14:paraId="7A00DAD8">
      <w:pPr>
        <w:pageBreakBefore w:val="0"/>
        <w:widowControl/>
        <w:kinsoku/>
        <w:wordWrap/>
        <w:overflowPunct/>
        <w:topLinePunct w:val="0"/>
        <w:autoSpaceDE/>
        <w:autoSpaceDN/>
        <w:bidi w:val="0"/>
        <w:snapToGrid/>
        <w:spacing w:before="60" w:beforeLines="25" w:after="60" w:afterLines="25" w:line="420" w:lineRule="exact"/>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（4）承包人需在收到发包人书面下达</w:t>
      </w:r>
      <w:r>
        <w:rPr>
          <w:rFonts w:hint="eastAsia" w:ascii="宋体" w:hAnsi="宋体" w:cs="宋体"/>
          <w:b w:val="0"/>
          <w:bCs w:val="0"/>
          <w:color w:val="auto"/>
          <w:sz w:val="24"/>
          <w:szCs w:val="24"/>
          <w:highlight w:val="none"/>
          <w:lang w:val="en-US" w:eastAsia="zh-CN"/>
        </w:rPr>
        <w:t>监控</w:t>
      </w:r>
      <w:r>
        <w:rPr>
          <w:rFonts w:hint="eastAsia" w:ascii="宋体" w:hAnsi="宋体" w:eastAsia="宋体" w:cs="宋体"/>
          <w:b w:val="0"/>
          <w:bCs w:val="0"/>
          <w:color w:val="auto"/>
          <w:sz w:val="24"/>
          <w:szCs w:val="24"/>
          <w:highlight w:val="none"/>
        </w:rPr>
        <w:t>任务书后，在任务范围内开展</w:t>
      </w:r>
      <w:r>
        <w:rPr>
          <w:rFonts w:hint="eastAsia" w:ascii="宋体" w:hAnsi="宋体" w:cs="宋体"/>
          <w:b w:val="0"/>
          <w:bCs w:val="0"/>
          <w:color w:val="auto"/>
          <w:sz w:val="24"/>
          <w:szCs w:val="24"/>
          <w:highlight w:val="none"/>
          <w:lang w:val="en-US" w:eastAsia="zh-CN"/>
        </w:rPr>
        <w:t>监控</w:t>
      </w:r>
      <w:r>
        <w:rPr>
          <w:rFonts w:hint="eastAsia" w:ascii="宋体" w:hAnsi="宋体" w:eastAsia="宋体" w:cs="宋体"/>
          <w:b w:val="0"/>
          <w:bCs w:val="0"/>
          <w:color w:val="auto"/>
          <w:sz w:val="24"/>
          <w:szCs w:val="24"/>
          <w:highlight w:val="none"/>
        </w:rPr>
        <w:t>工作，超出任务书内容的工作发包人不予支付费用。</w:t>
      </w:r>
    </w:p>
    <w:p w14:paraId="76AA4127">
      <w:pPr>
        <w:pageBreakBefore w:val="0"/>
        <w:widowControl/>
        <w:kinsoku/>
        <w:wordWrap/>
        <w:overflowPunct/>
        <w:topLinePunct w:val="0"/>
        <w:autoSpaceDE/>
        <w:autoSpaceDN/>
        <w:bidi w:val="0"/>
        <w:snapToGrid/>
        <w:spacing w:before="60" w:beforeLines="25" w:after="60" w:afterLines="25" w:line="420" w:lineRule="exact"/>
        <w:ind w:firstLine="480" w:firstLineChars="200"/>
        <w:jc w:val="left"/>
        <w:outlineLvl w:val="3"/>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（5）</w:t>
      </w:r>
      <w:r>
        <w:rPr>
          <w:rFonts w:hint="eastAsia" w:ascii="宋体" w:hAnsi="宋体" w:cs="宋体"/>
          <w:b w:val="0"/>
          <w:bCs w:val="0"/>
          <w:color w:val="auto"/>
          <w:kern w:val="2"/>
          <w:sz w:val="24"/>
          <w:szCs w:val="24"/>
          <w:highlight w:val="none"/>
          <w:lang w:val="en-US" w:eastAsia="zh-CN" w:bidi="ar-SA"/>
        </w:rPr>
        <w:t>监控</w:t>
      </w:r>
      <w:r>
        <w:rPr>
          <w:rFonts w:hint="eastAsia" w:ascii="宋体" w:hAnsi="宋体" w:eastAsia="宋体" w:cs="宋体"/>
          <w:b w:val="0"/>
          <w:bCs w:val="0"/>
          <w:color w:val="auto"/>
          <w:kern w:val="2"/>
          <w:sz w:val="24"/>
          <w:szCs w:val="24"/>
          <w:highlight w:val="none"/>
          <w:lang w:val="en-US" w:eastAsia="zh-CN" w:bidi="ar-SA"/>
        </w:rPr>
        <w:t>服务目标：</w:t>
      </w:r>
      <w:r>
        <w:rPr>
          <w:rFonts w:hint="eastAsia" w:ascii="宋体" w:hAnsi="宋体" w:cs="宋体"/>
          <w:b w:val="0"/>
          <w:bCs w:val="0"/>
          <w:color w:val="auto"/>
          <w:kern w:val="2"/>
          <w:sz w:val="24"/>
          <w:szCs w:val="24"/>
          <w:highlight w:val="none"/>
          <w:lang w:val="en-US" w:eastAsia="zh-CN" w:bidi="ar-SA"/>
        </w:rPr>
        <w:t>在</w:t>
      </w:r>
      <w:r>
        <w:rPr>
          <w:rFonts w:hint="eastAsia" w:ascii="宋体" w:hAnsi="宋体" w:eastAsia="宋体" w:cs="宋体"/>
          <w:b w:val="0"/>
          <w:bCs w:val="0"/>
          <w:color w:val="auto"/>
          <w:sz w:val="24"/>
          <w:szCs w:val="24"/>
          <w:highlight w:val="none"/>
        </w:rPr>
        <w:t>设计基础上复核成桥状态，细化施工各工况计算分析，实时监测结构响应，修正参数偏差，保障施工过程结构安全，最终实现或逼近设计线形与内力状态。通过监测扣锚索索力、构件应力变形及结构稳定性，为施工技术决策与结构控制提供支撑。</w:t>
      </w:r>
      <w:r>
        <w:rPr>
          <w:rFonts w:hint="eastAsia" w:ascii="宋体" w:hAnsi="宋体" w:eastAsia="宋体" w:cs="宋体"/>
          <w:b w:val="0"/>
          <w:bCs w:val="0"/>
          <w:color w:val="auto"/>
          <w:kern w:val="2"/>
          <w:sz w:val="24"/>
          <w:szCs w:val="24"/>
          <w:highlight w:val="none"/>
          <w:lang w:val="en-US" w:eastAsia="zh-CN" w:bidi="ar-SA"/>
        </w:rPr>
        <w:t>确保工程质量达到交工验收合格标准。</w:t>
      </w:r>
    </w:p>
    <w:p w14:paraId="404D1F55">
      <w:pPr>
        <w:keepNext/>
        <w:pageBreakBefore w:val="0"/>
        <w:kinsoku/>
        <w:wordWrap/>
        <w:overflowPunct/>
        <w:topLinePunct w:val="0"/>
        <w:autoSpaceDE/>
        <w:autoSpaceDN/>
        <w:bidi w:val="0"/>
        <w:snapToGrid/>
        <w:spacing w:before="60" w:beforeLines="25" w:after="60" w:afterLines="25" w:line="420" w:lineRule="exact"/>
        <w:jc w:val="both"/>
        <w:outlineLvl w:val="2"/>
        <w:rPr>
          <w:rFonts w:hint="eastAsia" w:ascii="宋体" w:hAnsi="宋体" w:eastAsia="宋体" w:cs="宋体"/>
          <w:b w:val="0"/>
          <w:bCs w:val="0"/>
          <w:color w:val="auto"/>
          <w:kern w:val="2"/>
          <w:sz w:val="24"/>
          <w:szCs w:val="24"/>
          <w:highlight w:val="none"/>
          <w:lang w:val="en-US" w:eastAsia="zh-CN" w:bidi="ar-SA"/>
        </w:rPr>
      </w:pPr>
      <w:bookmarkStart w:id="108" w:name="_Toc237230964"/>
      <w:bookmarkStart w:id="109" w:name="_Toc184635114"/>
      <w:bookmarkStart w:id="110" w:name="_Toc237061023"/>
      <w:bookmarkStart w:id="111" w:name="_Toc488236010"/>
      <w:r>
        <w:rPr>
          <w:rFonts w:hint="eastAsia" w:ascii="宋体" w:hAnsi="宋体" w:eastAsia="宋体" w:cs="宋体"/>
          <w:b w:val="0"/>
          <w:bCs w:val="0"/>
          <w:color w:val="auto"/>
          <w:kern w:val="2"/>
          <w:sz w:val="24"/>
          <w:szCs w:val="24"/>
          <w:highlight w:val="none"/>
          <w:lang w:val="en-US" w:eastAsia="zh-CN" w:bidi="ar-SA"/>
        </w:rPr>
        <w:t>7．</w:t>
      </w:r>
      <w:bookmarkEnd w:id="108"/>
      <w:bookmarkEnd w:id="109"/>
      <w:bookmarkEnd w:id="110"/>
      <w:r>
        <w:rPr>
          <w:rFonts w:hint="eastAsia" w:ascii="宋体" w:hAnsi="宋体" w:cs="宋体"/>
          <w:b w:val="0"/>
          <w:bCs w:val="0"/>
          <w:color w:val="auto"/>
          <w:kern w:val="2"/>
          <w:sz w:val="24"/>
          <w:szCs w:val="24"/>
          <w:highlight w:val="none"/>
          <w:lang w:val="en-US" w:eastAsia="zh-CN" w:bidi="ar-SA"/>
        </w:rPr>
        <w:t>监控</w:t>
      </w:r>
      <w:r>
        <w:rPr>
          <w:rFonts w:hint="eastAsia" w:ascii="宋体" w:hAnsi="宋体" w:eastAsia="宋体" w:cs="宋体"/>
          <w:b w:val="0"/>
          <w:bCs w:val="0"/>
          <w:color w:val="auto"/>
          <w:kern w:val="2"/>
          <w:sz w:val="24"/>
          <w:szCs w:val="24"/>
          <w:highlight w:val="none"/>
          <w:lang w:val="en-US" w:eastAsia="zh-CN" w:bidi="ar-SA"/>
        </w:rPr>
        <w:t>服务的费用与支付</w:t>
      </w:r>
      <w:bookmarkEnd w:id="111"/>
    </w:p>
    <w:p w14:paraId="48C5911C">
      <w:pPr>
        <w:keepNext/>
        <w:keepLines/>
        <w:pageBreakBefore w:val="0"/>
        <w:kinsoku/>
        <w:wordWrap/>
        <w:overflowPunct/>
        <w:topLinePunct w:val="0"/>
        <w:autoSpaceDE/>
        <w:autoSpaceDN/>
        <w:bidi w:val="0"/>
        <w:snapToGrid/>
        <w:spacing w:before="60" w:beforeLines="25" w:after="60" w:afterLines="25" w:line="420" w:lineRule="exact"/>
        <w:ind w:firstLine="480" w:firstLineChars="200"/>
        <w:jc w:val="both"/>
        <w:outlineLvl w:val="3"/>
        <w:rPr>
          <w:rFonts w:hint="eastAsia" w:ascii="宋体" w:hAnsi="宋体" w:eastAsia="宋体" w:cs="宋体"/>
          <w:b w:val="0"/>
          <w:bCs w:val="0"/>
          <w:i w:val="0"/>
          <w:iCs/>
          <w:color w:val="auto"/>
          <w:kern w:val="2"/>
          <w:sz w:val="24"/>
          <w:szCs w:val="24"/>
          <w:highlight w:val="none"/>
          <w:lang w:val="en-US" w:eastAsia="zh-CN" w:bidi="ar-SA"/>
        </w:rPr>
      </w:pPr>
      <w:bookmarkStart w:id="112" w:name="_Toc237230966"/>
      <w:bookmarkStart w:id="113" w:name="_Toc381196239"/>
      <w:bookmarkStart w:id="114" w:name="_Toc237061026"/>
      <w:bookmarkStart w:id="115" w:name="_Toc237230988"/>
      <w:bookmarkStart w:id="116" w:name="_Toc184635117"/>
      <w:r>
        <w:rPr>
          <w:rFonts w:hint="eastAsia" w:ascii="宋体" w:hAnsi="宋体" w:eastAsia="宋体" w:cs="宋体"/>
          <w:b w:val="0"/>
          <w:bCs w:val="0"/>
          <w:i w:val="0"/>
          <w:iCs/>
          <w:color w:val="auto"/>
          <w:kern w:val="2"/>
          <w:sz w:val="24"/>
          <w:szCs w:val="24"/>
          <w:highlight w:val="none"/>
          <w:lang w:val="en-US" w:eastAsia="zh-CN" w:bidi="ar-SA"/>
        </w:rPr>
        <w:t>7.1</w:t>
      </w:r>
      <w:r>
        <w:rPr>
          <w:rFonts w:hint="eastAsia" w:ascii="宋体" w:hAnsi="宋体" w:cs="宋体"/>
          <w:b w:val="0"/>
          <w:bCs w:val="0"/>
          <w:i w:val="0"/>
          <w:iCs/>
          <w:color w:val="auto"/>
          <w:kern w:val="2"/>
          <w:sz w:val="24"/>
          <w:szCs w:val="24"/>
          <w:highlight w:val="none"/>
          <w:lang w:val="en-US" w:eastAsia="zh-CN" w:bidi="ar-SA"/>
        </w:rPr>
        <w:t>监控</w:t>
      </w:r>
      <w:r>
        <w:rPr>
          <w:rFonts w:hint="eastAsia" w:ascii="宋体" w:hAnsi="宋体" w:eastAsia="宋体" w:cs="宋体"/>
          <w:b w:val="0"/>
          <w:bCs w:val="0"/>
          <w:i w:val="0"/>
          <w:iCs/>
          <w:color w:val="auto"/>
          <w:kern w:val="2"/>
          <w:sz w:val="24"/>
          <w:szCs w:val="24"/>
          <w:highlight w:val="none"/>
          <w:lang w:val="en-US" w:eastAsia="zh-CN" w:bidi="ar-SA"/>
        </w:rPr>
        <w:t>服务费用</w:t>
      </w:r>
      <w:bookmarkEnd w:id="112"/>
      <w:bookmarkEnd w:id="113"/>
    </w:p>
    <w:p w14:paraId="775958B7">
      <w:pPr>
        <w:pageBreakBefore w:val="0"/>
        <w:widowControl/>
        <w:kinsoku/>
        <w:wordWrap/>
        <w:overflowPunct/>
        <w:topLinePunct w:val="0"/>
        <w:autoSpaceDE/>
        <w:autoSpaceDN/>
        <w:bidi w:val="0"/>
        <w:snapToGrid/>
        <w:spacing w:before="60" w:beforeLines="25" w:after="60" w:afterLines="25" w:line="420" w:lineRule="exact"/>
        <w:ind w:firstLine="480" w:firstLineChars="200"/>
        <w:jc w:val="left"/>
        <w:outlineLvl w:val="4"/>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7.1.1</w:t>
      </w:r>
      <w:r>
        <w:rPr>
          <w:rFonts w:hint="eastAsia" w:ascii="宋体" w:hAnsi="宋体" w:cs="宋体"/>
          <w:b w:val="0"/>
          <w:bCs w:val="0"/>
          <w:color w:val="auto"/>
          <w:sz w:val="24"/>
          <w:szCs w:val="24"/>
          <w:highlight w:val="none"/>
          <w:lang w:val="en-US" w:eastAsia="zh-CN"/>
        </w:rPr>
        <w:t>监控服务</w:t>
      </w:r>
      <w:r>
        <w:rPr>
          <w:rFonts w:hint="eastAsia" w:ascii="宋体" w:hAnsi="宋体" w:eastAsia="宋体" w:cs="宋体"/>
          <w:b w:val="0"/>
          <w:bCs w:val="0"/>
          <w:color w:val="auto"/>
          <w:sz w:val="24"/>
          <w:szCs w:val="24"/>
          <w:highlight w:val="none"/>
        </w:rPr>
        <w:t>费。</w:t>
      </w:r>
    </w:p>
    <w:p w14:paraId="11EBC4F2">
      <w:pPr>
        <w:pageBreakBefore w:val="0"/>
        <w:widowControl/>
        <w:kinsoku/>
        <w:wordWrap/>
        <w:overflowPunct/>
        <w:topLinePunct w:val="0"/>
        <w:autoSpaceDE/>
        <w:autoSpaceDN/>
        <w:bidi w:val="0"/>
        <w:snapToGrid/>
        <w:spacing w:before="60" w:beforeLines="25" w:after="60" w:afterLines="25" w:line="420" w:lineRule="exact"/>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（1）根据承包人在投标文件中填报各项目的单价与实际完成的工作量</w:t>
      </w:r>
      <w:r>
        <w:rPr>
          <w:rFonts w:hint="eastAsia" w:ascii="宋体" w:hAnsi="宋体" w:eastAsia="宋体" w:cs="宋体"/>
          <w:b w:val="0"/>
          <w:bCs w:val="0"/>
          <w:color w:val="auto"/>
          <w:sz w:val="24"/>
          <w:szCs w:val="24"/>
          <w:highlight w:val="none"/>
          <w:lang w:val="en-US" w:eastAsia="zh-CN"/>
        </w:rPr>
        <w:t>按各节点和年度</w:t>
      </w:r>
      <w:r>
        <w:rPr>
          <w:rFonts w:hint="eastAsia" w:ascii="宋体" w:hAnsi="宋体" w:eastAsia="宋体" w:cs="宋体"/>
          <w:b w:val="0"/>
          <w:bCs w:val="0"/>
          <w:color w:val="auto"/>
          <w:sz w:val="24"/>
          <w:szCs w:val="24"/>
          <w:highlight w:val="none"/>
        </w:rPr>
        <w:t xml:space="preserve">计算。 </w:t>
      </w:r>
    </w:p>
    <w:p w14:paraId="3735015E">
      <w:pPr>
        <w:pageBreakBefore w:val="0"/>
        <w:widowControl/>
        <w:kinsoku/>
        <w:wordWrap/>
        <w:overflowPunct/>
        <w:topLinePunct w:val="0"/>
        <w:autoSpaceDE/>
        <w:autoSpaceDN/>
        <w:bidi w:val="0"/>
        <w:snapToGrid/>
        <w:spacing w:before="60" w:beforeLines="25" w:after="60" w:afterLines="25" w:line="420" w:lineRule="exact"/>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7.1.2</w:t>
      </w:r>
      <w:r>
        <w:rPr>
          <w:rFonts w:hint="eastAsia" w:ascii="宋体" w:hAnsi="宋体" w:cs="宋体"/>
          <w:b w:val="0"/>
          <w:bCs w:val="0"/>
          <w:color w:val="auto"/>
          <w:sz w:val="24"/>
          <w:szCs w:val="24"/>
          <w:highlight w:val="none"/>
          <w:lang w:val="en-US" w:eastAsia="zh-CN"/>
        </w:rPr>
        <w:t>监控</w:t>
      </w:r>
      <w:r>
        <w:rPr>
          <w:rFonts w:hint="eastAsia" w:ascii="宋体" w:hAnsi="宋体" w:eastAsia="宋体" w:cs="宋体"/>
          <w:b w:val="0"/>
          <w:bCs w:val="0"/>
          <w:color w:val="auto"/>
          <w:sz w:val="24"/>
          <w:szCs w:val="24"/>
          <w:highlight w:val="none"/>
        </w:rPr>
        <w:t>工程量以发包人书面下达的</w:t>
      </w:r>
      <w:r>
        <w:rPr>
          <w:rFonts w:hint="eastAsia" w:ascii="宋体" w:hAnsi="宋体" w:cs="宋体"/>
          <w:b w:val="0"/>
          <w:bCs w:val="0"/>
          <w:color w:val="auto"/>
          <w:sz w:val="24"/>
          <w:szCs w:val="24"/>
          <w:highlight w:val="none"/>
          <w:lang w:val="en-US" w:eastAsia="zh-CN"/>
        </w:rPr>
        <w:t>监控</w:t>
      </w:r>
      <w:r>
        <w:rPr>
          <w:rFonts w:hint="eastAsia" w:ascii="宋体" w:hAnsi="宋体" w:eastAsia="宋体" w:cs="宋体"/>
          <w:b w:val="0"/>
          <w:bCs w:val="0"/>
          <w:color w:val="auto"/>
          <w:sz w:val="24"/>
          <w:szCs w:val="24"/>
          <w:highlight w:val="none"/>
        </w:rPr>
        <w:t>任务书和符合要求的</w:t>
      </w:r>
      <w:r>
        <w:rPr>
          <w:rFonts w:hint="eastAsia" w:ascii="宋体" w:hAnsi="宋体" w:cs="宋体"/>
          <w:b w:val="0"/>
          <w:bCs w:val="0"/>
          <w:color w:val="auto"/>
          <w:sz w:val="24"/>
          <w:szCs w:val="24"/>
          <w:highlight w:val="none"/>
          <w:lang w:val="en-US" w:eastAsia="zh-CN"/>
        </w:rPr>
        <w:t>监控</w:t>
      </w:r>
      <w:r>
        <w:rPr>
          <w:rFonts w:hint="eastAsia" w:ascii="宋体" w:hAnsi="宋体" w:eastAsia="宋体" w:cs="宋体"/>
          <w:b w:val="0"/>
          <w:bCs w:val="0"/>
          <w:color w:val="auto"/>
          <w:sz w:val="24"/>
          <w:szCs w:val="24"/>
          <w:highlight w:val="none"/>
        </w:rPr>
        <w:t>成果报告为依据。</w:t>
      </w:r>
    </w:p>
    <w:p w14:paraId="658A2FAC">
      <w:pPr>
        <w:pageBreakBefore w:val="0"/>
        <w:widowControl/>
        <w:kinsoku/>
        <w:wordWrap/>
        <w:overflowPunct/>
        <w:topLinePunct w:val="0"/>
        <w:autoSpaceDE/>
        <w:autoSpaceDN/>
        <w:bidi w:val="0"/>
        <w:snapToGrid/>
        <w:spacing w:before="60" w:beforeLines="25" w:after="60" w:afterLines="25" w:line="420" w:lineRule="exact"/>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7.1.3承包人应根据自身企业的服务能力、管理水平自主填报</w:t>
      </w:r>
      <w:r>
        <w:rPr>
          <w:rFonts w:hint="eastAsia" w:ascii="宋体" w:hAnsi="宋体" w:cs="宋体"/>
          <w:b w:val="0"/>
          <w:bCs w:val="0"/>
          <w:color w:val="auto"/>
          <w:sz w:val="24"/>
          <w:szCs w:val="24"/>
          <w:highlight w:val="none"/>
          <w:lang w:val="en-US" w:eastAsia="zh-CN"/>
        </w:rPr>
        <w:t>施工监控</w:t>
      </w:r>
      <w:r>
        <w:rPr>
          <w:rFonts w:hint="eastAsia" w:ascii="宋体" w:hAnsi="宋体" w:eastAsia="宋体" w:cs="宋体"/>
          <w:b w:val="0"/>
          <w:bCs w:val="0"/>
          <w:color w:val="auto"/>
          <w:sz w:val="24"/>
          <w:szCs w:val="24"/>
          <w:highlight w:val="none"/>
        </w:rPr>
        <w:t>服务项目的工程量清单综合单价。工程量清单综合单价不因物价，国家政策、法律法规的变化，工期延长而调整。工程量清单中工程量清单综合单价包括但不限于以下：</w:t>
      </w:r>
    </w:p>
    <w:p w14:paraId="2FA824C0">
      <w:pPr>
        <w:pageBreakBefore w:val="0"/>
        <w:widowControl/>
        <w:kinsoku/>
        <w:wordWrap/>
        <w:overflowPunct/>
        <w:topLinePunct w:val="0"/>
        <w:autoSpaceDE/>
        <w:autoSpaceDN/>
        <w:bidi w:val="0"/>
        <w:snapToGrid/>
        <w:spacing w:before="60" w:beforeLines="25" w:after="60" w:afterLines="25" w:line="420" w:lineRule="exact"/>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a.</w:t>
      </w:r>
      <w:r>
        <w:rPr>
          <w:rFonts w:hint="eastAsia" w:ascii="宋体" w:hAnsi="宋体" w:cs="宋体"/>
          <w:b w:val="0"/>
          <w:bCs w:val="0"/>
          <w:color w:val="auto"/>
          <w:sz w:val="24"/>
          <w:szCs w:val="24"/>
          <w:highlight w:val="none"/>
          <w:lang w:val="en-US" w:eastAsia="zh-CN"/>
        </w:rPr>
        <w:t>监控</w:t>
      </w:r>
      <w:r>
        <w:rPr>
          <w:rFonts w:hint="eastAsia" w:ascii="宋体" w:hAnsi="宋体" w:eastAsia="宋体" w:cs="宋体"/>
          <w:b w:val="0"/>
          <w:bCs w:val="0"/>
          <w:color w:val="auto"/>
          <w:sz w:val="24"/>
          <w:szCs w:val="24"/>
          <w:highlight w:val="none"/>
        </w:rPr>
        <w:t>人员服务费：包含</w:t>
      </w:r>
      <w:r>
        <w:rPr>
          <w:rFonts w:hint="eastAsia" w:ascii="宋体" w:hAnsi="宋体" w:cs="宋体"/>
          <w:b w:val="0"/>
          <w:bCs w:val="0"/>
          <w:color w:val="auto"/>
          <w:sz w:val="24"/>
          <w:szCs w:val="24"/>
          <w:highlight w:val="none"/>
          <w:lang w:val="en-US" w:eastAsia="zh-CN"/>
        </w:rPr>
        <w:t>监控</w:t>
      </w:r>
      <w:r>
        <w:rPr>
          <w:rFonts w:hint="eastAsia" w:ascii="宋体" w:hAnsi="宋体" w:eastAsia="宋体" w:cs="宋体"/>
          <w:b w:val="0"/>
          <w:bCs w:val="0"/>
          <w:color w:val="auto"/>
          <w:sz w:val="24"/>
          <w:szCs w:val="24"/>
          <w:highlight w:val="none"/>
        </w:rPr>
        <w:t>人员的工资、加班费（含承包人为按期完工而在国家规定的公休日、节假日及正常工作时间以外工作的加班）、培训费、咨询费、生活伙食费、差旅费、各种劳保费用、各种人身保险费、奖金及各种补贴等一切费用在内。</w:t>
      </w:r>
    </w:p>
    <w:p w14:paraId="6CAE98D4">
      <w:pPr>
        <w:pageBreakBefore w:val="0"/>
        <w:widowControl/>
        <w:kinsoku/>
        <w:wordWrap/>
        <w:overflowPunct/>
        <w:topLinePunct w:val="0"/>
        <w:autoSpaceDE/>
        <w:autoSpaceDN/>
        <w:bidi w:val="0"/>
        <w:snapToGrid/>
        <w:spacing w:before="60" w:beforeLines="25" w:after="60" w:afterLines="25" w:line="420" w:lineRule="exact"/>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b.办公设施费：履行</w:t>
      </w:r>
      <w:r>
        <w:rPr>
          <w:rFonts w:hint="eastAsia" w:ascii="宋体" w:hAnsi="宋体" w:cs="宋体"/>
          <w:b w:val="0"/>
          <w:bCs w:val="0"/>
          <w:color w:val="auto"/>
          <w:sz w:val="24"/>
          <w:szCs w:val="24"/>
          <w:highlight w:val="none"/>
          <w:lang w:val="en-US" w:eastAsia="zh-CN"/>
        </w:rPr>
        <w:t>监控</w:t>
      </w:r>
      <w:r>
        <w:rPr>
          <w:rFonts w:hint="eastAsia" w:ascii="宋体" w:hAnsi="宋体" w:eastAsia="宋体" w:cs="宋体"/>
          <w:b w:val="0"/>
          <w:bCs w:val="0"/>
          <w:color w:val="auto"/>
          <w:sz w:val="24"/>
          <w:szCs w:val="24"/>
          <w:highlight w:val="none"/>
        </w:rPr>
        <w:t>服务合同所需的一切办公用品及设施的费用均包含在工程量清单综合单价内。</w:t>
      </w:r>
    </w:p>
    <w:p w14:paraId="6618A8DD">
      <w:pPr>
        <w:pageBreakBefore w:val="0"/>
        <w:widowControl/>
        <w:kinsoku/>
        <w:wordWrap/>
        <w:overflowPunct/>
        <w:topLinePunct w:val="0"/>
        <w:autoSpaceDE/>
        <w:autoSpaceDN/>
        <w:bidi w:val="0"/>
        <w:snapToGrid/>
        <w:spacing w:before="60" w:beforeLines="25" w:after="60" w:afterLines="25" w:line="420" w:lineRule="exact"/>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c.交通设施费（含燃料、消耗等费用）：履行</w:t>
      </w:r>
      <w:r>
        <w:rPr>
          <w:rFonts w:hint="eastAsia" w:ascii="宋体" w:hAnsi="宋体" w:cs="宋体"/>
          <w:b w:val="0"/>
          <w:bCs w:val="0"/>
          <w:color w:val="auto"/>
          <w:sz w:val="24"/>
          <w:szCs w:val="24"/>
          <w:highlight w:val="none"/>
          <w:lang w:val="en-US" w:eastAsia="zh-CN"/>
        </w:rPr>
        <w:t>监控</w:t>
      </w:r>
      <w:r>
        <w:rPr>
          <w:rFonts w:hint="eastAsia" w:ascii="宋体" w:hAnsi="宋体" w:eastAsia="宋体" w:cs="宋体"/>
          <w:b w:val="0"/>
          <w:bCs w:val="0"/>
          <w:color w:val="auto"/>
          <w:sz w:val="24"/>
          <w:szCs w:val="24"/>
          <w:highlight w:val="none"/>
        </w:rPr>
        <w:t>服务合同所需的一切交通设施（含燃料、消耗等）的费用均包含在工程量清单综合单价内。</w:t>
      </w:r>
    </w:p>
    <w:p w14:paraId="031E6237">
      <w:pPr>
        <w:pageBreakBefore w:val="0"/>
        <w:widowControl/>
        <w:kinsoku/>
        <w:wordWrap/>
        <w:overflowPunct/>
        <w:topLinePunct w:val="0"/>
        <w:autoSpaceDE/>
        <w:autoSpaceDN/>
        <w:bidi w:val="0"/>
        <w:snapToGrid/>
        <w:spacing w:before="60" w:beforeLines="25" w:after="60" w:afterLines="25" w:line="420" w:lineRule="exact"/>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e.生活设施费：履行</w:t>
      </w:r>
      <w:r>
        <w:rPr>
          <w:rFonts w:hint="eastAsia" w:ascii="宋体" w:hAnsi="宋体" w:cs="宋体"/>
          <w:b w:val="0"/>
          <w:bCs w:val="0"/>
          <w:color w:val="auto"/>
          <w:sz w:val="24"/>
          <w:szCs w:val="24"/>
          <w:highlight w:val="none"/>
          <w:lang w:val="en-US" w:eastAsia="zh-CN"/>
        </w:rPr>
        <w:t>监控</w:t>
      </w:r>
      <w:r>
        <w:rPr>
          <w:rFonts w:hint="eastAsia" w:ascii="宋体" w:hAnsi="宋体" w:eastAsia="宋体" w:cs="宋体"/>
          <w:b w:val="0"/>
          <w:bCs w:val="0"/>
          <w:color w:val="auto"/>
          <w:sz w:val="24"/>
          <w:szCs w:val="24"/>
          <w:highlight w:val="none"/>
        </w:rPr>
        <w:t>服务合同所需的一切居住条件、煤气、水电、防暑降温或取暖等全部费用均包含在工程量清单综合单价内。</w:t>
      </w:r>
    </w:p>
    <w:p w14:paraId="62C3955B">
      <w:pPr>
        <w:pageBreakBefore w:val="0"/>
        <w:widowControl/>
        <w:kinsoku/>
        <w:wordWrap/>
        <w:overflowPunct/>
        <w:topLinePunct w:val="0"/>
        <w:autoSpaceDE/>
        <w:autoSpaceDN/>
        <w:bidi w:val="0"/>
        <w:snapToGrid/>
        <w:spacing w:before="60" w:beforeLines="25" w:after="60" w:afterLines="25" w:line="420" w:lineRule="exact"/>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f.承包人因完成本项目</w:t>
      </w:r>
      <w:r>
        <w:rPr>
          <w:rFonts w:hint="eastAsia" w:ascii="宋体" w:hAnsi="宋体" w:eastAsia="宋体" w:cs="宋体"/>
          <w:b w:val="0"/>
          <w:bCs w:val="0"/>
          <w:color w:val="auto"/>
          <w:sz w:val="24"/>
          <w:szCs w:val="24"/>
          <w:highlight w:val="none"/>
          <w:lang w:val="en-US" w:eastAsia="zh-CN"/>
        </w:rPr>
        <w:t>监控</w:t>
      </w:r>
      <w:r>
        <w:rPr>
          <w:rFonts w:hint="eastAsia" w:ascii="宋体" w:hAnsi="宋体" w:eastAsia="宋体" w:cs="宋体"/>
          <w:b w:val="0"/>
          <w:bCs w:val="0"/>
          <w:color w:val="auto"/>
          <w:sz w:val="24"/>
          <w:szCs w:val="24"/>
          <w:highlight w:val="none"/>
        </w:rPr>
        <w:t>服务需缴纳的一切税费由承包人承担，并包含在所报的各项工程量清单综合单价内，发包人不单独支付。</w:t>
      </w:r>
    </w:p>
    <w:p w14:paraId="2C20B07C">
      <w:pPr>
        <w:pageBreakBefore w:val="0"/>
        <w:widowControl/>
        <w:kinsoku/>
        <w:wordWrap/>
        <w:overflowPunct/>
        <w:topLinePunct w:val="0"/>
        <w:autoSpaceDE/>
        <w:autoSpaceDN/>
        <w:bidi w:val="0"/>
        <w:snapToGrid/>
        <w:spacing w:before="25" w:after="25" w:line="420" w:lineRule="exact"/>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g.报价应包括投标人为完成招标文件规定咨询工作所需开支的一切费用，如人员工资、差旅费、交通费、进出场费、食宿费、通讯费、设备费、材料费、管理费、保险费、加班费、交叉作业影响费、安全措施费、安全生产费、利润、税费、咨询报告出版费等，同时包含咨询单位在节假日或正常工作时间以外人员的加班费用，以及合同文件明示或未明示的完成本合同的所有责任、义务和风险。</w:t>
      </w:r>
    </w:p>
    <w:p w14:paraId="382BD81C">
      <w:pPr>
        <w:pageBreakBefore w:val="0"/>
        <w:widowControl/>
        <w:kinsoku/>
        <w:wordWrap/>
        <w:overflowPunct/>
        <w:topLinePunct w:val="0"/>
        <w:autoSpaceDE/>
        <w:autoSpaceDN/>
        <w:bidi w:val="0"/>
        <w:snapToGrid/>
        <w:spacing w:before="60" w:beforeLines="25" w:after="60" w:afterLines="25" w:line="420" w:lineRule="exact"/>
        <w:ind w:firstLine="480" w:firstLineChars="200"/>
        <w:jc w:val="left"/>
        <w:outlineLvl w:val="3"/>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7.2支付</w:t>
      </w:r>
    </w:p>
    <w:p w14:paraId="7E0F9C4A">
      <w:pPr>
        <w:pageBreakBefore w:val="0"/>
        <w:widowControl w:val="0"/>
        <w:kinsoku/>
        <w:wordWrap/>
        <w:overflowPunct/>
        <w:topLinePunct w:val="0"/>
        <w:autoSpaceDE/>
        <w:autoSpaceDN/>
        <w:bidi w:val="0"/>
        <w:snapToGrid/>
        <w:spacing w:line="420" w:lineRule="exact"/>
        <w:ind w:firstLine="480"/>
        <w:jc w:val="both"/>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7.2.2</w:t>
      </w:r>
      <w:r>
        <w:rPr>
          <w:rFonts w:hint="eastAsia" w:ascii="宋体" w:hAnsi="宋体" w:cs="宋体"/>
          <w:b w:val="0"/>
          <w:bCs w:val="0"/>
          <w:color w:val="auto"/>
          <w:kern w:val="2"/>
          <w:sz w:val="24"/>
          <w:szCs w:val="24"/>
          <w:highlight w:val="none"/>
          <w:lang w:val="en-US" w:eastAsia="zh-CN" w:bidi="ar-SA"/>
        </w:rPr>
        <w:t>监控</w:t>
      </w:r>
      <w:r>
        <w:rPr>
          <w:rFonts w:hint="eastAsia" w:ascii="宋体" w:hAnsi="宋体" w:eastAsia="宋体" w:cs="宋体"/>
          <w:b w:val="0"/>
          <w:bCs w:val="0"/>
          <w:color w:val="auto"/>
          <w:kern w:val="2"/>
          <w:sz w:val="24"/>
          <w:szCs w:val="24"/>
          <w:highlight w:val="none"/>
          <w:lang w:val="en-US" w:eastAsia="zh-CN" w:bidi="ar-SA"/>
        </w:rPr>
        <w:t>服务费按以下方式支付：</w:t>
      </w:r>
    </w:p>
    <w:p w14:paraId="68785989">
      <w:pPr>
        <w:pageBreakBefore w:val="0"/>
        <w:widowControl/>
        <w:kinsoku/>
        <w:wordWrap/>
        <w:overflowPunct/>
        <w:topLinePunct w:val="0"/>
        <w:autoSpaceDE/>
        <w:autoSpaceDN/>
        <w:bidi w:val="0"/>
        <w:snapToGrid/>
        <w:spacing w:before="60" w:beforeLines="25" w:after="60" w:afterLines="25" w:line="420" w:lineRule="exact"/>
        <w:ind w:firstLine="480" w:firstLineChars="200"/>
        <w:jc w:val="left"/>
        <w:outlineLvl w:val="4"/>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7.2.2.1 进度支付申请</w:t>
      </w:r>
    </w:p>
    <w:p w14:paraId="05A33F5A">
      <w:pPr>
        <w:pageBreakBefore w:val="0"/>
        <w:widowControl/>
        <w:kinsoku/>
        <w:wordWrap/>
        <w:overflowPunct/>
        <w:topLinePunct w:val="0"/>
        <w:autoSpaceDE/>
        <w:autoSpaceDN/>
        <w:bidi w:val="0"/>
        <w:snapToGrid/>
        <w:spacing w:before="60" w:beforeLines="25" w:after="60" w:afterLines="25" w:line="420" w:lineRule="exact"/>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承包人应按合同约定的支付节点向发包人提交由其项目负责人签署的进度支付申请，并附相应的支持性证明文件。承包人应在支付申请中填报如下内容： </w:t>
      </w:r>
    </w:p>
    <w:p w14:paraId="08C068CA">
      <w:pPr>
        <w:pageBreakBefore w:val="0"/>
        <w:widowControl/>
        <w:kinsoku/>
        <w:wordWrap/>
        <w:overflowPunct/>
        <w:topLinePunct w:val="0"/>
        <w:autoSpaceDE/>
        <w:autoSpaceDN/>
        <w:bidi w:val="0"/>
        <w:snapToGrid/>
        <w:spacing w:before="60" w:beforeLines="25" w:after="60" w:afterLines="25" w:line="420" w:lineRule="exact"/>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（1）自开工截至本期末止已完成的工作量或者工作内容； </w:t>
      </w:r>
    </w:p>
    <w:p w14:paraId="02416824">
      <w:pPr>
        <w:pageBreakBefore w:val="0"/>
        <w:widowControl/>
        <w:kinsoku/>
        <w:wordWrap/>
        <w:overflowPunct/>
        <w:topLinePunct w:val="0"/>
        <w:autoSpaceDE/>
        <w:autoSpaceDN/>
        <w:bidi w:val="0"/>
        <w:snapToGrid/>
        <w:spacing w:before="60" w:beforeLines="25" w:after="60" w:afterLines="25" w:line="420" w:lineRule="exact"/>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（2）本期完成的工作量或者工作内容； </w:t>
      </w:r>
    </w:p>
    <w:p w14:paraId="301F7681">
      <w:pPr>
        <w:pageBreakBefore w:val="0"/>
        <w:widowControl/>
        <w:kinsoku/>
        <w:wordWrap/>
        <w:overflowPunct/>
        <w:topLinePunct w:val="0"/>
        <w:autoSpaceDE/>
        <w:autoSpaceDN/>
        <w:bidi w:val="0"/>
        <w:snapToGrid/>
        <w:spacing w:before="60" w:beforeLines="25" w:after="60" w:afterLines="25" w:line="420" w:lineRule="exact"/>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（3）本期应支付的金额价款； </w:t>
      </w:r>
    </w:p>
    <w:p w14:paraId="4348E953">
      <w:pPr>
        <w:pageBreakBefore w:val="0"/>
        <w:widowControl/>
        <w:kinsoku/>
        <w:wordWrap/>
        <w:overflowPunct/>
        <w:topLinePunct w:val="0"/>
        <w:autoSpaceDE/>
        <w:autoSpaceDN/>
        <w:bidi w:val="0"/>
        <w:snapToGrid/>
        <w:spacing w:before="60" w:beforeLines="25" w:after="60" w:afterLines="25" w:line="420" w:lineRule="exact"/>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（4）根据合同规定，本期应扣除的其他款项； </w:t>
      </w:r>
    </w:p>
    <w:p w14:paraId="51A18D8F">
      <w:pPr>
        <w:pageBreakBefore w:val="0"/>
        <w:widowControl/>
        <w:kinsoku/>
        <w:wordWrap/>
        <w:overflowPunct/>
        <w:topLinePunct w:val="0"/>
        <w:autoSpaceDE/>
        <w:autoSpaceDN/>
        <w:bidi w:val="0"/>
        <w:snapToGrid/>
        <w:spacing w:before="60" w:beforeLines="25" w:after="60" w:afterLines="25" w:line="420" w:lineRule="exact"/>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（5）根据合同规定，本期应结算的其他款项。 </w:t>
      </w:r>
    </w:p>
    <w:p w14:paraId="29B7E772">
      <w:pPr>
        <w:pageBreakBefore w:val="0"/>
        <w:widowControl/>
        <w:kinsoku/>
        <w:wordWrap/>
        <w:overflowPunct/>
        <w:topLinePunct w:val="0"/>
        <w:autoSpaceDE/>
        <w:autoSpaceDN/>
        <w:bidi w:val="0"/>
        <w:snapToGrid/>
        <w:spacing w:before="60" w:beforeLines="25" w:after="60" w:afterLines="25" w:line="420" w:lineRule="exact"/>
        <w:ind w:firstLine="480" w:firstLineChars="200"/>
        <w:jc w:val="left"/>
        <w:outlineLvl w:val="4"/>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7.2.2.2 支付</w:t>
      </w:r>
    </w:p>
    <w:p w14:paraId="653BA9D2">
      <w:pPr>
        <w:pageBreakBefore w:val="0"/>
        <w:widowControl w:val="0"/>
        <w:kinsoku/>
        <w:wordWrap/>
        <w:overflowPunct/>
        <w:topLinePunct w:val="0"/>
        <w:autoSpaceDE/>
        <w:autoSpaceDN/>
        <w:bidi w:val="0"/>
        <w:snapToGrid/>
        <w:spacing w:before="60" w:beforeLines="25" w:after="60" w:afterLines="25" w:line="420" w:lineRule="exact"/>
        <w:ind w:firstLine="480" w:firstLineChars="200"/>
        <w:jc w:val="both"/>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（1）本合同签订并完成</w:t>
      </w:r>
      <w:r>
        <w:rPr>
          <w:rFonts w:hint="eastAsia" w:ascii="宋体" w:hAnsi="宋体" w:cs="宋体"/>
          <w:b w:val="0"/>
          <w:bCs w:val="0"/>
          <w:color w:val="auto"/>
          <w:kern w:val="2"/>
          <w:sz w:val="24"/>
          <w:szCs w:val="24"/>
          <w:highlight w:val="none"/>
          <w:lang w:val="en-US" w:eastAsia="zh-CN" w:bidi="ar-SA"/>
        </w:rPr>
        <w:t>施工监控</w:t>
      </w:r>
      <w:r>
        <w:rPr>
          <w:rFonts w:hint="eastAsia" w:ascii="宋体" w:hAnsi="宋体" w:eastAsia="宋体" w:cs="宋体"/>
          <w:b w:val="0"/>
          <w:bCs w:val="0"/>
          <w:color w:val="auto"/>
          <w:kern w:val="2"/>
          <w:sz w:val="24"/>
          <w:szCs w:val="24"/>
          <w:highlight w:val="none"/>
          <w:lang w:val="en-US" w:eastAsia="zh-CN" w:bidi="ar-SA"/>
        </w:rPr>
        <w:t>方案报审、人员、设备进场后15日内，发包人支付总</w:t>
      </w:r>
      <w:r>
        <w:rPr>
          <w:rFonts w:hint="eastAsia" w:ascii="宋体" w:hAnsi="宋体" w:cs="宋体"/>
          <w:b w:val="0"/>
          <w:bCs w:val="0"/>
          <w:color w:val="auto"/>
          <w:kern w:val="2"/>
          <w:sz w:val="24"/>
          <w:szCs w:val="24"/>
          <w:highlight w:val="none"/>
          <w:lang w:val="en-US" w:eastAsia="zh-CN" w:bidi="ar-SA"/>
        </w:rPr>
        <w:t>监控</w:t>
      </w:r>
      <w:r>
        <w:rPr>
          <w:rFonts w:hint="eastAsia" w:ascii="宋体" w:hAnsi="宋体" w:eastAsia="宋体" w:cs="宋体"/>
          <w:b w:val="0"/>
          <w:bCs w:val="0"/>
          <w:color w:val="auto"/>
          <w:kern w:val="2"/>
          <w:sz w:val="24"/>
          <w:szCs w:val="24"/>
          <w:highlight w:val="none"/>
          <w:lang w:val="en-US" w:eastAsia="zh-CN" w:bidi="ar-SA"/>
        </w:rPr>
        <w:t>服务费用的30%；</w:t>
      </w:r>
    </w:p>
    <w:p w14:paraId="3CDF1C3E">
      <w:pPr>
        <w:pageBreakBefore w:val="0"/>
        <w:widowControl w:val="0"/>
        <w:kinsoku/>
        <w:wordWrap/>
        <w:overflowPunct/>
        <w:topLinePunct w:val="0"/>
        <w:autoSpaceDE/>
        <w:autoSpaceDN/>
        <w:bidi w:val="0"/>
        <w:snapToGrid/>
        <w:spacing w:before="60" w:beforeLines="25" w:after="60" w:afterLines="25" w:line="420" w:lineRule="exact"/>
        <w:ind w:firstLine="480" w:firstLineChars="200"/>
        <w:jc w:val="both"/>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w:t>
      </w:r>
      <w:r>
        <w:rPr>
          <w:rFonts w:hint="eastAsia" w:ascii="宋体" w:hAnsi="宋体" w:cs="宋体"/>
          <w:b w:val="0"/>
          <w:bCs w:val="0"/>
          <w:color w:val="auto"/>
          <w:kern w:val="2"/>
          <w:sz w:val="24"/>
          <w:szCs w:val="24"/>
          <w:highlight w:val="none"/>
          <w:lang w:val="en-US" w:eastAsia="zh-CN" w:bidi="ar-SA"/>
        </w:rPr>
        <w:t>主拱肋施工合拢</w:t>
      </w:r>
      <w:r>
        <w:rPr>
          <w:rFonts w:hint="eastAsia" w:ascii="宋体" w:hAnsi="宋体" w:eastAsia="宋体" w:cs="宋体"/>
          <w:b w:val="0"/>
          <w:bCs w:val="0"/>
          <w:color w:val="auto"/>
          <w:kern w:val="2"/>
          <w:sz w:val="24"/>
          <w:szCs w:val="24"/>
          <w:highlight w:val="none"/>
          <w:lang w:val="en-US" w:eastAsia="zh-CN" w:bidi="ar-SA"/>
        </w:rPr>
        <w:t>，</w:t>
      </w:r>
      <w:r>
        <w:rPr>
          <w:rFonts w:hint="eastAsia" w:ascii="宋体" w:hAnsi="宋体" w:cs="宋体"/>
          <w:b w:val="0"/>
          <w:bCs w:val="0"/>
          <w:color w:val="auto"/>
          <w:kern w:val="2"/>
          <w:sz w:val="24"/>
          <w:szCs w:val="24"/>
          <w:highlight w:val="none"/>
          <w:lang w:val="en-US" w:eastAsia="zh-CN" w:bidi="ar-SA"/>
        </w:rPr>
        <w:t>支付相关监控服务费用的55%，累计支付至85%</w:t>
      </w:r>
      <w:r>
        <w:rPr>
          <w:rFonts w:hint="eastAsia" w:ascii="宋体" w:hAnsi="宋体" w:eastAsia="宋体" w:cs="宋体"/>
          <w:b w:val="0"/>
          <w:bCs w:val="0"/>
          <w:color w:val="auto"/>
          <w:kern w:val="2"/>
          <w:sz w:val="24"/>
          <w:szCs w:val="24"/>
          <w:highlight w:val="none"/>
          <w:lang w:val="en-US" w:eastAsia="zh-CN" w:bidi="ar-SA"/>
        </w:rPr>
        <w:t>；</w:t>
      </w:r>
    </w:p>
    <w:p w14:paraId="22E180D1">
      <w:pPr>
        <w:pageBreakBefore w:val="0"/>
        <w:widowControl w:val="0"/>
        <w:kinsoku/>
        <w:wordWrap/>
        <w:overflowPunct/>
        <w:topLinePunct w:val="0"/>
        <w:autoSpaceDE/>
        <w:autoSpaceDN/>
        <w:bidi w:val="0"/>
        <w:snapToGrid/>
        <w:spacing w:before="60" w:beforeLines="25" w:after="60" w:afterLines="25" w:line="420" w:lineRule="exact"/>
        <w:ind w:firstLine="480" w:firstLineChars="200"/>
        <w:jc w:val="both"/>
        <w:rPr>
          <w:rFonts w:hint="default" w:ascii="宋体" w:hAnsi="宋体" w:eastAsia="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（3）</w:t>
      </w:r>
      <w:bookmarkStart w:id="117" w:name="OLE_LINK4"/>
      <w:r>
        <w:rPr>
          <w:rFonts w:hint="eastAsia" w:ascii="宋体" w:hAnsi="宋体" w:cs="宋体"/>
          <w:b w:val="0"/>
          <w:bCs w:val="0"/>
          <w:color w:val="auto"/>
          <w:kern w:val="2"/>
          <w:sz w:val="24"/>
          <w:szCs w:val="24"/>
          <w:highlight w:val="none"/>
          <w:lang w:val="en-US" w:eastAsia="zh-CN" w:bidi="ar-SA"/>
        </w:rPr>
        <w:t>梁板架设完成</w:t>
      </w:r>
      <w:r>
        <w:rPr>
          <w:rFonts w:hint="eastAsia" w:ascii="宋体" w:hAnsi="宋体" w:eastAsia="宋体" w:cs="宋体"/>
          <w:b w:val="0"/>
          <w:bCs w:val="0"/>
          <w:color w:val="auto"/>
          <w:kern w:val="2"/>
          <w:sz w:val="24"/>
          <w:szCs w:val="24"/>
          <w:highlight w:val="none"/>
          <w:lang w:val="en-US" w:eastAsia="zh-CN" w:bidi="ar-SA"/>
        </w:rPr>
        <w:t>，</w:t>
      </w:r>
      <w:r>
        <w:rPr>
          <w:rFonts w:hint="eastAsia" w:ascii="宋体" w:hAnsi="宋体" w:cs="宋体"/>
          <w:b w:val="0"/>
          <w:bCs w:val="0"/>
          <w:color w:val="auto"/>
          <w:kern w:val="2"/>
          <w:sz w:val="24"/>
          <w:szCs w:val="24"/>
          <w:highlight w:val="none"/>
          <w:lang w:val="en-US" w:eastAsia="zh-CN" w:bidi="ar-SA"/>
        </w:rPr>
        <w:t>支付相关监控服务费用的10%，累计支付至95%</w:t>
      </w:r>
      <w:r>
        <w:rPr>
          <w:rFonts w:hint="eastAsia" w:ascii="宋体" w:hAnsi="宋体" w:eastAsia="宋体" w:cs="宋体"/>
          <w:b w:val="0"/>
          <w:bCs w:val="0"/>
          <w:color w:val="auto"/>
          <w:kern w:val="2"/>
          <w:sz w:val="24"/>
          <w:szCs w:val="24"/>
          <w:highlight w:val="none"/>
          <w:lang w:val="en-US" w:eastAsia="zh-CN" w:bidi="ar-SA"/>
        </w:rPr>
        <w:t>；</w:t>
      </w:r>
      <w:bookmarkEnd w:id="117"/>
    </w:p>
    <w:p w14:paraId="1F870371">
      <w:pPr>
        <w:pageBreakBefore w:val="0"/>
        <w:widowControl w:val="0"/>
        <w:kinsoku/>
        <w:wordWrap/>
        <w:overflowPunct/>
        <w:topLinePunct w:val="0"/>
        <w:autoSpaceDE/>
        <w:autoSpaceDN/>
        <w:bidi w:val="0"/>
        <w:snapToGrid/>
        <w:spacing w:before="60" w:beforeLines="25" w:after="60" w:afterLines="25" w:line="420" w:lineRule="exact"/>
        <w:ind w:firstLine="480" w:firstLineChars="200"/>
        <w:jc w:val="both"/>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（3）项目交工验收完成30日</w:t>
      </w:r>
      <w:r>
        <w:rPr>
          <w:rFonts w:hint="eastAsia" w:ascii="宋体" w:hAnsi="宋体" w:cs="宋体"/>
          <w:b w:val="0"/>
          <w:bCs w:val="0"/>
          <w:color w:val="auto"/>
          <w:kern w:val="2"/>
          <w:sz w:val="24"/>
          <w:szCs w:val="24"/>
          <w:highlight w:val="none"/>
          <w:lang w:val="en-US" w:eastAsia="zh-CN" w:bidi="ar-SA"/>
        </w:rPr>
        <w:t>内并提交施工监控报告</w:t>
      </w:r>
      <w:r>
        <w:rPr>
          <w:rFonts w:hint="eastAsia" w:ascii="宋体" w:hAnsi="宋体" w:eastAsia="宋体" w:cs="宋体"/>
          <w:b w:val="0"/>
          <w:bCs w:val="0"/>
          <w:color w:val="auto"/>
          <w:kern w:val="2"/>
          <w:sz w:val="24"/>
          <w:szCs w:val="24"/>
          <w:highlight w:val="none"/>
          <w:lang w:val="en-US" w:eastAsia="zh-CN" w:bidi="ar-SA"/>
        </w:rPr>
        <w:t>，支付</w:t>
      </w:r>
      <w:r>
        <w:rPr>
          <w:rFonts w:hint="eastAsia" w:ascii="宋体" w:hAnsi="宋体" w:cs="宋体"/>
          <w:b w:val="0"/>
          <w:bCs w:val="0"/>
          <w:color w:val="auto"/>
          <w:kern w:val="2"/>
          <w:sz w:val="24"/>
          <w:szCs w:val="24"/>
          <w:highlight w:val="none"/>
          <w:lang w:val="en-US" w:eastAsia="zh-CN" w:bidi="ar-SA"/>
        </w:rPr>
        <w:t>相关监控服务费用的5%，</w:t>
      </w:r>
      <w:r>
        <w:rPr>
          <w:rFonts w:hint="eastAsia" w:ascii="宋体" w:hAnsi="宋体" w:eastAsia="宋体" w:cs="宋体"/>
          <w:b w:val="0"/>
          <w:bCs w:val="0"/>
          <w:color w:val="auto"/>
          <w:kern w:val="2"/>
          <w:sz w:val="24"/>
          <w:szCs w:val="24"/>
          <w:highlight w:val="none"/>
          <w:lang w:val="en-US" w:eastAsia="zh-CN" w:bidi="ar-SA"/>
        </w:rPr>
        <w:t>累计</w:t>
      </w:r>
      <w:r>
        <w:rPr>
          <w:rFonts w:hint="eastAsia" w:ascii="宋体" w:hAnsi="宋体" w:cs="宋体"/>
          <w:b w:val="0"/>
          <w:bCs w:val="0"/>
          <w:color w:val="auto"/>
          <w:kern w:val="2"/>
          <w:sz w:val="24"/>
          <w:szCs w:val="24"/>
          <w:highlight w:val="none"/>
          <w:lang w:val="en-US" w:eastAsia="zh-CN" w:bidi="ar-SA"/>
        </w:rPr>
        <w:t>支付至</w:t>
      </w:r>
      <w:r>
        <w:rPr>
          <w:rFonts w:hint="eastAsia" w:ascii="宋体" w:hAnsi="宋体" w:eastAsia="宋体" w:cs="宋体"/>
          <w:b w:val="0"/>
          <w:bCs w:val="0"/>
          <w:color w:val="auto"/>
          <w:kern w:val="2"/>
          <w:sz w:val="24"/>
          <w:szCs w:val="24"/>
          <w:highlight w:val="none"/>
          <w:lang w:val="en-US" w:eastAsia="zh-CN" w:bidi="ar-SA"/>
        </w:rPr>
        <w:t>100%。</w:t>
      </w:r>
      <w:bookmarkStart w:id="118" w:name="OLE_LINK1"/>
    </w:p>
    <w:bookmarkEnd w:id="118"/>
    <w:p w14:paraId="25D36534">
      <w:pPr>
        <w:pageBreakBefore w:val="0"/>
        <w:widowControl w:val="0"/>
        <w:kinsoku/>
        <w:wordWrap/>
        <w:overflowPunct/>
        <w:topLinePunct w:val="0"/>
        <w:autoSpaceDE/>
        <w:autoSpaceDN/>
        <w:bidi w:val="0"/>
        <w:snapToGrid/>
        <w:spacing w:before="60" w:beforeLines="25" w:after="60" w:afterLines="25" w:line="420" w:lineRule="exact"/>
        <w:ind w:firstLine="480" w:firstLineChars="200"/>
        <w:jc w:val="both"/>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w:t>
      </w:r>
      <w:r>
        <w:rPr>
          <w:rFonts w:hint="eastAsia" w:ascii="宋体" w:hAnsi="宋体" w:cs="宋体"/>
          <w:b w:val="0"/>
          <w:bCs w:val="0"/>
          <w:color w:val="auto"/>
          <w:kern w:val="2"/>
          <w:sz w:val="24"/>
          <w:szCs w:val="24"/>
          <w:highlight w:val="none"/>
          <w:lang w:val="en-US" w:eastAsia="zh-CN" w:bidi="ar-SA"/>
        </w:rPr>
        <w:t>4</w:t>
      </w:r>
      <w:r>
        <w:rPr>
          <w:rFonts w:hint="eastAsia" w:ascii="宋体" w:hAnsi="宋体" w:eastAsia="宋体" w:cs="宋体"/>
          <w:b w:val="0"/>
          <w:bCs w:val="0"/>
          <w:color w:val="auto"/>
          <w:kern w:val="2"/>
          <w:sz w:val="24"/>
          <w:szCs w:val="24"/>
          <w:highlight w:val="none"/>
          <w:lang w:val="en-US" w:eastAsia="zh-CN" w:bidi="ar-SA"/>
        </w:rPr>
        <w:t>）</w:t>
      </w:r>
      <w:r>
        <w:rPr>
          <w:rFonts w:hint="eastAsia" w:ascii="宋体" w:hAnsi="宋体" w:cs="宋体"/>
          <w:b w:val="0"/>
          <w:bCs w:val="0"/>
          <w:color w:val="auto"/>
          <w:kern w:val="2"/>
          <w:sz w:val="24"/>
          <w:szCs w:val="24"/>
          <w:highlight w:val="none"/>
          <w:lang w:val="en-US" w:eastAsia="zh-CN" w:bidi="ar-SA"/>
        </w:rPr>
        <w:t>承包人</w:t>
      </w:r>
      <w:r>
        <w:rPr>
          <w:rFonts w:hint="eastAsia" w:ascii="宋体" w:hAnsi="宋体" w:eastAsia="宋体" w:cs="宋体"/>
          <w:b w:val="0"/>
          <w:bCs w:val="0"/>
          <w:color w:val="auto"/>
          <w:kern w:val="2"/>
          <w:sz w:val="24"/>
          <w:szCs w:val="24"/>
          <w:highlight w:val="none"/>
          <w:lang w:val="en-US" w:eastAsia="zh-CN" w:bidi="ar-SA"/>
        </w:rPr>
        <w:t>按照</w:t>
      </w:r>
      <w:r>
        <w:rPr>
          <w:rFonts w:hint="eastAsia" w:ascii="宋体" w:hAnsi="宋体" w:cs="宋体"/>
          <w:b w:val="0"/>
          <w:bCs w:val="0"/>
          <w:color w:val="auto"/>
          <w:kern w:val="2"/>
          <w:sz w:val="24"/>
          <w:szCs w:val="24"/>
          <w:highlight w:val="none"/>
          <w:lang w:val="en-US" w:eastAsia="zh-CN" w:bidi="ar-SA"/>
        </w:rPr>
        <w:t>发包人</w:t>
      </w:r>
      <w:r>
        <w:rPr>
          <w:rFonts w:hint="eastAsia" w:ascii="宋体" w:hAnsi="宋体" w:eastAsia="宋体" w:cs="宋体"/>
          <w:b w:val="0"/>
          <w:bCs w:val="0"/>
          <w:color w:val="auto"/>
          <w:kern w:val="2"/>
          <w:sz w:val="24"/>
          <w:szCs w:val="24"/>
          <w:highlight w:val="none"/>
          <w:lang w:val="en-US" w:eastAsia="zh-CN" w:bidi="ar-SA"/>
        </w:rPr>
        <w:t xml:space="preserve">要求提供合法有效的税率为6%的增值税专用发票。  </w:t>
      </w:r>
    </w:p>
    <w:p w14:paraId="5682CA0B">
      <w:pPr>
        <w:pageBreakBefore w:val="0"/>
        <w:widowControl/>
        <w:kinsoku/>
        <w:wordWrap/>
        <w:overflowPunct/>
        <w:topLinePunct w:val="0"/>
        <w:autoSpaceDE/>
        <w:autoSpaceDN/>
        <w:bidi w:val="0"/>
        <w:snapToGrid/>
        <w:spacing w:before="60" w:beforeLines="25" w:after="60" w:afterLines="25" w:line="420" w:lineRule="exact"/>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7.2.3若发包人未在规定的期限内支付</w:t>
      </w:r>
      <w:r>
        <w:rPr>
          <w:rFonts w:hint="eastAsia" w:ascii="宋体" w:hAnsi="宋体" w:cs="宋体"/>
          <w:b w:val="0"/>
          <w:bCs w:val="0"/>
          <w:color w:val="auto"/>
          <w:sz w:val="24"/>
          <w:szCs w:val="24"/>
          <w:highlight w:val="none"/>
          <w:lang w:val="en-US" w:eastAsia="zh-CN"/>
        </w:rPr>
        <w:t>监控</w:t>
      </w:r>
      <w:r>
        <w:rPr>
          <w:rFonts w:hint="eastAsia" w:ascii="宋体" w:hAnsi="宋体" w:eastAsia="宋体" w:cs="宋体"/>
          <w:b w:val="0"/>
          <w:bCs w:val="0"/>
          <w:color w:val="auto"/>
          <w:sz w:val="24"/>
          <w:szCs w:val="24"/>
          <w:highlight w:val="none"/>
          <w:lang w:val="en-US" w:eastAsia="zh-CN"/>
        </w:rPr>
        <w:t>服务</w:t>
      </w:r>
      <w:r>
        <w:rPr>
          <w:rFonts w:hint="eastAsia" w:ascii="宋体" w:hAnsi="宋体" w:eastAsia="宋体" w:cs="宋体"/>
          <w:b w:val="0"/>
          <w:bCs w:val="0"/>
          <w:color w:val="auto"/>
          <w:sz w:val="24"/>
          <w:szCs w:val="24"/>
          <w:highlight w:val="none"/>
        </w:rPr>
        <w:t>费，承包人自愿表示理解，放弃要求发包人支付逾期付款利息和任何违约金的权利。</w:t>
      </w:r>
    </w:p>
    <w:p w14:paraId="6AD39DF3">
      <w:pPr>
        <w:pageBreakBefore w:val="0"/>
        <w:widowControl/>
        <w:kinsoku/>
        <w:wordWrap/>
        <w:overflowPunct/>
        <w:topLinePunct w:val="0"/>
        <w:autoSpaceDE/>
        <w:autoSpaceDN/>
        <w:bidi w:val="0"/>
        <w:snapToGrid/>
        <w:spacing w:before="60" w:beforeLines="25" w:after="60" w:afterLines="25" w:line="420" w:lineRule="exact"/>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7.2.4发包人对承包人要求支付的款项中的任何部分有异议，应在7日内发出书面通知说明理由，但不得借此延误对承包人其他应得款项的支付。</w:t>
      </w:r>
    </w:p>
    <w:p w14:paraId="74F8CCFB">
      <w:pPr>
        <w:pageBreakBefore w:val="0"/>
        <w:widowControl/>
        <w:kinsoku/>
        <w:wordWrap/>
        <w:overflowPunct/>
        <w:topLinePunct w:val="0"/>
        <w:autoSpaceDE/>
        <w:autoSpaceDN/>
        <w:bidi w:val="0"/>
        <w:snapToGrid/>
        <w:spacing w:before="60" w:beforeLines="25" w:after="60" w:afterLines="25" w:line="420" w:lineRule="exact"/>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7.2.5发包人按合同约定支付给承包人的各项价款应专项用于合同服务项目。发包人支付的合同款应为本服务项目的专项专用资金，不得转移或用于其他项目。发包人及其派出机构有权不定期对承包人工程资金使用情况进行检查，发现问题及时责令承包人限期改正，否则，将终止下一期支付，直至承包人改正为止。</w:t>
      </w:r>
    </w:p>
    <w:p w14:paraId="23EED88D">
      <w:pPr>
        <w:pageBreakBefore w:val="0"/>
        <w:widowControl/>
        <w:kinsoku/>
        <w:wordWrap/>
        <w:overflowPunct/>
        <w:topLinePunct w:val="0"/>
        <w:autoSpaceDE/>
        <w:autoSpaceDN/>
        <w:bidi w:val="0"/>
        <w:snapToGrid/>
        <w:spacing w:before="60" w:beforeLines="25" w:after="60" w:afterLines="25" w:line="420" w:lineRule="exact"/>
        <w:ind w:firstLine="480" w:firstLineChars="200"/>
        <w:jc w:val="left"/>
        <w:rPr>
          <w:rFonts w:hint="eastAsia" w:ascii="宋体" w:hAnsi="宋体" w:eastAsia="宋体" w:cs="宋体"/>
          <w:b w:val="0"/>
          <w:bCs w:val="0"/>
          <w:color w:val="auto"/>
          <w:sz w:val="24"/>
          <w:szCs w:val="24"/>
          <w:highlight w:val="none"/>
        </w:rPr>
      </w:pPr>
      <w:bookmarkStart w:id="119" w:name="_Toc526072727"/>
      <w:r>
        <w:rPr>
          <w:rFonts w:hint="eastAsia" w:ascii="宋体" w:hAnsi="宋体" w:eastAsia="宋体" w:cs="宋体"/>
          <w:b w:val="0"/>
          <w:bCs w:val="0"/>
          <w:color w:val="auto"/>
          <w:sz w:val="24"/>
          <w:szCs w:val="24"/>
          <w:highlight w:val="none"/>
        </w:rPr>
        <w:t>7.2.6承包人应在发包人支付技术咨询费用前开具并交付相应的增值税专用发票，发包人取得相应发票并确认无误后办理支付。</w:t>
      </w:r>
    </w:p>
    <w:p w14:paraId="308E1473">
      <w:pPr>
        <w:pageBreakBefore w:val="0"/>
        <w:widowControl/>
        <w:kinsoku/>
        <w:wordWrap/>
        <w:overflowPunct/>
        <w:topLinePunct w:val="0"/>
        <w:autoSpaceDE/>
        <w:autoSpaceDN/>
        <w:bidi w:val="0"/>
        <w:snapToGrid/>
        <w:spacing w:before="60" w:beforeLines="25" w:after="60" w:afterLines="25" w:line="420" w:lineRule="exact"/>
        <w:ind w:firstLine="480" w:firstLineChars="200"/>
        <w:jc w:val="left"/>
        <w:outlineLvl w:val="3"/>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7.3货币</w:t>
      </w:r>
      <w:bookmarkEnd w:id="119"/>
    </w:p>
    <w:p w14:paraId="25AA997F">
      <w:pPr>
        <w:pageBreakBefore w:val="0"/>
        <w:widowControl/>
        <w:kinsoku/>
        <w:wordWrap/>
        <w:overflowPunct/>
        <w:topLinePunct w:val="0"/>
        <w:autoSpaceDE/>
        <w:autoSpaceDN/>
        <w:bidi w:val="0"/>
        <w:snapToGrid/>
        <w:spacing w:before="60" w:beforeLines="25" w:after="60" w:afterLines="25" w:line="420" w:lineRule="exact"/>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投标文件的报价为人民币，发包人支付承包人履行技术咨询的费用的货币为人民币。</w:t>
      </w:r>
    </w:p>
    <w:p w14:paraId="2D221478">
      <w:pPr>
        <w:keepNext/>
        <w:pageBreakBefore w:val="0"/>
        <w:kinsoku/>
        <w:wordWrap/>
        <w:overflowPunct/>
        <w:topLinePunct w:val="0"/>
        <w:autoSpaceDE/>
        <w:autoSpaceDN/>
        <w:bidi w:val="0"/>
        <w:snapToGrid/>
        <w:spacing w:before="60" w:beforeLines="25" w:after="60" w:afterLines="25" w:line="420" w:lineRule="exact"/>
        <w:jc w:val="both"/>
        <w:outlineLvl w:val="2"/>
        <w:rPr>
          <w:rFonts w:hint="eastAsia" w:ascii="宋体" w:hAnsi="宋体" w:eastAsia="宋体" w:cs="宋体"/>
          <w:b w:val="0"/>
          <w:bCs w:val="0"/>
          <w:color w:val="auto"/>
          <w:kern w:val="2"/>
          <w:sz w:val="24"/>
          <w:szCs w:val="24"/>
          <w:highlight w:val="none"/>
          <w:lang w:val="en-US" w:eastAsia="zh-CN" w:bidi="ar-SA"/>
        </w:rPr>
      </w:pPr>
      <w:bookmarkStart w:id="120" w:name="_Toc488236011"/>
      <w:r>
        <w:rPr>
          <w:rFonts w:hint="eastAsia" w:ascii="宋体" w:hAnsi="宋体" w:eastAsia="宋体" w:cs="宋体"/>
          <w:b w:val="0"/>
          <w:bCs w:val="0"/>
          <w:color w:val="auto"/>
          <w:kern w:val="2"/>
          <w:sz w:val="24"/>
          <w:szCs w:val="24"/>
          <w:highlight w:val="none"/>
          <w:lang w:val="en-US" w:eastAsia="zh-CN" w:bidi="ar-SA"/>
        </w:rPr>
        <w:t>8．保险</w:t>
      </w:r>
      <w:bookmarkEnd w:id="114"/>
      <w:bookmarkEnd w:id="115"/>
      <w:bookmarkEnd w:id="116"/>
      <w:bookmarkEnd w:id="120"/>
    </w:p>
    <w:p w14:paraId="63F15B63">
      <w:pPr>
        <w:pageBreakBefore w:val="0"/>
        <w:widowControl/>
        <w:kinsoku/>
        <w:wordWrap/>
        <w:overflowPunct/>
        <w:topLinePunct w:val="0"/>
        <w:autoSpaceDE/>
        <w:autoSpaceDN/>
        <w:bidi w:val="0"/>
        <w:snapToGrid/>
        <w:spacing w:before="60" w:beforeLines="25" w:after="60" w:afterLines="25" w:line="420" w:lineRule="exact"/>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承包本工程所需的一切保险均由承包人自行办理及支付，发包人不另行支付。</w:t>
      </w:r>
    </w:p>
    <w:p w14:paraId="7116CD0A">
      <w:pPr>
        <w:keepNext/>
        <w:pageBreakBefore w:val="0"/>
        <w:kinsoku/>
        <w:wordWrap/>
        <w:overflowPunct/>
        <w:topLinePunct w:val="0"/>
        <w:autoSpaceDE/>
        <w:autoSpaceDN/>
        <w:bidi w:val="0"/>
        <w:snapToGrid/>
        <w:spacing w:before="60" w:beforeLines="25" w:after="60" w:afterLines="25" w:line="420" w:lineRule="exact"/>
        <w:jc w:val="both"/>
        <w:outlineLvl w:val="2"/>
        <w:rPr>
          <w:rFonts w:hint="eastAsia" w:ascii="宋体" w:hAnsi="宋体" w:eastAsia="宋体" w:cs="宋体"/>
          <w:b w:val="0"/>
          <w:bCs w:val="0"/>
          <w:color w:val="auto"/>
          <w:kern w:val="2"/>
          <w:sz w:val="24"/>
          <w:szCs w:val="24"/>
          <w:highlight w:val="none"/>
          <w:lang w:val="en-US" w:eastAsia="zh-CN" w:bidi="ar-SA"/>
        </w:rPr>
      </w:pPr>
      <w:bookmarkStart w:id="121" w:name="_Toc237061027"/>
      <w:bookmarkStart w:id="122" w:name="_Toc184635118"/>
      <w:bookmarkStart w:id="123" w:name="_Toc488236012"/>
      <w:bookmarkStart w:id="124" w:name="_Toc237230995"/>
      <w:r>
        <w:rPr>
          <w:rFonts w:hint="eastAsia" w:ascii="宋体" w:hAnsi="宋体" w:eastAsia="宋体" w:cs="宋体"/>
          <w:b w:val="0"/>
          <w:bCs w:val="0"/>
          <w:color w:val="auto"/>
          <w:kern w:val="2"/>
          <w:sz w:val="24"/>
          <w:szCs w:val="24"/>
          <w:highlight w:val="none"/>
          <w:lang w:val="en-US" w:eastAsia="zh-CN" w:bidi="ar-SA"/>
        </w:rPr>
        <w:t>9．不可抗力</w:t>
      </w:r>
      <w:bookmarkEnd w:id="121"/>
      <w:bookmarkEnd w:id="122"/>
      <w:bookmarkEnd w:id="123"/>
      <w:bookmarkEnd w:id="124"/>
    </w:p>
    <w:p w14:paraId="77EC398E">
      <w:pPr>
        <w:keepNext/>
        <w:keepLines/>
        <w:pageBreakBefore w:val="0"/>
        <w:kinsoku/>
        <w:wordWrap/>
        <w:overflowPunct/>
        <w:topLinePunct w:val="0"/>
        <w:autoSpaceDE/>
        <w:autoSpaceDN/>
        <w:bidi w:val="0"/>
        <w:snapToGrid/>
        <w:spacing w:before="60" w:beforeLines="25" w:after="60" w:afterLines="25" w:line="420" w:lineRule="exact"/>
        <w:ind w:firstLine="480" w:firstLineChars="200"/>
        <w:jc w:val="both"/>
        <w:outlineLvl w:val="3"/>
        <w:rPr>
          <w:rFonts w:hint="eastAsia" w:ascii="宋体" w:hAnsi="宋体" w:eastAsia="宋体" w:cs="宋体"/>
          <w:b w:val="0"/>
          <w:bCs w:val="0"/>
          <w:i w:val="0"/>
          <w:iCs/>
          <w:color w:val="auto"/>
          <w:kern w:val="2"/>
          <w:sz w:val="24"/>
          <w:szCs w:val="24"/>
          <w:highlight w:val="none"/>
          <w:lang w:val="en-US" w:eastAsia="zh-CN" w:bidi="ar-SA"/>
        </w:rPr>
      </w:pPr>
      <w:bookmarkStart w:id="125" w:name="_Toc237230996"/>
      <w:r>
        <w:rPr>
          <w:rFonts w:hint="eastAsia" w:ascii="宋体" w:hAnsi="宋体" w:eastAsia="宋体" w:cs="宋体"/>
          <w:b w:val="0"/>
          <w:bCs w:val="0"/>
          <w:i w:val="0"/>
          <w:iCs/>
          <w:color w:val="auto"/>
          <w:kern w:val="2"/>
          <w:sz w:val="24"/>
          <w:szCs w:val="24"/>
          <w:highlight w:val="none"/>
          <w:lang w:val="en-US" w:eastAsia="zh-CN" w:bidi="ar-SA"/>
        </w:rPr>
        <w:t>9.1 不可抗力的确认</w:t>
      </w:r>
      <w:bookmarkEnd w:id="125"/>
    </w:p>
    <w:p w14:paraId="7A397149">
      <w:pPr>
        <w:pageBreakBefore w:val="0"/>
        <w:widowControl/>
        <w:kinsoku/>
        <w:wordWrap/>
        <w:overflowPunct/>
        <w:topLinePunct w:val="0"/>
        <w:autoSpaceDE/>
        <w:autoSpaceDN/>
        <w:bidi w:val="0"/>
        <w:snapToGrid/>
        <w:spacing w:before="60" w:beforeLines="25" w:after="60" w:afterLines="25" w:line="420" w:lineRule="exact"/>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9.1.1不可抗力是指承包人和发包人在订立合同时不可预见，在工程施工过程中不可避免发生并不能克服的自然灾害和社会性突发事件，不可抗力可以包括（但不限于）下列情况：</w:t>
      </w:r>
    </w:p>
    <w:p w14:paraId="5712501E">
      <w:pPr>
        <w:pageBreakBefore w:val="0"/>
        <w:widowControl/>
        <w:kinsoku/>
        <w:wordWrap/>
        <w:overflowPunct/>
        <w:topLinePunct w:val="0"/>
        <w:autoSpaceDE/>
        <w:autoSpaceDN/>
        <w:bidi w:val="0"/>
        <w:snapToGrid/>
        <w:spacing w:before="60" w:beforeLines="25" w:after="60" w:afterLines="25" w:line="420" w:lineRule="exact"/>
        <w:ind w:firstLine="480" w:firstLineChars="200"/>
        <w:jc w:val="left"/>
        <w:rPr>
          <w:rFonts w:hint="eastAsia" w:ascii="宋体" w:hAnsi="宋体" w:eastAsia="宋体" w:cs="宋体"/>
          <w:b w:val="0"/>
          <w:bCs w:val="0"/>
          <w:color w:val="auto"/>
          <w:sz w:val="24"/>
          <w:szCs w:val="24"/>
          <w:highlight w:val="none"/>
        </w:rPr>
      </w:pPr>
      <w:bookmarkStart w:id="126" w:name="_Toc377567169"/>
      <w:bookmarkStart w:id="127" w:name="_Toc380522730"/>
      <w:bookmarkStart w:id="128" w:name="_Toc450637668"/>
      <w:bookmarkStart w:id="129" w:name="_Toc305096502"/>
      <w:bookmarkStart w:id="130" w:name="_Toc478124245"/>
      <w:bookmarkStart w:id="131" w:name="_Toc381196595"/>
      <w:bookmarkStart w:id="132" w:name="_Toc477904576"/>
      <w:bookmarkStart w:id="133" w:name="_Toc363476332"/>
      <w:bookmarkStart w:id="134" w:name="_Toc305020881"/>
      <w:bookmarkStart w:id="135" w:name="_Toc450628150"/>
      <w:bookmarkStart w:id="136" w:name="_Toc381089211"/>
      <w:bookmarkStart w:id="137" w:name="_Toc364521960"/>
      <w:r>
        <w:rPr>
          <w:rFonts w:hint="eastAsia" w:ascii="宋体" w:hAnsi="宋体" w:eastAsia="宋体" w:cs="宋体"/>
          <w:b w:val="0"/>
          <w:bCs w:val="0"/>
          <w:color w:val="auto"/>
          <w:sz w:val="24"/>
          <w:szCs w:val="24"/>
          <w:highlight w:val="none"/>
        </w:rPr>
        <w:t>（1）战争、敌对行动（不论宣战与否）、入侵、外敌行动；</w:t>
      </w:r>
      <w:bookmarkEnd w:id="126"/>
      <w:bookmarkEnd w:id="127"/>
      <w:bookmarkEnd w:id="128"/>
      <w:bookmarkEnd w:id="129"/>
      <w:bookmarkEnd w:id="130"/>
      <w:bookmarkEnd w:id="131"/>
      <w:bookmarkEnd w:id="132"/>
      <w:bookmarkEnd w:id="133"/>
      <w:bookmarkEnd w:id="134"/>
      <w:bookmarkEnd w:id="135"/>
      <w:bookmarkEnd w:id="136"/>
      <w:bookmarkEnd w:id="137"/>
    </w:p>
    <w:p w14:paraId="3E6406EC">
      <w:pPr>
        <w:pageBreakBefore w:val="0"/>
        <w:widowControl/>
        <w:kinsoku/>
        <w:wordWrap/>
        <w:overflowPunct/>
        <w:topLinePunct w:val="0"/>
        <w:autoSpaceDE/>
        <w:autoSpaceDN/>
        <w:bidi w:val="0"/>
        <w:snapToGrid/>
        <w:spacing w:before="60" w:beforeLines="25" w:after="60" w:afterLines="25" w:line="420" w:lineRule="exact"/>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（2）叛乱、革命、暴动或军事政变或内战；</w:t>
      </w:r>
    </w:p>
    <w:p w14:paraId="71D4DFB4">
      <w:pPr>
        <w:pageBreakBefore w:val="0"/>
        <w:widowControl/>
        <w:kinsoku/>
        <w:wordWrap/>
        <w:overflowPunct/>
        <w:topLinePunct w:val="0"/>
        <w:autoSpaceDE/>
        <w:autoSpaceDN/>
        <w:bidi w:val="0"/>
        <w:snapToGrid/>
        <w:spacing w:before="60" w:beforeLines="25" w:after="60" w:afterLines="25" w:line="420" w:lineRule="exact"/>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（3）暴乱、骚乱或混乱，但对于局限在承包人和承包人雇佣人员内部并且是由于从事工程而发生的事件除外；</w:t>
      </w:r>
    </w:p>
    <w:p w14:paraId="3903DD56">
      <w:pPr>
        <w:pageBreakBefore w:val="0"/>
        <w:widowControl/>
        <w:kinsoku/>
        <w:wordWrap/>
        <w:overflowPunct/>
        <w:topLinePunct w:val="0"/>
        <w:autoSpaceDE/>
        <w:autoSpaceDN/>
        <w:bidi w:val="0"/>
        <w:snapToGrid/>
        <w:spacing w:before="60" w:beforeLines="25" w:after="60" w:afterLines="25" w:line="420" w:lineRule="exact"/>
        <w:ind w:firstLine="480" w:firstLineChars="200"/>
        <w:jc w:val="left"/>
        <w:outlineLvl w:val="4"/>
        <w:rPr>
          <w:rFonts w:hint="eastAsia" w:ascii="宋体" w:hAnsi="宋体" w:eastAsia="宋体" w:cs="宋体"/>
          <w:b w:val="0"/>
          <w:bCs w:val="0"/>
          <w:color w:val="auto"/>
          <w:sz w:val="24"/>
          <w:szCs w:val="24"/>
          <w:highlight w:val="none"/>
        </w:rPr>
      </w:pPr>
      <w:bookmarkStart w:id="138" w:name="_Toc305020882"/>
      <w:bookmarkStart w:id="139" w:name="_Toc305096503"/>
      <w:bookmarkStart w:id="140" w:name="_Toc365921770"/>
      <w:bookmarkStart w:id="141" w:name="_Toc450637669"/>
      <w:bookmarkStart w:id="142" w:name="_Toc381196596"/>
      <w:bookmarkStart w:id="143" w:name="_Toc381089212"/>
      <w:bookmarkStart w:id="144" w:name="_Toc364521961"/>
      <w:bookmarkStart w:id="145" w:name="_Toc478124246"/>
      <w:bookmarkStart w:id="146" w:name="_Toc477904577"/>
      <w:bookmarkStart w:id="147" w:name="_Toc450628151"/>
      <w:bookmarkStart w:id="148" w:name="_Toc363476333"/>
      <w:bookmarkStart w:id="149" w:name="_Toc377567170"/>
      <w:bookmarkStart w:id="150" w:name="_Toc380522731"/>
      <w:r>
        <w:rPr>
          <w:rFonts w:hint="eastAsia" w:ascii="宋体" w:hAnsi="宋体" w:eastAsia="宋体" w:cs="宋体"/>
          <w:b w:val="0"/>
          <w:bCs w:val="0"/>
          <w:color w:val="auto"/>
          <w:sz w:val="24"/>
          <w:szCs w:val="24"/>
          <w:highlight w:val="none"/>
        </w:rPr>
        <w:t>（4）核聚变、核裂变、核武器、核材料、核辐射及放射性污染；</w:t>
      </w:r>
      <w:bookmarkEnd w:id="138"/>
      <w:bookmarkEnd w:id="139"/>
      <w:bookmarkEnd w:id="140"/>
      <w:bookmarkEnd w:id="141"/>
      <w:bookmarkEnd w:id="142"/>
      <w:bookmarkEnd w:id="143"/>
      <w:bookmarkEnd w:id="144"/>
      <w:bookmarkEnd w:id="145"/>
      <w:bookmarkEnd w:id="146"/>
      <w:bookmarkEnd w:id="147"/>
      <w:bookmarkEnd w:id="148"/>
      <w:bookmarkEnd w:id="149"/>
      <w:bookmarkEnd w:id="150"/>
    </w:p>
    <w:p w14:paraId="2662DA91">
      <w:pPr>
        <w:pageBreakBefore w:val="0"/>
        <w:widowControl/>
        <w:kinsoku/>
        <w:wordWrap/>
        <w:overflowPunct/>
        <w:topLinePunct w:val="0"/>
        <w:autoSpaceDE/>
        <w:autoSpaceDN/>
        <w:bidi w:val="0"/>
        <w:snapToGrid/>
        <w:spacing w:before="60" w:beforeLines="25" w:after="60" w:afterLines="25" w:line="420" w:lineRule="exact"/>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（5）以音速或超音速飞行的飞机或其他飞行装置产生的压力波，飞行器坠落；</w:t>
      </w:r>
    </w:p>
    <w:p w14:paraId="3EC3371A">
      <w:pPr>
        <w:pageBreakBefore w:val="0"/>
        <w:widowControl/>
        <w:kinsoku/>
        <w:wordWrap/>
        <w:overflowPunct/>
        <w:topLinePunct w:val="0"/>
        <w:autoSpaceDE/>
        <w:autoSpaceDN/>
        <w:bidi w:val="0"/>
        <w:snapToGrid/>
        <w:spacing w:before="60" w:beforeLines="25" w:after="60" w:afterLines="25" w:line="420" w:lineRule="exact"/>
        <w:ind w:firstLine="480" w:firstLineChars="200"/>
        <w:jc w:val="left"/>
        <w:outlineLvl w:val="4"/>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（6）自然灾害（地震、洪水、海啸、飓风、台风、火山活动等）。</w:t>
      </w:r>
    </w:p>
    <w:p w14:paraId="6F097A9F">
      <w:pPr>
        <w:pageBreakBefore w:val="0"/>
        <w:widowControl/>
        <w:kinsoku/>
        <w:wordWrap/>
        <w:overflowPunct/>
        <w:topLinePunct w:val="0"/>
        <w:autoSpaceDE/>
        <w:autoSpaceDN/>
        <w:bidi w:val="0"/>
        <w:snapToGrid/>
        <w:spacing w:before="60" w:beforeLines="25" w:after="60" w:afterLines="25" w:line="420" w:lineRule="exact"/>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9.1.2如果发生不可抗力因素，致使本合同不能如期履行时，本合同应自动顺延履行，且双方不被视为违约，但双方应尽一切努力终止或减少上述因素的影响。上述因素一旦消失，双方应立即采取措施继续履行本合同。</w:t>
      </w:r>
    </w:p>
    <w:p w14:paraId="4FBBAA0E">
      <w:pPr>
        <w:keepNext/>
        <w:keepLines/>
        <w:pageBreakBefore w:val="0"/>
        <w:kinsoku/>
        <w:wordWrap/>
        <w:overflowPunct/>
        <w:topLinePunct w:val="0"/>
        <w:autoSpaceDE/>
        <w:autoSpaceDN/>
        <w:bidi w:val="0"/>
        <w:snapToGrid/>
        <w:spacing w:before="60" w:beforeLines="25" w:after="60" w:afterLines="25" w:line="420" w:lineRule="exact"/>
        <w:ind w:firstLine="480" w:firstLineChars="200"/>
        <w:jc w:val="both"/>
        <w:outlineLvl w:val="3"/>
        <w:rPr>
          <w:rFonts w:hint="eastAsia" w:ascii="宋体" w:hAnsi="宋体" w:eastAsia="宋体" w:cs="宋体"/>
          <w:b w:val="0"/>
          <w:bCs w:val="0"/>
          <w:i w:val="0"/>
          <w:iCs/>
          <w:color w:val="auto"/>
          <w:kern w:val="2"/>
          <w:sz w:val="24"/>
          <w:szCs w:val="24"/>
          <w:highlight w:val="none"/>
          <w:lang w:val="en-US" w:eastAsia="zh-CN" w:bidi="ar-SA"/>
        </w:rPr>
      </w:pPr>
      <w:bookmarkStart w:id="151" w:name="_Toc237230998"/>
      <w:r>
        <w:rPr>
          <w:rFonts w:hint="eastAsia" w:ascii="宋体" w:hAnsi="宋体" w:eastAsia="宋体" w:cs="宋体"/>
          <w:b w:val="0"/>
          <w:bCs w:val="0"/>
          <w:i w:val="0"/>
          <w:iCs/>
          <w:color w:val="auto"/>
          <w:kern w:val="2"/>
          <w:sz w:val="24"/>
          <w:szCs w:val="24"/>
          <w:highlight w:val="none"/>
          <w:lang w:val="en-US" w:eastAsia="zh-CN" w:bidi="ar-SA"/>
        </w:rPr>
        <w:t>9.2 不可抗力后果及其处理</w:t>
      </w:r>
      <w:bookmarkEnd w:id="151"/>
    </w:p>
    <w:p w14:paraId="042940EF">
      <w:pPr>
        <w:pageBreakBefore w:val="0"/>
        <w:widowControl/>
        <w:kinsoku/>
        <w:wordWrap/>
        <w:overflowPunct/>
        <w:topLinePunct w:val="0"/>
        <w:autoSpaceDE/>
        <w:autoSpaceDN/>
        <w:bidi w:val="0"/>
        <w:snapToGrid/>
        <w:spacing w:before="60" w:beforeLines="25" w:after="60" w:afterLines="25" w:line="420" w:lineRule="exact"/>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如果发生上述9.1条不可抗力事件，致使本合同不能如期履行时，本合同应自动顺延履行，且双方不被视为违约，但双方应尽一切努力终止或减少上述因素的影响。上述因素一旦消失，双方应立即采取措施继续履行本合同。</w:t>
      </w:r>
    </w:p>
    <w:p w14:paraId="2DB527CC">
      <w:pPr>
        <w:keepNext/>
        <w:pageBreakBefore w:val="0"/>
        <w:kinsoku/>
        <w:wordWrap/>
        <w:overflowPunct/>
        <w:topLinePunct w:val="0"/>
        <w:autoSpaceDE/>
        <w:autoSpaceDN/>
        <w:bidi w:val="0"/>
        <w:snapToGrid/>
        <w:spacing w:before="60" w:beforeLines="25" w:after="60" w:afterLines="25" w:line="420" w:lineRule="exact"/>
        <w:jc w:val="both"/>
        <w:outlineLvl w:val="2"/>
        <w:rPr>
          <w:rFonts w:hint="eastAsia" w:ascii="宋体" w:hAnsi="宋体" w:eastAsia="宋体" w:cs="宋体"/>
          <w:b w:val="0"/>
          <w:bCs w:val="0"/>
          <w:color w:val="auto"/>
          <w:kern w:val="2"/>
          <w:sz w:val="24"/>
          <w:szCs w:val="24"/>
          <w:highlight w:val="none"/>
          <w:lang w:val="en-US" w:eastAsia="zh-CN" w:bidi="ar-SA"/>
        </w:rPr>
      </w:pPr>
      <w:bookmarkStart w:id="152" w:name="_Toc184635119"/>
      <w:bookmarkStart w:id="153" w:name="_Toc237230999"/>
      <w:bookmarkStart w:id="154" w:name="_Toc237061028"/>
      <w:bookmarkStart w:id="155" w:name="_Toc488236013"/>
      <w:r>
        <w:rPr>
          <w:rFonts w:hint="eastAsia" w:ascii="宋体" w:hAnsi="宋体" w:eastAsia="宋体" w:cs="宋体"/>
          <w:b w:val="0"/>
          <w:bCs w:val="0"/>
          <w:color w:val="auto"/>
          <w:kern w:val="2"/>
          <w:sz w:val="24"/>
          <w:szCs w:val="24"/>
          <w:highlight w:val="none"/>
          <w:lang w:val="en-US" w:eastAsia="zh-CN" w:bidi="ar-SA"/>
        </w:rPr>
        <w:t>10．违约</w:t>
      </w:r>
      <w:bookmarkEnd w:id="152"/>
      <w:bookmarkEnd w:id="153"/>
      <w:bookmarkEnd w:id="154"/>
      <w:r>
        <w:rPr>
          <w:rFonts w:hint="eastAsia" w:ascii="宋体" w:hAnsi="宋体" w:eastAsia="宋体" w:cs="宋体"/>
          <w:b w:val="0"/>
          <w:bCs w:val="0"/>
          <w:color w:val="auto"/>
          <w:kern w:val="2"/>
          <w:sz w:val="24"/>
          <w:szCs w:val="24"/>
          <w:highlight w:val="none"/>
          <w:lang w:val="en-US" w:eastAsia="zh-CN" w:bidi="ar-SA"/>
        </w:rPr>
        <w:t>情况及责任</w:t>
      </w:r>
      <w:bookmarkEnd w:id="155"/>
    </w:p>
    <w:p w14:paraId="1752E526">
      <w:pPr>
        <w:keepNext/>
        <w:keepLines/>
        <w:pageBreakBefore w:val="0"/>
        <w:kinsoku/>
        <w:wordWrap/>
        <w:overflowPunct/>
        <w:topLinePunct w:val="0"/>
        <w:autoSpaceDE/>
        <w:autoSpaceDN/>
        <w:bidi w:val="0"/>
        <w:snapToGrid/>
        <w:spacing w:before="60" w:beforeLines="25" w:after="60" w:afterLines="25" w:line="420" w:lineRule="exact"/>
        <w:ind w:firstLine="480" w:firstLineChars="200"/>
        <w:jc w:val="both"/>
        <w:outlineLvl w:val="3"/>
        <w:rPr>
          <w:rFonts w:hint="eastAsia" w:ascii="宋体" w:hAnsi="宋体" w:eastAsia="宋体" w:cs="宋体"/>
          <w:b w:val="0"/>
          <w:bCs w:val="0"/>
          <w:i w:val="0"/>
          <w:iCs/>
          <w:color w:val="auto"/>
          <w:kern w:val="2"/>
          <w:sz w:val="24"/>
          <w:szCs w:val="24"/>
          <w:highlight w:val="none"/>
          <w:lang w:val="en-US" w:eastAsia="zh-CN" w:bidi="ar-SA"/>
        </w:rPr>
      </w:pPr>
      <w:bookmarkStart w:id="156" w:name="_Toc184635120"/>
      <w:bookmarkStart w:id="157" w:name="_Toc237061029"/>
      <w:bookmarkStart w:id="158" w:name="_Toc237231003"/>
      <w:bookmarkStart w:id="159" w:name="_Toc184635121"/>
      <w:bookmarkStart w:id="160" w:name="_Toc237061030"/>
      <w:bookmarkStart w:id="161" w:name="_Toc237231008"/>
      <w:r>
        <w:rPr>
          <w:rFonts w:hint="eastAsia" w:ascii="宋体" w:hAnsi="宋体" w:eastAsia="宋体" w:cs="宋体"/>
          <w:b w:val="0"/>
          <w:bCs w:val="0"/>
          <w:i w:val="0"/>
          <w:iCs/>
          <w:color w:val="auto"/>
          <w:kern w:val="2"/>
          <w:sz w:val="24"/>
          <w:szCs w:val="24"/>
          <w:highlight w:val="none"/>
          <w:lang w:val="en-US" w:eastAsia="zh-CN" w:bidi="ar-SA"/>
        </w:rPr>
        <w:t>10.1违约及赔偿责任</w:t>
      </w:r>
    </w:p>
    <w:p w14:paraId="408C4090">
      <w:pPr>
        <w:pageBreakBefore w:val="0"/>
        <w:widowControl/>
        <w:kinsoku/>
        <w:wordWrap/>
        <w:overflowPunct/>
        <w:topLinePunct w:val="0"/>
        <w:autoSpaceDE/>
        <w:autoSpaceDN/>
        <w:bidi w:val="0"/>
        <w:snapToGrid/>
        <w:spacing w:before="60" w:beforeLines="25" w:after="60" w:afterLines="25" w:line="420" w:lineRule="exact"/>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10.1.1合同生效后，若承包人不按合同约定履行职责，发包人有权终止合同关系；并按下述规定对承包人的违约进行处罚：</w:t>
      </w:r>
    </w:p>
    <w:p w14:paraId="15114462">
      <w:pPr>
        <w:pageBreakBefore w:val="0"/>
        <w:widowControl/>
        <w:kinsoku/>
        <w:wordWrap/>
        <w:overflowPunct/>
        <w:topLinePunct w:val="0"/>
        <w:autoSpaceDE/>
        <w:autoSpaceDN/>
        <w:bidi w:val="0"/>
        <w:snapToGrid/>
        <w:spacing w:line="420" w:lineRule="exact"/>
        <w:ind w:firstLine="540" w:firstLineChars="225"/>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承包人违反合同的约定，将承包工作的任何部分转包或分包的：发包人将向承包人发出书面通知要求承包人限期改正，并视情况课以20万元以内的违约金；情节严重时发包人可直接终止合同，由此造成的损失由承包人承担。</w:t>
      </w:r>
    </w:p>
    <w:p w14:paraId="4F8EEA38">
      <w:pPr>
        <w:pageBreakBefore w:val="0"/>
        <w:widowControl/>
        <w:kinsoku/>
        <w:wordWrap/>
        <w:overflowPunct/>
        <w:topLinePunct w:val="0"/>
        <w:autoSpaceDE/>
        <w:autoSpaceDN/>
        <w:bidi w:val="0"/>
        <w:snapToGrid/>
        <w:spacing w:line="420" w:lineRule="exact"/>
        <w:ind w:firstLine="540" w:firstLineChars="225"/>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（2）承包人拟投入的人员应与投标文件承诺的一致，不得更换；若承包人因特殊原因，需要更换派驻到项目所在地履行合同的主要人员时，更换人员的资格不应低于原人员的资格，并应事先得到发包人的批准；</w:t>
      </w:r>
    </w:p>
    <w:p w14:paraId="539807BC">
      <w:pPr>
        <w:pageBreakBefore w:val="0"/>
        <w:widowControl/>
        <w:kinsoku/>
        <w:wordWrap/>
        <w:overflowPunct/>
        <w:topLinePunct w:val="0"/>
        <w:autoSpaceDE/>
        <w:autoSpaceDN/>
        <w:bidi w:val="0"/>
        <w:snapToGrid/>
        <w:spacing w:line="420" w:lineRule="exact"/>
        <w:ind w:firstLine="540" w:firstLineChars="225"/>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对不能胜任本职工作的人员，承包人应按发包人要求及时更换，若未及时更换，将处罚。</w:t>
      </w:r>
    </w:p>
    <w:p w14:paraId="7EBD728B">
      <w:pPr>
        <w:pageBreakBefore w:val="0"/>
        <w:widowControl/>
        <w:numPr>
          <w:ilvl w:val="0"/>
          <w:numId w:val="20"/>
        </w:numPr>
        <w:kinsoku/>
        <w:wordWrap/>
        <w:overflowPunct/>
        <w:topLinePunct w:val="0"/>
        <w:autoSpaceDE/>
        <w:autoSpaceDN/>
        <w:bidi w:val="0"/>
        <w:snapToGrid/>
        <w:spacing w:line="420" w:lineRule="exact"/>
        <w:ind w:firstLine="48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承包人未尽到职责，造成工程质量、安全事故时，承包人承担因此造成发包人直接损失的30%赔偿责任（赔偿额不超过本标段技术咨询费总额扣除税费后的值）；涉及民事、刑事责任时，民事、刑事责任按有关机构的认定自行承担。</w:t>
      </w:r>
    </w:p>
    <w:p w14:paraId="3FB5253B">
      <w:pPr>
        <w:pageBreakBefore w:val="0"/>
        <w:widowControl/>
        <w:numPr>
          <w:ilvl w:val="0"/>
          <w:numId w:val="20"/>
        </w:numPr>
        <w:kinsoku/>
        <w:wordWrap/>
        <w:overflowPunct/>
        <w:topLinePunct w:val="0"/>
        <w:autoSpaceDE/>
        <w:autoSpaceDN/>
        <w:bidi w:val="0"/>
        <w:snapToGrid/>
        <w:spacing w:line="420" w:lineRule="exact"/>
        <w:ind w:firstLine="48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承包人必须按时出具各种咨询报告或咨询结果。不按时出具，每拖延一天，发包人对承包人课以500元/天的违约金。</w:t>
      </w:r>
    </w:p>
    <w:p w14:paraId="6E483FA8">
      <w:pPr>
        <w:pageBreakBefore w:val="0"/>
        <w:widowControl/>
        <w:numPr>
          <w:ilvl w:val="0"/>
          <w:numId w:val="20"/>
        </w:numPr>
        <w:kinsoku/>
        <w:wordWrap/>
        <w:overflowPunct/>
        <w:topLinePunct w:val="0"/>
        <w:autoSpaceDE/>
        <w:autoSpaceDN/>
        <w:bidi w:val="0"/>
        <w:snapToGrid/>
        <w:spacing w:line="420" w:lineRule="exact"/>
        <w:ind w:firstLine="48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承包人必须为发包人负责，认真对合同约定的项目进行</w:t>
      </w:r>
      <w:r>
        <w:rPr>
          <w:rFonts w:hint="eastAsia" w:ascii="宋体" w:hAnsi="宋体" w:eastAsia="宋体" w:cs="宋体"/>
          <w:b w:val="0"/>
          <w:bCs w:val="0"/>
          <w:color w:val="auto"/>
          <w:sz w:val="24"/>
          <w:szCs w:val="24"/>
          <w:highlight w:val="none"/>
          <w:lang w:val="en-US" w:eastAsia="zh-CN"/>
        </w:rPr>
        <w:t>监控</w:t>
      </w:r>
      <w:r>
        <w:rPr>
          <w:rFonts w:hint="eastAsia" w:ascii="宋体" w:hAnsi="宋体" w:eastAsia="宋体" w:cs="宋体"/>
          <w:b w:val="0"/>
          <w:bCs w:val="0"/>
          <w:color w:val="auto"/>
          <w:sz w:val="24"/>
          <w:szCs w:val="24"/>
          <w:highlight w:val="none"/>
        </w:rPr>
        <w:t>服务，反映工程真实的状况，禁止与施工单位勾结，弄虚作假，单独协商质量缺陷的处理措施，欺骗发包人。一经发现，发包人对承包人课以10000元～50000元/次的违约金，并给与警告。若发生两次以上此项违约行为或情节严重，发包人有权终止合同，并将上述违约行为上报省级交通主管部门，作为不良记录纳入公路建设市场信用信息管理系统。</w:t>
      </w:r>
    </w:p>
    <w:p w14:paraId="142CCE7A">
      <w:pPr>
        <w:pageBreakBefore w:val="0"/>
        <w:widowControl w:val="0"/>
        <w:kinsoku/>
        <w:wordWrap/>
        <w:overflowPunct/>
        <w:topLinePunct w:val="0"/>
        <w:autoSpaceDE/>
        <w:autoSpaceDN/>
        <w:bidi w:val="0"/>
        <w:snapToGrid/>
        <w:spacing w:before="60" w:beforeLines="25" w:after="60" w:afterLines="25" w:line="420" w:lineRule="exact"/>
        <w:ind w:firstLine="480" w:firstLineChars="200"/>
        <w:jc w:val="left"/>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（4）发生工程质量事故隐瞞不报、谎报或者拖延报告期限的，对直接负责的项目负责人和技术负责人给予通报批评或清退出场处理，同时，对其咨询人课以 10000 元/次～30000 元/次违约金。</w:t>
      </w:r>
    </w:p>
    <w:p w14:paraId="7C726B83">
      <w:pPr>
        <w:pageBreakBefore w:val="0"/>
        <w:widowControl/>
        <w:kinsoku/>
        <w:wordWrap/>
        <w:overflowPunct/>
        <w:topLinePunct w:val="0"/>
        <w:autoSpaceDE/>
        <w:autoSpaceDN/>
        <w:bidi w:val="0"/>
        <w:snapToGrid/>
        <w:spacing w:before="60" w:beforeLines="25" w:after="60" w:afterLines="25" w:line="420" w:lineRule="exact"/>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（5</w:t>
      </w:r>
      <w:r>
        <w:rPr>
          <w:rFonts w:hint="eastAsia" w:ascii="宋体" w:hAnsi="宋体" w:eastAsia="宋体" w:cs="宋体"/>
          <w:b w:val="0"/>
          <w:bCs w:val="0"/>
          <w:color w:val="auto"/>
          <w:sz w:val="24"/>
          <w:szCs w:val="24"/>
          <w:highlight w:val="none"/>
          <w:lang w:eastAsia="zh-CN"/>
        </w:rPr>
        <w:t>）</w:t>
      </w:r>
      <w:r>
        <w:rPr>
          <w:rFonts w:hint="eastAsia" w:ascii="宋体" w:hAnsi="宋体" w:cs="宋体"/>
          <w:b w:val="0"/>
          <w:bCs w:val="0"/>
          <w:color w:val="auto"/>
          <w:sz w:val="24"/>
          <w:szCs w:val="24"/>
          <w:highlight w:val="none"/>
          <w:lang w:val="en-US" w:eastAsia="zh-CN"/>
        </w:rPr>
        <w:t>监控</w:t>
      </w:r>
      <w:r>
        <w:rPr>
          <w:rFonts w:hint="eastAsia" w:ascii="宋体" w:hAnsi="宋体" w:eastAsia="宋体" w:cs="宋体"/>
          <w:b w:val="0"/>
          <w:bCs w:val="0"/>
          <w:color w:val="auto"/>
          <w:sz w:val="24"/>
          <w:szCs w:val="24"/>
          <w:highlight w:val="none"/>
        </w:rPr>
        <w:t>人员未遵守廉洁纪律，向施工</w:t>
      </w:r>
      <w:r>
        <w:rPr>
          <w:rFonts w:hint="eastAsia" w:ascii="宋体" w:hAnsi="宋体" w:cs="宋体"/>
          <w:b w:val="0"/>
          <w:bCs w:val="0"/>
          <w:color w:val="auto"/>
          <w:sz w:val="24"/>
          <w:szCs w:val="24"/>
          <w:highlight w:val="none"/>
          <w:lang w:val="en-US" w:eastAsia="zh-CN"/>
        </w:rPr>
        <w:t>单位</w:t>
      </w:r>
      <w:r>
        <w:rPr>
          <w:rFonts w:hint="eastAsia" w:ascii="宋体" w:hAnsi="宋体" w:eastAsia="宋体" w:cs="宋体"/>
          <w:b w:val="0"/>
          <w:bCs w:val="0"/>
          <w:color w:val="auto"/>
          <w:sz w:val="24"/>
          <w:szCs w:val="24"/>
          <w:highlight w:val="none"/>
        </w:rPr>
        <w:t>进行索拿卡要、介绍材料、施工队伍、设备采购的，发包人有权更换相关人员，触犯国家法律的，依法移交司法机关处理</w:t>
      </w:r>
    </w:p>
    <w:p w14:paraId="28456BE4">
      <w:pPr>
        <w:pageBreakBefore w:val="0"/>
        <w:widowControl/>
        <w:kinsoku/>
        <w:wordWrap/>
        <w:overflowPunct/>
        <w:topLinePunct w:val="0"/>
        <w:autoSpaceDE/>
        <w:autoSpaceDN/>
        <w:bidi w:val="0"/>
        <w:snapToGrid/>
        <w:spacing w:line="420" w:lineRule="exact"/>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（6）承包人的其他违约责任按发包人相关</w:t>
      </w:r>
      <w:r>
        <w:rPr>
          <w:rFonts w:hint="eastAsia" w:ascii="宋体" w:hAnsi="宋体" w:cs="宋体"/>
          <w:b w:val="0"/>
          <w:bCs w:val="0"/>
          <w:color w:val="auto"/>
          <w:sz w:val="24"/>
          <w:szCs w:val="24"/>
          <w:highlight w:val="none"/>
          <w:lang w:val="en-US" w:eastAsia="zh-CN"/>
        </w:rPr>
        <w:t>施工监控</w:t>
      </w:r>
      <w:r>
        <w:rPr>
          <w:rFonts w:hint="eastAsia" w:ascii="宋体" w:hAnsi="宋体" w:eastAsia="宋体" w:cs="宋体"/>
          <w:b w:val="0"/>
          <w:bCs w:val="0"/>
          <w:color w:val="auto"/>
          <w:sz w:val="24"/>
          <w:szCs w:val="24"/>
          <w:highlight w:val="none"/>
        </w:rPr>
        <w:t>服务管理制度有关规定执行。</w:t>
      </w:r>
    </w:p>
    <w:p w14:paraId="332EB284">
      <w:pPr>
        <w:pageBreakBefore w:val="0"/>
        <w:widowControl/>
        <w:kinsoku/>
        <w:wordWrap/>
        <w:overflowPunct/>
        <w:topLinePunct w:val="0"/>
        <w:autoSpaceDE/>
        <w:autoSpaceDN/>
        <w:bidi w:val="0"/>
        <w:snapToGrid/>
        <w:spacing w:before="60" w:beforeLines="25" w:after="60" w:afterLines="25" w:line="420" w:lineRule="exact"/>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10.1.2合同生效后，由于工程停建或因发包人原因而终止合同，发包人应向承包人支付已完成工作量的费用。双方应当就合同解除及费用结算签订相应协议。</w:t>
      </w:r>
    </w:p>
    <w:bookmarkEnd w:id="156"/>
    <w:bookmarkEnd w:id="157"/>
    <w:bookmarkEnd w:id="158"/>
    <w:p w14:paraId="28933BF9">
      <w:pPr>
        <w:keepNext/>
        <w:pageBreakBefore w:val="0"/>
        <w:kinsoku/>
        <w:wordWrap/>
        <w:overflowPunct/>
        <w:topLinePunct w:val="0"/>
        <w:autoSpaceDE/>
        <w:autoSpaceDN/>
        <w:bidi w:val="0"/>
        <w:snapToGrid/>
        <w:spacing w:before="60" w:beforeLines="25" w:after="60" w:afterLines="25" w:line="420" w:lineRule="exact"/>
        <w:jc w:val="both"/>
        <w:outlineLvl w:val="2"/>
        <w:rPr>
          <w:rFonts w:hint="eastAsia" w:ascii="宋体" w:hAnsi="宋体" w:eastAsia="宋体" w:cs="宋体"/>
          <w:b w:val="0"/>
          <w:bCs w:val="0"/>
          <w:color w:val="auto"/>
          <w:kern w:val="2"/>
          <w:sz w:val="24"/>
          <w:szCs w:val="24"/>
          <w:highlight w:val="none"/>
          <w:lang w:val="en-US" w:eastAsia="zh-CN" w:bidi="ar-SA"/>
        </w:rPr>
      </w:pPr>
      <w:bookmarkStart w:id="162" w:name="_Toc488236014"/>
      <w:r>
        <w:rPr>
          <w:rFonts w:hint="eastAsia" w:ascii="宋体" w:hAnsi="宋体" w:eastAsia="宋体" w:cs="宋体"/>
          <w:b w:val="0"/>
          <w:bCs w:val="0"/>
          <w:color w:val="auto"/>
          <w:kern w:val="2"/>
          <w:sz w:val="24"/>
          <w:szCs w:val="24"/>
          <w:highlight w:val="none"/>
          <w:lang w:val="en-US" w:eastAsia="zh-CN" w:bidi="ar-SA"/>
        </w:rPr>
        <w:t>11．争议的解决</w:t>
      </w:r>
      <w:bookmarkEnd w:id="159"/>
      <w:bookmarkEnd w:id="160"/>
      <w:bookmarkEnd w:id="161"/>
      <w:bookmarkEnd w:id="162"/>
    </w:p>
    <w:p w14:paraId="651CF23F">
      <w:pPr>
        <w:keepNext/>
        <w:keepLines/>
        <w:pageBreakBefore w:val="0"/>
        <w:kinsoku/>
        <w:wordWrap/>
        <w:overflowPunct/>
        <w:topLinePunct w:val="0"/>
        <w:autoSpaceDE/>
        <w:autoSpaceDN/>
        <w:bidi w:val="0"/>
        <w:snapToGrid/>
        <w:spacing w:before="60" w:beforeLines="25" w:after="60" w:afterLines="25" w:line="420" w:lineRule="exact"/>
        <w:ind w:firstLine="480" w:firstLineChars="200"/>
        <w:jc w:val="both"/>
        <w:outlineLvl w:val="3"/>
        <w:rPr>
          <w:rFonts w:hint="eastAsia" w:ascii="宋体" w:hAnsi="宋体" w:eastAsia="宋体" w:cs="宋体"/>
          <w:b w:val="0"/>
          <w:bCs w:val="0"/>
          <w:i w:val="0"/>
          <w:iCs/>
          <w:color w:val="auto"/>
          <w:kern w:val="2"/>
          <w:sz w:val="24"/>
          <w:szCs w:val="24"/>
          <w:highlight w:val="none"/>
          <w:lang w:val="en-US" w:eastAsia="zh-CN" w:bidi="ar-SA"/>
        </w:rPr>
      </w:pPr>
      <w:bookmarkStart w:id="163" w:name="_Toc237231009"/>
      <w:r>
        <w:rPr>
          <w:rFonts w:hint="eastAsia" w:ascii="宋体" w:hAnsi="宋体" w:eastAsia="宋体" w:cs="宋体"/>
          <w:b w:val="0"/>
          <w:bCs w:val="0"/>
          <w:i w:val="0"/>
          <w:iCs/>
          <w:color w:val="auto"/>
          <w:kern w:val="2"/>
          <w:sz w:val="24"/>
          <w:szCs w:val="24"/>
          <w:highlight w:val="none"/>
          <w:lang w:val="en-US" w:eastAsia="zh-CN" w:bidi="ar-SA"/>
        </w:rPr>
        <w:t>11.1 争议的解决方式</w:t>
      </w:r>
      <w:bookmarkEnd w:id="163"/>
    </w:p>
    <w:p w14:paraId="33ABEB26">
      <w:pPr>
        <w:pageBreakBefore w:val="0"/>
        <w:widowControl/>
        <w:kinsoku/>
        <w:wordWrap/>
        <w:overflowPunct/>
        <w:topLinePunct w:val="0"/>
        <w:autoSpaceDE/>
        <w:autoSpaceDN/>
        <w:bidi w:val="0"/>
        <w:snapToGrid/>
        <w:spacing w:before="60" w:beforeLines="25" w:after="60" w:afterLines="25" w:line="420" w:lineRule="exact"/>
        <w:ind w:firstLine="480" w:firstLineChars="200"/>
        <w:jc w:val="left"/>
        <w:rPr>
          <w:rFonts w:hint="eastAsia" w:ascii="宋体" w:hAnsi="宋体" w:eastAsia="宋体" w:cs="宋体"/>
          <w:b w:val="0"/>
          <w:bCs w:val="0"/>
          <w:color w:val="auto"/>
          <w:sz w:val="24"/>
          <w:szCs w:val="24"/>
          <w:highlight w:val="none"/>
        </w:rPr>
      </w:pPr>
      <w:bookmarkStart w:id="164" w:name="_Toc237231010"/>
      <w:r>
        <w:rPr>
          <w:rFonts w:hint="eastAsia" w:ascii="宋体" w:hAnsi="宋体" w:eastAsia="宋体" w:cs="宋体"/>
          <w:b w:val="0"/>
          <w:bCs w:val="0"/>
          <w:color w:val="auto"/>
          <w:sz w:val="24"/>
          <w:szCs w:val="24"/>
          <w:highlight w:val="none"/>
        </w:rPr>
        <w:t>双方在履行本</w:t>
      </w:r>
      <w:r>
        <w:rPr>
          <w:rFonts w:hint="eastAsia" w:ascii="宋体" w:hAnsi="宋体" w:cs="宋体"/>
          <w:b w:val="0"/>
          <w:bCs w:val="0"/>
          <w:color w:val="auto"/>
          <w:sz w:val="24"/>
          <w:szCs w:val="24"/>
          <w:highlight w:val="none"/>
          <w:lang w:val="en-US" w:eastAsia="zh-CN"/>
        </w:rPr>
        <w:t>施工监控</w:t>
      </w:r>
      <w:r>
        <w:rPr>
          <w:rFonts w:hint="eastAsia" w:ascii="宋体" w:hAnsi="宋体" w:eastAsia="宋体" w:cs="宋体"/>
          <w:b w:val="0"/>
          <w:bCs w:val="0"/>
          <w:color w:val="auto"/>
          <w:sz w:val="24"/>
          <w:szCs w:val="24"/>
          <w:highlight w:val="none"/>
        </w:rPr>
        <w:t>合同过程中发生争端时，应本着友好协商的原则解决问题，或通过上级主管部门进行调解。若经过协商或调解仍不能达成一致时，双方约定：向发包人所在地具有管辖权的人民法院提起诉讼。</w:t>
      </w:r>
    </w:p>
    <w:p w14:paraId="5F2B00DC">
      <w:pPr>
        <w:keepNext/>
        <w:keepLines w:val="0"/>
        <w:pageBreakBefore w:val="0"/>
        <w:widowControl w:val="0"/>
        <w:kinsoku/>
        <w:wordWrap/>
        <w:overflowPunct/>
        <w:topLinePunct w:val="0"/>
        <w:autoSpaceDE/>
        <w:autoSpaceDN/>
        <w:bidi w:val="0"/>
        <w:adjustRightInd w:val="0"/>
        <w:snapToGrid/>
        <w:spacing w:before="60" w:beforeLines="25" w:after="60" w:afterLines="25" w:line="420" w:lineRule="exact"/>
        <w:ind w:firstLine="480" w:firstLineChars="200"/>
        <w:jc w:val="both"/>
        <w:textAlignment w:val="baseline"/>
        <w:outlineLvl w:val="3"/>
        <w:rPr>
          <w:rFonts w:hint="eastAsia" w:ascii="宋体" w:hAnsi="宋体" w:eastAsia="宋体" w:cs="宋体"/>
          <w:b w:val="0"/>
          <w:bCs w:val="0"/>
          <w:i w:val="0"/>
          <w:iCs/>
          <w:color w:val="auto"/>
          <w:kern w:val="2"/>
          <w:sz w:val="24"/>
          <w:szCs w:val="24"/>
          <w:highlight w:val="none"/>
          <w:lang w:val="en-US" w:eastAsia="zh-CN" w:bidi="ar-SA"/>
        </w:rPr>
      </w:pPr>
      <w:r>
        <w:rPr>
          <w:rFonts w:hint="eastAsia" w:ascii="宋体" w:hAnsi="宋体" w:eastAsia="宋体" w:cs="宋体"/>
          <w:b w:val="0"/>
          <w:bCs w:val="0"/>
          <w:i w:val="0"/>
          <w:iCs/>
          <w:color w:val="auto"/>
          <w:kern w:val="2"/>
          <w:sz w:val="24"/>
          <w:szCs w:val="24"/>
          <w:highlight w:val="none"/>
          <w:lang w:val="en-US" w:eastAsia="zh-CN" w:bidi="ar-SA"/>
        </w:rPr>
        <w:t>11.2 友好解决</w:t>
      </w:r>
      <w:bookmarkEnd w:id="164"/>
    </w:p>
    <w:p w14:paraId="2962C240">
      <w:pPr>
        <w:pageBreakBefore w:val="0"/>
        <w:widowControl/>
        <w:kinsoku/>
        <w:wordWrap/>
        <w:overflowPunct/>
        <w:topLinePunct w:val="0"/>
        <w:autoSpaceDE/>
        <w:autoSpaceDN/>
        <w:bidi w:val="0"/>
        <w:snapToGrid/>
        <w:spacing w:before="60" w:beforeLines="25" w:after="60" w:afterLines="25" w:line="420" w:lineRule="exact"/>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在提请争议评审、仲裁前，以及在争议评审、仲裁过程中，发包人和承包人均可共同努力友好协商解决争议。</w:t>
      </w:r>
    </w:p>
    <w:p w14:paraId="7538656F">
      <w:pPr>
        <w:keepNext/>
        <w:pageBreakBefore w:val="0"/>
        <w:kinsoku/>
        <w:wordWrap/>
        <w:overflowPunct/>
        <w:topLinePunct w:val="0"/>
        <w:autoSpaceDE/>
        <w:autoSpaceDN/>
        <w:bidi w:val="0"/>
        <w:snapToGrid/>
        <w:spacing w:before="60" w:beforeLines="25" w:after="60" w:afterLines="25" w:line="420" w:lineRule="exact"/>
        <w:jc w:val="both"/>
        <w:outlineLvl w:val="2"/>
        <w:rPr>
          <w:rFonts w:hint="eastAsia" w:ascii="宋体" w:hAnsi="宋体" w:eastAsia="宋体" w:cs="宋体"/>
          <w:b w:val="0"/>
          <w:bCs w:val="0"/>
          <w:color w:val="auto"/>
          <w:kern w:val="2"/>
          <w:sz w:val="24"/>
          <w:szCs w:val="24"/>
          <w:highlight w:val="none"/>
          <w:lang w:val="en-US" w:eastAsia="zh-CN" w:bidi="ar-SA"/>
        </w:rPr>
      </w:pPr>
      <w:bookmarkStart w:id="165" w:name="_Toc488236015"/>
      <w:r>
        <w:rPr>
          <w:rFonts w:hint="eastAsia" w:ascii="宋体" w:hAnsi="宋体" w:eastAsia="宋体" w:cs="宋体"/>
          <w:b w:val="0"/>
          <w:bCs w:val="0"/>
          <w:color w:val="auto"/>
          <w:kern w:val="2"/>
          <w:sz w:val="24"/>
          <w:szCs w:val="24"/>
          <w:highlight w:val="none"/>
          <w:lang w:val="en-US" w:eastAsia="zh-CN" w:bidi="ar-SA"/>
        </w:rPr>
        <w:t>12．其他</w:t>
      </w:r>
      <w:bookmarkEnd w:id="165"/>
    </w:p>
    <w:p w14:paraId="5FF55085">
      <w:pPr>
        <w:keepNext/>
        <w:keepLines/>
        <w:pageBreakBefore w:val="0"/>
        <w:kinsoku/>
        <w:wordWrap/>
        <w:overflowPunct/>
        <w:topLinePunct w:val="0"/>
        <w:autoSpaceDE/>
        <w:autoSpaceDN/>
        <w:bidi w:val="0"/>
        <w:snapToGrid/>
        <w:spacing w:before="60" w:beforeLines="25" w:after="60" w:afterLines="25" w:line="420" w:lineRule="exact"/>
        <w:ind w:firstLine="480" w:firstLineChars="200"/>
        <w:jc w:val="both"/>
        <w:outlineLvl w:val="3"/>
        <w:rPr>
          <w:rFonts w:hint="eastAsia" w:ascii="宋体" w:hAnsi="宋体" w:eastAsia="宋体" w:cs="宋体"/>
          <w:b w:val="0"/>
          <w:bCs w:val="0"/>
          <w:i w:val="0"/>
          <w:iCs/>
          <w:color w:val="auto"/>
          <w:kern w:val="2"/>
          <w:sz w:val="24"/>
          <w:szCs w:val="24"/>
          <w:highlight w:val="none"/>
          <w:lang w:val="en-US" w:eastAsia="zh-CN" w:bidi="ar-SA"/>
        </w:rPr>
      </w:pPr>
      <w:r>
        <w:rPr>
          <w:rFonts w:hint="eastAsia" w:ascii="宋体" w:hAnsi="宋体" w:eastAsia="宋体" w:cs="宋体"/>
          <w:b w:val="0"/>
          <w:bCs w:val="0"/>
          <w:i w:val="0"/>
          <w:iCs/>
          <w:color w:val="auto"/>
          <w:kern w:val="2"/>
          <w:sz w:val="24"/>
          <w:szCs w:val="24"/>
          <w:highlight w:val="none"/>
          <w:lang w:val="en-US" w:eastAsia="zh-CN" w:bidi="ar-SA"/>
        </w:rPr>
        <w:t>12.1 退出机制</w:t>
      </w:r>
    </w:p>
    <w:p w14:paraId="0C79C854">
      <w:pPr>
        <w:pageBreakBefore w:val="0"/>
        <w:widowControl/>
        <w:kinsoku/>
        <w:wordWrap/>
        <w:overflowPunct/>
        <w:topLinePunct w:val="0"/>
        <w:autoSpaceDE/>
        <w:autoSpaceDN/>
        <w:bidi w:val="0"/>
        <w:snapToGrid/>
        <w:spacing w:before="60" w:beforeLines="25" w:after="60" w:afterLines="25" w:line="420" w:lineRule="exact"/>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12.1.1承包人人员变动、工作失误及违规导致施工现场发生重大质量、安全事故以及重大工程经济损失和工期延误。</w:t>
      </w:r>
    </w:p>
    <w:p w14:paraId="59945D26">
      <w:pPr>
        <w:pageBreakBefore w:val="0"/>
        <w:widowControl/>
        <w:kinsoku/>
        <w:wordWrap/>
        <w:overflowPunct/>
        <w:topLinePunct w:val="0"/>
        <w:autoSpaceDE/>
        <w:autoSpaceDN/>
        <w:bidi w:val="0"/>
        <w:snapToGrid/>
        <w:spacing w:before="60" w:beforeLines="25" w:after="60" w:afterLines="25" w:line="420" w:lineRule="exact"/>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12.1.2经查实承包人有挂靠行为。</w:t>
      </w:r>
    </w:p>
    <w:p w14:paraId="2458C866">
      <w:pPr>
        <w:pageBreakBefore w:val="0"/>
        <w:widowControl/>
        <w:kinsoku/>
        <w:wordWrap/>
        <w:overflowPunct/>
        <w:topLinePunct w:val="0"/>
        <w:autoSpaceDE/>
        <w:autoSpaceDN/>
        <w:bidi w:val="0"/>
        <w:snapToGrid/>
        <w:spacing w:before="60" w:beforeLines="25" w:after="60" w:afterLines="25" w:line="420" w:lineRule="exact"/>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12.1.3经查实承包人重大违纪。</w:t>
      </w:r>
    </w:p>
    <w:p w14:paraId="1267519D">
      <w:pPr>
        <w:pageBreakBefore w:val="0"/>
        <w:widowControl/>
        <w:kinsoku/>
        <w:wordWrap/>
        <w:overflowPunct/>
        <w:topLinePunct w:val="0"/>
        <w:autoSpaceDE/>
        <w:autoSpaceDN/>
        <w:bidi w:val="0"/>
        <w:snapToGrid/>
        <w:spacing w:before="60" w:beforeLines="25" w:after="60" w:afterLines="25" w:line="420" w:lineRule="exact"/>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12.1.4</w:t>
      </w:r>
      <w:bookmarkStart w:id="166" w:name="_Hlk488234419"/>
      <w:r>
        <w:rPr>
          <w:rFonts w:hint="eastAsia" w:ascii="宋体" w:hAnsi="宋体" w:eastAsia="宋体" w:cs="宋体"/>
          <w:b w:val="0"/>
          <w:bCs w:val="0"/>
          <w:color w:val="auto"/>
          <w:sz w:val="24"/>
          <w:szCs w:val="24"/>
          <w:highlight w:val="none"/>
        </w:rPr>
        <w:t>违反发包人相关技术咨询服务管理制度退出机制规定的情况</w:t>
      </w:r>
      <w:bookmarkEnd w:id="166"/>
      <w:r>
        <w:rPr>
          <w:rFonts w:hint="eastAsia" w:ascii="宋体" w:hAnsi="宋体" w:eastAsia="宋体" w:cs="宋体"/>
          <w:b w:val="0"/>
          <w:bCs w:val="0"/>
          <w:color w:val="auto"/>
          <w:sz w:val="24"/>
          <w:szCs w:val="24"/>
          <w:highlight w:val="none"/>
        </w:rPr>
        <w:t>。</w:t>
      </w:r>
    </w:p>
    <w:p w14:paraId="220E6178">
      <w:pPr>
        <w:keepNext/>
        <w:keepLines/>
        <w:pageBreakBefore w:val="0"/>
        <w:kinsoku/>
        <w:wordWrap/>
        <w:overflowPunct/>
        <w:topLinePunct w:val="0"/>
        <w:autoSpaceDE/>
        <w:autoSpaceDN/>
        <w:bidi w:val="0"/>
        <w:snapToGrid/>
        <w:spacing w:before="60" w:beforeLines="25" w:after="60" w:afterLines="25" w:line="420" w:lineRule="exact"/>
        <w:ind w:firstLine="480" w:firstLineChars="200"/>
        <w:jc w:val="both"/>
        <w:outlineLvl w:val="3"/>
        <w:rPr>
          <w:rFonts w:hint="eastAsia" w:ascii="宋体" w:hAnsi="宋体" w:eastAsia="宋体" w:cs="宋体"/>
          <w:b w:val="0"/>
          <w:bCs w:val="0"/>
          <w:i w:val="0"/>
          <w:iCs/>
          <w:color w:val="auto"/>
          <w:kern w:val="2"/>
          <w:sz w:val="24"/>
          <w:szCs w:val="24"/>
          <w:highlight w:val="none"/>
          <w:lang w:val="en-US" w:eastAsia="zh-CN" w:bidi="ar-SA"/>
        </w:rPr>
      </w:pPr>
      <w:r>
        <w:rPr>
          <w:rFonts w:hint="eastAsia" w:ascii="宋体" w:hAnsi="宋体" w:eastAsia="宋体" w:cs="宋体"/>
          <w:b w:val="0"/>
          <w:bCs w:val="0"/>
          <w:i w:val="0"/>
          <w:iCs/>
          <w:color w:val="auto"/>
          <w:kern w:val="2"/>
          <w:sz w:val="24"/>
          <w:szCs w:val="24"/>
          <w:highlight w:val="none"/>
          <w:lang w:val="en-US" w:eastAsia="zh-CN" w:bidi="ar-SA"/>
        </w:rPr>
        <w:t>12.2 廉洁从业要求</w:t>
      </w:r>
    </w:p>
    <w:p w14:paraId="11E65FD2">
      <w:pPr>
        <w:pageBreakBefore w:val="0"/>
        <w:widowControl/>
        <w:kinsoku/>
        <w:wordWrap/>
        <w:overflowPunct/>
        <w:topLinePunct w:val="0"/>
        <w:autoSpaceDE/>
        <w:autoSpaceDN/>
        <w:bidi w:val="0"/>
        <w:snapToGrid/>
        <w:spacing w:before="60" w:beforeLines="25" w:after="60" w:afterLines="25" w:line="420" w:lineRule="exact"/>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发包人与承包人的</w:t>
      </w:r>
      <w:r>
        <w:rPr>
          <w:rFonts w:hint="eastAsia" w:ascii="宋体" w:hAnsi="宋体" w:cs="宋体"/>
          <w:b w:val="0"/>
          <w:bCs w:val="0"/>
          <w:color w:val="auto"/>
          <w:sz w:val="24"/>
          <w:szCs w:val="24"/>
          <w:highlight w:val="none"/>
          <w:lang w:val="en-US" w:eastAsia="zh-CN"/>
        </w:rPr>
        <w:t>施工监控</w:t>
      </w:r>
      <w:r>
        <w:rPr>
          <w:rFonts w:hint="eastAsia" w:ascii="宋体" w:hAnsi="宋体" w:eastAsia="宋体" w:cs="宋体"/>
          <w:b w:val="0"/>
          <w:bCs w:val="0"/>
          <w:color w:val="auto"/>
          <w:sz w:val="24"/>
          <w:szCs w:val="24"/>
          <w:highlight w:val="none"/>
        </w:rPr>
        <w:t>人员在合同执行过程中，保持最高的道德水准。承包人的</w:t>
      </w:r>
      <w:r>
        <w:rPr>
          <w:rFonts w:hint="eastAsia" w:ascii="宋体" w:hAnsi="宋体" w:cs="宋体"/>
          <w:b w:val="0"/>
          <w:bCs w:val="0"/>
          <w:color w:val="auto"/>
          <w:sz w:val="24"/>
          <w:szCs w:val="24"/>
          <w:highlight w:val="none"/>
          <w:lang w:val="en-US" w:eastAsia="zh-CN"/>
        </w:rPr>
        <w:t>施工监控</w:t>
      </w:r>
      <w:r>
        <w:rPr>
          <w:rFonts w:hint="eastAsia" w:ascii="宋体" w:hAnsi="宋体" w:eastAsia="宋体" w:cs="宋体"/>
          <w:b w:val="0"/>
          <w:bCs w:val="0"/>
          <w:color w:val="auto"/>
          <w:sz w:val="24"/>
          <w:szCs w:val="24"/>
          <w:highlight w:val="none"/>
        </w:rPr>
        <w:t>人员不得接受或索取施工承包人或供货人任何有价物品；不得参与施工承包人邀请的有可能影响</w:t>
      </w:r>
      <w:r>
        <w:rPr>
          <w:rFonts w:hint="eastAsia" w:ascii="宋体" w:hAnsi="宋体" w:eastAsia="宋体" w:cs="宋体"/>
          <w:b w:val="0"/>
          <w:bCs w:val="0"/>
          <w:color w:val="auto"/>
          <w:sz w:val="24"/>
          <w:szCs w:val="24"/>
          <w:highlight w:val="none"/>
          <w:lang w:val="en-US" w:eastAsia="zh-CN"/>
        </w:rPr>
        <w:t>施工监控</w:t>
      </w:r>
      <w:r>
        <w:rPr>
          <w:rFonts w:hint="eastAsia" w:ascii="宋体" w:hAnsi="宋体" w:eastAsia="宋体" w:cs="宋体"/>
          <w:b w:val="0"/>
          <w:bCs w:val="0"/>
          <w:color w:val="auto"/>
          <w:sz w:val="24"/>
          <w:szCs w:val="24"/>
          <w:highlight w:val="none"/>
        </w:rPr>
        <w:t>公正性的任何活动；也不得私自向施工承包人要求安排个人亲朋好友工作或购买推荐材料；更不得获取超出合同规定以外的额外费用。一经发现和查实上述情况，发包人有权要求承包人按照有关法纪严肃处理当事人。对于因上述行为给发包人所造成的工程损害及经济损失，发包人将要求承包人按照有关合同条款予以赔偿，直至终止承包人的咨询合同。</w:t>
      </w:r>
    </w:p>
    <w:p w14:paraId="78FB34CC">
      <w:pPr>
        <w:pageBreakBefore w:val="0"/>
        <w:widowControl/>
        <w:kinsoku/>
        <w:wordWrap/>
        <w:overflowPunct/>
        <w:topLinePunct w:val="0"/>
        <w:autoSpaceDE/>
        <w:autoSpaceDN/>
        <w:bidi w:val="0"/>
        <w:snapToGrid/>
        <w:spacing w:before="60" w:beforeLines="25" w:after="60" w:afterLines="25" w:line="420" w:lineRule="exact"/>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12.3 送达</w:t>
      </w:r>
    </w:p>
    <w:p w14:paraId="44CE3FA5">
      <w:pPr>
        <w:pageBreakBefore w:val="0"/>
        <w:widowControl/>
        <w:kinsoku/>
        <w:wordWrap/>
        <w:overflowPunct/>
        <w:topLinePunct w:val="0"/>
        <w:autoSpaceDE/>
        <w:autoSpaceDN/>
        <w:bidi w:val="0"/>
        <w:snapToGrid/>
        <w:spacing w:before="60" w:beforeLines="25" w:after="60" w:afterLines="25" w:line="420" w:lineRule="exact"/>
        <w:ind w:firstLine="480" w:firstLineChars="200"/>
        <w:jc w:val="left"/>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双方特约定如下地址作为交易和法律函件的有效送达地址，任何一方发生变更的，应当于变更后3日书面通知对方，否则对下列地址的邮寄仍为有效送达，接收方拒收不影响送达效力</w:t>
      </w:r>
      <w:r>
        <w:rPr>
          <w:rFonts w:hint="eastAsia" w:ascii="宋体" w:hAnsi="宋体" w:eastAsia="宋体" w:cs="宋体"/>
          <w:b w:val="0"/>
          <w:bCs w:val="0"/>
          <w:color w:val="auto"/>
          <w:sz w:val="24"/>
          <w:szCs w:val="24"/>
          <w:highlight w:val="none"/>
          <w:lang w:eastAsia="zh-CN"/>
        </w:rPr>
        <w:t>：</w:t>
      </w:r>
    </w:p>
    <w:p w14:paraId="6D92B502">
      <w:pPr>
        <w:pageBreakBefore w:val="0"/>
        <w:widowControl/>
        <w:kinsoku/>
        <w:wordWrap/>
        <w:overflowPunct/>
        <w:topLinePunct w:val="0"/>
        <w:autoSpaceDE/>
        <w:autoSpaceDN/>
        <w:bidi w:val="0"/>
        <w:snapToGrid/>
        <w:spacing w:before="60" w:beforeLines="25" w:after="60" w:afterLines="25" w:line="420" w:lineRule="exact"/>
        <w:ind w:firstLine="480" w:firstLineChars="200"/>
        <w:jc w:val="left"/>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发包人</w:t>
      </w:r>
      <w:r>
        <w:rPr>
          <w:rFonts w:hint="default" w:ascii="宋体" w:hAnsi="宋体" w:eastAsia="宋体" w:cs="宋体"/>
          <w:b w:val="0"/>
          <w:bCs w:val="0"/>
          <w:color w:val="auto"/>
          <w:sz w:val="24"/>
          <w:szCs w:val="24"/>
          <w:highlight w:val="none"/>
          <w:lang w:val="en-US" w:eastAsia="zh-CN"/>
        </w:rPr>
        <w:t>：湖南省</w:t>
      </w:r>
      <w:r>
        <w:rPr>
          <w:rFonts w:hint="eastAsia" w:ascii="宋体" w:hAnsi="宋体" w:eastAsia="宋体" w:cs="宋体"/>
          <w:b w:val="0"/>
          <w:bCs w:val="0"/>
          <w:color w:val="auto"/>
          <w:sz w:val="24"/>
          <w:szCs w:val="24"/>
          <w:highlight w:val="none"/>
          <w:lang w:val="en-US" w:eastAsia="zh-CN"/>
        </w:rPr>
        <w:t>张家界</w:t>
      </w:r>
      <w:r>
        <w:rPr>
          <w:rFonts w:hint="default" w:ascii="宋体" w:hAnsi="宋体" w:eastAsia="宋体" w:cs="宋体"/>
          <w:b w:val="0"/>
          <w:bCs w:val="0"/>
          <w:color w:val="auto"/>
          <w:sz w:val="24"/>
          <w:szCs w:val="24"/>
          <w:highlight w:val="none"/>
          <w:lang w:val="en-US" w:eastAsia="zh-CN"/>
        </w:rPr>
        <w:t>市</w:t>
      </w:r>
      <w:r>
        <w:rPr>
          <w:rFonts w:hint="eastAsia" w:ascii="宋体" w:hAnsi="宋体" w:eastAsia="宋体" w:cs="宋体"/>
          <w:b w:val="0"/>
          <w:bCs w:val="0"/>
          <w:color w:val="auto"/>
          <w:sz w:val="24"/>
          <w:szCs w:val="24"/>
          <w:highlight w:val="none"/>
          <w:lang w:val="en-US" w:eastAsia="zh-CN"/>
        </w:rPr>
        <w:t>永定区教场路103#盛世嘉年酒店葛洲坝公司</w:t>
      </w:r>
    </w:p>
    <w:p w14:paraId="7EB84032">
      <w:pPr>
        <w:pageBreakBefore w:val="0"/>
        <w:widowControl/>
        <w:kinsoku/>
        <w:wordWrap/>
        <w:overflowPunct/>
        <w:topLinePunct w:val="0"/>
        <w:autoSpaceDE/>
        <w:autoSpaceDN/>
        <w:bidi w:val="0"/>
        <w:snapToGrid/>
        <w:spacing w:before="60" w:beforeLines="25" w:after="60" w:afterLines="25" w:line="420" w:lineRule="exact"/>
        <w:ind w:firstLine="480" w:firstLineChars="200"/>
        <w:jc w:val="left"/>
        <w:rPr>
          <w:rFonts w:hint="eastAsia" w:ascii="宋体" w:hAnsi="宋体" w:eastAsia="宋体" w:cs="宋体"/>
          <w:b w:val="0"/>
          <w:bCs w:val="0"/>
          <w:color w:val="auto"/>
          <w:sz w:val="24"/>
          <w:szCs w:val="24"/>
          <w:highlight w:val="none"/>
          <w:lang w:eastAsia="zh-CN"/>
        </w:rPr>
      </w:pPr>
      <w:r>
        <w:rPr>
          <w:rFonts w:hint="eastAsia" w:ascii="宋体" w:hAnsi="宋体" w:cs="宋体"/>
          <w:b w:val="0"/>
          <w:bCs w:val="0"/>
          <w:color w:val="auto"/>
          <w:sz w:val="24"/>
          <w:szCs w:val="24"/>
          <w:highlight w:val="none"/>
          <w:lang w:val="en-US" w:eastAsia="zh-CN"/>
        </w:rPr>
        <w:t>承包人</w:t>
      </w:r>
      <w:r>
        <w:rPr>
          <w:rFonts w:hint="default" w:ascii="宋体" w:hAnsi="宋体" w:eastAsia="宋体" w:cs="宋体"/>
          <w:b w:val="0"/>
          <w:bCs w:val="0"/>
          <w:color w:val="auto"/>
          <w:sz w:val="24"/>
          <w:szCs w:val="24"/>
          <w:highlight w:val="none"/>
          <w:lang w:val="en-US" w:eastAsia="zh-CN"/>
        </w:rPr>
        <w:t>：</w:t>
      </w:r>
    </w:p>
    <w:p w14:paraId="76F1388C">
      <w:pPr>
        <w:spacing w:before="78" w:beforeLines="25" w:after="78" w:afterLines="25" w:line="300" w:lineRule="auto"/>
        <w:ind w:firstLine="480" w:firstLineChars="200"/>
        <w:rPr>
          <w:rFonts w:hint="eastAsia" w:ascii="宋体" w:hAnsi="宋体"/>
          <w:color w:val="000000" w:themeColor="text1"/>
          <w:position w:val="0"/>
          <w:sz w:val="24"/>
          <w:szCs w:val="24"/>
          <w:highlight w:val="none"/>
          <w14:textFill>
            <w14:solidFill>
              <w14:schemeClr w14:val="tx1"/>
            </w14:solidFill>
          </w14:textFill>
        </w:rPr>
      </w:pPr>
    </w:p>
    <w:p w14:paraId="2A70597D">
      <w:pPr>
        <w:pStyle w:val="2"/>
        <w:spacing w:before="240" w:after="240" w:line="440" w:lineRule="atLeast"/>
        <w:jc w:val="center"/>
        <w:rPr>
          <w:rFonts w:eastAsia="黑体"/>
          <w:b w:val="0"/>
          <w:color w:val="000000" w:themeColor="text1"/>
          <w:sz w:val="42"/>
          <w:szCs w:val="42"/>
          <w:highlight w:val="none"/>
          <w14:textFill>
            <w14:solidFill>
              <w14:schemeClr w14:val="tx1"/>
            </w14:solidFill>
          </w14:textFill>
        </w:rPr>
      </w:pPr>
      <w:bookmarkStart w:id="167" w:name="_Toc510015787"/>
    </w:p>
    <w:p w14:paraId="53749343">
      <w:pPr>
        <w:pStyle w:val="2"/>
        <w:spacing w:before="240" w:after="240" w:line="440" w:lineRule="atLeast"/>
        <w:jc w:val="center"/>
        <w:rPr>
          <w:rFonts w:eastAsia="黑体"/>
          <w:b w:val="0"/>
          <w:color w:val="000000" w:themeColor="text1"/>
          <w:sz w:val="42"/>
          <w:szCs w:val="42"/>
          <w:highlight w:val="none"/>
          <w14:textFill>
            <w14:solidFill>
              <w14:schemeClr w14:val="tx1"/>
            </w14:solidFill>
          </w14:textFill>
        </w:rPr>
      </w:pPr>
    </w:p>
    <w:p w14:paraId="2F3B68CB">
      <w:pPr>
        <w:pStyle w:val="2"/>
        <w:spacing w:before="240" w:after="240" w:line="440" w:lineRule="atLeast"/>
        <w:jc w:val="center"/>
        <w:rPr>
          <w:rFonts w:eastAsia="黑体"/>
          <w:b w:val="0"/>
          <w:color w:val="000000" w:themeColor="text1"/>
          <w:sz w:val="42"/>
          <w:szCs w:val="42"/>
          <w:highlight w:val="none"/>
          <w14:textFill>
            <w14:solidFill>
              <w14:schemeClr w14:val="tx1"/>
            </w14:solidFill>
          </w14:textFill>
        </w:rPr>
      </w:pPr>
    </w:p>
    <w:p w14:paraId="7AE8BD3D">
      <w:pPr>
        <w:pStyle w:val="2"/>
        <w:spacing w:before="240" w:after="240" w:line="440" w:lineRule="atLeast"/>
        <w:jc w:val="center"/>
        <w:rPr>
          <w:rFonts w:eastAsia="黑体"/>
          <w:b w:val="0"/>
          <w:color w:val="000000" w:themeColor="text1"/>
          <w:sz w:val="42"/>
          <w:szCs w:val="42"/>
          <w:highlight w:val="none"/>
          <w14:textFill>
            <w14:solidFill>
              <w14:schemeClr w14:val="tx1"/>
            </w14:solidFill>
          </w14:textFill>
        </w:rPr>
      </w:pPr>
    </w:p>
    <w:p w14:paraId="6FDCDAE9">
      <w:pPr>
        <w:pStyle w:val="2"/>
        <w:spacing w:before="240" w:after="240" w:line="440" w:lineRule="atLeast"/>
        <w:jc w:val="center"/>
        <w:rPr>
          <w:rFonts w:eastAsia="黑体"/>
          <w:b w:val="0"/>
          <w:color w:val="000000" w:themeColor="text1"/>
          <w:sz w:val="42"/>
          <w:szCs w:val="42"/>
          <w:highlight w:val="none"/>
          <w14:textFill>
            <w14:solidFill>
              <w14:schemeClr w14:val="tx1"/>
            </w14:solidFill>
          </w14:textFill>
        </w:rPr>
      </w:pPr>
    </w:p>
    <w:p w14:paraId="63EED4A1">
      <w:pPr>
        <w:pStyle w:val="2"/>
        <w:spacing w:before="240" w:after="240" w:line="440" w:lineRule="atLeast"/>
        <w:jc w:val="center"/>
        <w:rPr>
          <w:rFonts w:eastAsia="黑体"/>
          <w:b w:val="0"/>
          <w:color w:val="000000" w:themeColor="text1"/>
          <w:sz w:val="42"/>
          <w:szCs w:val="42"/>
          <w:highlight w:val="none"/>
          <w14:textFill>
            <w14:solidFill>
              <w14:schemeClr w14:val="tx1"/>
            </w14:solidFill>
          </w14:textFill>
        </w:rPr>
      </w:pPr>
    </w:p>
    <w:p w14:paraId="0B83DBF2">
      <w:pPr>
        <w:pStyle w:val="2"/>
        <w:spacing w:before="240" w:after="240" w:line="440" w:lineRule="atLeast"/>
        <w:jc w:val="center"/>
        <w:rPr>
          <w:rFonts w:eastAsia="黑体"/>
          <w:b w:val="0"/>
          <w:color w:val="000000" w:themeColor="text1"/>
          <w:sz w:val="42"/>
          <w:szCs w:val="42"/>
          <w:highlight w:val="none"/>
          <w14:textFill>
            <w14:solidFill>
              <w14:schemeClr w14:val="tx1"/>
            </w14:solidFill>
          </w14:textFill>
        </w:rPr>
      </w:pPr>
    </w:p>
    <w:p w14:paraId="2E25B1D7">
      <w:pPr>
        <w:pStyle w:val="2"/>
        <w:spacing w:before="240" w:after="240" w:line="440" w:lineRule="atLeast"/>
        <w:jc w:val="center"/>
        <w:rPr>
          <w:rFonts w:eastAsia="黑体"/>
          <w:b w:val="0"/>
          <w:color w:val="000000" w:themeColor="text1"/>
          <w:sz w:val="42"/>
          <w:szCs w:val="42"/>
          <w:highlight w:val="none"/>
          <w14:textFill>
            <w14:solidFill>
              <w14:schemeClr w14:val="tx1"/>
            </w14:solidFill>
          </w14:textFill>
        </w:rPr>
      </w:pPr>
    </w:p>
    <w:p w14:paraId="7D9C5748">
      <w:pPr>
        <w:pStyle w:val="2"/>
        <w:spacing w:before="240" w:after="240" w:line="440" w:lineRule="atLeast"/>
        <w:jc w:val="center"/>
        <w:rPr>
          <w:rFonts w:eastAsia="黑体"/>
          <w:b w:val="0"/>
          <w:color w:val="000000" w:themeColor="text1"/>
          <w:sz w:val="42"/>
          <w:szCs w:val="42"/>
          <w:highlight w:val="none"/>
          <w14:textFill>
            <w14:solidFill>
              <w14:schemeClr w14:val="tx1"/>
            </w14:solidFill>
          </w14:textFill>
        </w:rPr>
      </w:pPr>
    </w:p>
    <w:p w14:paraId="1D896DD4">
      <w:pPr>
        <w:pStyle w:val="2"/>
        <w:spacing w:before="240" w:after="240" w:line="440" w:lineRule="atLeast"/>
        <w:jc w:val="center"/>
        <w:rPr>
          <w:rFonts w:eastAsia="黑体"/>
          <w:b w:val="0"/>
          <w:color w:val="000000" w:themeColor="text1"/>
          <w:sz w:val="42"/>
          <w:szCs w:val="42"/>
          <w:highlight w:val="none"/>
          <w14:textFill>
            <w14:solidFill>
              <w14:schemeClr w14:val="tx1"/>
            </w14:solidFill>
          </w14:textFill>
        </w:rPr>
      </w:pPr>
    </w:p>
    <w:p w14:paraId="775B01C4">
      <w:pPr>
        <w:pStyle w:val="2"/>
        <w:spacing w:before="240" w:after="240" w:line="440" w:lineRule="atLeast"/>
        <w:jc w:val="center"/>
        <w:rPr>
          <w:rFonts w:eastAsia="黑体"/>
          <w:b w:val="0"/>
          <w:color w:val="000000" w:themeColor="text1"/>
          <w:sz w:val="42"/>
          <w:szCs w:val="42"/>
          <w:highlight w:val="none"/>
          <w14:textFill>
            <w14:solidFill>
              <w14:schemeClr w14:val="tx1"/>
            </w14:solidFill>
          </w14:textFill>
        </w:rPr>
      </w:pPr>
    </w:p>
    <w:p w14:paraId="4518FBAF">
      <w:pPr>
        <w:pStyle w:val="2"/>
        <w:spacing w:before="240" w:after="240" w:line="440" w:lineRule="atLeast"/>
        <w:jc w:val="center"/>
        <w:rPr>
          <w:rFonts w:eastAsia="黑体"/>
          <w:b w:val="0"/>
          <w:color w:val="000000" w:themeColor="text1"/>
          <w:sz w:val="42"/>
          <w:szCs w:val="42"/>
          <w:highlight w:val="none"/>
          <w14:textFill>
            <w14:solidFill>
              <w14:schemeClr w14:val="tx1"/>
            </w14:solidFill>
          </w14:textFill>
        </w:rPr>
      </w:pPr>
    </w:p>
    <w:p w14:paraId="5E78046B">
      <w:pPr>
        <w:pStyle w:val="2"/>
        <w:spacing w:before="240" w:after="240" w:line="440" w:lineRule="atLeast"/>
        <w:jc w:val="center"/>
        <w:rPr>
          <w:rFonts w:eastAsia="黑体"/>
          <w:b w:val="0"/>
          <w:color w:val="000000" w:themeColor="text1"/>
          <w:sz w:val="42"/>
          <w:szCs w:val="42"/>
          <w:highlight w:val="none"/>
          <w14:textFill>
            <w14:solidFill>
              <w14:schemeClr w14:val="tx1"/>
            </w14:solidFill>
          </w14:textFill>
        </w:rPr>
      </w:pPr>
    </w:p>
    <w:p w14:paraId="366A4717">
      <w:pPr>
        <w:pStyle w:val="2"/>
        <w:spacing w:before="240" w:after="240" w:line="440" w:lineRule="atLeast"/>
        <w:jc w:val="center"/>
        <w:rPr>
          <w:rFonts w:eastAsia="黑体"/>
          <w:b w:val="0"/>
          <w:color w:val="000000" w:themeColor="text1"/>
          <w:sz w:val="42"/>
          <w:szCs w:val="42"/>
          <w:highlight w:val="none"/>
          <w14:textFill>
            <w14:solidFill>
              <w14:schemeClr w14:val="tx1"/>
            </w14:solidFill>
          </w14:textFill>
        </w:rPr>
      </w:pPr>
    </w:p>
    <w:p w14:paraId="227B2027">
      <w:pPr>
        <w:pStyle w:val="2"/>
        <w:spacing w:before="240" w:after="240" w:line="440" w:lineRule="atLeast"/>
        <w:jc w:val="center"/>
        <w:rPr>
          <w:rFonts w:eastAsia="黑体"/>
          <w:b w:val="0"/>
          <w:color w:val="000000" w:themeColor="text1"/>
          <w:sz w:val="42"/>
          <w:szCs w:val="42"/>
          <w:highlight w:val="none"/>
          <w14:textFill>
            <w14:solidFill>
              <w14:schemeClr w14:val="tx1"/>
            </w14:solidFill>
          </w14:textFill>
        </w:rPr>
      </w:pPr>
    </w:p>
    <w:p w14:paraId="68711257">
      <w:pPr>
        <w:pStyle w:val="2"/>
        <w:spacing w:before="240" w:after="240" w:line="440" w:lineRule="atLeast"/>
        <w:jc w:val="center"/>
        <w:rPr>
          <w:rFonts w:eastAsia="黑体"/>
          <w:b w:val="0"/>
          <w:color w:val="000000" w:themeColor="text1"/>
          <w:sz w:val="42"/>
          <w:szCs w:val="42"/>
          <w:highlight w:val="none"/>
          <w14:textFill>
            <w14:solidFill>
              <w14:schemeClr w14:val="tx1"/>
            </w14:solidFill>
          </w14:textFill>
        </w:rPr>
      </w:pPr>
    </w:p>
    <w:p w14:paraId="6088DE19">
      <w:pPr>
        <w:pStyle w:val="2"/>
        <w:spacing w:before="240" w:after="240" w:line="440" w:lineRule="atLeast"/>
        <w:jc w:val="center"/>
        <w:rPr>
          <w:rFonts w:eastAsia="黑体"/>
          <w:b w:val="0"/>
          <w:color w:val="000000" w:themeColor="text1"/>
          <w:sz w:val="42"/>
          <w:szCs w:val="42"/>
          <w:highlight w:val="none"/>
          <w14:textFill>
            <w14:solidFill>
              <w14:schemeClr w14:val="tx1"/>
            </w14:solidFill>
          </w14:textFill>
        </w:rPr>
      </w:pPr>
    </w:p>
    <w:p w14:paraId="19421D12">
      <w:pPr>
        <w:pStyle w:val="2"/>
        <w:spacing w:before="240" w:after="240" w:line="440" w:lineRule="atLeast"/>
        <w:jc w:val="center"/>
        <w:rPr>
          <w:rFonts w:eastAsia="黑体"/>
          <w:b w:val="0"/>
          <w:color w:val="000000" w:themeColor="text1"/>
          <w:sz w:val="42"/>
          <w:szCs w:val="42"/>
          <w:highlight w:val="none"/>
          <w14:textFill>
            <w14:solidFill>
              <w14:schemeClr w14:val="tx1"/>
            </w14:solidFill>
          </w14:textFill>
        </w:rPr>
      </w:pPr>
    </w:p>
    <w:p w14:paraId="12F3B74A">
      <w:pPr>
        <w:pStyle w:val="2"/>
        <w:spacing w:before="240" w:after="240" w:line="440" w:lineRule="atLeast"/>
        <w:jc w:val="center"/>
        <w:rPr>
          <w:rFonts w:eastAsia="黑体"/>
          <w:b w:val="0"/>
          <w:color w:val="000000" w:themeColor="text1"/>
          <w:sz w:val="42"/>
          <w:szCs w:val="42"/>
          <w:highlight w:val="none"/>
          <w14:textFill>
            <w14:solidFill>
              <w14:schemeClr w14:val="tx1"/>
            </w14:solidFill>
          </w14:textFill>
        </w:rPr>
      </w:pPr>
    </w:p>
    <w:p w14:paraId="0AA382BB">
      <w:pPr>
        <w:pStyle w:val="2"/>
        <w:spacing w:before="240" w:after="240" w:line="440" w:lineRule="atLeast"/>
        <w:jc w:val="center"/>
        <w:rPr>
          <w:rFonts w:eastAsia="黑体"/>
          <w:b w:val="0"/>
          <w:color w:val="000000" w:themeColor="text1"/>
          <w:sz w:val="42"/>
          <w:szCs w:val="42"/>
          <w:highlight w:val="none"/>
          <w14:textFill>
            <w14:solidFill>
              <w14:schemeClr w14:val="tx1"/>
            </w14:solidFill>
          </w14:textFill>
        </w:rPr>
      </w:pPr>
    </w:p>
    <w:p w14:paraId="7F2676E4">
      <w:pPr>
        <w:pStyle w:val="2"/>
        <w:spacing w:before="240" w:after="240" w:line="440" w:lineRule="atLeast"/>
        <w:jc w:val="center"/>
        <w:rPr>
          <w:rFonts w:eastAsia="黑体"/>
          <w:b w:val="0"/>
          <w:color w:val="000000" w:themeColor="text1"/>
          <w:sz w:val="42"/>
          <w:szCs w:val="42"/>
          <w:highlight w:val="none"/>
          <w14:textFill>
            <w14:solidFill>
              <w14:schemeClr w14:val="tx1"/>
            </w14:solidFill>
          </w14:textFill>
        </w:rPr>
      </w:pPr>
    </w:p>
    <w:p w14:paraId="6C14138B">
      <w:pPr>
        <w:pStyle w:val="2"/>
        <w:spacing w:before="240" w:after="240" w:line="440" w:lineRule="atLeast"/>
        <w:jc w:val="center"/>
        <w:rPr>
          <w:rFonts w:eastAsia="黑体"/>
          <w:b w:val="0"/>
          <w:color w:val="000000" w:themeColor="text1"/>
          <w:sz w:val="42"/>
          <w:szCs w:val="42"/>
          <w:highlight w:val="none"/>
          <w14:textFill>
            <w14:solidFill>
              <w14:schemeClr w14:val="tx1"/>
            </w14:solidFill>
          </w14:textFill>
        </w:rPr>
      </w:pPr>
      <w:r>
        <w:rPr>
          <w:rFonts w:eastAsia="黑体"/>
          <w:b w:val="0"/>
          <w:color w:val="000000" w:themeColor="text1"/>
          <w:sz w:val="42"/>
          <w:szCs w:val="42"/>
          <w:highlight w:val="none"/>
          <w14:textFill>
            <w14:solidFill>
              <w14:schemeClr w14:val="tx1"/>
            </w14:solidFill>
          </w14:textFill>
        </w:rPr>
        <w:t>第三节  合同附件格式</w:t>
      </w:r>
      <w:bookmarkEnd w:id="62"/>
      <w:bookmarkEnd w:id="167"/>
    </w:p>
    <w:p w14:paraId="221DDDD9">
      <w:pPr>
        <w:pStyle w:val="182"/>
        <w:tabs>
          <w:tab w:val="left" w:pos="6720"/>
        </w:tabs>
        <w:spacing w:before="0" w:after="0" w:line="440" w:lineRule="atLeast"/>
        <w:ind w:firstLine="484" w:firstLineChars="200"/>
        <w:rPr>
          <w:rFonts w:ascii="Times New Roman" w:hAnsi="Times New Roman" w:eastAsia="宋体"/>
          <w:color w:val="000000" w:themeColor="text1"/>
          <w:spacing w:val="1"/>
          <w:sz w:val="24"/>
          <w:szCs w:val="24"/>
          <w:highlight w:val="none"/>
          <w:lang w:eastAsia="zh-CN"/>
          <w14:textFill>
            <w14:solidFill>
              <w14:schemeClr w14:val="tx1"/>
            </w14:solidFill>
          </w14:textFill>
        </w:rPr>
      </w:pPr>
    </w:p>
    <w:p w14:paraId="53FDA74F">
      <w:pPr>
        <w:pStyle w:val="182"/>
        <w:tabs>
          <w:tab w:val="left" w:pos="6720"/>
        </w:tabs>
        <w:spacing w:before="0" w:after="0" w:line="440" w:lineRule="atLeast"/>
        <w:ind w:firstLine="484" w:firstLineChars="200"/>
        <w:rPr>
          <w:rFonts w:ascii="Times New Roman" w:hAnsi="Times New Roman" w:eastAsia="宋体"/>
          <w:color w:val="000000" w:themeColor="text1"/>
          <w:spacing w:val="1"/>
          <w:sz w:val="24"/>
          <w:szCs w:val="24"/>
          <w:highlight w:val="none"/>
          <w:lang w:eastAsia="zh-CN"/>
          <w14:textFill>
            <w14:solidFill>
              <w14:schemeClr w14:val="tx1"/>
            </w14:solidFill>
          </w14:textFill>
        </w:rPr>
      </w:pPr>
    </w:p>
    <w:p w14:paraId="2652CDC5">
      <w:pPr>
        <w:pStyle w:val="182"/>
        <w:tabs>
          <w:tab w:val="left" w:pos="6720"/>
        </w:tabs>
        <w:spacing w:before="0" w:after="0" w:line="440" w:lineRule="atLeast"/>
        <w:ind w:firstLine="484" w:firstLineChars="200"/>
        <w:rPr>
          <w:rFonts w:ascii="Times New Roman" w:hAnsi="Times New Roman" w:eastAsia="宋体"/>
          <w:color w:val="000000" w:themeColor="text1"/>
          <w:spacing w:val="1"/>
          <w:sz w:val="24"/>
          <w:szCs w:val="24"/>
          <w:highlight w:val="none"/>
          <w:lang w:eastAsia="zh-CN"/>
          <w14:textFill>
            <w14:solidFill>
              <w14:schemeClr w14:val="tx1"/>
            </w14:solidFill>
          </w14:textFill>
        </w:rPr>
      </w:pPr>
    </w:p>
    <w:p w14:paraId="2313E823">
      <w:pPr>
        <w:pStyle w:val="160"/>
        <w:spacing w:before="260" w:after="260" w:line="440" w:lineRule="atLeast"/>
        <w:jc w:val="center"/>
        <w:outlineLvl w:val="1"/>
        <w:rPr>
          <w:rFonts w:ascii="Times New Roman" w:hAnsi="Times New Roman" w:eastAsia="黑体"/>
          <w:color w:val="000000" w:themeColor="text1"/>
          <w:sz w:val="24"/>
          <w:szCs w:val="24"/>
          <w:highlight w:val="none"/>
          <w:lang w:eastAsia="zh-CN"/>
          <w14:textFill>
            <w14:solidFill>
              <w14:schemeClr w14:val="tx1"/>
            </w14:solidFill>
          </w14:textFill>
        </w:rPr>
      </w:pPr>
      <w:r>
        <w:rPr>
          <w:rFonts w:ascii="Times New Roman" w:hAnsi="Times New Roman" w:eastAsia="黑体"/>
          <w:color w:val="000000" w:themeColor="text1"/>
          <w:sz w:val="24"/>
          <w:szCs w:val="24"/>
          <w:highlight w:val="none"/>
          <w:lang w:eastAsia="zh-CN"/>
          <w14:textFill>
            <w14:solidFill>
              <w14:schemeClr w14:val="tx1"/>
            </w14:solidFill>
          </w14:textFill>
        </w:rPr>
        <w:br w:type="page"/>
      </w:r>
      <w:bookmarkStart w:id="168" w:name="_Toc510015788"/>
      <w:bookmarkStart w:id="169" w:name="_Toc234833231"/>
    </w:p>
    <w:p w14:paraId="1583A7D9">
      <w:pPr>
        <w:pStyle w:val="160"/>
        <w:spacing w:before="260" w:after="260" w:line="440" w:lineRule="atLeast"/>
        <w:ind w:firstLine="117" w:firstLineChars="49"/>
        <w:outlineLvl w:val="2"/>
        <w:rPr>
          <w:rFonts w:ascii="Times New Roman" w:hAnsi="Times New Roman" w:eastAsia="黑体"/>
          <w:color w:val="000000" w:themeColor="text1"/>
          <w:sz w:val="24"/>
          <w:szCs w:val="24"/>
          <w:highlight w:val="none"/>
          <w:lang w:eastAsia="zh-CN"/>
          <w14:textFill>
            <w14:solidFill>
              <w14:schemeClr w14:val="tx1"/>
            </w14:solidFill>
          </w14:textFill>
        </w:rPr>
      </w:pPr>
      <w:bookmarkStart w:id="170" w:name="_Toc508200460"/>
      <w:bookmarkStart w:id="171" w:name="_Toc508201398"/>
      <w:bookmarkStart w:id="172" w:name="_Toc499646507"/>
      <w:bookmarkStart w:id="173" w:name="_Toc506006182"/>
      <w:r>
        <w:rPr>
          <w:rFonts w:ascii="Times New Roman" w:hAnsi="Times New Roman" w:eastAsia="黑体"/>
          <w:color w:val="000000" w:themeColor="text1"/>
          <w:sz w:val="24"/>
          <w:szCs w:val="24"/>
          <w:highlight w:val="none"/>
          <w:lang w:eastAsia="zh-CN"/>
          <w14:textFill>
            <w14:solidFill>
              <w14:schemeClr w14:val="tx1"/>
            </w14:solidFill>
          </w14:textFill>
        </w:rPr>
        <w:t>附件一：合同协议书</w:t>
      </w:r>
      <w:bookmarkEnd w:id="170"/>
      <w:bookmarkEnd w:id="171"/>
      <w:bookmarkEnd w:id="172"/>
      <w:bookmarkEnd w:id="173"/>
    </w:p>
    <w:p w14:paraId="5916B6DC">
      <w:pPr>
        <w:pStyle w:val="184"/>
        <w:spacing w:beforeLines="50" w:after="120" w:afterLines="50" w:line="440" w:lineRule="atLeast"/>
        <w:ind w:left="3617"/>
        <w:jc w:val="left"/>
        <w:rPr>
          <w:rFonts w:ascii="Times New Roman" w:hAnsi="Times New Roman" w:eastAsia="黑体"/>
          <w:color w:val="000000" w:themeColor="text1"/>
          <w:sz w:val="32"/>
          <w:szCs w:val="32"/>
          <w:highlight w:val="none"/>
          <w:lang w:eastAsia="zh-CN"/>
          <w14:textFill>
            <w14:solidFill>
              <w14:schemeClr w14:val="tx1"/>
            </w14:solidFill>
          </w14:textFill>
        </w:rPr>
      </w:pPr>
      <w:r>
        <w:rPr>
          <w:rFonts w:ascii="Times New Roman" w:hAnsi="Times New Roman" w:eastAsia="黑体"/>
          <w:color w:val="000000" w:themeColor="text1"/>
          <w:sz w:val="32"/>
          <w:szCs w:val="32"/>
          <w:highlight w:val="none"/>
          <w:lang w:eastAsia="zh-CN"/>
          <w14:textFill>
            <w14:solidFill>
              <w14:schemeClr w14:val="tx1"/>
            </w14:solidFill>
          </w14:textFill>
        </w:rPr>
        <w:t>合同协议书</w:t>
      </w:r>
    </w:p>
    <w:p w14:paraId="7D248432">
      <w:pPr>
        <w:pStyle w:val="184"/>
        <w:spacing w:before="0" w:after="0" w:line="440" w:lineRule="atLeast"/>
        <w:ind w:firstLine="484" w:firstLineChars="200"/>
        <w:jc w:val="left"/>
        <w:rPr>
          <w:rFonts w:ascii="Times New Roman" w:hAnsi="Times New Roman" w:eastAsia="宋体"/>
          <w:color w:val="000000" w:themeColor="text1"/>
          <w:spacing w:val="1"/>
          <w:sz w:val="24"/>
          <w:szCs w:val="24"/>
          <w:highlight w:val="none"/>
          <w:lang w:eastAsia="zh-CN"/>
          <w14:textFill>
            <w14:solidFill>
              <w14:schemeClr w14:val="tx1"/>
            </w14:solidFill>
          </w14:textFill>
        </w:rPr>
      </w:pPr>
    </w:p>
    <w:p w14:paraId="448AB590">
      <w:pPr>
        <w:pStyle w:val="184"/>
        <w:spacing w:before="0" w:after="0" w:line="440" w:lineRule="atLeast"/>
        <w:ind w:firstLine="484" w:firstLineChars="200"/>
        <w:jc w:val="left"/>
        <w:rPr>
          <w:rFonts w:ascii="Times New Roman" w:hAnsi="Times New Roman"/>
          <w:color w:val="000000" w:themeColor="text1"/>
          <w:sz w:val="24"/>
          <w:szCs w:val="24"/>
          <w:highlight w:val="none"/>
          <w:lang w:eastAsia="zh-CN"/>
          <w14:textFill>
            <w14:solidFill>
              <w14:schemeClr w14:val="tx1"/>
            </w14:solidFill>
          </w14:textFill>
        </w:rPr>
      </w:pPr>
      <w:r>
        <w:rPr>
          <w:rFonts w:ascii="Times New Roman" w:hAnsi="Times New Roman" w:eastAsia="宋体"/>
          <w:color w:val="000000" w:themeColor="text1"/>
          <w:spacing w:val="1"/>
          <w:sz w:val="24"/>
          <w:szCs w:val="24"/>
          <w:highlight w:val="none"/>
          <w:lang w:eastAsia="zh-CN"/>
          <w14:textFill>
            <w14:solidFill>
              <w14:schemeClr w14:val="tx1"/>
            </w14:solidFill>
          </w14:textFill>
        </w:rPr>
        <w:t>_________</w:t>
      </w:r>
      <w:r>
        <w:rPr>
          <w:rFonts w:ascii="Times New Roman" w:hAnsi="Times New Roman" w:eastAsia="宋体"/>
          <w:color w:val="000000" w:themeColor="text1"/>
          <w:sz w:val="24"/>
          <w:szCs w:val="24"/>
          <w:highlight w:val="none"/>
          <w:lang w:eastAsia="zh-CN"/>
          <w14:textFill>
            <w14:solidFill>
              <w14:schemeClr w14:val="tx1"/>
            </w14:solidFill>
          </w14:textFill>
        </w:rPr>
        <w:t>（委托人名称，以下简称</w:t>
      </w:r>
      <w:r>
        <w:rPr>
          <w:rFonts w:ascii="Times New Roman" w:hAnsi="Times New Roman"/>
          <w:color w:val="000000" w:themeColor="text1"/>
          <w:sz w:val="24"/>
          <w:szCs w:val="24"/>
          <w:highlight w:val="none"/>
          <w:lang w:eastAsia="zh-CN"/>
          <w14:textFill>
            <w14:solidFill>
              <w14:schemeClr w14:val="tx1"/>
            </w14:solidFill>
          </w14:textFill>
        </w:rPr>
        <w:t>“</w:t>
      </w:r>
      <w:r>
        <w:rPr>
          <w:rFonts w:ascii="Times New Roman" w:hAnsi="Times New Roman" w:eastAsia="宋体"/>
          <w:color w:val="000000" w:themeColor="text1"/>
          <w:spacing w:val="1"/>
          <w:sz w:val="24"/>
          <w:szCs w:val="24"/>
          <w:highlight w:val="none"/>
          <w:lang w:eastAsia="zh-CN"/>
          <w14:textFill>
            <w14:solidFill>
              <w14:schemeClr w14:val="tx1"/>
            </w14:solidFill>
          </w14:textFill>
        </w:rPr>
        <w:t>委托人</w:t>
      </w:r>
      <w:r>
        <w:rPr>
          <w:rFonts w:ascii="Times New Roman" w:hAnsi="Times New Roman"/>
          <w:color w:val="000000" w:themeColor="text1"/>
          <w:sz w:val="24"/>
          <w:szCs w:val="24"/>
          <w:highlight w:val="none"/>
          <w:lang w:eastAsia="zh-CN"/>
          <w14:textFill>
            <w14:solidFill>
              <w14:schemeClr w14:val="tx1"/>
            </w14:solidFill>
          </w14:textFill>
        </w:rPr>
        <w:t>”</w:t>
      </w:r>
      <w:r>
        <w:rPr>
          <w:rFonts w:ascii="Times New Roman" w:hAnsi="Times New Roman" w:eastAsia="宋体"/>
          <w:color w:val="000000" w:themeColor="text1"/>
          <w:sz w:val="24"/>
          <w:szCs w:val="24"/>
          <w:highlight w:val="none"/>
          <w:lang w:eastAsia="zh-CN"/>
          <w14:textFill>
            <w14:solidFill>
              <w14:schemeClr w14:val="tx1"/>
            </w14:solidFill>
          </w14:textFill>
        </w:rPr>
        <w:t>）为实施</w:t>
      </w:r>
      <w:r>
        <w:rPr>
          <w:rFonts w:ascii="Times New Roman" w:hAnsi="Times New Roman" w:eastAsia="宋体"/>
          <w:color w:val="000000" w:themeColor="text1"/>
          <w:spacing w:val="1"/>
          <w:sz w:val="24"/>
          <w:szCs w:val="24"/>
          <w:highlight w:val="none"/>
          <w:lang w:eastAsia="zh-CN"/>
          <w14:textFill>
            <w14:solidFill>
              <w14:schemeClr w14:val="tx1"/>
            </w14:solidFill>
          </w14:textFill>
        </w:rPr>
        <w:t>_________</w:t>
      </w:r>
      <w:r>
        <w:rPr>
          <w:rFonts w:ascii="Times New Roman" w:hAnsi="Times New Roman" w:eastAsia="宋体"/>
          <w:color w:val="000000" w:themeColor="text1"/>
          <w:sz w:val="24"/>
          <w:szCs w:val="24"/>
          <w:highlight w:val="none"/>
          <w:lang w:eastAsia="zh-CN"/>
          <w14:textFill>
            <w14:solidFill>
              <w14:schemeClr w14:val="tx1"/>
            </w14:solidFill>
          </w14:textFill>
        </w:rPr>
        <w:t>（项目</w:t>
      </w:r>
      <w:r>
        <w:rPr>
          <w:rFonts w:ascii="Times New Roman" w:hAnsi="Times New Roman" w:eastAsia="宋体"/>
          <w:color w:val="000000" w:themeColor="text1"/>
          <w:spacing w:val="-14"/>
          <w:sz w:val="24"/>
          <w:szCs w:val="24"/>
          <w:highlight w:val="none"/>
          <w:lang w:eastAsia="zh-CN"/>
          <w14:textFill>
            <w14:solidFill>
              <w14:schemeClr w14:val="tx1"/>
            </w14:solidFill>
          </w14:textFill>
        </w:rPr>
        <w:t>名称），已接受</w:t>
      </w:r>
      <w:r>
        <w:rPr>
          <w:rFonts w:ascii="Times New Roman" w:hAnsi="Times New Roman" w:eastAsia="宋体"/>
          <w:color w:val="000000" w:themeColor="text1"/>
          <w:spacing w:val="1"/>
          <w:sz w:val="24"/>
          <w:szCs w:val="24"/>
          <w:highlight w:val="none"/>
          <w:lang w:eastAsia="zh-CN"/>
          <w14:textFill>
            <w14:solidFill>
              <w14:schemeClr w14:val="tx1"/>
            </w14:solidFill>
          </w14:textFill>
        </w:rPr>
        <w:t>_________（咨询人名称，以下简称</w:t>
      </w:r>
      <w:r>
        <w:rPr>
          <w:rFonts w:ascii="Times New Roman" w:hAnsi="Times New Roman"/>
          <w:color w:val="000000" w:themeColor="text1"/>
          <w:sz w:val="24"/>
          <w:szCs w:val="24"/>
          <w:highlight w:val="none"/>
          <w:lang w:eastAsia="zh-CN"/>
          <w14:textFill>
            <w14:solidFill>
              <w14:schemeClr w14:val="tx1"/>
            </w14:solidFill>
          </w14:textFill>
        </w:rPr>
        <w:t>“</w:t>
      </w:r>
      <w:r>
        <w:rPr>
          <w:rFonts w:ascii="Times New Roman" w:hAnsi="Times New Roman" w:eastAsia="宋体"/>
          <w:color w:val="000000" w:themeColor="text1"/>
          <w:spacing w:val="1"/>
          <w:sz w:val="24"/>
          <w:szCs w:val="24"/>
          <w:highlight w:val="none"/>
          <w:lang w:eastAsia="zh-CN"/>
          <w14:textFill>
            <w14:solidFill>
              <w14:schemeClr w14:val="tx1"/>
            </w14:solidFill>
          </w14:textFill>
        </w:rPr>
        <w:t>咨询人</w:t>
      </w:r>
      <w:r>
        <w:rPr>
          <w:rFonts w:ascii="Times New Roman" w:hAnsi="Times New Roman"/>
          <w:color w:val="000000" w:themeColor="text1"/>
          <w:sz w:val="24"/>
          <w:szCs w:val="24"/>
          <w:highlight w:val="none"/>
          <w:lang w:eastAsia="zh-CN"/>
          <w14:textFill>
            <w14:solidFill>
              <w14:schemeClr w14:val="tx1"/>
            </w14:solidFill>
          </w14:textFill>
        </w:rPr>
        <w:t>”</w:t>
      </w:r>
      <w:r>
        <w:rPr>
          <w:rFonts w:ascii="Times New Roman" w:hAnsi="Times New Roman" w:eastAsia="宋体"/>
          <w:color w:val="000000" w:themeColor="text1"/>
          <w:spacing w:val="1"/>
          <w:sz w:val="24"/>
          <w:szCs w:val="24"/>
          <w:highlight w:val="none"/>
          <w:lang w:eastAsia="zh-CN"/>
          <w14:textFill>
            <w14:solidFill>
              <w14:schemeClr w14:val="tx1"/>
            </w14:solidFill>
          </w14:textFill>
        </w:rPr>
        <w:t>）对该项目</w:t>
      </w:r>
      <w:r>
        <w:rPr>
          <w:rFonts w:hint="eastAsia" w:ascii="Times New Roman" w:hAnsi="Times New Roman" w:eastAsia="宋体"/>
          <w:color w:val="000000" w:themeColor="text1"/>
          <w:spacing w:val="1"/>
          <w:sz w:val="24"/>
          <w:szCs w:val="24"/>
          <w:highlight w:val="none"/>
          <w:lang w:val="en-US" w:eastAsia="zh-CN"/>
          <w14:textFill>
            <w14:solidFill>
              <w14:schemeClr w14:val="tx1"/>
            </w14:solidFill>
          </w14:textFill>
        </w:rPr>
        <w:t>施工监控</w:t>
      </w:r>
      <w:r>
        <w:rPr>
          <w:rFonts w:ascii="Times New Roman" w:hAnsi="Times New Roman" w:eastAsia="宋体"/>
          <w:color w:val="000000" w:themeColor="text1"/>
          <w:spacing w:val="1"/>
          <w:sz w:val="24"/>
          <w:szCs w:val="24"/>
          <w:highlight w:val="none"/>
          <w:lang w:eastAsia="zh-CN"/>
          <w14:textFill>
            <w14:solidFill>
              <w14:schemeClr w14:val="tx1"/>
            </w14:solidFill>
          </w14:textFill>
        </w:rPr>
        <w:t>服务投标。</w:t>
      </w:r>
      <w:r>
        <w:rPr>
          <w:rFonts w:ascii="Times New Roman" w:hAnsi="Times New Roman" w:eastAsia="宋体"/>
          <w:color w:val="000000" w:themeColor="text1"/>
          <w:sz w:val="24"/>
          <w:szCs w:val="24"/>
          <w:highlight w:val="none"/>
          <w:lang w:eastAsia="zh-CN"/>
          <w14:textFill>
            <w14:solidFill>
              <w14:schemeClr w14:val="tx1"/>
            </w14:solidFill>
          </w14:textFill>
        </w:rPr>
        <w:t>委托人和咨询人共同达成如下协议。</w:t>
      </w:r>
    </w:p>
    <w:p w14:paraId="36E7A010">
      <w:pPr>
        <w:pStyle w:val="184"/>
        <w:spacing w:before="0" w:after="0" w:line="440" w:lineRule="atLeast"/>
        <w:ind w:firstLine="484" w:firstLineChars="200"/>
        <w:jc w:val="left"/>
        <w:rPr>
          <w:rFonts w:ascii="Times New Roman" w:hAnsi="Times New Roman"/>
          <w:color w:val="000000" w:themeColor="text1"/>
          <w:sz w:val="24"/>
          <w:szCs w:val="24"/>
          <w:highlight w:val="none"/>
          <w:lang w:eastAsia="zh-CN"/>
          <w14:textFill>
            <w14:solidFill>
              <w14:schemeClr w14:val="tx1"/>
            </w14:solidFill>
          </w14:textFill>
        </w:rPr>
      </w:pPr>
      <w:r>
        <w:rPr>
          <w:rFonts w:ascii="Times New Roman" w:hAnsi="Times New Roman"/>
          <w:color w:val="000000" w:themeColor="text1"/>
          <w:spacing w:val="1"/>
          <w:sz w:val="24"/>
          <w:szCs w:val="24"/>
          <w:highlight w:val="none"/>
          <w:lang w:eastAsia="zh-CN"/>
          <w14:textFill>
            <w14:solidFill>
              <w14:schemeClr w14:val="tx1"/>
            </w14:solidFill>
          </w14:textFill>
        </w:rPr>
        <w:t xml:space="preserve">1. </w:t>
      </w:r>
      <w:r>
        <w:rPr>
          <w:rFonts w:ascii="Times New Roman" w:hAnsi="Times New Roman" w:eastAsia="宋体"/>
          <w:color w:val="000000" w:themeColor="text1"/>
          <w:sz w:val="24"/>
          <w:szCs w:val="24"/>
          <w:highlight w:val="none"/>
          <w:lang w:eastAsia="zh-CN"/>
          <w14:textFill>
            <w14:solidFill>
              <w14:schemeClr w14:val="tx1"/>
            </w14:solidFill>
          </w14:textFill>
        </w:rPr>
        <w:t>下列文件一起构成合同文件：</w:t>
      </w:r>
    </w:p>
    <w:p w14:paraId="5DA40B6D">
      <w:pPr>
        <w:pStyle w:val="184"/>
        <w:spacing w:before="0" w:after="0" w:line="440" w:lineRule="atLeast"/>
        <w:ind w:firstLine="484" w:firstLineChars="200"/>
        <w:jc w:val="left"/>
        <w:rPr>
          <w:rFonts w:ascii="Times New Roman" w:hAnsi="Times New Roman"/>
          <w:color w:val="000000" w:themeColor="text1"/>
          <w:sz w:val="24"/>
          <w:szCs w:val="24"/>
          <w:highlight w:val="none"/>
          <w:lang w:eastAsia="zh-CN"/>
          <w14:textFill>
            <w14:solidFill>
              <w14:schemeClr w14:val="tx1"/>
            </w14:solidFill>
          </w14:textFill>
        </w:rPr>
      </w:pPr>
      <w:r>
        <w:rPr>
          <w:rFonts w:ascii="Times New Roman" w:hAnsi="Times New Roman" w:eastAsia="宋体"/>
          <w:color w:val="000000" w:themeColor="text1"/>
          <w:spacing w:val="1"/>
          <w:sz w:val="24"/>
          <w:szCs w:val="24"/>
          <w:highlight w:val="none"/>
          <w:lang w:eastAsia="zh-CN"/>
          <w14:textFill>
            <w14:solidFill>
              <w14:schemeClr w14:val="tx1"/>
            </w14:solidFill>
          </w14:textFill>
        </w:rPr>
        <w:t>（</w:t>
      </w:r>
      <w:r>
        <w:rPr>
          <w:rFonts w:ascii="Times New Roman" w:hAnsi="Times New Roman"/>
          <w:color w:val="000000" w:themeColor="text1"/>
          <w:spacing w:val="1"/>
          <w:sz w:val="24"/>
          <w:szCs w:val="24"/>
          <w:highlight w:val="none"/>
          <w:lang w:eastAsia="zh-CN"/>
          <w14:textFill>
            <w14:solidFill>
              <w14:schemeClr w14:val="tx1"/>
            </w14:solidFill>
          </w14:textFill>
        </w:rPr>
        <w:t>1</w:t>
      </w:r>
      <w:r>
        <w:rPr>
          <w:rFonts w:ascii="Times New Roman" w:hAnsi="Times New Roman" w:eastAsia="宋体"/>
          <w:color w:val="000000" w:themeColor="text1"/>
          <w:sz w:val="24"/>
          <w:szCs w:val="24"/>
          <w:highlight w:val="none"/>
          <w:lang w:eastAsia="zh-CN"/>
          <w14:textFill>
            <w14:solidFill>
              <w14:schemeClr w14:val="tx1"/>
            </w14:solidFill>
          </w14:textFill>
        </w:rPr>
        <w:t>）合同协议书；</w:t>
      </w:r>
    </w:p>
    <w:p w14:paraId="40A455CB">
      <w:pPr>
        <w:pStyle w:val="184"/>
        <w:spacing w:before="0" w:after="0" w:line="440" w:lineRule="atLeast"/>
        <w:ind w:firstLine="484" w:firstLineChars="200"/>
        <w:jc w:val="left"/>
        <w:rPr>
          <w:rFonts w:ascii="Times New Roman" w:hAnsi="Times New Roman"/>
          <w:color w:val="000000" w:themeColor="text1"/>
          <w:sz w:val="24"/>
          <w:szCs w:val="24"/>
          <w:highlight w:val="none"/>
          <w:lang w:eastAsia="zh-CN"/>
          <w14:textFill>
            <w14:solidFill>
              <w14:schemeClr w14:val="tx1"/>
            </w14:solidFill>
          </w14:textFill>
        </w:rPr>
      </w:pPr>
      <w:r>
        <w:rPr>
          <w:rFonts w:ascii="Times New Roman" w:hAnsi="Times New Roman" w:eastAsia="宋体"/>
          <w:color w:val="000000" w:themeColor="text1"/>
          <w:spacing w:val="1"/>
          <w:sz w:val="24"/>
          <w:szCs w:val="24"/>
          <w:highlight w:val="none"/>
          <w:lang w:eastAsia="zh-CN"/>
          <w14:textFill>
            <w14:solidFill>
              <w14:schemeClr w14:val="tx1"/>
            </w14:solidFill>
          </w14:textFill>
        </w:rPr>
        <w:t>（</w:t>
      </w:r>
      <w:r>
        <w:rPr>
          <w:rFonts w:ascii="Times New Roman" w:hAnsi="Times New Roman"/>
          <w:color w:val="000000" w:themeColor="text1"/>
          <w:spacing w:val="1"/>
          <w:sz w:val="24"/>
          <w:szCs w:val="24"/>
          <w:highlight w:val="none"/>
          <w:lang w:eastAsia="zh-CN"/>
          <w14:textFill>
            <w14:solidFill>
              <w14:schemeClr w14:val="tx1"/>
            </w14:solidFill>
          </w14:textFill>
        </w:rPr>
        <w:t>2</w:t>
      </w:r>
      <w:r>
        <w:rPr>
          <w:rFonts w:ascii="Times New Roman" w:hAnsi="Times New Roman" w:eastAsia="宋体"/>
          <w:color w:val="000000" w:themeColor="text1"/>
          <w:sz w:val="24"/>
          <w:szCs w:val="24"/>
          <w:highlight w:val="none"/>
          <w:lang w:eastAsia="zh-CN"/>
          <w14:textFill>
            <w14:solidFill>
              <w14:schemeClr w14:val="tx1"/>
            </w14:solidFill>
          </w14:textFill>
        </w:rPr>
        <w:t>）</w:t>
      </w:r>
      <w:r>
        <w:rPr>
          <w:rFonts w:hint="eastAsia" w:ascii="Times New Roman" w:hAnsi="Times New Roman" w:eastAsia="宋体"/>
          <w:color w:val="000000" w:themeColor="text1"/>
          <w:sz w:val="24"/>
          <w:szCs w:val="24"/>
          <w:highlight w:val="none"/>
          <w:lang w:eastAsia="zh-CN"/>
          <w14:textFill>
            <w14:solidFill>
              <w14:schemeClr w14:val="tx1"/>
            </w14:solidFill>
          </w14:textFill>
        </w:rPr>
        <w:t>成交</w:t>
      </w:r>
      <w:r>
        <w:rPr>
          <w:rFonts w:ascii="Times New Roman" w:hAnsi="Times New Roman" w:eastAsia="宋体"/>
          <w:color w:val="000000" w:themeColor="text1"/>
          <w:sz w:val="24"/>
          <w:szCs w:val="24"/>
          <w:highlight w:val="none"/>
          <w:lang w:eastAsia="zh-CN"/>
          <w14:textFill>
            <w14:solidFill>
              <w14:schemeClr w14:val="tx1"/>
            </w14:solidFill>
          </w14:textFill>
        </w:rPr>
        <w:t>通知书；</w:t>
      </w:r>
    </w:p>
    <w:p w14:paraId="364A30D4">
      <w:pPr>
        <w:pStyle w:val="184"/>
        <w:spacing w:before="0" w:after="0" w:line="440" w:lineRule="atLeast"/>
        <w:ind w:firstLine="484" w:firstLineChars="200"/>
        <w:jc w:val="left"/>
        <w:rPr>
          <w:rFonts w:ascii="Times New Roman" w:hAnsi="Times New Roman"/>
          <w:color w:val="000000" w:themeColor="text1"/>
          <w:sz w:val="24"/>
          <w:szCs w:val="24"/>
          <w:highlight w:val="none"/>
          <w:lang w:eastAsia="zh-CN"/>
          <w14:textFill>
            <w14:solidFill>
              <w14:schemeClr w14:val="tx1"/>
            </w14:solidFill>
          </w14:textFill>
        </w:rPr>
      </w:pPr>
      <w:r>
        <w:rPr>
          <w:rFonts w:ascii="Times New Roman" w:hAnsi="Times New Roman" w:eastAsia="宋体"/>
          <w:color w:val="000000" w:themeColor="text1"/>
          <w:spacing w:val="1"/>
          <w:sz w:val="24"/>
          <w:szCs w:val="24"/>
          <w:highlight w:val="none"/>
          <w:lang w:eastAsia="zh-CN"/>
          <w14:textFill>
            <w14:solidFill>
              <w14:schemeClr w14:val="tx1"/>
            </w14:solidFill>
          </w14:textFill>
        </w:rPr>
        <w:t>（</w:t>
      </w:r>
      <w:r>
        <w:rPr>
          <w:rFonts w:ascii="Times New Roman" w:hAnsi="Times New Roman"/>
          <w:color w:val="000000" w:themeColor="text1"/>
          <w:spacing w:val="1"/>
          <w:sz w:val="24"/>
          <w:szCs w:val="24"/>
          <w:highlight w:val="none"/>
          <w:lang w:eastAsia="zh-CN"/>
          <w14:textFill>
            <w14:solidFill>
              <w14:schemeClr w14:val="tx1"/>
            </w14:solidFill>
          </w14:textFill>
        </w:rPr>
        <w:t>3</w:t>
      </w:r>
      <w:r>
        <w:rPr>
          <w:rFonts w:ascii="Times New Roman" w:hAnsi="Times New Roman" w:eastAsia="宋体"/>
          <w:color w:val="000000" w:themeColor="text1"/>
          <w:sz w:val="24"/>
          <w:szCs w:val="24"/>
          <w:highlight w:val="none"/>
          <w:lang w:eastAsia="zh-CN"/>
          <w14:textFill>
            <w14:solidFill>
              <w14:schemeClr w14:val="tx1"/>
            </w14:solidFill>
          </w14:textFill>
        </w:rPr>
        <w:t>）</w:t>
      </w:r>
      <w:r>
        <w:rPr>
          <w:rFonts w:hint="eastAsia" w:ascii="Times New Roman" w:hAnsi="Times New Roman" w:eastAsia="宋体"/>
          <w:color w:val="000000" w:themeColor="text1"/>
          <w:sz w:val="24"/>
          <w:szCs w:val="24"/>
          <w:highlight w:val="none"/>
          <w:lang w:eastAsia="zh-CN"/>
          <w14:textFill>
            <w14:solidFill>
              <w14:schemeClr w14:val="tx1"/>
            </w14:solidFill>
          </w14:textFill>
        </w:rPr>
        <w:t>响应</w:t>
      </w:r>
      <w:r>
        <w:rPr>
          <w:rFonts w:ascii="Times New Roman" w:hAnsi="Times New Roman" w:eastAsia="宋体"/>
          <w:color w:val="000000" w:themeColor="text1"/>
          <w:sz w:val="24"/>
          <w:szCs w:val="24"/>
          <w:highlight w:val="none"/>
          <w:lang w:eastAsia="zh-CN"/>
          <w14:textFill>
            <w14:solidFill>
              <w14:schemeClr w14:val="tx1"/>
            </w14:solidFill>
          </w14:textFill>
        </w:rPr>
        <w:t>函；</w:t>
      </w:r>
    </w:p>
    <w:p w14:paraId="3D7033E0">
      <w:pPr>
        <w:pStyle w:val="184"/>
        <w:spacing w:before="0" w:after="0" w:line="440" w:lineRule="atLeast"/>
        <w:ind w:firstLine="484" w:firstLineChars="200"/>
        <w:jc w:val="left"/>
        <w:rPr>
          <w:rFonts w:ascii="Times New Roman" w:hAnsi="Times New Roman"/>
          <w:color w:val="000000" w:themeColor="text1"/>
          <w:sz w:val="24"/>
          <w:szCs w:val="24"/>
          <w:highlight w:val="none"/>
          <w:lang w:eastAsia="zh-CN"/>
          <w14:textFill>
            <w14:solidFill>
              <w14:schemeClr w14:val="tx1"/>
            </w14:solidFill>
          </w14:textFill>
        </w:rPr>
      </w:pPr>
      <w:r>
        <w:rPr>
          <w:rFonts w:ascii="Times New Roman" w:hAnsi="Times New Roman" w:eastAsia="宋体"/>
          <w:color w:val="000000" w:themeColor="text1"/>
          <w:spacing w:val="1"/>
          <w:sz w:val="24"/>
          <w:szCs w:val="24"/>
          <w:highlight w:val="none"/>
          <w:lang w:eastAsia="zh-CN"/>
          <w14:textFill>
            <w14:solidFill>
              <w14:schemeClr w14:val="tx1"/>
            </w14:solidFill>
          </w14:textFill>
        </w:rPr>
        <w:t>（</w:t>
      </w:r>
      <w:r>
        <w:rPr>
          <w:rFonts w:ascii="Times New Roman" w:hAnsi="Times New Roman"/>
          <w:color w:val="000000" w:themeColor="text1"/>
          <w:spacing w:val="1"/>
          <w:sz w:val="24"/>
          <w:szCs w:val="24"/>
          <w:highlight w:val="none"/>
          <w:lang w:eastAsia="zh-CN"/>
          <w14:textFill>
            <w14:solidFill>
              <w14:schemeClr w14:val="tx1"/>
            </w14:solidFill>
          </w14:textFill>
        </w:rPr>
        <w:t>4</w:t>
      </w:r>
      <w:r>
        <w:rPr>
          <w:rFonts w:ascii="Times New Roman" w:hAnsi="Times New Roman" w:eastAsia="宋体"/>
          <w:color w:val="000000" w:themeColor="text1"/>
          <w:sz w:val="24"/>
          <w:szCs w:val="24"/>
          <w:highlight w:val="none"/>
          <w:lang w:eastAsia="zh-CN"/>
          <w14:textFill>
            <w14:solidFill>
              <w14:schemeClr w14:val="tx1"/>
            </w14:solidFill>
          </w14:textFill>
        </w:rPr>
        <w:t>）专用合同条款；</w:t>
      </w:r>
    </w:p>
    <w:p w14:paraId="5EAA1474">
      <w:pPr>
        <w:pStyle w:val="184"/>
        <w:spacing w:before="0" w:after="0" w:line="440" w:lineRule="atLeast"/>
        <w:ind w:firstLine="484" w:firstLineChars="200"/>
        <w:jc w:val="left"/>
        <w:rPr>
          <w:rFonts w:ascii="Times New Roman" w:hAnsi="Times New Roman"/>
          <w:color w:val="000000" w:themeColor="text1"/>
          <w:sz w:val="24"/>
          <w:szCs w:val="24"/>
          <w:highlight w:val="none"/>
          <w:lang w:eastAsia="zh-CN"/>
          <w14:textFill>
            <w14:solidFill>
              <w14:schemeClr w14:val="tx1"/>
            </w14:solidFill>
          </w14:textFill>
        </w:rPr>
      </w:pPr>
      <w:r>
        <w:rPr>
          <w:rFonts w:ascii="Times New Roman" w:hAnsi="Times New Roman" w:eastAsia="宋体"/>
          <w:color w:val="000000" w:themeColor="text1"/>
          <w:spacing w:val="1"/>
          <w:sz w:val="24"/>
          <w:szCs w:val="24"/>
          <w:highlight w:val="none"/>
          <w:lang w:eastAsia="zh-CN"/>
          <w14:textFill>
            <w14:solidFill>
              <w14:schemeClr w14:val="tx1"/>
            </w14:solidFill>
          </w14:textFill>
        </w:rPr>
        <w:t>（</w:t>
      </w:r>
      <w:r>
        <w:rPr>
          <w:rFonts w:ascii="Times New Roman" w:hAnsi="Times New Roman"/>
          <w:color w:val="000000" w:themeColor="text1"/>
          <w:spacing w:val="1"/>
          <w:sz w:val="24"/>
          <w:szCs w:val="24"/>
          <w:highlight w:val="none"/>
          <w:lang w:eastAsia="zh-CN"/>
          <w14:textFill>
            <w14:solidFill>
              <w14:schemeClr w14:val="tx1"/>
            </w14:solidFill>
          </w14:textFill>
        </w:rPr>
        <w:t>5</w:t>
      </w:r>
      <w:r>
        <w:rPr>
          <w:rFonts w:ascii="Times New Roman" w:hAnsi="Times New Roman" w:eastAsia="宋体"/>
          <w:color w:val="000000" w:themeColor="text1"/>
          <w:sz w:val="24"/>
          <w:szCs w:val="24"/>
          <w:highlight w:val="none"/>
          <w:lang w:eastAsia="zh-CN"/>
          <w14:textFill>
            <w14:solidFill>
              <w14:schemeClr w14:val="tx1"/>
            </w14:solidFill>
          </w14:textFill>
        </w:rPr>
        <w:t>）通用合同条款；</w:t>
      </w:r>
    </w:p>
    <w:p w14:paraId="7A94A056">
      <w:pPr>
        <w:pStyle w:val="184"/>
        <w:spacing w:before="0" w:after="0" w:line="440" w:lineRule="atLeast"/>
        <w:ind w:firstLine="484" w:firstLineChars="200"/>
        <w:jc w:val="left"/>
        <w:rPr>
          <w:rFonts w:ascii="Times New Roman" w:hAnsi="Times New Roman"/>
          <w:color w:val="000000" w:themeColor="text1"/>
          <w:sz w:val="24"/>
          <w:szCs w:val="24"/>
          <w:highlight w:val="none"/>
          <w:lang w:eastAsia="zh-CN"/>
          <w14:textFill>
            <w14:solidFill>
              <w14:schemeClr w14:val="tx1"/>
            </w14:solidFill>
          </w14:textFill>
        </w:rPr>
      </w:pPr>
      <w:r>
        <w:rPr>
          <w:rFonts w:ascii="Times New Roman" w:hAnsi="Times New Roman" w:eastAsia="宋体"/>
          <w:color w:val="000000" w:themeColor="text1"/>
          <w:spacing w:val="1"/>
          <w:sz w:val="24"/>
          <w:szCs w:val="24"/>
          <w:highlight w:val="none"/>
          <w:lang w:eastAsia="zh-CN"/>
          <w14:textFill>
            <w14:solidFill>
              <w14:schemeClr w14:val="tx1"/>
            </w14:solidFill>
          </w14:textFill>
        </w:rPr>
        <w:t>（</w:t>
      </w:r>
      <w:r>
        <w:rPr>
          <w:rFonts w:ascii="Times New Roman" w:hAnsi="Times New Roman"/>
          <w:color w:val="000000" w:themeColor="text1"/>
          <w:spacing w:val="1"/>
          <w:sz w:val="24"/>
          <w:szCs w:val="24"/>
          <w:highlight w:val="none"/>
          <w:lang w:eastAsia="zh-CN"/>
          <w14:textFill>
            <w14:solidFill>
              <w14:schemeClr w14:val="tx1"/>
            </w14:solidFill>
          </w14:textFill>
        </w:rPr>
        <w:t>6</w:t>
      </w:r>
      <w:r>
        <w:rPr>
          <w:rFonts w:ascii="Times New Roman" w:hAnsi="Times New Roman" w:eastAsia="宋体"/>
          <w:color w:val="000000" w:themeColor="text1"/>
          <w:sz w:val="24"/>
          <w:szCs w:val="24"/>
          <w:highlight w:val="none"/>
          <w:lang w:eastAsia="zh-CN"/>
          <w14:textFill>
            <w14:solidFill>
              <w14:schemeClr w14:val="tx1"/>
            </w14:solidFill>
          </w14:textFill>
        </w:rPr>
        <w:t>）委托人要求；</w:t>
      </w:r>
    </w:p>
    <w:p w14:paraId="49E1B585">
      <w:pPr>
        <w:pStyle w:val="184"/>
        <w:spacing w:before="0" w:after="0" w:line="440" w:lineRule="atLeast"/>
        <w:ind w:firstLine="484" w:firstLineChars="200"/>
        <w:jc w:val="left"/>
        <w:rPr>
          <w:rFonts w:ascii="Times New Roman" w:hAnsi="Times New Roman"/>
          <w:color w:val="000000" w:themeColor="text1"/>
          <w:sz w:val="24"/>
          <w:szCs w:val="24"/>
          <w:highlight w:val="none"/>
          <w:lang w:eastAsia="zh-CN"/>
          <w14:textFill>
            <w14:solidFill>
              <w14:schemeClr w14:val="tx1"/>
            </w14:solidFill>
          </w14:textFill>
        </w:rPr>
      </w:pPr>
      <w:r>
        <w:rPr>
          <w:rFonts w:ascii="Times New Roman" w:hAnsi="Times New Roman" w:eastAsia="宋体"/>
          <w:color w:val="000000" w:themeColor="text1"/>
          <w:spacing w:val="1"/>
          <w:sz w:val="24"/>
          <w:szCs w:val="24"/>
          <w:highlight w:val="none"/>
          <w:lang w:eastAsia="zh-CN"/>
          <w14:textFill>
            <w14:solidFill>
              <w14:schemeClr w14:val="tx1"/>
            </w14:solidFill>
          </w14:textFill>
        </w:rPr>
        <w:t>（</w:t>
      </w:r>
      <w:r>
        <w:rPr>
          <w:rFonts w:ascii="Times New Roman" w:hAnsi="Times New Roman"/>
          <w:color w:val="000000" w:themeColor="text1"/>
          <w:spacing w:val="1"/>
          <w:sz w:val="24"/>
          <w:szCs w:val="24"/>
          <w:highlight w:val="none"/>
          <w:lang w:eastAsia="zh-CN"/>
          <w14:textFill>
            <w14:solidFill>
              <w14:schemeClr w14:val="tx1"/>
            </w14:solidFill>
          </w14:textFill>
        </w:rPr>
        <w:t>7</w:t>
      </w:r>
      <w:r>
        <w:rPr>
          <w:rFonts w:ascii="Times New Roman" w:hAnsi="Times New Roman" w:eastAsia="宋体"/>
          <w:color w:val="000000" w:themeColor="text1"/>
          <w:sz w:val="24"/>
          <w:szCs w:val="24"/>
          <w:highlight w:val="none"/>
          <w:lang w:eastAsia="zh-CN"/>
          <w14:textFill>
            <w14:solidFill>
              <w14:schemeClr w14:val="tx1"/>
            </w14:solidFill>
          </w14:textFill>
        </w:rPr>
        <w:t>）</w:t>
      </w:r>
      <w:r>
        <w:rPr>
          <w:rFonts w:hint="eastAsia" w:ascii="Times New Roman" w:hAnsi="Times New Roman" w:eastAsia="宋体"/>
          <w:color w:val="000000" w:themeColor="text1"/>
          <w:sz w:val="24"/>
          <w:szCs w:val="24"/>
          <w:highlight w:val="none"/>
          <w:lang w:val="en-US" w:eastAsia="zh-CN"/>
          <w14:textFill>
            <w14:solidFill>
              <w14:schemeClr w14:val="tx1"/>
            </w14:solidFill>
          </w14:textFill>
        </w:rPr>
        <w:t>施工监控</w:t>
      </w:r>
      <w:r>
        <w:rPr>
          <w:rFonts w:ascii="Times New Roman" w:hAnsi="Times New Roman" w:eastAsia="宋体"/>
          <w:color w:val="000000" w:themeColor="text1"/>
          <w:sz w:val="24"/>
          <w:szCs w:val="24"/>
          <w:highlight w:val="none"/>
          <w:lang w:eastAsia="zh-CN"/>
          <w14:textFill>
            <w14:solidFill>
              <w14:schemeClr w14:val="tx1"/>
            </w14:solidFill>
          </w14:textFill>
        </w:rPr>
        <w:t>服务费用清单；</w:t>
      </w:r>
    </w:p>
    <w:p w14:paraId="36D6B352">
      <w:pPr>
        <w:pStyle w:val="184"/>
        <w:spacing w:before="0" w:after="0" w:line="440" w:lineRule="atLeast"/>
        <w:ind w:firstLine="484" w:firstLineChars="200"/>
        <w:jc w:val="left"/>
        <w:rPr>
          <w:rFonts w:ascii="Times New Roman" w:hAnsi="Times New Roman" w:eastAsia="宋体"/>
          <w:color w:val="000000" w:themeColor="text1"/>
          <w:sz w:val="24"/>
          <w:szCs w:val="24"/>
          <w:highlight w:val="none"/>
          <w:lang w:eastAsia="zh-CN"/>
          <w14:textFill>
            <w14:solidFill>
              <w14:schemeClr w14:val="tx1"/>
            </w14:solidFill>
          </w14:textFill>
        </w:rPr>
      </w:pPr>
      <w:r>
        <w:rPr>
          <w:rFonts w:ascii="Times New Roman" w:hAnsi="Times New Roman" w:eastAsia="宋体"/>
          <w:color w:val="000000" w:themeColor="text1"/>
          <w:spacing w:val="1"/>
          <w:sz w:val="24"/>
          <w:szCs w:val="24"/>
          <w:highlight w:val="none"/>
          <w:lang w:eastAsia="zh-CN"/>
          <w14:textFill>
            <w14:solidFill>
              <w14:schemeClr w14:val="tx1"/>
            </w14:solidFill>
          </w14:textFill>
        </w:rPr>
        <w:t>（</w:t>
      </w:r>
      <w:r>
        <w:rPr>
          <w:rFonts w:ascii="Times New Roman" w:hAnsi="Times New Roman"/>
          <w:color w:val="000000" w:themeColor="text1"/>
          <w:spacing w:val="1"/>
          <w:sz w:val="24"/>
          <w:szCs w:val="24"/>
          <w:highlight w:val="none"/>
          <w:lang w:eastAsia="zh-CN"/>
          <w14:textFill>
            <w14:solidFill>
              <w14:schemeClr w14:val="tx1"/>
            </w14:solidFill>
          </w14:textFill>
        </w:rPr>
        <w:t>8</w:t>
      </w:r>
      <w:r>
        <w:rPr>
          <w:rFonts w:ascii="Times New Roman" w:hAnsi="Times New Roman" w:eastAsia="宋体"/>
          <w:color w:val="000000" w:themeColor="text1"/>
          <w:sz w:val="24"/>
          <w:szCs w:val="24"/>
          <w:highlight w:val="none"/>
          <w:lang w:eastAsia="zh-CN"/>
          <w14:textFill>
            <w14:solidFill>
              <w14:schemeClr w14:val="tx1"/>
            </w14:solidFill>
          </w14:textFill>
        </w:rPr>
        <w:t>）</w:t>
      </w:r>
      <w:r>
        <w:rPr>
          <w:rFonts w:hint="eastAsia" w:ascii="Times New Roman" w:hAnsi="Times New Roman" w:eastAsia="宋体"/>
          <w:color w:val="000000" w:themeColor="text1"/>
          <w:sz w:val="24"/>
          <w:szCs w:val="24"/>
          <w:highlight w:val="none"/>
          <w:lang w:val="en-US" w:eastAsia="zh-CN"/>
          <w14:textFill>
            <w14:solidFill>
              <w14:schemeClr w14:val="tx1"/>
            </w14:solidFill>
          </w14:textFill>
        </w:rPr>
        <w:t>施工监控</w:t>
      </w:r>
      <w:r>
        <w:rPr>
          <w:rFonts w:ascii="Times New Roman" w:hAnsi="Times New Roman" w:eastAsia="宋体"/>
          <w:color w:val="000000" w:themeColor="text1"/>
          <w:sz w:val="24"/>
          <w:szCs w:val="24"/>
          <w:highlight w:val="none"/>
          <w:lang w:eastAsia="zh-CN"/>
          <w14:textFill>
            <w14:solidFill>
              <w14:schemeClr w14:val="tx1"/>
            </w14:solidFill>
          </w14:textFill>
        </w:rPr>
        <w:t>服务方案；</w:t>
      </w:r>
    </w:p>
    <w:p w14:paraId="4FD4CC6C">
      <w:pPr>
        <w:pStyle w:val="184"/>
        <w:spacing w:before="0" w:after="0" w:line="440" w:lineRule="atLeast"/>
        <w:ind w:firstLine="484" w:firstLineChars="200"/>
        <w:jc w:val="left"/>
        <w:rPr>
          <w:rFonts w:ascii="Times New Roman" w:hAnsi="Times New Roman" w:eastAsia="宋体"/>
          <w:color w:val="000000" w:themeColor="text1"/>
          <w:sz w:val="24"/>
          <w:szCs w:val="24"/>
          <w:highlight w:val="none"/>
          <w:lang w:eastAsia="zh-CN"/>
          <w14:textFill>
            <w14:solidFill>
              <w14:schemeClr w14:val="tx1"/>
            </w14:solidFill>
          </w14:textFill>
        </w:rPr>
      </w:pPr>
      <w:r>
        <w:rPr>
          <w:rFonts w:ascii="Times New Roman" w:hAnsi="Times New Roman" w:eastAsia="宋体"/>
          <w:color w:val="000000" w:themeColor="text1"/>
          <w:spacing w:val="1"/>
          <w:sz w:val="24"/>
          <w:szCs w:val="24"/>
          <w:highlight w:val="none"/>
          <w:lang w:eastAsia="zh-CN"/>
          <w14:textFill>
            <w14:solidFill>
              <w14:schemeClr w14:val="tx1"/>
            </w14:solidFill>
          </w14:textFill>
        </w:rPr>
        <w:t>（</w:t>
      </w:r>
      <w:r>
        <w:rPr>
          <w:rFonts w:ascii="Times New Roman" w:hAnsi="Times New Roman"/>
          <w:color w:val="000000" w:themeColor="text1"/>
          <w:spacing w:val="1"/>
          <w:sz w:val="24"/>
          <w:szCs w:val="24"/>
          <w:highlight w:val="none"/>
          <w:lang w:eastAsia="zh-CN"/>
          <w14:textFill>
            <w14:solidFill>
              <w14:schemeClr w14:val="tx1"/>
            </w14:solidFill>
          </w14:textFill>
        </w:rPr>
        <w:t>9</w:t>
      </w:r>
      <w:r>
        <w:rPr>
          <w:rFonts w:ascii="Times New Roman" w:hAnsi="Times New Roman" w:eastAsia="宋体"/>
          <w:color w:val="000000" w:themeColor="text1"/>
          <w:sz w:val="24"/>
          <w:szCs w:val="24"/>
          <w:highlight w:val="none"/>
          <w:lang w:eastAsia="zh-CN"/>
          <w14:textFill>
            <w14:solidFill>
              <w14:schemeClr w14:val="tx1"/>
            </w14:solidFill>
          </w14:textFill>
        </w:rPr>
        <w:t>）附录，即：</w:t>
      </w:r>
    </w:p>
    <w:p w14:paraId="4DF40575">
      <w:pPr>
        <w:pStyle w:val="184"/>
        <w:spacing w:before="0" w:after="0" w:line="440" w:lineRule="atLeast"/>
        <w:ind w:firstLine="1132" w:firstLineChars="472"/>
        <w:jc w:val="left"/>
        <w:rPr>
          <w:rFonts w:hint="default" w:ascii="Times New Roman" w:hAnsi="Times New Roman" w:eastAsia="宋体"/>
          <w:color w:val="000000" w:themeColor="text1"/>
          <w:sz w:val="24"/>
          <w:szCs w:val="24"/>
          <w:highlight w:val="none"/>
          <w:lang w:val="en-US" w:eastAsia="zh-CN"/>
          <w14:textFill>
            <w14:solidFill>
              <w14:schemeClr w14:val="tx1"/>
            </w14:solidFill>
          </w14:textFill>
        </w:rPr>
      </w:pPr>
      <w:r>
        <w:rPr>
          <w:rFonts w:ascii="Times New Roman" w:hAnsi="Times New Roman" w:eastAsia="宋体"/>
          <w:color w:val="000000" w:themeColor="text1"/>
          <w:sz w:val="24"/>
          <w:szCs w:val="24"/>
          <w:highlight w:val="none"/>
          <w:lang w:eastAsia="zh-CN"/>
          <w14:textFill>
            <w14:solidFill>
              <w14:schemeClr w14:val="tx1"/>
            </w14:solidFill>
          </w14:textFill>
        </w:rPr>
        <w:t xml:space="preserve">附录A  </w:t>
      </w:r>
      <w:r>
        <w:rPr>
          <w:rFonts w:hint="eastAsia" w:ascii="Times New Roman" w:hAnsi="Times New Roman" w:eastAsia="宋体"/>
          <w:color w:val="000000" w:themeColor="text1"/>
          <w:sz w:val="24"/>
          <w:szCs w:val="24"/>
          <w:highlight w:val="none"/>
          <w:lang w:val="en-US" w:eastAsia="zh-CN"/>
          <w14:textFill>
            <w14:solidFill>
              <w14:schemeClr w14:val="tx1"/>
            </w14:solidFill>
          </w14:textFill>
        </w:rPr>
        <w:t>施工监控技术咨询服务合同清单</w:t>
      </w:r>
    </w:p>
    <w:p w14:paraId="7F4D2E46">
      <w:pPr>
        <w:pStyle w:val="184"/>
        <w:spacing w:before="0" w:after="0" w:line="440" w:lineRule="atLeast"/>
        <w:ind w:firstLine="1132" w:firstLineChars="472"/>
        <w:jc w:val="left"/>
        <w:rPr>
          <w:rFonts w:ascii="Times New Roman" w:hAnsi="Times New Roman" w:eastAsia="宋体"/>
          <w:color w:val="000000" w:themeColor="text1"/>
          <w:sz w:val="24"/>
          <w:szCs w:val="24"/>
          <w:highlight w:val="none"/>
          <w:lang w:eastAsia="zh-CN"/>
          <w14:textFill>
            <w14:solidFill>
              <w14:schemeClr w14:val="tx1"/>
            </w14:solidFill>
          </w14:textFill>
        </w:rPr>
      </w:pPr>
      <w:r>
        <w:rPr>
          <w:rFonts w:ascii="Times New Roman" w:hAnsi="Times New Roman" w:eastAsia="宋体"/>
          <w:color w:val="000000" w:themeColor="text1"/>
          <w:sz w:val="24"/>
          <w:szCs w:val="24"/>
          <w:highlight w:val="none"/>
          <w:lang w:eastAsia="zh-CN"/>
          <w14:textFill>
            <w14:solidFill>
              <w14:schemeClr w14:val="tx1"/>
            </w14:solidFill>
          </w14:textFill>
        </w:rPr>
        <w:t xml:space="preserve">附录B  </w:t>
      </w:r>
      <w:bookmarkStart w:id="174" w:name="OLE_LINK3"/>
      <w:r>
        <w:rPr>
          <w:rFonts w:ascii="Times New Roman" w:hAnsi="Times New Roman" w:eastAsia="宋体"/>
          <w:color w:val="000000" w:themeColor="text1"/>
          <w:sz w:val="24"/>
          <w:szCs w:val="24"/>
          <w:highlight w:val="none"/>
          <w:lang w:eastAsia="zh-CN"/>
          <w14:textFill>
            <w14:solidFill>
              <w14:schemeClr w14:val="tx1"/>
            </w14:solidFill>
          </w14:textFill>
        </w:rPr>
        <w:t>咨询人</w:t>
      </w:r>
      <w:bookmarkStart w:id="175" w:name="_Hlk513455213"/>
      <w:r>
        <w:rPr>
          <w:rFonts w:ascii="Times New Roman" w:hAnsi="Times New Roman" w:eastAsia="宋体"/>
          <w:color w:val="000000" w:themeColor="text1"/>
          <w:sz w:val="24"/>
          <w:szCs w:val="24"/>
          <w:highlight w:val="none"/>
          <w:lang w:eastAsia="zh-CN"/>
          <w14:textFill>
            <w14:solidFill>
              <w14:schemeClr w14:val="tx1"/>
            </w14:solidFill>
          </w14:textFill>
        </w:rPr>
        <w:t>项目负责人及其他</w:t>
      </w:r>
      <w:bookmarkEnd w:id="175"/>
      <w:r>
        <w:rPr>
          <w:rFonts w:ascii="Times New Roman" w:hAnsi="Times New Roman" w:eastAsia="宋体"/>
          <w:color w:val="000000" w:themeColor="text1"/>
          <w:sz w:val="24"/>
          <w:szCs w:val="24"/>
          <w:highlight w:val="none"/>
          <w:lang w:eastAsia="zh-CN"/>
          <w14:textFill>
            <w14:solidFill>
              <w14:schemeClr w14:val="tx1"/>
            </w14:solidFill>
          </w14:textFill>
        </w:rPr>
        <w:t>主要人员配置表</w:t>
      </w:r>
      <w:bookmarkEnd w:id="174"/>
      <w:r>
        <w:rPr>
          <w:rFonts w:ascii="Times New Roman" w:hAnsi="Times New Roman" w:eastAsia="宋体"/>
          <w:color w:val="000000" w:themeColor="text1"/>
          <w:sz w:val="24"/>
          <w:szCs w:val="24"/>
          <w:highlight w:val="none"/>
          <w:lang w:eastAsia="zh-CN"/>
          <w14:textFill>
            <w14:solidFill>
              <w14:schemeClr w14:val="tx1"/>
            </w14:solidFill>
          </w14:textFill>
        </w:rPr>
        <w:t xml:space="preserve">  </w:t>
      </w:r>
    </w:p>
    <w:p w14:paraId="247A4C9E">
      <w:pPr>
        <w:pStyle w:val="184"/>
        <w:spacing w:before="0" w:after="0" w:line="440" w:lineRule="atLeast"/>
        <w:ind w:firstLine="480" w:firstLineChars="200"/>
        <w:jc w:val="left"/>
        <w:rPr>
          <w:rFonts w:ascii="Times New Roman" w:hAnsi="Times New Roman" w:eastAsia="宋体"/>
          <w:color w:val="000000" w:themeColor="text1"/>
          <w:sz w:val="24"/>
          <w:szCs w:val="24"/>
          <w:highlight w:val="none"/>
          <w:lang w:eastAsia="zh-CN"/>
          <w14:textFill>
            <w14:solidFill>
              <w14:schemeClr w14:val="tx1"/>
            </w14:solidFill>
          </w14:textFill>
        </w:rPr>
      </w:pPr>
      <w:r>
        <w:rPr>
          <w:rFonts w:ascii="Times New Roman" w:hAnsi="Times New Roman" w:eastAsia="宋体"/>
          <w:color w:val="000000" w:themeColor="text1"/>
          <w:sz w:val="24"/>
          <w:szCs w:val="24"/>
          <w:highlight w:val="none"/>
          <w:lang w:eastAsia="zh-CN"/>
          <w14:textFill>
            <w14:solidFill>
              <w14:schemeClr w14:val="tx1"/>
            </w14:solidFill>
          </w14:textFill>
        </w:rPr>
        <w:t>（10）合同其他附件。</w:t>
      </w:r>
    </w:p>
    <w:p w14:paraId="2EF137B5">
      <w:pPr>
        <w:pStyle w:val="184"/>
        <w:spacing w:before="0" w:after="0" w:line="440" w:lineRule="atLeast"/>
        <w:ind w:firstLine="484" w:firstLineChars="200"/>
        <w:jc w:val="left"/>
        <w:rPr>
          <w:rFonts w:ascii="Times New Roman" w:hAnsi="Times New Roman"/>
          <w:color w:val="000000" w:themeColor="text1"/>
          <w:sz w:val="24"/>
          <w:szCs w:val="24"/>
          <w:highlight w:val="none"/>
          <w:lang w:eastAsia="zh-CN"/>
          <w14:textFill>
            <w14:solidFill>
              <w14:schemeClr w14:val="tx1"/>
            </w14:solidFill>
          </w14:textFill>
        </w:rPr>
      </w:pPr>
      <w:r>
        <w:rPr>
          <w:rFonts w:ascii="Times New Roman" w:hAnsi="Times New Roman"/>
          <w:color w:val="000000" w:themeColor="text1"/>
          <w:spacing w:val="1"/>
          <w:sz w:val="24"/>
          <w:szCs w:val="24"/>
          <w:highlight w:val="none"/>
          <w:lang w:eastAsia="zh-CN"/>
          <w14:textFill>
            <w14:solidFill>
              <w14:schemeClr w14:val="tx1"/>
            </w14:solidFill>
          </w14:textFill>
        </w:rPr>
        <w:t xml:space="preserve">2. </w:t>
      </w:r>
      <w:r>
        <w:rPr>
          <w:rFonts w:ascii="Times New Roman" w:hAnsi="Times New Roman" w:eastAsia="宋体"/>
          <w:color w:val="000000" w:themeColor="text1"/>
          <w:spacing w:val="-1"/>
          <w:sz w:val="24"/>
          <w:szCs w:val="24"/>
          <w:highlight w:val="none"/>
          <w:lang w:eastAsia="zh-CN"/>
          <w14:textFill>
            <w14:solidFill>
              <w14:schemeClr w14:val="tx1"/>
            </w14:solidFill>
          </w14:textFill>
        </w:rPr>
        <w:t>上述合同文件互相补充和解释。如果合同文件之间存在矛盾或不一致之处，以上述文件</w:t>
      </w:r>
      <w:r>
        <w:rPr>
          <w:rFonts w:ascii="Times New Roman" w:hAnsi="Times New Roman" w:eastAsia="宋体"/>
          <w:color w:val="000000" w:themeColor="text1"/>
          <w:sz w:val="24"/>
          <w:szCs w:val="24"/>
          <w:highlight w:val="none"/>
          <w:lang w:eastAsia="zh-CN"/>
          <w14:textFill>
            <w14:solidFill>
              <w14:schemeClr w14:val="tx1"/>
            </w14:solidFill>
          </w14:textFill>
        </w:rPr>
        <w:t>的排列顺序在先者为准。</w:t>
      </w:r>
    </w:p>
    <w:p w14:paraId="556AB5DD">
      <w:pPr>
        <w:pStyle w:val="184"/>
        <w:spacing w:before="0" w:after="0" w:line="440" w:lineRule="atLeast"/>
        <w:ind w:firstLine="484" w:firstLineChars="200"/>
        <w:jc w:val="left"/>
        <w:rPr>
          <w:rFonts w:ascii="Times New Roman" w:hAnsi="Times New Roman" w:eastAsia="宋体"/>
          <w:color w:val="000000" w:themeColor="text1"/>
          <w:sz w:val="24"/>
          <w:szCs w:val="24"/>
          <w:highlight w:val="none"/>
          <w:lang w:eastAsia="zh-CN"/>
          <w14:textFill>
            <w14:solidFill>
              <w14:schemeClr w14:val="tx1"/>
            </w14:solidFill>
          </w14:textFill>
        </w:rPr>
      </w:pPr>
      <w:r>
        <w:rPr>
          <w:rFonts w:ascii="Times New Roman" w:hAnsi="Times New Roman"/>
          <w:color w:val="000000" w:themeColor="text1"/>
          <w:spacing w:val="1"/>
          <w:sz w:val="24"/>
          <w:szCs w:val="24"/>
          <w:highlight w:val="none"/>
          <w:lang w:eastAsia="zh-CN"/>
          <w14:textFill>
            <w14:solidFill>
              <w14:schemeClr w14:val="tx1"/>
            </w14:solidFill>
          </w14:textFill>
        </w:rPr>
        <w:t xml:space="preserve">3. </w:t>
      </w:r>
      <w:r>
        <w:rPr>
          <w:rFonts w:ascii="Times New Roman" w:hAnsi="Times New Roman" w:eastAsia="宋体"/>
          <w:color w:val="000000" w:themeColor="text1"/>
          <w:sz w:val="24"/>
          <w:szCs w:val="24"/>
          <w:highlight w:val="none"/>
          <w:lang w:eastAsia="zh-CN"/>
          <w14:textFill>
            <w14:solidFill>
              <w14:schemeClr w14:val="tx1"/>
            </w14:solidFill>
          </w14:textFill>
        </w:rPr>
        <w:t>签约合同价：</w:t>
      </w:r>
      <w:bookmarkStart w:id="176" w:name="_Hlk513490029"/>
      <w:r>
        <w:rPr>
          <w:rFonts w:ascii="Times New Roman" w:hAnsi="Times New Roman" w:eastAsia="宋体"/>
          <w:color w:val="000000" w:themeColor="text1"/>
          <w:sz w:val="24"/>
          <w:szCs w:val="24"/>
          <w:highlight w:val="none"/>
          <w:lang w:eastAsia="zh-CN"/>
          <w14:textFill>
            <w14:solidFill>
              <w14:schemeClr w14:val="tx1"/>
            </w14:solidFill>
          </w14:textFill>
        </w:rPr>
        <w:t>人民币（大写）</w:t>
      </w:r>
      <w:r>
        <w:rPr>
          <w:rFonts w:ascii="Times New Roman" w:hAnsi="Times New Roman" w:eastAsia="宋体"/>
          <w:color w:val="000000" w:themeColor="text1"/>
          <w:spacing w:val="1"/>
          <w:sz w:val="24"/>
          <w:szCs w:val="24"/>
          <w:highlight w:val="none"/>
          <w:lang w:eastAsia="zh-CN"/>
          <w14:textFill>
            <w14:solidFill>
              <w14:schemeClr w14:val="tx1"/>
            </w14:solidFill>
          </w14:textFill>
        </w:rPr>
        <w:t>_________</w:t>
      </w:r>
      <w:r>
        <w:rPr>
          <w:rFonts w:ascii="Times New Roman" w:hAnsi="Times New Roman" w:eastAsia="宋体"/>
          <w:color w:val="000000" w:themeColor="text1"/>
          <w:sz w:val="24"/>
          <w:szCs w:val="24"/>
          <w:highlight w:val="none"/>
          <w:lang w:eastAsia="zh-CN"/>
          <w14:textFill>
            <w14:solidFill>
              <w14:schemeClr w14:val="tx1"/>
            </w14:solidFill>
          </w14:textFill>
        </w:rPr>
        <w:t>（¥</w:t>
      </w:r>
      <w:r>
        <w:rPr>
          <w:rFonts w:ascii="Times New Roman" w:hAnsi="Times New Roman" w:eastAsia="宋体"/>
          <w:color w:val="000000" w:themeColor="text1"/>
          <w:spacing w:val="1"/>
          <w:sz w:val="24"/>
          <w:szCs w:val="24"/>
          <w:highlight w:val="none"/>
          <w:lang w:eastAsia="zh-CN"/>
          <w14:textFill>
            <w14:solidFill>
              <w14:schemeClr w14:val="tx1"/>
            </w14:solidFill>
          </w14:textFill>
        </w:rPr>
        <w:t>_________</w:t>
      </w:r>
      <w:r>
        <w:rPr>
          <w:rFonts w:ascii="Times New Roman" w:hAnsi="Times New Roman" w:eastAsia="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该</w:t>
      </w:r>
      <w:r>
        <w:rPr>
          <w:rFonts w:hint="eastAsia" w:ascii="宋体" w:hAnsi="宋体" w:eastAsia="宋体" w:cs="宋体"/>
          <w:color w:val="000000" w:themeColor="text1"/>
          <w:sz w:val="24"/>
          <w:szCs w:val="24"/>
          <w:highlight w:val="none"/>
          <w14:textFill>
            <w14:solidFill>
              <w14:schemeClr w14:val="tx1"/>
            </w14:solidFill>
          </w14:textFill>
        </w:rPr>
        <w:t>金额为含税金额。其中，不含税金额为人民币（大写</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元整</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），增值税税率为</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%，税款为人民币（大写）</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元整</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（税率如遇国家政策调整按调</w:t>
      </w:r>
      <w:r>
        <w:rPr>
          <w:rFonts w:hint="eastAsia" w:ascii="宋体" w:hAnsi="宋体" w:eastAsia="宋体" w:cs="宋体"/>
          <w:color w:val="000000" w:themeColor="text1"/>
          <w:sz w:val="24"/>
          <w:szCs w:val="24"/>
          <w:highlight w:val="none"/>
          <w:lang w:val="en-US" w:eastAsia="zh-CN"/>
          <w14:textFill>
            <w14:solidFill>
              <w14:schemeClr w14:val="tx1"/>
            </w14:solidFill>
          </w14:textFill>
        </w:rPr>
        <w:t>整</w:t>
      </w:r>
      <w:r>
        <w:rPr>
          <w:rFonts w:hint="eastAsia" w:ascii="宋体" w:hAnsi="宋体" w:eastAsia="宋体" w:cs="宋体"/>
          <w:color w:val="000000" w:themeColor="text1"/>
          <w:sz w:val="24"/>
          <w:szCs w:val="24"/>
          <w:highlight w:val="none"/>
          <w:lang w:eastAsia="zh-CN"/>
          <w14:textFill>
            <w14:solidFill>
              <w14:schemeClr w14:val="tx1"/>
            </w14:solidFill>
          </w14:textFill>
        </w:rPr>
        <w:t>后政策执行）</w:t>
      </w:r>
    </w:p>
    <w:bookmarkEnd w:id="176"/>
    <w:p w14:paraId="2B898F12">
      <w:pPr>
        <w:pStyle w:val="184"/>
        <w:spacing w:before="0" w:after="0" w:line="440" w:lineRule="atLeast"/>
        <w:ind w:firstLine="484" w:firstLineChars="200"/>
        <w:jc w:val="left"/>
        <w:rPr>
          <w:rFonts w:ascii="Times New Roman" w:hAnsi="Times New Roman"/>
          <w:color w:val="000000" w:themeColor="text1"/>
          <w:sz w:val="24"/>
          <w:szCs w:val="24"/>
          <w:highlight w:val="none"/>
          <w:lang w:eastAsia="zh-CN"/>
          <w14:textFill>
            <w14:solidFill>
              <w14:schemeClr w14:val="tx1"/>
            </w14:solidFill>
          </w14:textFill>
        </w:rPr>
      </w:pPr>
      <w:r>
        <w:rPr>
          <w:rFonts w:ascii="Times New Roman" w:hAnsi="Times New Roman"/>
          <w:color w:val="000000" w:themeColor="text1"/>
          <w:spacing w:val="1"/>
          <w:sz w:val="24"/>
          <w:szCs w:val="24"/>
          <w:highlight w:val="none"/>
          <w:lang w:eastAsia="zh-CN"/>
          <w14:textFill>
            <w14:solidFill>
              <w14:schemeClr w14:val="tx1"/>
            </w14:solidFill>
          </w14:textFill>
        </w:rPr>
        <w:t xml:space="preserve">4. </w:t>
      </w:r>
      <w:r>
        <w:rPr>
          <w:rFonts w:ascii="Times New Roman" w:hAnsi="Times New Roman" w:eastAsia="宋体"/>
          <w:color w:val="000000" w:themeColor="text1"/>
          <w:sz w:val="24"/>
          <w:szCs w:val="24"/>
          <w:highlight w:val="none"/>
          <w:lang w:eastAsia="zh-CN"/>
          <w14:textFill>
            <w14:solidFill>
              <w14:schemeClr w14:val="tx1"/>
            </w14:solidFill>
          </w14:textFill>
        </w:rPr>
        <w:t>项目负责人：</w:t>
      </w:r>
      <w:r>
        <w:rPr>
          <w:rFonts w:ascii="Times New Roman" w:hAnsi="Times New Roman" w:eastAsia="宋体"/>
          <w:color w:val="000000" w:themeColor="text1"/>
          <w:kern w:val="2"/>
          <w:sz w:val="24"/>
          <w:szCs w:val="24"/>
          <w:highlight w:val="none"/>
          <w:lang w:eastAsia="zh-CN"/>
          <w14:textFill>
            <w14:solidFill>
              <w14:schemeClr w14:val="tx1"/>
            </w14:solidFill>
          </w14:textFill>
        </w:rPr>
        <w:t>姓名</w:t>
      </w:r>
      <w:r>
        <w:rPr>
          <w:rFonts w:ascii="Times New Roman" w:hAnsi="Times New Roman" w:eastAsia="宋体"/>
          <w:color w:val="000000" w:themeColor="text1"/>
          <w:spacing w:val="1"/>
          <w:sz w:val="24"/>
          <w:szCs w:val="24"/>
          <w:highlight w:val="none"/>
          <w:lang w:eastAsia="zh-CN"/>
          <w14:textFill>
            <w14:solidFill>
              <w14:schemeClr w14:val="tx1"/>
            </w14:solidFill>
          </w14:textFill>
        </w:rPr>
        <w:t>_________</w:t>
      </w:r>
      <w:r>
        <w:rPr>
          <w:rFonts w:ascii="Times New Roman" w:hAnsi="Times New Roman" w:eastAsia="宋体"/>
          <w:color w:val="000000" w:themeColor="text1"/>
          <w:kern w:val="2"/>
          <w:sz w:val="24"/>
          <w:szCs w:val="24"/>
          <w:highlight w:val="none"/>
          <w:lang w:eastAsia="zh-CN"/>
          <w14:textFill>
            <w14:solidFill>
              <w14:schemeClr w14:val="tx1"/>
            </w14:solidFill>
          </w14:textFill>
        </w:rPr>
        <w:t>，身份证号</w:t>
      </w:r>
      <w:r>
        <w:rPr>
          <w:rFonts w:ascii="Times New Roman" w:hAnsi="Times New Roman" w:eastAsia="宋体"/>
          <w:color w:val="000000" w:themeColor="text1"/>
          <w:spacing w:val="1"/>
          <w:sz w:val="24"/>
          <w:szCs w:val="24"/>
          <w:highlight w:val="none"/>
          <w:lang w:eastAsia="zh-CN"/>
          <w14:textFill>
            <w14:solidFill>
              <w14:schemeClr w14:val="tx1"/>
            </w14:solidFill>
          </w14:textFill>
        </w:rPr>
        <w:t>_________</w:t>
      </w:r>
      <w:r>
        <w:rPr>
          <w:rFonts w:ascii="Times New Roman" w:hAnsi="Times New Roman" w:eastAsia="宋体"/>
          <w:color w:val="000000" w:themeColor="text1"/>
          <w:kern w:val="2"/>
          <w:sz w:val="24"/>
          <w:szCs w:val="24"/>
          <w:highlight w:val="none"/>
          <w:lang w:eastAsia="zh-CN"/>
          <w14:textFill>
            <w14:solidFill>
              <w14:schemeClr w14:val="tx1"/>
            </w14:solidFill>
          </w14:textFill>
        </w:rPr>
        <w:t>，注册号</w:t>
      </w:r>
      <w:r>
        <w:rPr>
          <w:rFonts w:ascii="Times New Roman" w:hAnsi="Times New Roman" w:eastAsia="宋体"/>
          <w:color w:val="000000" w:themeColor="text1"/>
          <w:spacing w:val="1"/>
          <w:sz w:val="24"/>
          <w:szCs w:val="24"/>
          <w:highlight w:val="none"/>
          <w:lang w:eastAsia="zh-CN"/>
          <w14:textFill>
            <w14:solidFill>
              <w14:schemeClr w14:val="tx1"/>
            </w14:solidFill>
          </w14:textFill>
        </w:rPr>
        <w:t>_________</w:t>
      </w:r>
      <w:r>
        <w:rPr>
          <w:rFonts w:ascii="Times New Roman" w:hAnsi="Times New Roman" w:eastAsia="宋体"/>
          <w:color w:val="000000" w:themeColor="text1"/>
          <w:sz w:val="24"/>
          <w:szCs w:val="24"/>
          <w:highlight w:val="none"/>
          <w:lang w:eastAsia="zh-CN"/>
          <w14:textFill>
            <w14:solidFill>
              <w14:schemeClr w14:val="tx1"/>
            </w14:solidFill>
          </w14:textFill>
        </w:rPr>
        <w:t>。</w:t>
      </w:r>
    </w:p>
    <w:p w14:paraId="05B4E00E">
      <w:pPr>
        <w:pStyle w:val="184"/>
        <w:spacing w:before="0" w:after="0" w:line="440" w:lineRule="atLeast"/>
        <w:ind w:firstLine="484" w:firstLineChars="200"/>
        <w:jc w:val="left"/>
        <w:rPr>
          <w:rFonts w:ascii="Times New Roman" w:hAnsi="Times New Roman" w:eastAsia="宋体"/>
          <w:color w:val="000000" w:themeColor="text1"/>
          <w:sz w:val="24"/>
          <w:szCs w:val="24"/>
          <w:highlight w:val="none"/>
          <w:lang w:eastAsia="zh-CN"/>
          <w14:textFill>
            <w14:solidFill>
              <w14:schemeClr w14:val="tx1"/>
            </w14:solidFill>
          </w14:textFill>
        </w:rPr>
      </w:pPr>
      <w:r>
        <w:rPr>
          <w:rFonts w:ascii="Times New Roman" w:hAnsi="Times New Roman"/>
          <w:color w:val="000000" w:themeColor="text1"/>
          <w:spacing w:val="1"/>
          <w:sz w:val="24"/>
          <w:szCs w:val="24"/>
          <w:highlight w:val="none"/>
          <w:lang w:eastAsia="zh-CN"/>
          <w14:textFill>
            <w14:solidFill>
              <w14:schemeClr w14:val="tx1"/>
            </w14:solidFill>
          </w14:textFill>
        </w:rPr>
        <w:t xml:space="preserve">5. </w:t>
      </w:r>
      <w:r>
        <w:rPr>
          <w:rFonts w:ascii="Times New Roman" w:hAnsi="Times New Roman" w:eastAsia="宋体"/>
          <w:color w:val="000000" w:themeColor="text1"/>
          <w:sz w:val="24"/>
          <w:szCs w:val="24"/>
          <w:highlight w:val="none"/>
          <w:lang w:eastAsia="zh-CN"/>
          <w14:textFill>
            <w14:solidFill>
              <w14:schemeClr w14:val="tx1"/>
            </w14:solidFill>
          </w14:textFill>
        </w:rPr>
        <w:t>咨询服务工作质量符合的标准和要求：</w:t>
      </w:r>
      <w:r>
        <w:rPr>
          <w:rFonts w:ascii="Times New Roman" w:hAnsi="Times New Roman" w:eastAsia="宋体"/>
          <w:color w:val="000000" w:themeColor="text1"/>
          <w:spacing w:val="1"/>
          <w:sz w:val="24"/>
          <w:szCs w:val="24"/>
          <w:highlight w:val="none"/>
          <w:lang w:eastAsia="zh-CN"/>
          <w14:textFill>
            <w14:solidFill>
              <w14:schemeClr w14:val="tx1"/>
            </w14:solidFill>
          </w14:textFill>
        </w:rPr>
        <w:t>_________</w:t>
      </w:r>
      <w:r>
        <w:rPr>
          <w:rFonts w:ascii="Times New Roman" w:hAnsi="Times New Roman" w:eastAsia="宋体"/>
          <w:color w:val="000000" w:themeColor="text1"/>
          <w:sz w:val="24"/>
          <w:szCs w:val="24"/>
          <w:highlight w:val="none"/>
          <w:lang w:eastAsia="zh-CN"/>
          <w14:textFill>
            <w14:solidFill>
              <w14:schemeClr w14:val="tx1"/>
            </w14:solidFill>
          </w14:textFill>
        </w:rPr>
        <w:t>。</w:t>
      </w:r>
    </w:p>
    <w:p w14:paraId="3AC0849E">
      <w:pPr>
        <w:pStyle w:val="184"/>
        <w:spacing w:before="0" w:after="0" w:line="440" w:lineRule="atLeast"/>
        <w:ind w:firstLine="484" w:firstLineChars="200"/>
        <w:jc w:val="left"/>
        <w:rPr>
          <w:rFonts w:ascii="Times New Roman" w:hAnsi="Times New Roman"/>
          <w:color w:val="000000" w:themeColor="text1"/>
          <w:sz w:val="24"/>
          <w:szCs w:val="24"/>
          <w:highlight w:val="none"/>
          <w:lang w:eastAsia="zh-CN"/>
          <w14:textFill>
            <w14:solidFill>
              <w14:schemeClr w14:val="tx1"/>
            </w14:solidFill>
          </w14:textFill>
        </w:rPr>
      </w:pPr>
      <w:r>
        <w:rPr>
          <w:rFonts w:ascii="Times New Roman" w:hAnsi="Times New Roman"/>
          <w:color w:val="000000" w:themeColor="text1"/>
          <w:spacing w:val="1"/>
          <w:sz w:val="24"/>
          <w:szCs w:val="24"/>
          <w:highlight w:val="none"/>
          <w:lang w:eastAsia="zh-CN"/>
          <w14:textFill>
            <w14:solidFill>
              <w14:schemeClr w14:val="tx1"/>
            </w14:solidFill>
          </w14:textFill>
        </w:rPr>
        <w:t xml:space="preserve">6. </w:t>
      </w:r>
      <w:r>
        <w:rPr>
          <w:rFonts w:ascii="Times New Roman" w:hAnsi="Times New Roman" w:eastAsia="宋体"/>
          <w:color w:val="000000" w:themeColor="text1"/>
          <w:sz w:val="24"/>
          <w:szCs w:val="24"/>
          <w:highlight w:val="none"/>
          <w:lang w:eastAsia="zh-CN"/>
          <w14:textFill>
            <w14:solidFill>
              <w14:schemeClr w14:val="tx1"/>
            </w14:solidFill>
          </w14:textFill>
        </w:rPr>
        <w:t>咨询人承诺按合同约定承担工程的咨询服务工作。</w:t>
      </w:r>
    </w:p>
    <w:p w14:paraId="58047DEE">
      <w:pPr>
        <w:pStyle w:val="184"/>
        <w:spacing w:before="0" w:after="0" w:line="440" w:lineRule="atLeast"/>
        <w:ind w:firstLine="484" w:firstLineChars="200"/>
        <w:jc w:val="left"/>
        <w:rPr>
          <w:rFonts w:ascii="Times New Roman" w:hAnsi="Times New Roman" w:eastAsia="宋体"/>
          <w:color w:val="000000" w:themeColor="text1"/>
          <w:spacing w:val="1"/>
          <w:sz w:val="24"/>
          <w:szCs w:val="24"/>
          <w:highlight w:val="none"/>
          <w:lang w:eastAsia="zh-CN"/>
          <w14:textFill>
            <w14:solidFill>
              <w14:schemeClr w14:val="tx1"/>
            </w14:solidFill>
          </w14:textFill>
        </w:rPr>
      </w:pPr>
      <w:r>
        <w:rPr>
          <w:rFonts w:ascii="Times New Roman" w:hAnsi="Times New Roman"/>
          <w:color w:val="000000" w:themeColor="text1"/>
          <w:spacing w:val="1"/>
          <w:sz w:val="24"/>
          <w:szCs w:val="24"/>
          <w:highlight w:val="none"/>
          <w:lang w:eastAsia="zh-CN"/>
          <w14:textFill>
            <w14:solidFill>
              <w14:schemeClr w14:val="tx1"/>
            </w14:solidFill>
          </w14:textFill>
        </w:rPr>
        <w:t xml:space="preserve">7. </w:t>
      </w:r>
      <w:r>
        <w:rPr>
          <w:rFonts w:ascii="Times New Roman" w:hAnsi="Times New Roman" w:eastAsia="宋体"/>
          <w:color w:val="000000" w:themeColor="text1"/>
          <w:spacing w:val="1"/>
          <w:sz w:val="24"/>
          <w:szCs w:val="24"/>
          <w:highlight w:val="none"/>
          <w:lang w:eastAsia="zh-CN"/>
          <w14:textFill>
            <w14:solidFill>
              <w14:schemeClr w14:val="tx1"/>
            </w14:solidFill>
          </w14:textFill>
        </w:rPr>
        <w:t>委托人承诺按合同约定的条件、时间和方式向咨询人支付合同价款。</w:t>
      </w:r>
    </w:p>
    <w:p w14:paraId="43138A4A">
      <w:pPr>
        <w:pStyle w:val="184"/>
        <w:spacing w:before="0" w:after="0" w:line="440" w:lineRule="atLeast"/>
        <w:ind w:firstLine="484" w:firstLineChars="200"/>
        <w:jc w:val="left"/>
        <w:rPr>
          <w:rFonts w:ascii="Times New Roman" w:hAnsi="Times New Roman"/>
          <w:color w:val="000000" w:themeColor="text1"/>
          <w:sz w:val="24"/>
          <w:szCs w:val="24"/>
          <w:highlight w:val="none"/>
          <w:lang w:eastAsia="zh-CN"/>
          <w14:textFill>
            <w14:solidFill>
              <w14:schemeClr w14:val="tx1"/>
            </w14:solidFill>
          </w14:textFill>
        </w:rPr>
      </w:pPr>
      <w:r>
        <w:rPr>
          <w:rFonts w:ascii="Times New Roman" w:hAnsi="Times New Roman"/>
          <w:color w:val="000000" w:themeColor="text1"/>
          <w:spacing w:val="1"/>
          <w:sz w:val="24"/>
          <w:szCs w:val="24"/>
          <w:highlight w:val="none"/>
          <w:lang w:eastAsia="zh-CN"/>
          <w14:textFill>
            <w14:solidFill>
              <w14:schemeClr w14:val="tx1"/>
            </w14:solidFill>
          </w14:textFill>
        </w:rPr>
        <w:t xml:space="preserve">8. </w:t>
      </w:r>
      <w:r>
        <w:rPr>
          <w:rFonts w:ascii="Times New Roman" w:hAnsi="Times New Roman" w:eastAsia="宋体"/>
          <w:color w:val="000000" w:themeColor="text1"/>
          <w:spacing w:val="1"/>
          <w:sz w:val="24"/>
          <w:szCs w:val="24"/>
          <w:highlight w:val="none"/>
          <w:lang w:eastAsia="zh-CN"/>
          <w14:textFill>
            <w14:solidFill>
              <w14:schemeClr w14:val="tx1"/>
            </w14:solidFill>
          </w14:textFill>
        </w:rPr>
        <w:t>咨询人计划开始咨询服务日期：_________，实际日期按照委托人在开始咨询服务通知中载明的开始咨询服务日期为准。</w:t>
      </w:r>
      <w:r>
        <w:rPr>
          <w:rFonts w:ascii="Times New Roman" w:hAnsi="Times New Roman" w:eastAsia="宋体"/>
          <w:color w:val="000000" w:themeColor="text1"/>
          <w:sz w:val="24"/>
          <w:szCs w:val="24"/>
          <w:highlight w:val="none"/>
          <w:lang w:eastAsia="zh-CN"/>
          <w14:textFill>
            <w14:solidFill>
              <w14:schemeClr w14:val="tx1"/>
            </w14:solidFill>
          </w14:textFill>
        </w:rPr>
        <w:t>咨询服务期限为</w:t>
      </w:r>
      <w:r>
        <w:rPr>
          <w:rFonts w:ascii="Times New Roman" w:hAnsi="Times New Roman" w:eastAsia="宋体"/>
          <w:color w:val="000000" w:themeColor="text1"/>
          <w:spacing w:val="1"/>
          <w:sz w:val="24"/>
          <w:szCs w:val="24"/>
          <w:highlight w:val="none"/>
          <w:lang w:eastAsia="zh-CN"/>
          <w14:textFill>
            <w14:solidFill>
              <w14:schemeClr w14:val="tx1"/>
            </w14:solidFill>
          </w14:textFill>
        </w:rPr>
        <w:t>_________天。</w:t>
      </w:r>
    </w:p>
    <w:p w14:paraId="4853E650">
      <w:pPr>
        <w:pStyle w:val="184"/>
        <w:spacing w:before="0" w:after="0" w:line="440" w:lineRule="atLeast"/>
        <w:ind w:firstLine="484" w:firstLineChars="200"/>
        <w:jc w:val="left"/>
        <w:rPr>
          <w:rFonts w:ascii="Times New Roman" w:hAnsi="Times New Roman"/>
          <w:color w:val="000000" w:themeColor="text1"/>
          <w:sz w:val="24"/>
          <w:szCs w:val="24"/>
          <w:highlight w:val="none"/>
          <w:lang w:eastAsia="zh-CN"/>
          <w14:textFill>
            <w14:solidFill>
              <w14:schemeClr w14:val="tx1"/>
            </w14:solidFill>
          </w14:textFill>
        </w:rPr>
      </w:pPr>
      <w:r>
        <w:rPr>
          <w:rFonts w:ascii="Times New Roman" w:hAnsi="Times New Roman"/>
          <w:color w:val="000000" w:themeColor="text1"/>
          <w:spacing w:val="1"/>
          <w:sz w:val="24"/>
          <w:szCs w:val="24"/>
          <w:highlight w:val="none"/>
          <w:lang w:eastAsia="zh-CN"/>
          <w14:textFill>
            <w14:solidFill>
              <w14:schemeClr w14:val="tx1"/>
            </w14:solidFill>
          </w14:textFill>
        </w:rPr>
        <w:t xml:space="preserve">9. </w:t>
      </w:r>
      <w:r>
        <w:rPr>
          <w:rFonts w:ascii="Times New Roman" w:hAnsi="Times New Roman" w:eastAsia="宋体"/>
          <w:color w:val="000000" w:themeColor="text1"/>
          <w:sz w:val="24"/>
          <w:szCs w:val="24"/>
          <w:highlight w:val="none"/>
          <w:lang w:eastAsia="zh-CN"/>
          <w14:textFill>
            <w14:solidFill>
              <w14:schemeClr w14:val="tx1"/>
            </w14:solidFill>
          </w14:textFill>
        </w:rPr>
        <w:t>本合同协议书</w:t>
      </w:r>
      <w:bookmarkStart w:id="177" w:name="_Hlk513490320"/>
      <w:r>
        <w:rPr>
          <w:rFonts w:ascii="Times New Roman" w:hAnsi="Times New Roman" w:eastAsia="宋体"/>
          <w:color w:val="000000" w:themeColor="text1"/>
          <w:sz w:val="24"/>
          <w:szCs w:val="24"/>
          <w:highlight w:val="none"/>
          <w:lang w:eastAsia="zh-CN"/>
          <w14:textFill>
            <w14:solidFill>
              <w14:schemeClr w14:val="tx1"/>
            </w14:solidFill>
          </w14:textFill>
        </w:rPr>
        <w:t>一式</w:t>
      </w:r>
      <w:r>
        <w:rPr>
          <w:rFonts w:ascii="Times New Roman" w:hAnsi="Times New Roman" w:eastAsia="宋体"/>
          <w:color w:val="000000" w:themeColor="text1"/>
          <w:spacing w:val="1"/>
          <w:sz w:val="24"/>
          <w:szCs w:val="24"/>
          <w:highlight w:val="none"/>
          <w:lang w:eastAsia="zh-CN"/>
          <w14:textFill>
            <w14:solidFill>
              <w14:schemeClr w14:val="tx1"/>
            </w14:solidFill>
          </w14:textFill>
        </w:rPr>
        <w:t>_________</w:t>
      </w:r>
      <w:r>
        <w:rPr>
          <w:rFonts w:ascii="Times New Roman" w:hAnsi="Times New Roman" w:eastAsia="宋体"/>
          <w:color w:val="000000" w:themeColor="text1"/>
          <w:sz w:val="24"/>
          <w:szCs w:val="24"/>
          <w:highlight w:val="none"/>
          <w:lang w:eastAsia="zh-CN"/>
          <w14:textFill>
            <w14:solidFill>
              <w14:schemeClr w14:val="tx1"/>
            </w14:solidFill>
          </w14:textFill>
        </w:rPr>
        <w:t>份，合同双方各执</w:t>
      </w:r>
      <w:bookmarkStart w:id="178" w:name="_Hlk513490284"/>
      <w:bookmarkEnd w:id="178"/>
      <w:r>
        <w:rPr>
          <w:rFonts w:ascii="Times New Roman" w:hAnsi="Times New Roman" w:eastAsia="宋体"/>
          <w:color w:val="000000" w:themeColor="text1"/>
          <w:spacing w:val="1"/>
          <w:sz w:val="24"/>
          <w:szCs w:val="24"/>
          <w:highlight w:val="none"/>
          <w:lang w:eastAsia="zh-CN"/>
          <w14:textFill>
            <w14:solidFill>
              <w14:schemeClr w14:val="tx1"/>
            </w14:solidFill>
          </w14:textFill>
        </w:rPr>
        <w:t>_________</w:t>
      </w:r>
      <w:r>
        <w:rPr>
          <w:rFonts w:ascii="Times New Roman" w:hAnsi="Times New Roman" w:eastAsia="宋体"/>
          <w:color w:val="000000" w:themeColor="text1"/>
          <w:sz w:val="24"/>
          <w:szCs w:val="24"/>
          <w:highlight w:val="none"/>
          <w:lang w:eastAsia="zh-CN"/>
          <w14:textFill>
            <w14:solidFill>
              <w14:schemeClr w14:val="tx1"/>
            </w14:solidFill>
          </w14:textFill>
        </w:rPr>
        <w:t>份</w:t>
      </w:r>
      <w:bookmarkEnd w:id="177"/>
      <w:r>
        <w:rPr>
          <w:rFonts w:ascii="Times New Roman" w:hAnsi="Times New Roman" w:eastAsia="宋体"/>
          <w:color w:val="000000" w:themeColor="text1"/>
          <w:spacing w:val="-1"/>
          <w:sz w:val="24"/>
          <w:szCs w:val="24"/>
          <w:highlight w:val="none"/>
          <w:lang w:eastAsia="zh-CN"/>
          <w14:textFill>
            <w14:solidFill>
              <w14:schemeClr w14:val="tx1"/>
            </w14:solidFill>
          </w14:textFill>
        </w:rPr>
        <w:t>。</w:t>
      </w:r>
    </w:p>
    <w:p w14:paraId="01B69562">
      <w:pPr>
        <w:pStyle w:val="184"/>
        <w:spacing w:before="0" w:after="0" w:line="440" w:lineRule="atLeast"/>
        <w:ind w:firstLine="484" w:firstLineChars="200"/>
        <w:jc w:val="left"/>
        <w:rPr>
          <w:rFonts w:ascii="Times New Roman" w:hAnsi="Times New Roman" w:eastAsia="宋体"/>
          <w:color w:val="000000" w:themeColor="text1"/>
          <w:sz w:val="24"/>
          <w:szCs w:val="24"/>
          <w:highlight w:val="none"/>
          <w:lang w:eastAsia="zh-CN"/>
          <w14:textFill>
            <w14:solidFill>
              <w14:schemeClr w14:val="tx1"/>
            </w14:solidFill>
          </w14:textFill>
        </w:rPr>
      </w:pPr>
      <w:r>
        <w:rPr>
          <w:rFonts w:ascii="Times New Roman" w:hAnsi="Times New Roman"/>
          <w:color w:val="000000" w:themeColor="text1"/>
          <w:spacing w:val="1"/>
          <w:sz w:val="24"/>
          <w:szCs w:val="24"/>
          <w:highlight w:val="none"/>
          <w:lang w:eastAsia="zh-CN"/>
          <w14:textFill>
            <w14:solidFill>
              <w14:schemeClr w14:val="tx1"/>
            </w14:solidFill>
          </w14:textFill>
        </w:rPr>
        <w:t xml:space="preserve">10. </w:t>
      </w:r>
      <w:r>
        <w:rPr>
          <w:rFonts w:ascii="Times New Roman" w:hAnsi="Times New Roman" w:eastAsia="宋体"/>
          <w:color w:val="000000" w:themeColor="text1"/>
          <w:sz w:val="24"/>
          <w:szCs w:val="24"/>
          <w:highlight w:val="none"/>
          <w:lang w:eastAsia="zh-CN"/>
          <w14:textFill>
            <w14:solidFill>
              <w14:schemeClr w14:val="tx1"/>
            </w14:solidFill>
          </w14:textFill>
        </w:rPr>
        <w:t>合同未尽事宜，双方另行签订补充协议。补充协议是合同的组成部分。</w:t>
      </w:r>
    </w:p>
    <w:p w14:paraId="21C45425">
      <w:pPr>
        <w:pStyle w:val="184"/>
        <w:spacing w:before="0" w:after="0" w:line="440" w:lineRule="atLeast"/>
        <w:ind w:firstLine="480" w:firstLineChars="200"/>
        <w:jc w:val="left"/>
        <w:rPr>
          <w:rFonts w:ascii="Times New Roman" w:hAnsi="Times New Roman" w:eastAsia="宋体"/>
          <w:color w:val="000000" w:themeColor="text1"/>
          <w:sz w:val="24"/>
          <w:szCs w:val="24"/>
          <w:highlight w:val="none"/>
          <w:lang w:eastAsia="zh-CN"/>
          <w14:textFill>
            <w14:solidFill>
              <w14:schemeClr w14:val="tx1"/>
            </w14:solidFill>
          </w14:textFill>
        </w:rPr>
      </w:pPr>
    </w:p>
    <w:p w14:paraId="34772081">
      <w:pPr>
        <w:pStyle w:val="184"/>
        <w:spacing w:before="0" w:after="0" w:line="440" w:lineRule="atLeast"/>
        <w:ind w:firstLine="480" w:firstLineChars="200"/>
        <w:jc w:val="left"/>
        <w:rPr>
          <w:rFonts w:ascii="Times New Roman" w:hAnsi="Times New Roman"/>
          <w:color w:val="000000" w:themeColor="text1"/>
          <w:sz w:val="24"/>
          <w:szCs w:val="24"/>
          <w:highlight w:val="none"/>
          <w:lang w:eastAsia="zh-CN"/>
          <w14:textFill>
            <w14:solidFill>
              <w14:schemeClr w14:val="tx1"/>
            </w14:solidFill>
          </w14:textFill>
        </w:rPr>
      </w:pPr>
    </w:p>
    <w:p w14:paraId="10EA54E5">
      <w:pPr>
        <w:pStyle w:val="183"/>
        <w:spacing w:before="0" w:after="0" w:line="440" w:lineRule="atLeast"/>
        <w:jc w:val="left"/>
        <w:rPr>
          <w:rFonts w:ascii="Times New Roman" w:hAnsi="Times New Roman"/>
          <w:color w:val="000000" w:themeColor="text1"/>
          <w:sz w:val="24"/>
          <w:szCs w:val="24"/>
          <w:highlight w:val="none"/>
          <w:lang w:eastAsia="zh-CN"/>
          <w14:textFill>
            <w14:solidFill>
              <w14:schemeClr w14:val="tx1"/>
            </w14:solidFill>
          </w14:textFill>
        </w:rPr>
      </w:pPr>
      <w:r>
        <w:rPr>
          <w:rFonts w:ascii="Times New Roman" w:hAnsi="Times New Roman" w:eastAsia="宋体"/>
          <w:color w:val="000000" w:themeColor="text1"/>
          <w:sz w:val="24"/>
          <w:szCs w:val="24"/>
          <w:highlight w:val="none"/>
          <w:lang w:eastAsia="zh-CN"/>
          <w14:textFill>
            <w14:solidFill>
              <w14:schemeClr w14:val="tx1"/>
            </w14:solidFill>
          </w14:textFill>
        </w:rPr>
        <w:t>委托人：</w:t>
      </w:r>
      <w:r>
        <w:rPr>
          <w:rFonts w:ascii="Times New Roman" w:hAnsi="Times New Roman" w:eastAsia="宋体"/>
          <w:color w:val="000000" w:themeColor="text1"/>
          <w:spacing w:val="1"/>
          <w:sz w:val="24"/>
          <w:szCs w:val="24"/>
          <w:highlight w:val="none"/>
          <w:lang w:eastAsia="zh-CN"/>
          <w14:textFill>
            <w14:solidFill>
              <w14:schemeClr w14:val="tx1"/>
            </w14:solidFill>
          </w14:textFill>
        </w:rPr>
        <w:t>_________</w:t>
      </w:r>
      <w:r>
        <w:rPr>
          <w:rFonts w:ascii="Times New Roman" w:hAnsi="Times New Roman" w:eastAsia="宋体"/>
          <w:color w:val="000000" w:themeColor="text1"/>
          <w:sz w:val="24"/>
          <w:szCs w:val="24"/>
          <w:highlight w:val="none"/>
          <w:lang w:eastAsia="zh-CN"/>
          <w14:textFill>
            <w14:solidFill>
              <w14:schemeClr w14:val="tx1"/>
            </w14:solidFill>
          </w14:textFill>
        </w:rPr>
        <w:t>（盖单位章）              咨询人：</w:t>
      </w:r>
      <w:r>
        <w:rPr>
          <w:rFonts w:ascii="Times New Roman" w:hAnsi="Times New Roman" w:eastAsia="宋体"/>
          <w:color w:val="000000" w:themeColor="text1"/>
          <w:spacing w:val="1"/>
          <w:sz w:val="24"/>
          <w:szCs w:val="24"/>
          <w:highlight w:val="none"/>
          <w:lang w:eastAsia="zh-CN"/>
          <w14:textFill>
            <w14:solidFill>
              <w14:schemeClr w14:val="tx1"/>
            </w14:solidFill>
          </w14:textFill>
        </w:rPr>
        <w:t>_________</w:t>
      </w:r>
      <w:r>
        <w:rPr>
          <w:rFonts w:ascii="Times New Roman" w:hAnsi="Times New Roman" w:eastAsia="宋体"/>
          <w:color w:val="000000" w:themeColor="text1"/>
          <w:sz w:val="24"/>
          <w:szCs w:val="24"/>
          <w:highlight w:val="none"/>
          <w:lang w:eastAsia="zh-CN"/>
          <w14:textFill>
            <w14:solidFill>
              <w14:schemeClr w14:val="tx1"/>
            </w14:solidFill>
          </w14:textFill>
        </w:rPr>
        <w:t>（盖单位章）</w:t>
      </w:r>
    </w:p>
    <w:p w14:paraId="00C2ABBC">
      <w:pPr>
        <w:pStyle w:val="183"/>
        <w:spacing w:before="0" w:after="0" w:line="440" w:lineRule="atLeast"/>
        <w:jc w:val="left"/>
        <w:rPr>
          <w:rFonts w:ascii="Times New Roman" w:hAnsi="Times New Roman"/>
          <w:color w:val="000000" w:themeColor="text1"/>
          <w:sz w:val="24"/>
          <w:szCs w:val="24"/>
          <w:highlight w:val="none"/>
          <w:lang w:eastAsia="zh-CN"/>
          <w14:textFill>
            <w14:solidFill>
              <w14:schemeClr w14:val="tx1"/>
            </w14:solidFill>
          </w14:textFill>
        </w:rPr>
      </w:pPr>
      <w:r>
        <w:rPr>
          <w:rFonts w:ascii="Times New Roman" w:hAnsi="Times New Roman" w:eastAsia="宋体"/>
          <w:color w:val="000000" w:themeColor="text1"/>
          <w:sz w:val="24"/>
          <w:szCs w:val="24"/>
          <w:highlight w:val="none"/>
          <w:lang w:eastAsia="zh-CN"/>
          <w14:textFill>
            <w14:solidFill>
              <w14:schemeClr w14:val="tx1"/>
            </w14:solidFill>
          </w14:textFill>
        </w:rPr>
        <w:t>法定代表人或其委托代理人：___（签字）     法定代表人或其委托代理人：___（签字）</w:t>
      </w:r>
    </w:p>
    <w:p w14:paraId="22B0745D">
      <w:pPr>
        <w:pStyle w:val="33"/>
        <w:spacing w:line="440" w:lineRule="atLeast"/>
        <w:ind w:firstLine="2520" w:firstLineChars="105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___年___月___日                  ___年___月___日</w:t>
      </w:r>
    </w:p>
    <w:p w14:paraId="3FCB2328">
      <w:pPr>
        <w:pStyle w:val="33"/>
        <w:spacing w:line="440" w:lineRule="atLeas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br w:type="page"/>
      </w:r>
    </w:p>
    <w:p w14:paraId="1762568A">
      <w:pPr>
        <w:pStyle w:val="184"/>
        <w:spacing w:beforeLines="50" w:after="120" w:afterLines="50" w:line="440" w:lineRule="atLeast"/>
        <w:jc w:val="center"/>
        <w:outlineLvl w:val="3"/>
        <w:rPr>
          <w:rFonts w:ascii="宋体" w:hAnsi="宋体" w:eastAsia="微软雅黑" w:cs="Times New Roman"/>
          <w:b/>
          <w:color w:val="000000" w:themeColor="text1"/>
          <w:kern w:val="2"/>
          <w:sz w:val="24"/>
          <w:szCs w:val="21"/>
          <w:highlight w:val="none"/>
          <w:lang w:val="en-US" w:eastAsia="zh-CN" w:bidi="ar-SA"/>
          <w14:textFill>
            <w14:solidFill>
              <w14:schemeClr w14:val="tx1"/>
            </w14:solidFill>
          </w14:textFill>
        </w:rPr>
      </w:pPr>
      <w:r>
        <w:rPr>
          <w:rFonts w:hint="eastAsia" w:ascii="宋体" w:hAnsi="宋体" w:eastAsia="微软雅黑" w:cs="Times New Roman"/>
          <w:b/>
          <w:color w:val="000000" w:themeColor="text1"/>
          <w:kern w:val="2"/>
          <w:sz w:val="24"/>
          <w:szCs w:val="21"/>
          <w:highlight w:val="none"/>
          <w:lang w:val="en-US" w:eastAsia="zh-CN" w:bidi="ar-SA"/>
          <w14:textFill>
            <w14:solidFill>
              <w14:schemeClr w14:val="tx1"/>
            </w14:solidFill>
          </w14:textFill>
        </w:rPr>
        <w:t xml:space="preserve">        </w:t>
      </w:r>
    </w:p>
    <w:tbl>
      <w:tblPr>
        <w:tblStyle w:val="86"/>
        <w:tblW w:w="946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465"/>
      </w:tblGrid>
      <w:tr w14:paraId="5D7839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9465" w:type="dxa"/>
            <w:tcBorders>
              <w:top w:val="nil"/>
              <w:left w:val="nil"/>
              <w:bottom w:val="nil"/>
              <w:right w:val="nil"/>
            </w:tcBorders>
            <w:shd w:val="clear" w:color="auto" w:fill="auto"/>
            <w:vAlign w:val="center"/>
          </w:tcPr>
          <w:p w14:paraId="1498227E">
            <w:pPr>
              <w:keepNext w:val="0"/>
              <w:keepLines w:val="0"/>
              <w:widowControl/>
              <w:suppressLineNumbers w:val="0"/>
              <w:spacing w:line="360" w:lineRule="exact"/>
              <w:ind w:left="3120" w:hanging="3120" w:hangingChars="1300"/>
              <w:jc w:val="both"/>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val="0"/>
                <w:bCs w:val="0"/>
                <w:color w:val="auto"/>
                <w:sz w:val="24"/>
                <w:szCs w:val="24"/>
                <w:highlight w:val="none"/>
              </w:rPr>
              <w:t xml:space="preserve">附录A </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bCs/>
                <w:i w:val="0"/>
                <w:iCs w:val="0"/>
                <w:color w:val="auto"/>
                <w:kern w:val="0"/>
                <w:sz w:val="24"/>
                <w:szCs w:val="24"/>
                <w:highlight w:val="none"/>
                <w:u w:val="none"/>
                <w:lang w:val="en-US" w:eastAsia="zh-CN" w:bidi="ar"/>
              </w:rPr>
              <w:t>湖南省新新张官高速公路建设开发有限公司张家界分公司</w:t>
            </w:r>
          </w:p>
          <w:p w14:paraId="3D47B9FF">
            <w:pPr>
              <w:keepNext w:val="0"/>
              <w:keepLines w:val="0"/>
              <w:widowControl/>
              <w:suppressLineNumbers w:val="0"/>
              <w:spacing w:line="360" w:lineRule="exact"/>
              <w:ind w:left="3129" w:leftChars="1031" w:hanging="964" w:hangingChars="400"/>
              <w:jc w:val="both"/>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cs="宋体"/>
                <w:b/>
                <w:bCs/>
                <w:color w:val="auto"/>
                <w:sz w:val="24"/>
                <w:szCs w:val="24"/>
                <w:highlight w:val="none"/>
                <w:lang w:val="en-US" w:eastAsia="zh-CN"/>
              </w:rPr>
              <w:t>镰刀湾特大桥</w:t>
            </w:r>
            <w:bookmarkStart w:id="179" w:name="OLE_LINK2"/>
            <w:r>
              <w:rPr>
                <w:rFonts w:hint="eastAsia" w:ascii="宋体" w:hAnsi="宋体" w:cs="宋体"/>
                <w:b/>
                <w:bCs/>
                <w:color w:val="auto"/>
                <w:sz w:val="24"/>
                <w:szCs w:val="24"/>
                <w:highlight w:val="none"/>
                <w:lang w:val="en-US" w:eastAsia="zh-CN"/>
              </w:rPr>
              <w:t>施工监控</w:t>
            </w:r>
            <w:r>
              <w:rPr>
                <w:rFonts w:hint="eastAsia" w:ascii="宋体" w:hAnsi="宋体" w:eastAsia="宋体" w:cs="宋体"/>
                <w:b/>
                <w:bCs/>
                <w:i w:val="0"/>
                <w:iCs w:val="0"/>
                <w:color w:val="auto"/>
                <w:kern w:val="0"/>
                <w:sz w:val="24"/>
                <w:szCs w:val="24"/>
                <w:highlight w:val="none"/>
                <w:u w:val="none"/>
                <w:lang w:val="en-US" w:eastAsia="zh-CN" w:bidi="ar"/>
              </w:rPr>
              <w:t>技术咨询服务合同清单</w:t>
            </w:r>
          </w:p>
          <w:bookmarkEnd w:id="179"/>
          <w:tbl>
            <w:tblPr>
              <w:tblStyle w:val="86"/>
              <w:tblW w:w="90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1"/>
              <w:gridCol w:w="2130"/>
              <w:gridCol w:w="1600"/>
              <w:gridCol w:w="1670"/>
              <w:gridCol w:w="1686"/>
              <w:gridCol w:w="1041"/>
            </w:tblGrid>
            <w:tr w14:paraId="6968D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951" w:type="dxa"/>
                  <w:vMerge w:val="restart"/>
                  <w:noWrap/>
                  <w:vAlign w:val="center"/>
                </w:tcPr>
                <w:p w14:paraId="570142E3">
                  <w:pPr>
                    <w:keepNext w:val="0"/>
                    <w:keepLines w:val="0"/>
                    <w:widowControl/>
                    <w:suppressLineNumbers w:val="0"/>
                    <w:spacing w:line="360" w:lineRule="exact"/>
                    <w:jc w:val="center"/>
                    <w:textAlignment w:val="center"/>
                    <w:rPr>
                      <w:rFonts w:hint="eastAsia" w:ascii="仿宋_GB2312" w:hAnsi="宋体" w:eastAsia="仿宋_GB2312" w:cs="仿宋_GB2312"/>
                      <w:b/>
                      <w:bCs/>
                      <w:i w:val="0"/>
                      <w:iCs w:val="0"/>
                      <w:color w:val="auto"/>
                      <w:kern w:val="0"/>
                      <w:sz w:val="21"/>
                      <w:szCs w:val="21"/>
                      <w:highlight w:val="none"/>
                      <w:u w:val="none"/>
                      <w:lang w:val="en-US" w:eastAsia="zh-CN" w:bidi="ar"/>
                    </w:rPr>
                  </w:pPr>
                  <w:r>
                    <w:rPr>
                      <w:rFonts w:hint="eastAsia" w:ascii="仿宋_GB2312" w:hAnsi="宋体" w:eastAsia="仿宋_GB2312" w:cs="仿宋_GB2312"/>
                      <w:b/>
                      <w:bCs/>
                      <w:i w:val="0"/>
                      <w:iCs w:val="0"/>
                      <w:color w:val="auto"/>
                      <w:kern w:val="0"/>
                      <w:sz w:val="21"/>
                      <w:szCs w:val="21"/>
                      <w:highlight w:val="none"/>
                      <w:u w:val="none"/>
                      <w:lang w:val="en-US" w:eastAsia="zh-CN" w:bidi="ar"/>
                    </w:rPr>
                    <w:t>序号</w:t>
                  </w:r>
                </w:p>
              </w:tc>
              <w:tc>
                <w:tcPr>
                  <w:tcW w:w="2130" w:type="dxa"/>
                  <w:vMerge w:val="restart"/>
                  <w:noWrap/>
                  <w:vAlign w:val="center"/>
                </w:tcPr>
                <w:p w14:paraId="312B14DC">
                  <w:pPr>
                    <w:keepNext w:val="0"/>
                    <w:keepLines w:val="0"/>
                    <w:widowControl/>
                    <w:suppressLineNumbers w:val="0"/>
                    <w:spacing w:line="360" w:lineRule="exact"/>
                    <w:jc w:val="center"/>
                    <w:textAlignment w:val="center"/>
                    <w:rPr>
                      <w:rFonts w:hint="eastAsia" w:ascii="仿宋_GB2312" w:hAnsi="宋体" w:eastAsia="仿宋_GB2312" w:cs="仿宋_GB2312"/>
                      <w:b/>
                      <w:bCs/>
                      <w:i w:val="0"/>
                      <w:iCs w:val="0"/>
                      <w:color w:val="auto"/>
                      <w:kern w:val="0"/>
                      <w:sz w:val="21"/>
                      <w:szCs w:val="21"/>
                      <w:highlight w:val="none"/>
                      <w:u w:val="none"/>
                      <w:lang w:val="en-US" w:eastAsia="zh-CN" w:bidi="ar"/>
                    </w:rPr>
                  </w:pPr>
                  <w:r>
                    <w:rPr>
                      <w:rFonts w:hint="eastAsia" w:ascii="仿宋_GB2312" w:hAnsi="宋体" w:eastAsia="仿宋_GB2312" w:cs="仿宋_GB2312"/>
                      <w:b/>
                      <w:bCs/>
                      <w:i w:val="0"/>
                      <w:iCs w:val="0"/>
                      <w:color w:val="auto"/>
                      <w:kern w:val="0"/>
                      <w:sz w:val="21"/>
                      <w:szCs w:val="21"/>
                      <w:highlight w:val="none"/>
                      <w:u w:val="none"/>
                      <w:lang w:val="en-US" w:eastAsia="zh-CN" w:bidi="ar"/>
                    </w:rPr>
                    <w:t>服务费用名称</w:t>
                  </w:r>
                </w:p>
              </w:tc>
              <w:tc>
                <w:tcPr>
                  <w:tcW w:w="4956" w:type="dxa"/>
                  <w:gridSpan w:val="3"/>
                  <w:noWrap/>
                  <w:vAlign w:val="center"/>
                </w:tcPr>
                <w:p w14:paraId="25F55A14">
                  <w:pPr>
                    <w:keepNext w:val="0"/>
                    <w:keepLines w:val="0"/>
                    <w:widowControl/>
                    <w:suppressLineNumbers w:val="0"/>
                    <w:spacing w:line="360" w:lineRule="exact"/>
                    <w:jc w:val="center"/>
                    <w:textAlignment w:val="center"/>
                    <w:rPr>
                      <w:rFonts w:hint="eastAsia" w:ascii="仿宋_GB2312" w:hAnsi="宋体" w:eastAsia="仿宋_GB2312" w:cs="仿宋_GB2312"/>
                      <w:b/>
                      <w:bCs/>
                      <w:i w:val="0"/>
                      <w:iCs w:val="0"/>
                      <w:color w:val="auto"/>
                      <w:kern w:val="0"/>
                      <w:sz w:val="21"/>
                      <w:szCs w:val="21"/>
                      <w:highlight w:val="none"/>
                      <w:u w:val="none"/>
                      <w:lang w:val="en-US" w:eastAsia="zh-CN" w:bidi="ar"/>
                    </w:rPr>
                  </w:pPr>
                  <w:r>
                    <w:rPr>
                      <w:rFonts w:hint="eastAsia" w:ascii="仿宋_GB2312" w:hAnsi="宋体" w:eastAsia="仿宋_GB2312" w:cs="仿宋_GB2312"/>
                      <w:b/>
                      <w:bCs/>
                      <w:i w:val="0"/>
                      <w:iCs w:val="0"/>
                      <w:color w:val="auto"/>
                      <w:kern w:val="0"/>
                      <w:sz w:val="21"/>
                      <w:szCs w:val="21"/>
                      <w:highlight w:val="none"/>
                      <w:u w:val="none"/>
                      <w:lang w:val="en-US" w:eastAsia="zh-CN" w:bidi="ar"/>
                    </w:rPr>
                    <w:t>总价（元）</w:t>
                  </w:r>
                </w:p>
              </w:tc>
              <w:tc>
                <w:tcPr>
                  <w:tcW w:w="1041" w:type="dxa"/>
                  <w:vMerge w:val="restart"/>
                  <w:noWrap/>
                  <w:vAlign w:val="center"/>
                </w:tcPr>
                <w:p w14:paraId="68D194E9">
                  <w:pPr>
                    <w:widowControl/>
                    <w:spacing w:line="600" w:lineRule="exact"/>
                    <w:jc w:val="center"/>
                    <w:rPr>
                      <w:rFonts w:hint="eastAsia" w:ascii="宋体" w:hAnsi="宋体" w:eastAsia="宋体" w:cs="宋体"/>
                      <w:color w:val="auto"/>
                      <w:sz w:val="30"/>
                      <w:szCs w:val="30"/>
                      <w:highlight w:val="none"/>
                    </w:rPr>
                  </w:pPr>
                  <w:r>
                    <w:rPr>
                      <w:rFonts w:hint="eastAsia" w:ascii="仿宋_GB2312" w:hAnsi="宋体" w:eastAsia="仿宋_GB2312" w:cs="仿宋_GB2312"/>
                      <w:b/>
                      <w:bCs/>
                      <w:i w:val="0"/>
                      <w:iCs w:val="0"/>
                      <w:color w:val="auto"/>
                      <w:kern w:val="0"/>
                      <w:sz w:val="21"/>
                      <w:szCs w:val="21"/>
                      <w:highlight w:val="none"/>
                      <w:u w:val="none"/>
                      <w:lang w:val="en-US" w:eastAsia="zh-CN" w:bidi="ar"/>
                    </w:rPr>
                    <w:t>备注</w:t>
                  </w:r>
                </w:p>
              </w:tc>
            </w:tr>
            <w:tr w14:paraId="5115E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trPr>
              <w:tc>
                <w:tcPr>
                  <w:tcW w:w="951" w:type="dxa"/>
                  <w:vMerge w:val="continue"/>
                  <w:noWrap/>
                  <w:vAlign w:val="center"/>
                </w:tcPr>
                <w:p w14:paraId="7E8BEB20">
                  <w:pPr>
                    <w:keepNext w:val="0"/>
                    <w:keepLines w:val="0"/>
                    <w:widowControl/>
                    <w:suppressLineNumbers w:val="0"/>
                    <w:spacing w:line="360" w:lineRule="exact"/>
                    <w:jc w:val="center"/>
                    <w:textAlignment w:val="center"/>
                    <w:rPr>
                      <w:rFonts w:hint="eastAsia" w:ascii="仿宋_GB2312" w:hAnsi="宋体" w:eastAsia="仿宋_GB2312" w:cs="仿宋_GB2312"/>
                      <w:b/>
                      <w:bCs/>
                      <w:i w:val="0"/>
                      <w:iCs w:val="0"/>
                      <w:color w:val="auto"/>
                      <w:kern w:val="0"/>
                      <w:sz w:val="21"/>
                      <w:szCs w:val="21"/>
                      <w:highlight w:val="none"/>
                      <w:u w:val="none"/>
                      <w:lang w:val="en-US" w:eastAsia="zh-CN" w:bidi="ar"/>
                    </w:rPr>
                  </w:pPr>
                </w:p>
              </w:tc>
              <w:tc>
                <w:tcPr>
                  <w:tcW w:w="2130" w:type="dxa"/>
                  <w:vMerge w:val="continue"/>
                  <w:noWrap/>
                  <w:vAlign w:val="center"/>
                </w:tcPr>
                <w:p w14:paraId="1E90655B">
                  <w:pPr>
                    <w:keepNext w:val="0"/>
                    <w:keepLines w:val="0"/>
                    <w:widowControl/>
                    <w:suppressLineNumbers w:val="0"/>
                    <w:spacing w:line="360" w:lineRule="exact"/>
                    <w:jc w:val="center"/>
                    <w:textAlignment w:val="center"/>
                    <w:rPr>
                      <w:rFonts w:hint="eastAsia" w:ascii="仿宋_GB2312" w:hAnsi="宋体" w:eastAsia="仿宋_GB2312" w:cs="仿宋_GB2312"/>
                      <w:b/>
                      <w:bCs/>
                      <w:i w:val="0"/>
                      <w:iCs w:val="0"/>
                      <w:color w:val="auto"/>
                      <w:kern w:val="0"/>
                      <w:sz w:val="21"/>
                      <w:szCs w:val="21"/>
                      <w:highlight w:val="none"/>
                      <w:u w:val="none"/>
                      <w:lang w:val="en-US" w:eastAsia="zh-CN" w:bidi="ar"/>
                    </w:rPr>
                  </w:pPr>
                </w:p>
              </w:tc>
              <w:tc>
                <w:tcPr>
                  <w:tcW w:w="1600" w:type="dxa"/>
                  <w:noWrap/>
                  <w:vAlign w:val="center"/>
                </w:tcPr>
                <w:p w14:paraId="291C3DD7">
                  <w:pPr>
                    <w:keepNext w:val="0"/>
                    <w:keepLines w:val="0"/>
                    <w:widowControl/>
                    <w:suppressLineNumbers w:val="0"/>
                    <w:spacing w:line="360" w:lineRule="exact"/>
                    <w:jc w:val="center"/>
                    <w:textAlignment w:val="center"/>
                    <w:rPr>
                      <w:rFonts w:hint="eastAsia" w:ascii="仿宋_GB2312" w:hAnsi="宋体" w:eastAsia="仿宋_GB2312" w:cs="仿宋_GB2312"/>
                      <w:b/>
                      <w:bCs/>
                      <w:i w:val="0"/>
                      <w:iCs w:val="0"/>
                      <w:color w:val="auto"/>
                      <w:kern w:val="0"/>
                      <w:sz w:val="21"/>
                      <w:szCs w:val="21"/>
                      <w:highlight w:val="none"/>
                      <w:u w:val="none"/>
                      <w:lang w:val="en-US" w:eastAsia="zh-CN" w:bidi="ar"/>
                    </w:rPr>
                  </w:pPr>
                  <w:r>
                    <w:rPr>
                      <w:rFonts w:hint="eastAsia" w:ascii="仿宋_GB2312" w:hAnsi="宋体" w:eastAsia="仿宋_GB2312" w:cs="仿宋_GB2312"/>
                      <w:b/>
                      <w:bCs/>
                      <w:i w:val="0"/>
                      <w:iCs w:val="0"/>
                      <w:color w:val="auto"/>
                      <w:kern w:val="0"/>
                      <w:sz w:val="21"/>
                      <w:szCs w:val="21"/>
                      <w:highlight w:val="none"/>
                      <w:u w:val="none"/>
                      <w:lang w:val="en-US" w:eastAsia="zh-CN" w:bidi="ar"/>
                    </w:rPr>
                    <w:t>不含税金额</w:t>
                  </w:r>
                </w:p>
              </w:tc>
              <w:tc>
                <w:tcPr>
                  <w:tcW w:w="1670" w:type="dxa"/>
                  <w:noWrap/>
                  <w:vAlign w:val="center"/>
                </w:tcPr>
                <w:p w14:paraId="7FE8E2AF">
                  <w:pPr>
                    <w:keepNext w:val="0"/>
                    <w:keepLines w:val="0"/>
                    <w:widowControl/>
                    <w:suppressLineNumbers w:val="0"/>
                    <w:spacing w:line="360" w:lineRule="exact"/>
                    <w:jc w:val="center"/>
                    <w:textAlignment w:val="center"/>
                    <w:rPr>
                      <w:rFonts w:hint="eastAsia" w:ascii="仿宋_GB2312" w:hAnsi="宋体" w:eastAsia="仿宋_GB2312" w:cs="仿宋_GB2312"/>
                      <w:b/>
                      <w:bCs/>
                      <w:i w:val="0"/>
                      <w:iCs w:val="0"/>
                      <w:color w:val="auto"/>
                      <w:kern w:val="0"/>
                      <w:sz w:val="21"/>
                      <w:szCs w:val="21"/>
                      <w:highlight w:val="none"/>
                      <w:u w:val="none"/>
                      <w:lang w:val="en-US" w:eastAsia="zh-CN" w:bidi="ar"/>
                    </w:rPr>
                  </w:pPr>
                  <w:r>
                    <w:rPr>
                      <w:rFonts w:hint="eastAsia" w:ascii="仿宋_GB2312" w:hAnsi="宋体" w:eastAsia="仿宋_GB2312" w:cs="仿宋_GB2312"/>
                      <w:b/>
                      <w:bCs/>
                      <w:i w:val="0"/>
                      <w:iCs w:val="0"/>
                      <w:color w:val="auto"/>
                      <w:kern w:val="0"/>
                      <w:sz w:val="21"/>
                      <w:szCs w:val="21"/>
                      <w:highlight w:val="none"/>
                      <w:u w:val="none"/>
                      <w:lang w:val="en-US" w:eastAsia="zh-CN" w:bidi="ar"/>
                    </w:rPr>
                    <w:t>税额</w:t>
                  </w:r>
                </w:p>
              </w:tc>
              <w:tc>
                <w:tcPr>
                  <w:tcW w:w="1686" w:type="dxa"/>
                  <w:noWrap/>
                  <w:vAlign w:val="center"/>
                </w:tcPr>
                <w:p w14:paraId="71425541">
                  <w:pPr>
                    <w:keepNext w:val="0"/>
                    <w:keepLines w:val="0"/>
                    <w:widowControl/>
                    <w:suppressLineNumbers w:val="0"/>
                    <w:spacing w:line="360" w:lineRule="exact"/>
                    <w:jc w:val="center"/>
                    <w:textAlignment w:val="center"/>
                    <w:rPr>
                      <w:rFonts w:hint="eastAsia" w:ascii="仿宋_GB2312" w:hAnsi="宋体" w:eastAsia="仿宋_GB2312" w:cs="仿宋_GB2312"/>
                      <w:b/>
                      <w:bCs/>
                      <w:i w:val="0"/>
                      <w:iCs w:val="0"/>
                      <w:color w:val="auto"/>
                      <w:kern w:val="0"/>
                      <w:sz w:val="21"/>
                      <w:szCs w:val="21"/>
                      <w:highlight w:val="none"/>
                      <w:u w:val="none"/>
                      <w:lang w:val="en-US" w:eastAsia="zh-CN" w:bidi="ar"/>
                    </w:rPr>
                  </w:pPr>
                  <w:r>
                    <w:rPr>
                      <w:rFonts w:hint="eastAsia" w:ascii="仿宋_GB2312" w:hAnsi="宋体" w:eastAsia="仿宋_GB2312" w:cs="仿宋_GB2312"/>
                      <w:b/>
                      <w:bCs/>
                      <w:i w:val="0"/>
                      <w:iCs w:val="0"/>
                      <w:color w:val="auto"/>
                      <w:kern w:val="0"/>
                      <w:sz w:val="21"/>
                      <w:szCs w:val="21"/>
                      <w:highlight w:val="none"/>
                      <w:u w:val="none"/>
                      <w:lang w:val="en-US" w:eastAsia="zh-CN" w:bidi="ar"/>
                    </w:rPr>
                    <w:t>价税合计</w:t>
                  </w:r>
                </w:p>
              </w:tc>
              <w:tc>
                <w:tcPr>
                  <w:tcW w:w="1041" w:type="dxa"/>
                  <w:vMerge w:val="continue"/>
                  <w:noWrap/>
                  <w:vAlign w:val="center"/>
                </w:tcPr>
                <w:p w14:paraId="18A38EAB">
                  <w:pPr>
                    <w:widowControl/>
                    <w:spacing w:line="600" w:lineRule="exact"/>
                    <w:jc w:val="left"/>
                    <w:rPr>
                      <w:rFonts w:hint="eastAsia" w:ascii="宋体" w:hAnsi="宋体" w:eastAsia="宋体" w:cs="宋体"/>
                      <w:color w:val="auto"/>
                      <w:sz w:val="30"/>
                      <w:szCs w:val="30"/>
                      <w:highlight w:val="none"/>
                    </w:rPr>
                  </w:pPr>
                </w:p>
              </w:tc>
            </w:tr>
            <w:tr w14:paraId="3915B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951" w:type="dxa"/>
                  <w:noWrap/>
                  <w:vAlign w:val="center"/>
                </w:tcPr>
                <w:p w14:paraId="53996A03">
                  <w:pPr>
                    <w:keepNext w:val="0"/>
                    <w:keepLines w:val="0"/>
                    <w:widowControl/>
                    <w:suppressLineNumbers w:val="0"/>
                    <w:spacing w:line="360" w:lineRule="exact"/>
                    <w:jc w:val="center"/>
                    <w:textAlignment w:val="center"/>
                    <w:rPr>
                      <w:rFonts w:hint="eastAsia" w:ascii="仿宋_GB2312" w:hAnsi="宋体" w:eastAsia="仿宋_GB2312" w:cs="仿宋_GB2312"/>
                      <w:i w:val="0"/>
                      <w:iCs w:val="0"/>
                      <w:color w:val="auto"/>
                      <w:kern w:val="0"/>
                      <w:sz w:val="21"/>
                      <w:szCs w:val="21"/>
                      <w:highlight w:val="none"/>
                      <w:u w:val="none"/>
                      <w:lang w:val="en-US" w:eastAsia="zh-CN" w:bidi="ar"/>
                    </w:rPr>
                  </w:pPr>
                  <w:r>
                    <w:rPr>
                      <w:rFonts w:hint="eastAsia" w:ascii="仿宋_GB2312" w:hAnsi="宋体" w:eastAsia="仿宋_GB2312" w:cs="仿宋_GB2312"/>
                      <w:i w:val="0"/>
                      <w:iCs w:val="0"/>
                      <w:color w:val="auto"/>
                      <w:kern w:val="0"/>
                      <w:sz w:val="21"/>
                      <w:szCs w:val="21"/>
                      <w:highlight w:val="none"/>
                      <w:u w:val="none"/>
                      <w:lang w:val="en-US" w:eastAsia="zh-CN" w:bidi="ar"/>
                    </w:rPr>
                    <w:t>1</w:t>
                  </w:r>
                </w:p>
              </w:tc>
              <w:tc>
                <w:tcPr>
                  <w:tcW w:w="2130" w:type="dxa"/>
                  <w:noWrap/>
                  <w:vAlign w:val="center"/>
                </w:tcPr>
                <w:p w14:paraId="1C7BD775">
                  <w:pPr>
                    <w:keepNext w:val="0"/>
                    <w:keepLines w:val="0"/>
                    <w:widowControl/>
                    <w:suppressLineNumbers w:val="0"/>
                    <w:spacing w:line="360" w:lineRule="exact"/>
                    <w:jc w:val="center"/>
                    <w:textAlignment w:val="center"/>
                    <w:rPr>
                      <w:rFonts w:hint="eastAsia" w:ascii="仿宋_GB2312" w:hAnsi="宋体" w:eastAsia="仿宋_GB2312" w:cs="仿宋_GB2312"/>
                      <w:i w:val="0"/>
                      <w:iCs w:val="0"/>
                      <w:color w:val="auto"/>
                      <w:kern w:val="0"/>
                      <w:sz w:val="21"/>
                      <w:szCs w:val="21"/>
                      <w:highlight w:val="none"/>
                      <w:u w:val="none"/>
                      <w:lang w:val="en-US" w:eastAsia="zh-CN" w:bidi="ar"/>
                    </w:rPr>
                  </w:pPr>
                  <w:r>
                    <w:rPr>
                      <w:b/>
                      <w:bCs/>
                      <w:color w:val="000000"/>
                      <w:kern w:val="0"/>
                      <w:sz w:val="21"/>
                      <w:szCs w:val="21"/>
                      <w:highlight w:val="none"/>
                    </w:rPr>
                    <w:t>仪器、设备折旧费</w:t>
                  </w:r>
                </w:p>
              </w:tc>
              <w:tc>
                <w:tcPr>
                  <w:tcW w:w="1600" w:type="dxa"/>
                  <w:noWrap/>
                  <w:vAlign w:val="center"/>
                </w:tcPr>
                <w:p w14:paraId="1140ED98">
                  <w:pPr>
                    <w:keepNext w:val="0"/>
                    <w:keepLines w:val="0"/>
                    <w:widowControl/>
                    <w:suppressLineNumbers w:val="0"/>
                    <w:spacing w:line="360" w:lineRule="exact"/>
                    <w:jc w:val="center"/>
                    <w:textAlignment w:val="center"/>
                    <w:rPr>
                      <w:rFonts w:hint="eastAsia" w:ascii="仿宋_GB2312" w:hAnsi="宋体" w:eastAsia="仿宋_GB2312" w:cs="仿宋_GB2312"/>
                      <w:i w:val="0"/>
                      <w:iCs w:val="0"/>
                      <w:color w:val="auto"/>
                      <w:kern w:val="0"/>
                      <w:sz w:val="21"/>
                      <w:szCs w:val="21"/>
                      <w:highlight w:val="none"/>
                      <w:u w:val="none"/>
                      <w:lang w:val="en-US" w:eastAsia="zh-CN" w:bidi="ar"/>
                    </w:rPr>
                  </w:pPr>
                </w:p>
              </w:tc>
              <w:tc>
                <w:tcPr>
                  <w:tcW w:w="1670" w:type="dxa"/>
                  <w:noWrap/>
                  <w:vAlign w:val="center"/>
                </w:tcPr>
                <w:p w14:paraId="3A98BEA2">
                  <w:pPr>
                    <w:keepNext w:val="0"/>
                    <w:keepLines w:val="0"/>
                    <w:widowControl/>
                    <w:suppressLineNumbers w:val="0"/>
                    <w:spacing w:line="360" w:lineRule="exact"/>
                    <w:jc w:val="center"/>
                    <w:textAlignment w:val="center"/>
                    <w:rPr>
                      <w:rFonts w:hint="eastAsia" w:ascii="仿宋_GB2312" w:hAnsi="宋体" w:eastAsia="仿宋_GB2312" w:cs="仿宋_GB2312"/>
                      <w:i w:val="0"/>
                      <w:iCs w:val="0"/>
                      <w:color w:val="auto"/>
                      <w:kern w:val="0"/>
                      <w:sz w:val="21"/>
                      <w:szCs w:val="21"/>
                      <w:highlight w:val="none"/>
                      <w:u w:val="none"/>
                      <w:lang w:val="en-US" w:eastAsia="zh-CN" w:bidi="ar"/>
                    </w:rPr>
                  </w:pPr>
                </w:p>
              </w:tc>
              <w:tc>
                <w:tcPr>
                  <w:tcW w:w="1686" w:type="dxa"/>
                  <w:noWrap/>
                  <w:vAlign w:val="center"/>
                </w:tcPr>
                <w:p w14:paraId="2C5DEDE6">
                  <w:pPr>
                    <w:keepNext w:val="0"/>
                    <w:keepLines w:val="0"/>
                    <w:widowControl/>
                    <w:suppressLineNumbers w:val="0"/>
                    <w:spacing w:line="360" w:lineRule="exact"/>
                    <w:jc w:val="center"/>
                    <w:textAlignment w:val="center"/>
                    <w:rPr>
                      <w:rFonts w:hint="eastAsia" w:ascii="仿宋_GB2312" w:hAnsi="宋体" w:eastAsia="仿宋_GB2312" w:cs="仿宋_GB2312"/>
                      <w:i w:val="0"/>
                      <w:iCs w:val="0"/>
                      <w:color w:val="auto"/>
                      <w:kern w:val="0"/>
                      <w:sz w:val="21"/>
                      <w:szCs w:val="21"/>
                      <w:highlight w:val="none"/>
                      <w:u w:val="none"/>
                      <w:lang w:val="en-US" w:eastAsia="zh-CN" w:bidi="ar"/>
                    </w:rPr>
                  </w:pPr>
                </w:p>
              </w:tc>
              <w:tc>
                <w:tcPr>
                  <w:tcW w:w="1041" w:type="dxa"/>
                  <w:noWrap/>
                  <w:vAlign w:val="center"/>
                </w:tcPr>
                <w:p w14:paraId="4B7BEBCD">
                  <w:pPr>
                    <w:keepNext w:val="0"/>
                    <w:keepLines w:val="0"/>
                    <w:widowControl/>
                    <w:suppressLineNumbers w:val="0"/>
                    <w:spacing w:line="360" w:lineRule="exact"/>
                    <w:jc w:val="center"/>
                    <w:textAlignment w:val="center"/>
                    <w:rPr>
                      <w:rFonts w:hint="eastAsia" w:ascii="仿宋_GB2312" w:hAnsi="宋体" w:eastAsia="仿宋_GB2312" w:cs="仿宋_GB2312"/>
                      <w:i w:val="0"/>
                      <w:iCs w:val="0"/>
                      <w:color w:val="auto"/>
                      <w:kern w:val="0"/>
                      <w:sz w:val="21"/>
                      <w:szCs w:val="21"/>
                      <w:highlight w:val="none"/>
                      <w:u w:val="none"/>
                      <w:lang w:val="en-US" w:eastAsia="zh-CN" w:bidi="ar"/>
                    </w:rPr>
                  </w:pPr>
                </w:p>
              </w:tc>
            </w:tr>
            <w:tr w14:paraId="2A742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951" w:type="dxa"/>
                  <w:noWrap/>
                  <w:vAlign w:val="center"/>
                </w:tcPr>
                <w:p w14:paraId="083CBCB3">
                  <w:pPr>
                    <w:keepNext w:val="0"/>
                    <w:keepLines w:val="0"/>
                    <w:widowControl/>
                    <w:suppressLineNumbers w:val="0"/>
                    <w:spacing w:line="360" w:lineRule="exact"/>
                    <w:jc w:val="center"/>
                    <w:textAlignment w:val="center"/>
                    <w:rPr>
                      <w:rFonts w:hint="default" w:ascii="仿宋_GB2312" w:hAnsi="宋体" w:eastAsia="仿宋_GB2312" w:cs="仿宋_GB2312"/>
                      <w:i w:val="0"/>
                      <w:iCs w:val="0"/>
                      <w:color w:val="auto"/>
                      <w:kern w:val="0"/>
                      <w:sz w:val="21"/>
                      <w:szCs w:val="21"/>
                      <w:highlight w:val="none"/>
                      <w:u w:val="none"/>
                      <w:lang w:val="en-US" w:eastAsia="zh-CN" w:bidi="ar"/>
                    </w:rPr>
                  </w:pPr>
                  <w:r>
                    <w:rPr>
                      <w:rFonts w:hint="eastAsia" w:ascii="仿宋_GB2312" w:hAnsi="宋体" w:eastAsia="仿宋_GB2312" w:cs="仿宋_GB2312"/>
                      <w:i w:val="0"/>
                      <w:iCs w:val="0"/>
                      <w:color w:val="auto"/>
                      <w:kern w:val="0"/>
                      <w:sz w:val="21"/>
                      <w:szCs w:val="21"/>
                      <w:highlight w:val="none"/>
                      <w:u w:val="none"/>
                      <w:lang w:val="en-US" w:eastAsia="zh-CN" w:bidi="ar"/>
                    </w:rPr>
                    <w:t>2</w:t>
                  </w:r>
                </w:p>
              </w:tc>
              <w:tc>
                <w:tcPr>
                  <w:tcW w:w="2130" w:type="dxa"/>
                  <w:noWrap/>
                  <w:vAlign w:val="center"/>
                </w:tcPr>
                <w:p w14:paraId="2F2DB57C">
                  <w:pPr>
                    <w:keepNext w:val="0"/>
                    <w:keepLines w:val="0"/>
                    <w:widowControl/>
                    <w:suppressLineNumbers w:val="0"/>
                    <w:spacing w:line="360" w:lineRule="exact"/>
                    <w:jc w:val="center"/>
                    <w:textAlignment w:val="center"/>
                    <w:rPr>
                      <w:rFonts w:hint="eastAsia" w:ascii="仿宋_GB2312" w:hAnsi="宋体" w:eastAsia="仿宋_GB2312" w:cs="仿宋_GB2312"/>
                      <w:i w:val="0"/>
                      <w:iCs w:val="0"/>
                      <w:color w:val="auto"/>
                      <w:kern w:val="0"/>
                      <w:sz w:val="21"/>
                      <w:szCs w:val="21"/>
                      <w:highlight w:val="none"/>
                      <w:u w:val="none"/>
                      <w:lang w:val="en-US" w:eastAsia="zh-CN" w:bidi="ar"/>
                    </w:rPr>
                  </w:pPr>
                  <w:r>
                    <w:rPr>
                      <w:b/>
                      <w:bCs/>
                      <w:color w:val="000000"/>
                      <w:kern w:val="0"/>
                      <w:sz w:val="21"/>
                      <w:szCs w:val="21"/>
                      <w:highlight w:val="none"/>
                    </w:rPr>
                    <w:t>传感器以及其它材料耗损费</w:t>
                  </w:r>
                </w:p>
              </w:tc>
              <w:tc>
                <w:tcPr>
                  <w:tcW w:w="1600" w:type="dxa"/>
                  <w:noWrap/>
                  <w:vAlign w:val="center"/>
                </w:tcPr>
                <w:p w14:paraId="7237A41F">
                  <w:pPr>
                    <w:keepNext w:val="0"/>
                    <w:keepLines w:val="0"/>
                    <w:widowControl/>
                    <w:suppressLineNumbers w:val="0"/>
                    <w:spacing w:line="360" w:lineRule="exact"/>
                    <w:jc w:val="center"/>
                    <w:textAlignment w:val="center"/>
                    <w:rPr>
                      <w:rFonts w:hint="eastAsia" w:ascii="仿宋_GB2312" w:hAnsi="宋体" w:eastAsia="仿宋_GB2312" w:cs="仿宋_GB2312"/>
                      <w:i w:val="0"/>
                      <w:iCs w:val="0"/>
                      <w:color w:val="auto"/>
                      <w:kern w:val="0"/>
                      <w:sz w:val="21"/>
                      <w:szCs w:val="21"/>
                      <w:highlight w:val="none"/>
                      <w:u w:val="none"/>
                      <w:lang w:val="en-US" w:eastAsia="zh-CN" w:bidi="ar"/>
                    </w:rPr>
                  </w:pPr>
                </w:p>
              </w:tc>
              <w:tc>
                <w:tcPr>
                  <w:tcW w:w="1670" w:type="dxa"/>
                  <w:noWrap/>
                  <w:vAlign w:val="center"/>
                </w:tcPr>
                <w:p w14:paraId="2E2EA382">
                  <w:pPr>
                    <w:keepNext w:val="0"/>
                    <w:keepLines w:val="0"/>
                    <w:widowControl/>
                    <w:suppressLineNumbers w:val="0"/>
                    <w:spacing w:line="360" w:lineRule="exact"/>
                    <w:jc w:val="center"/>
                    <w:textAlignment w:val="center"/>
                    <w:rPr>
                      <w:rFonts w:hint="eastAsia" w:ascii="仿宋_GB2312" w:hAnsi="宋体" w:eastAsia="仿宋_GB2312" w:cs="仿宋_GB2312"/>
                      <w:i w:val="0"/>
                      <w:iCs w:val="0"/>
                      <w:color w:val="auto"/>
                      <w:kern w:val="0"/>
                      <w:sz w:val="21"/>
                      <w:szCs w:val="21"/>
                      <w:highlight w:val="none"/>
                      <w:u w:val="none"/>
                      <w:lang w:val="en-US" w:eastAsia="zh-CN" w:bidi="ar"/>
                    </w:rPr>
                  </w:pPr>
                </w:p>
              </w:tc>
              <w:tc>
                <w:tcPr>
                  <w:tcW w:w="1686" w:type="dxa"/>
                  <w:noWrap/>
                  <w:vAlign w:val="center"/>
                </w:tcPr>
                <w:p w14:paraId="4E4BA7C4">
                  <w:pPr>
                    <w:keepNext w:val="0"/>
                    <w:keepLines w:val="0"/>
                    <w:widowControl/>
                    <w:suppressLineNumbers w:val="0"/>
                    <w:spacing w:line="360" w:lineRule="exact"/>
                    <w:jc w:val="center"/>
                    <w:textAlignment w:val="center"/>
                    <w:rPr>
                      <w:rFonts w:hint="eastAsia" w:ascii="仿宋_GB2312" w:hAnsi="宋体" w:eastAsia="仿宋_GB2312" w:cs="仿宋_GB2312"/>
                      <w:i w:val="0"/>
                      <w:iCs w:val="0"/>
                      <w:color w:val="auto"/>
                      <w:kern w:val="0"/>
                      <w:sz w:val="21"/>
                      <w:szCs w:val="21"/>
                      <w:highlight w:val="none"/>
                      <w:u w:val="none"/>
                      <w:lang w:val="en-US" w:eastAsia="zh-CN" w:bidi="ar"/>
                    </w:rPr>
                  </w:pPr>
                </w:p>
              </w:tc>
              <w:tc>
                <w:tcPr>
                  <w:tcW w:w="1041" w:type="dxa"/>
                  <w:noWrap/>
                  <w:vAlign w:val="center"/>
                </w:tcPr>
                <w:p w14:paraId="500338F1">
                  <w:pPr>
                    <w:keepNext w:val="0"/>
                    <w:keepLines w:val="0"/>
                    <w:widowControl/>
                    <w:suppressLineNumbers w:val="0"/>
                    <w:spacing w:line="360" w:lineRule="exact"/>
                    <w:jc w:val="center"/>
                    <w:textAlignment w:val="center"/>
                    <w:rPr>
                      <w:rFonts w:hint="eastAsia" w:ascii="仿宋_GB2312" w:hAnsi="宋体" w:eastAsia="仿宋_GB2312" w:cs="仿宋_GB2312"/>
                      <w:i w:val="0"/>
                      <w:iCs w:val="0"/>
                      <w:color w:val="auto"/>
                      <w:kern w:val="0"/>
                      <w:sz w:val="21"/>
                      <w:szCs w:val="21"/>
                      <w:highlight w:val="none"/>
                      <w:u w:val="none"/>
                      <w:lang w:val="en-US" w:eastAsia="zh-CN" w:bidi="ar"/>
                    </w:rPr>
                  </w:pPr>
                </w:p>
              </w:tc>
            </w:tr>
            <w:tr w14:paraId="1D005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951" w:type="dxa"/>
                  <w:noWrap/>
                  <w:vAlign w:val="center"/>
                </w:tcPr>
                <w:p w14:paraId="679F5189">
                  <w:pPr>
                    <w:keepNext w:val="0"/>
                    <w:keepLines w:val="0"/>
                    <w:widowControl/>
                    <w:suppressLineNumbers w:val="0"/>
                    <w:spacing w:line="360" w:lineRule="exact"/>
                    <w:jc w:val="center"/>
                    <w:textAlignment w:val="center"/>
                    <w:rPr>
                      <w:rFonts w:hint="default" w:ascii="仿宋_GB2312" w:hAnsi="宋体" w:eastAsia="仿宋_GB2312" w:cs="仿宋_GB2312"/>
                      <w:i w:val="0"/>
                      <w:iCs w:val="0"/>
                      <w:color w:val="auto"/>
                      <w:kern w:val="0"/>
                      <w:sz w:val="21"/>
                      <w:szCs w:val="21"/>
                      <w:highlight w:val="none"/>
                      <w:u w:val="none"/>
                      <w:lang w:val="en-US" w:eastAsia="zh-CN" w:bidi="ar"/>
                    </w:rPr>
                  </w:pPr>
                  <w:r>
                    <w:rPr>
                      <w:rFonts w:hint="eastAsia" w:ascii="仿宋_GB2312" w:hAnsi="宋体" w:eastAsia="仿宋_GB2312" w:cs="仿宋_GB2312"/>
                      <w:i w:val="0"/>
                      <w:iCs w:val="0"/>
                      <w:color w:val="auto"/>
                      <w:kern w:val="0"/>
                      <w:sz w:val="21"/>
                      <w:szCs w:val="21"/>
                      <w:highlight w:val="none"/>
                      <w:u w:val="none"/>
                      <w:lang w:val="en-US" w:eastAsia="zh-CN" w:bidi="ar"/>
                    </w:rPr>
                    <w:t>3</w:t>
                  </w:r>
                </w:p>
              </w:tc>
              <w:tc>
                <w:tcPr>
                  <w:tcW w:w="2130" w:type="dxa"/>
                  <w:noWrap/>
                  <w:vAlign w:val="center"/>
                </w:tcPr>
                <w:p w14:paraId="439FF880">
                  <w:pPr>
                    <w:keepNext w:val="0"/>
                    <w:keepLines w:val="0"/>
                    <w:widowControl/>
                    <w:suppressLineNumbers w:val="0"/>
                    <w:spacing w:line="360" w:lineRule="exact"/>
                    <w:jc w:val="center"/>
                    <w:textAlignment w:val="center"/>
                    <w:rPr>
                      <w:rFonts w:hint="eastAsia" w:ascii="仿宋_GB2312" w:hAnsi="宋体" w:eastAsia="仿宋_GB2312" w:cs="仿宋_GB2312"/>
                      <w:i w:val="0"/>
                      <w:iCs w:val="0"/>
                      <w:color w:val="auto"/>
                      <w:kern w:val="0"/>
                      <w:sz w:val="21"/>
                      <w:szCs w:val="21"/>
                      <w:highlight w:val="none"/>
                      <w:u w:val="none"/>
                      <w:lang w:val="en-US" w:eastAsia="zh-CN" w:bidi="ar"/>
                    </w:rPr>
                  </w:pPr>
                  <w:r>
                    <w:rPr>
                      <w:b/>
                      <w:bCs/>
                      <w:color w:val="000000"/>
                      <w:kern w:val="0"/>
                      <w:sz w:val="21"/>
                      <w:szCs w:val="21"/>
                      <w:highlight w:val="none"/>
                    </w:rPr>
                    <w:t>仿真计算、分析及测试费</w:t>
                  </w:r>
                </w:p>
              </w:tc>
              <w:tc>
                <w:tcPr>
                  <w:tcW w:w="1600" w:type="dxa"/>
                  <w:noWrap/>
                  <w:vAlign w:val="center"/>
                </w:tcPr>
                <w:p w14:paraId="7E5B58DC">
                  <w:pPr>
                    <w:keepNext w:val="0"/>
                    <w:keepLines w:val="0"/>
                    <w:widowControl/>
                    <w:suppressLineNumbers w:val="0"/>
                    <w:spacing w:line="360" w:lineRule="exact"/>
                    <w:jc w:val="center"/>
                    <w:textAlignment w:val="center"/>
                    <w:rPr>
                      <w:rFonts w:hint="eastAsia" w:ascii="仿宋_GB2312" w:hAnsi="宋体" w:eastAsia="仿宋_GB2312" w:cs="仿宋_GB2312"/>
                      <w:i w:val="0"/>
                      <w:iCs w:val="0"/>
                      <w:color w:val="auto"/>
                      <w:kern w:val="0"/>
                      <w:sz w:val="21"/>
                      <w:szCs w:val="21"/>
                      <w:highlight w:val="none"/>
                      <w:u w:val="none"/>
                      <w:lang w:val="en-US" w:eastAsia="zh-CN" w:bidi="ar"/>
                    </w:rPr>
                  </w:pPr>
                </w:p>
              </w:tc>
              <w:tc>
                <w:tcPr>
                  <w:tcW w:w="1670" w:type="dxa"/>
                  <w:noWrap/>
                  <w:vAlign w:val="center"/>
                </w:tcPr>
                <w:p w14:paraId="23559E42">
                  <w:pPr>
                    <w:keepNext w:val="0"/>
                    <w:keepLines w:val="0"/>
                    <w:widowControl/>
                    <w:suppressLineNumbers w:val="0"/>
                    <w:spacing w:line="360" w:lineRule="exact"/>
                    <w:jc w:val="center"/>
                    <w:textAlignment w:val="center"/>
                    <w:rPr>
                      <w:rFonts w:hint="eastAsia" w:ascii="仿宋_GB2312" w:hAnsi="宋体" w:eastAsia="仿宋_GB2312" w:cs="仿宋_GB2312"/>
                      <w:i w:val="0"/>
                      <w:iCs w:val="0"/>
                      <w:color w:val="auto"/>
                      <w:kern w:val="0"/>
                      <w:sz w:val="21"/>
                      <w:szCs w:val="21"/>
                      <w:highlight w:val="none"/>
                      <w:u w:val="none"/>
                      <w:lang w:val="en-US" w:eastAsia="zh-CN" w:bidi="ar"/>
                    </w:rPr>
                  </w:pPr>
                </w:p>
              </w:tc>
              <w:tc>
                <w:tcPr>
                  <w:tcW w:w="1686" w:type="dxa"/>
                  <w:noWrap/>
                  <w:vAlign w:val="center"/>
                </w:tcPr>
                <w:p w14:paraId="2241B529">
                  <w:pPr>
                    <w:keepNext w:val="0"/>
                    <w:keepLines w:val="0"/>
                    <w:widowControl/>
                    <w:suppressLineNumbers w:val="0"/>
                    <w:spacing w:line="360" w:lineRule="exact"/>
                    <w:jc w:val="center"/>
                    <w:textAlignment w:val="center"/>
                    <w:rPr>
                      <w:rFonts w:hint="eastAsia" w:ascii="仿宋_GB2312" w:hAnsi="宋体" w:eastAsia="仿宋_GB2312" w:cs="仿宋_GB2312"/>
                      <w:i w:val="0"/>
                      <w:iCs w:val="0"/>
                      <w:color w:val="auto"/>
                      <w:kern w:val="0"/>
                      <w:sz w:val="21"/>
                      <w:szCs w:val="21"/>
                      <w:highlight w:val="none"/>
                      <w:u w:val="none"/>
                      <w:lang w:val="en-US" w:eastAsia="zh-CN" w:bidi="ar"/>
                    </w:rPr>
                  </w:pPr>
                </w:p>
              </w:tc>
              <w:tc>
                <w:tcPr>
                  <w:tcW w:w="1041" w:type="dxa"/>
                  <w:noWrap/>
                  <w:vAlign w:val="center"/>
                </w:tcPr>
                <w:p w14:paraId="5DE9D610">
                  <w:pPr>
                    <w:keepNext w:val="0"/>
                    <w:keepLines w:val="0"/>
                    <w:widowControl/>
                    <w:suppressLineNumbers w:val="0"/>
                    <w:spacing w:line="360" w:lineRule="exact"/>
                    <w:jc w:val="center"/>
                    <w:textAlignment w:val="center"/>
                    <w:rPr>
                      <w:rFonts w:hint="eastAsia" w:ascii="仿宋_GB2312" w:hAnsi="宋体" w:eastAsia="仿宋_GB2312" w:cs="仿宋_GB2312"/>
                      <w:i w:val="0"/>
                      <w:iCs w:val="0"/>
                      <w:color w:val="auto"/>
                      <w:kern w:val="0"/>
                      <w:sz w:val="21"/>
                      <w:szCs w:val="21"/>
                      <w:highlight w:val="none"/>
                      <w:u w:val="none"/>
                      <w:lang w:val="en-US" w:eastAsia="zh-CN" w:bidi="ar"/>
                    </w:rPr>
                  </w:pPr>
                </w:p>
              </w:tc>
            </w:tr>
            <w:tr w14:paraId="798BA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951" w:type="dxa"/>
                  <w:noWrap/>
                  <w:vAlign w:val="center"/>
                </w:tcPr>
                <w:p w14:paraId="17FA3C42">
                  <w:pPr>
                    <w:keepNext w:val="0"/>
                    <w:keepLines w:val="0"/>
                    <w:widowControl/>
                    <w:suppressLineNumbers w:val="0"/>
                    <w:spacing w:line="360" w:lineRule="exact"/>
                    <w:jc w:val="center"/>
                    <w:textAlignment w:val="center"/>
                    <w:rPr>
                      <w:rFonts w:hint="default" w:ascii="仿宋_GB2312" w:hAnsi="宋体" w:eastAsia="仿宋_GB2312" w:cs="仿宋_GB2312"/>
                      <w:i w:val="0"/>
                      <w:iCs w:val="0"/>
                      <w:color w:val="auto"/>
                      <w:kern w:val="0"/>
                      <w:sz w:val="21"/>
                      <w:szCs w:val="21"/>
                      <w:highlight w:val="none"/>
                      <w:u w:val="none"/>
                      <w:lang w:val="en-US" w:eastAsia="zh-CN" w:bidi="ar"/>
                    </w:rPr>
                  </w:pPr>
                  <w:r>
                    <w:rPr>
                      <w:rFonts w:hint="eastAsia" w:ascii="仿宋_GB2312" w:hAnsi="宋体" w:eastAsia="仿宋_GB2312" w:cs="仿宋_GB2312"/>
                      <w:i w:val="0"/>
                      <w:iCs w:val="0"/>
                      <w:color w:val="auto"/>
                      <w:kern w:val="0"/>
                      <w:sz w:val="21"/>
                      <w:szCs w:val="21"/>
                      <w:highlight w:val="none"/>
                      <w:u w:val="none"/>
                      <w:lang w:val="en-US" w:eastAsia="zh-CN" w:bidi="ar"/>
                    </w:rPr>
                    <w:t>4</w:t>
                  </w:r>
                </w:p>
              </w:tc>
              <w:tc>
                <w:tcPr>
                  <w:tcW w:w="2130" w:type="dxa"/>
                  <w:noWrap/>
                  <w:vAlign w:val="center"/>
                </w:tcPr>
                <w:p w14:paraId="03AA952D">
                  <w:pPr>
                    <w:keepNext w:val="0"/>
                    <w:keepLines w:val="0"/>
                    <w:widowControl/>
                    <w:suppressLineNumbers w:val="0"/>
                    <w:spacing w:line="360" w:lineRule="exact"/>
                    <w:jc w:val="center"/>
                    <w:textAlignment w:val="center"/>
                    <w:rPr>
                      <w:b/>
                      <w:bCs/>
                      <w:color w:val="000000"/>
                      <w:kern w:val="0"/>
                      <w:sz w:val="21"/>
                      <w:szCs w:val="21"/>
                      <w:highlight w:val="none"/>
                    </w:rPr>
                  </w:pPr>
                  <w:r>
                    <w:rPr>
                      <w:rFonts w:hint="eastAsia"/>
                      <w:b/>
                      <w:bCs/>
                      <w:color w:val="000000"/>
                      <w:kern w:val="0"/>
                      <w:sz w:val="21"/>
                      <w:szCs w:val="21"/>
                      <w:highlight w:val="none"/>
                    </w:rPr>
                    <w:t>办公、交通及通讯费等</w:t>
                  </w:r>
                </w:p>
              </w:tc>
              <w:tc>
                <w:tcPr>
                  <w:tcW w:w="1600" w:type="dxa"/>
                  <w:noWrap/>
                  <w:vAlign w:val="center"/>
                </w:tcPr>
                <w:p w14:paraId="217683DC">
                  <w:pPr>
                    <w:keepNext w:val="0"/>
                    <w:keepLines w:val="0"/>
                    <w:widowControl/>
                    <w:suppressLineNumbers w:val="0"/>
                    <w:spacing w:line="360" w:lineRule="exact"/>
                    <w:jc w:val="center"/>
                    <w:textAlignment w:val="center"/>
                    <w:rPr>
                      <w:rFonts w:hint="eastAsia" w:ascii="仿宋_GB2312" w:hAnsi="宋体" w:eastAsia="仿宋_GB2312" w:cs="仿宋_GB2312"/>
                      <w:i w:val="0"/>
                      <w:iCs w:val="0"/>
                      <w:color w:val="auto"/>
                      <w:kern w:val="0"/>
                      <w:sz w:val="21"/>
                      <w:szCs w:val="21"/>
                      <w:highlight w:val="none"/>
                      <w:u w:val="none"/>
                      <w:lang w:val="en-US" w:eastAsia="zh-CN" w:bidi="ar"/>
                    </w:rPr>
                  </w:pPr>
                </w:p>
              </w:tc>
              <w:tc>
                <w:tcPr>
                  <w:tcW w:w="1670" w:type="dxa"/>
                  <w:noWrap/>
                  <w:vAlign w:val="center"/>
                </w:tcPr>
                <w:p w14:paraId="324DB29E">
                  <w:pPr>
                    <w:keepNext w:val="0"/>
                    <w:keepLines w:val="0"/>
                    <w:widowControl/>
                    <w:suppressLineNumbers w:val="0"/>
                    <w:spacing w:line="360" w:lineRule="exact"/>
                    <w:jc w:val="center"/>
                    <w:textAlignment w:val="center"/>
                    <w:rPr>
                      <w:rFonts w:hint="eastAsia" w:ascii="仿宋_GB2312" w:hAnsi="宋体" w:eastAsia="仿宋_GB2312" w:cs="仿宋_GB2312"/>
                      <w:i w:val="0"/>
                      <w:iCs w:val="0"/>
                      <w:color w:val="auto"/>
                      <w:kern w:val="0"/>
                      <w:sz w:val="21"/>
                      <w:szCs w:val="21"/>
                      <w:highlight w:val="none"/>
                      <w:u w:val="none"/>
                      <w:lang w:val="en-US" w:eastAsia="zh-CN" w:bidi="ar"/>
                    </w:rPr>
                  </w:pPr>
                </w:p>
              </w:tc>
              <w:tc>
                <w:tcPr>
                  <w:tcW w:w="1686" w:type="dxa"/>
                  <w:noWrap/>
                  <w:vAlign w:val="center"/>
                </w:tcPr>
                <w:p w14:paraId="42354139">
                  <w:pPr>
                    <w:keepNext w:val="0"/>
                    <w:keepLines w:val="0"/>
                    <w:widowControl/>
                    <w:suppressLineNumbers w:val="0"/>
                    <w:spacing w:line="360" w:lineRule="exact"/>
                    <w:jc w:val="center"/>
                    <w:textAlignment w:val="center"/>
                    <w:rPr>
                      <w:rFonts w:hint="eastAsia" w:ascii="仿宋_GB2312" w:hAnsi="宋体" w:eastAsia="仿宋_GB2312" w:cs="仿宋_GB2312"/>
                      <w:i w:val="0"/>
                      <w:iCs w:val="0"/>
                      <w:color w:val="auto"/>
                      <w:kern w:val="0"/>
                      <w:sz w:val="21"/>
                      <w:szCs w:val="21"/>
                      <w:highlight w:val="none"/>
                      <w:u w:val="none"/>
                      <w:lang w:val="en-US" w:eastAsia="zh-CN" w:bidi="ar"/>
                    </w:rPr>
                  </w:pPr>
                </w:p>
              </w:tc>
              <w:tc>
                <w:tcPr>
                  <w:tcW w:w="1041" w:type="dxa"/>
                  <w:noWrap/>
                  <w:vAlign w:val="center"/>
                </w:tcPr>
                <w:p w14:paraId="794E2CC1">
                  <w:pPr>
                    <w:keepNext w:val="0"/>
                    <w:keepLines w:val="0"/>
                    <w:widowControl/>
                    <w:suppressLineNumbers w:val="0"/>
                    <w:spacing w:line="360" w:lineRule="exact"/>
                    <w:jc w:val="center"/>
                    <w:textAlignment w:val="center"/>
                    <w:rPr>
                      <w:rFonts w:hint="eastAsia" w:ascii="仿宋_GB2312" w:hAnsi="宋体" w:eastAsia="仿宋_GB2312" w:cs="仿宋_GB2312"/>
                      <w:i w:val="0"/>
                      <w:iCs w:val="0"/>
                      <w:color w:val="auto"/>
                      <w:kern w:val="0"/>
                      <w:sz w:val="21"/>
                      <w:szCs w:val="21"/>
                      <w:highlight w:val="none"/>
                      <w:u w:val="none"/>
                      <w:lang w:val="en-US" w:eastAsia="zh-CN" w:bidi="ar"/>
                    </w:rPr>
                  </w:pPr>
                </w:p>
              </w:tc>
            </w:tr>
            <w:tr w14:paraId="66025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951" w:type="dxa"/>
                  <w:noWrap/>
                  <w:vAlign w:val="center"/>
                </w:tcPr>
                <w:p w14:paraId="5CCAABE9">
                  <w:pPr>
                    <w:keepNext w:val="0"/>
                    <w:keepLines w:val="0"/>
                    <w:widowControl/>
                    <w:suppressLineNumbers w:val="0"/>
                    <w:spacing w:line="360" w:lineRule="exact"/>
                    <w:jc w:val="center"/>
                    <w:textAlignment w:val="center"/>
                    <w:rPr>
                      <w:rFonts w:hint="eastAsia" w:ascii="仿宋_GB2312" w:hAnsi="宋体" w:eastAsia="仿宋_GB2312" w:cs="仿宋_GB2312"/>
                      <w:i w:val="0"/>
                      <w:iCs w:val="0"/>
                      <w:color w:val="auto"/>
                      <w:kern w:val="0"/>
                      <w:sz w:val="21"/>
                      <w:szCs w:val="21"/>
                      <w:highlight w:val="none"/>
                      <w:u w:val="none"/>
                      <w:lang w:val="en-US" w:eastAsia="zh-CN" w:bidi="ar"/>
                    </w:rPr>
                  </w:pPr>
                </w:p>
              </w:tc>
              <w:tc>
                <w:tcPr>
                  <w:tcW w:w="2130" w:type="dxa"/>
                  <w:noWrap/>
                  <w:vAlign w:val="center"/>
                </w:tcPr>
                <w:p w14:paraId="63D3E600">
                  <w:pPr>
                    <w:keepNext w:val="0"/>
                    <w:keepLines w:val="0"/>
                    <w:widowControl/>
                    <w:suppressLineNumbers w:val="0"/>
                    <w:spacing w:line="360" w:lineRule="exact"/>
                    <w:jc w:val="center"/>
                    <w:textAlignment w:val="center"/>
                    <w:rPr>
                      <w:rFonts w:hint="eastAsia" w:eastAsia="宋体"/>
                      <w:b/>
                      <w:bCs/>
                      <w:color w:val="000000"/>
                      <w:kern w:val="0"/>
                      <w:sz w:val="21"/>
                      <w:szCs w:val="21"/>
                      <w:highlight w:val="none"/>
                      <w:lang w:val="en-US" w:eastAsia="zh-CN"/>
                    </w:rPr>
                  </w:pPr>
                  <w:r>
                    <w:rPr>
                      <w:rFonts w:hint="eastAsia"/>
                      <w:b/>
                      <w:bCs/>
                      <w:color w:val="000000"/>
                      <w:kern w:val="0"/>
                      <w:sz w:val="21"/>
                      <w:szCs w:val="21"/>
                      <w:highlight w:val="none"/>
                      <w:lang w:val="en-US" w:eastAsia="zh-CN"/>
                    </w:rPr>
                    <w:t>合计</w:t>
                  </w:r>
                </w:p>
              </w:tc>
              <w:tc>
                <w:tcPr>
                  <w:tcW w:w="1600" w:type="dxa"/>
                  <w:noWrap/>
                  <w:vAlign w:val="center"/>
                </w:tcPr>
                <w:p w14:paraId="76FBB57B">
                  <w:pPr>
                    <w:keepNext w:val="0"/>
                    <w:keepLines w:val="0"/>
                    <w:widowControl/>
                    <w:suppressLineNumbers w:val="0"/>
                    <w:spacing w:line="360" w:lineRule="exact"/>
                    <w:jc w:val="center"/>
                    <w:textAlignment w:val="center"/>
                    <w:rPr>
                      <w:rFonts w:hint="eastAsia" w:ascii="仿宋_GB2312" w:hAnsi="宋体" w:eastAsia="仿宋_GB2312" w:cs="仿宋_GB2312"/>
                      <w:i w:val="0"/>
                      <w:iCs w:val="0"/>
                      <w:color w:val="auto"/>
                      <w:kern w:val="0"/>
                      <w:sz w:val="21"/>
                      <w:szCs w:val="21"/>
                      <w:highlight w:val="none"/>
                      <w:u w:val="none"/>
                      <w:lang w:val="en-US" w:eastAsia="zh-CN" w:bidi="ar"/>
                    </w:rPr>
                  </w:pPr>
                </w:p>
              </w:tc>
              <w:tc>
                <w:tcPr>
                  <w:tcW w:w="1670" w:type="dxa"/>
                  <w:noWrap/>
                  <w:vAlign w:val="center"/>
                </w:tcPr>
                <w:p w14:paraId="177ECE4A">
                  <w:pPr>
                    <w:keepNext w:val="0"/>
                    <w:keepLines w:val="0"/>
                    <w:widowControl/>
                    <w:suppressLineNumbers w:val="0"/>
                    <w:spacing w:line="360" w:lineRule="exact"/>
                    <w:jc w:val="center"/>
                    <w:textAlignment w:val="center"/>
                    <w:rPr>
                      <w:rFonts w:hint="eastAsia" w:ascii="仿宋_GB2312" w:hAnsi="宋体" w:eastAsia="仿宋_GB2312" w:cs="仿宋_GB2312"/>
                      <w:i w:val="0"/>
                      <w:iCs w:val="0"/>
                      <w:color w:val="auto"/>
                      <w:kern w:val="0"/>
                      <w:sz w:val="21"/>
                      <w:szCs w:val="21"/>
                      <w:highlight w:val="none"/>
                      <w:u w:val="none"/>
                      <w:lang w:val="en-US" w:eastAsia="zh-CN" w:bidi="ar"/>
                    </w:rPr>
                  </w:pPr>
                </w:p>
              </w:tc>
              <w:tc>
                <w:tcPr>
                  <w:tcW w:w="1686" w:type="dxa"/>
                  <w:noWrap/>
                  <w:vAlign w:val="center"/>
                </w:tcPr>
                <w:p w14:paraId="24B386BA">
                  <w:pPr>
                    <w:keepNext w:val="0"/>
                    <w:keepLines w:val="0"/>
                    <w:widowControl/>
                    <w:suppressLineNumbers w:val="0"/>
                    <w:spacing w:line="360" w:lineRule="exact"/>
                    <w:jc w:val="center"/>
                    <w:textAlignment w:val="center"/>
                    <w:rPr>
                      <w:rFonts w:hint="eastAsia" w:ascii="仿宋_GB2312" w:hAnsi="宋体" w:eastAsia="仿宋_GB2312" w:cs="仿宋_GB2312"/>
                      <w:i w:val="0"/>
                      <w:iCs w:val="0"/>
                      <w:color w:val="auto"/>
                      <w:kern w:val="0"/>
                      <w:sz w:val="21"/>
                      <w:szCs w:val="21"/>
                      <w:highlight w:val="none"/>
                      <w:u w:val="none"/>
                      <w:lang w:val="en-US" w:eastAsia="zh-CN" w:bidi="ar"/>
                    </w:rPr>
                  </w:pPr>
                </w:p>
              </w:tc>
              <w:tc>
                <w:tcPr>
                  <w:tcW w:w="1041" w:type="dxa"/>
                  <w:noWrap/>
                  <w:vAlign w:val="center"/>
                </w:tcPr>
                <w:p w14:paraId="31A9E1A7">
                  <w:pPr>
                    <w:keepNext w:val="0"/>
                    <w:keepLines w:val="0"/>
                    <w:widowControl/>
                    <w:suppressLineNumbers w:val="0"/>
                    <w:spacing w:line="360" w:lineRule="exact"/>
                    <w:jc w:val="center"/>
                    <w:textAlignment w:val="center"/>
                    <w:rPr>
                      <w:rFonts w:hint="eastAsia" w:ascii="仿宋_GB2312" w:hAnsi="宋体" w:eastAsia="仿宋_GB2312" w:cs="仿宋_GB2312"/>
                      <w:i w:val="0"/>
                      <w:iCs w:val="0"/>
                      <w:color w:val="auto"/>
                      <w:kern w:val="0"/>
                      <w:sz w:val="21"/>
                      <w:szCs w:val="21"/>
                      <w:highlight w:val="none"/>
                      <w:u w:val="none"/>
                      <w:lang w:val="en-US" w:eastAsia="zh-CN" w:bidi="ar"/>
                    </w:rPr>
                  </w:pPr>
                </w:p>
              </w:tc>
            </w:tr>
          </w:tbl>
          <w:p w14:paraId="6591C73F">
            <w:pPr>
              <w:keepNext w:val="0"/>
              <w:keepLines w:val="0"/>
              <w:widowControl/>
              <w:suppressLineNumbers w:val="0"/>
              <w:spacing w:line="360" w:lineRule="exact"/>
              <w:ind w:left="3120" w:hanging="3132" w:hangingChars="1300"/>
              <w:jc w:val="both"/>
              <w:textAlignment w:val="center"/>
              <w:rPr>
                <w:rFonts w:hint="eastAsia" w:ascii="宋体" w:hAnsi="宋体" w:eastAsia="宋体" w:cs="宋体"/>
                <w:b/>
                <w:bCs/>
                <w:i w:val="0"/>
                <w:iCs w:val="0"/>
                <w:color w:val="auto"/>
                <w:kern w:val="0"/>
                <w:sz w:val="24"/>
                <w:szCs w:val="24"/>
                <w:highlight w:val="none"/>
                <w:u w:val="none"/>
                <w:lang w:val="en-US" w:eastAsia="zh-CN" w:bidi="ar"/>
              </w:rPr>
            </w:pPr>
          </w:p>
        </w:tc>
      </w:tr>
    </w:tbl>
    <w:p w14:paraId="09C122A4">
      <w:pPr>
        <w:pageBreakBefore w:val="0"/>
        <w:kinsoku/>
        <w:wordWrap/>
        <w:overflowPunct/>
        <w:topLinePunct w:val="0"/>
        <w:autoSpaceDE/>
        <w:autoSpaceDN/>
        <w:bidi w:val="0"/>
        <w:spacing w:before="120" w:beforeLines="50" w:after="120" w:afterLines="50" w:line="440" w:lineRule="exact"/>
        <w:jc w:val="both"/>
        <w:outlineLvl w:val="3"/>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1、本项目合同为总价合同，由受托人包干使用。受托人为完成合同所确定的范围内的全部服务工作内容所发生的一切费用均认为已包括在总报价中，包括人员及设备费用及相关工作所需的费用、管理费、出版费、食宿费、差旅费、车辆使用费（含驾驶员费用）、评审费（含专家费用）、通讯费、保险、利润、杂费、税费及其它可能发生的费用，以及服务项目的规模、性质、服务期间的市场风险和国家政策性调整风险费用等。</w:t>
      </w:r>
    </w:p>
    <w:p w14:paraId="1CE4AC80">
      <w:pPr>
        <w:pageBreakBefore w:val="0"/>
        <w:kinsoku/>
        <w:wordWrap/>
        <w:overflowPunct/>
        <w:topLinePunct w:val="0"/>
        <w:autoSpaceDE/>
        <w:autoSpaceDN/>
        <w:bidi w:val="0"/>
        <w:spacing w:before="120" w:beforeLines="50" w:after="120" w:afterLines="50" w:line="440" w:lineRule="exact"/>
        <w:jc w:val="both"/>
        <w:outlineLvl w:val="3"/>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2、</w:t>
      </w:r>
      <w:r>
        <w:rPr>
          <w:rFonts w:hint="eastAsia" w:ascii="宋体" w:hAnsi="宋体" w:cs="宋体"/>
          <w:b w:val="0"/>
          <w:bCs w:val="0"/>
          <w:color w:val="auto"/>
          <w:sz w:val="24"/>
          <w:szCs w:val="24"/>
          <w:highlight w:val="none"/>
          <w:lang w:val="en-US" w:eastAsia="zh-CN" w:bidi="ar-SA"/>
        </w:rPr>
        <w:t>现场施工监控人员2名，技术服务人员5名，</w:t>
      </w:r>
      <w:r>
        <w:rPr>
          <w:rFonts w:hint="eastAsia" w:ascii="宋体" w:hAnsi="宋体" w:eastAsia="宋体" w:cs="宋体"/>
          <w:b w:val="0"/>
          <w:bCs w:val="0"/>
          <w:color w:val="auto"/>
          <w:sz w:val="24"/>
          <w:szCs w:val="24"/>
          <w:highlight w:val="none"/>
          <w:lang w:val="en-US" w:eastAsia="zh-CN" w:bidi="ar-SA"/>
        </w:rPr>
        <w:t>给出技术咨询服务项目数量为发包人的预估数量，受托人在实施过程中完成的数量不能少于规范要求的数量; 若根据技术咨询服务需求完成的数量超过预估数量，均被认为已包含在合同总价中，委托人不另行支付。</w:t>
      </w:r>
    </w:p>
    <w:p w14:paraId="64DA0B91">
      <w:pPr>
        <w:pageBreakBefore w:val="0"/>
        <w:kinsoku/>
        <w:wordWrap/>
        <w:overflowPunct/>
        <w:topLinePunct w:val="0"/>
        <w:autoSpaceDE/>
        <w:autoSpaceDN/>
        <w:bidi w:val="0"/>
        <w:spacing w:before="120" w:beforeLines="50" w:after="120" w:afterLines="50" w:line="440" w:lineRule="exact"/>
        <w:jc w:val="both"/>
        <w:outlineLvl w:val="3"/>
        <w:rPr>
          <w:rFonts w:hint="eastAsia" w:ascii="宋体" w:hAnsi="宋体" w:eastAsia="宋体" w:cs="宋体"/>
          <w:b w:val="0"/>
          <w:bCs w:val="0"/>
          <w:color w:val="auto"/>
          <w:sz w:val="24"/>
          <w:szCs w:val="24"/>
          <w:highlight w:val="none"/>
          <w:lang w:val="en-US" w:eastAsia="zh-CN" w:bidi="ar-SA"/>
        </w:rPr>
      </w:pPr>
    </w:p>
    <w:p w14:paraId="13DA1864">
      <w:pPr>
        <w:pageBreakBefore w:val="0"/>
        <w:kinsoku/>
        <w:wordWrap/>
        <w:overflowPunct/>
        <w:topLinePunct w:val="0"/>
        <w:autoSpaceDE/>
        <w:autoSpaceDN/>
        <w:bidi w:val="0"/>
        <w:spacing w:before="120" w:beforeLines="50" w:after="120" w:afterLines="50" w:line="440" w:lineRule="exact"/>
        <w:jc w:val="both"/>
        <w:outlineLvl w:val="3"/>
        <w:rPr>
          <w:rFonts w:hint="eastAsia" w:ascii="宋体" w:hAnsi="宋体" w:eastAsia="宋体" w:cs="宋体"/>
          <w:b w:val="0"/>
          <w:bCs w:val="0"/>
          <w:color w:val="auto"/>
          <w:sz w:val="24"/>
          <w:szCs w:val="24"/>
          <w:highlight w:val="none"/>
          <w:lang w:val="en-US" w:eastAsia="zh-CN" w:bidi="ar-SA"/>
        </w:rPr>
      </w:pPr>
    </w:p>
    <w:p w14:paraId="30C901DB">
      <w:pPr>
        <w:pageBreakBefore w:val="0"/>
        <w:kinsoku/>
        <w:wordWrap/>
        <w:overflowPunct/>
        <w:topLinePunct w:val="0"/>
        <w:autoSpaceDE/>
        <w:autoSpaceDN/>
        <w:bidi w:val="0"/>
        <w:spacing w:before="120" w:beforeLines="50" w:after="120" w:afterLines="50" w:line="440" w:lineRule="exact"/>
        <w:jc w:val="both"/>
        <w:outlineLvl w:val="3"/>
        <w:rPr>
          <w:rFonts w:hint="eastAsia" w:ascii="宋体" w:hAnsi="宋体" w:eastAsia="宋体" w:cs="宋体"/>
          <w:b w:val="0"/>
          <w:bCs w:val="0"/>
          <w:color w:val="auto"/>
          <w:sz w:val="24"/>
          <w:szCs w:val="24"/>
          <w:highlight w:val="none"/>
          <w:lang w:val="en-US" w:eastAsia="zh-CN" w:bidi="ar-SA"/>
        </w:rPr>
      </w:pPr>
    </w:p>
    <w:p w14:paraId="5F558365">
      <w:pPr>
        <w:pageBreakBefore w:val="0"/>
        <w:kinsoku/>
        <w:wordWrap/>
        <w:overflowPunct/>
        <w:topLinePunct w:val="0"/>
        <w:autoSpaceDE/>
        <w:autoSpaceDN/>
        <w:bidi w:val="0"/>
        <w:spacing w:before="120" w:beforeLines="50" w:after="120" w:afterLines="50" w:line="440" w:lineRule="exact"/>
        <w:jc w:val="both"/>
        <w:outlineLvl w:val="3"/>
        <w:rPr>
          <w:rFonts w:hint="eastAsia" w:ascii="宋体" w:hAnsi="宋体" w:eastAsia="宋体" w:cs="宋体"/>
          <w:b w:val="0"/>
          <w:bCs w:val="0"/>
          <w:color w:val="auto"/>
          <w:sz w:val="24"/>
          <w:szCs w:val="24"/>
          <w:highlight w:val="none"/>
          <w:lang w:val="en-US" w:eastAsia="zh-CN" w:bidi="ar-SA"/>
        </w:rPr>
      </w:pPr>
    </w:p>
    <w:p w14:paraId="4876FF49">
      <w:pPr>
        <w:pageBreakBefore w:val="0"/>
        <w:kinsoku/>
        <w:wordWrap/>
        <w:overflowPunct/>
        <w:topLinePunct w:val="0"/>
        <w:autoSpaceDE/>
        <w:autoSpaceDN/>
        <w:bidi w:val="0"/>
        <w:spacing w:before="120" w:beforeLines="50" w:after="120" w:afterLines="50" w:line="440" w:lineRule="exact"/>
        <w:jc w:val="both"/>
        <w:outlineLvl w:val="3"/>
        <w:rPr>
          <w:rFonts w:hint="eastAsia" w:ascii="宋体" w:hAnsi="宋体" w:eastAsia="宋体" w:cs="宋体"/>
          <w:b w:val="0"/>
          <w:bCs w:val="0"/>
          <w:color w:val="auto"/>
          <w:sz w:val="24"/>
          <w:szCs w:val="24"/>
          <w:highlight w:val="none"/>
          <w:lang w:val="en-US" w:eastAsia="zh-CN" w:bidi="ar-SA"/>
        </w:rPr>
      </w:pPr>
    </w:p>
    <w:p w14:paraId="5CE76B60">
      <w:pPr>
        <w:pageBreakBefore w:val="0"/>
        <w:kinsoku/>
        <w:wordWrap/>
        <w:overflowPunct/>
        <w:topLinePunct w:val="0"/>
        <w:autoSpaceDE/>
        <w:autoSpaceDN/>
        <w:bidi w:val="0"/>
        <w:spacing w:before="120" w:beforeLines="50" w:after="120" w:afterLines="50" w:line="440" w:lineRule="exact"/>
        <w:jc w:val="both"/>
        <w:outlineLvl w:val="3"/>
        <w:rPr>
          <w:rFonts w:hint="eastAsia" w:ascii="宋体" w:hAnsi="宋体" w:eastAsia="宋体" w:cs="宋体"/>
          <w:b w:val="0"/>
          <w:bCs w:val="0"/>
          <w:color w:val="auto"/>
          <w:sz w:val="24"/>
          <w:szCs w:val="24"/>
          <w:highlight w:val="none"/>
          <w:lang w:val="en-US" w:eastAsia="zh-CN" w:bidi="ar-SA"/>
        </w:rPr>
      </w:pPr>
    </w:p>
    <w:p w14:paraId="2EBB64CC">
      <w:pPr>
        <w:pageBreakBefore w:val="0"/>
        <w:kinsoku/>
        <w:wordWrap/>
        <w:overflowPunct/>
        <w:topLinePunct w:val="0"/>
        <w:autoSpaceDE/>
        <w:autoSpaceDN/>
        <w:bidi w:val="0"/>
        <w:spacing w:before="120" w:beforeLines="50" w:after="120" w:afterLines="50" w:line="440" w:lineRule="exact"/>
        <w:jc w:val="both"/>
        <w:outlineLvl w:val="3"/>
        <w:rPr>
          <w:rFonts w:hint="eastAsia" w:ascii="宋体" w:hAnsi="宋体" w:eastAsia="宋体" w:cs="宋体"/>
          <w:b w:val="0"/>
          <w:bCs w:val="0"/>
          <w:color w:val="auto"/>
          <w:sz w:val="24"/>
          <w:szCs w:val="24"/>
          <w:highlight w:val="none"/>
          <w:lang w:val="en-US" w:eastAsia="zh-CN" w:bidi="ar-SA"/>
        </w:rPr>
      </w:pPr>
    </w:p>
    <w:p w14:paraId="4958E287">
      <w:pPr>
        <w:pageBreakBefore w:val="0"/>
        <w:kinsoku/>
        <w:wordWrap/>
        <w:overflowPunct/>
        <w:topLinePunct w:val="0"/>
        <w:autoSpaceDE/>
        <w:autoSpaceDN/>
        <w:bidi w:val="0"/>
        <w:spacing w:before="120" w:beforeLines="50" w:after="120" w:afterLines="50" w:line="440" w:lineRule="exact"/>
        <w:jc w:val="both"/>
        <w:outlineLvl w:val="3"/>
        <w:rPr>
          <w:rFonts w:hint="eastAsia" w:ascii="宋体" w:hAnsi="宋体" w:eastAsia="Calibri" w:cs="宋体"/>
          <w:b/>
          <w:bCs w:val="0"/>
          <w:color w:val="auto"/>
          <w:sz w:val="24"/>
          <w:szCs w:val="24"/>
          <w:highlight w:val="none"/>
          <w:lang w:val="en-US" w:eastAsia="en-US" w:bidi="ar-SA"/>
        </w:rPr>
      </w:pPr>
      <w:r>
        <w:rPr>
          <w:rFonts w:hint="eastAsia" w:ascii="宋体" w:hAnsi="宋体" w:eastAsia="宋体" w:cs="宋体"/>
          <w:b w:val="0"/>
          <w:bCs w:val="0"/>
          <w:color w:val="auto"/>
          <w:sz w:val="24"/>
          <w:szCs w:val="24"/>
          <w:highlight w:val="none"/>
          <w:lang w:val="en-US" w:eastAsia="zh-CN" w:bidi="ar-SA"/>
        </w:rPr>
        <w:t xml:space="preserve">附录B                </w:t>
      </w:r>
      <w:r>
        <w:rPr>
          <w:rFonts w:ascii="Times New Roman" w:hAnsi="Times New Roman" w:eastAsia="宋体"/>
          <w:b/>
          <w:bCs/>
          <w:color w:val="000000" w:themeColor="text1"/>
          <w:sz w:val="24"/>
          <w:szCs w:val="24"/>
          <w:highlight w:val="none"/>
          <w:lang w:eastAsia="zh-CN"/>
          <w14:textFill>
            <w14:solidFill>
              <w14:schemeClr w14:val="tx1"/>
            </w14:solidFill>
          </w14:textFill>
        </w:rPr>
        <w:t>咨询人项目负责人及其他主要人员配置表</w:t>
      </w:r>
    </w:p>
    <w:p w14:paraId="23014F88">
      <w:pPr>
        <w:widowControl/>
        <w:spacing w:line="440" w:lineRule="atLeast"/>
        <w:jc w:val="left"/>
        <w:rPr>
          <w:rFonts w:hint="eastAsia" w:ascii="宋体" w:hAnsi="宋体" w:eastAsia="宋体" w:cs="宋体"/>
          <w:color w:val="auto"/>
          <w:highlight w:val="none"/>
        </w:rPr>
      </w:pPr>
    </w:p>
    <w:tbl>
      <w:tblPr>
        <w:tblStyle w:val="86"/>
        <w:tblW w:w="80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3"/>
        <w:gridCol w:w="990"/>
        <w:gridCol w:w="1020"/>
        <w:gridCol w:w="720"/>
        <w:gridCol w:w="871"/>
        <w:gridCol w:w="1134"/>
        <w:gridCol w:w="1130"/>
        <w:gridCol w:w="870"/>
        <w:gridCol w:w="714"/>
      </w:tblGrid>
      <w:tr w14:paraId="277AB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3" w:type="dxa"/>
            <w:vMerge w:val="restart"/>
            <w:vAlign w:val="center"/>
          </w:tcPr>
          <w:p w14:paraId="433784EB">
            <w:pPr>
              <w:widowControl/>
              <w:spacing w:line="440" w:lineRule="atLeast"/>
              <w:jc w:val="center"/>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990" w:type="dxa"/>
            <w:vMerge w:val="restart"/>
            <w:vAlign w:val="center"/>
          </w:tcPr>
          <w:p w14:paraId="594DCC91">
            <w:pPr>
              <w:widowControl/>
              <w:spacing w:line="440" w:lineRule="atLeast"/>
              <w:jc w:val="center"/>
              <w:rPr>
                <w:rFonts w:hint="eastAsia" w:ascii="宋体" w:hAnsi="宋体" w:eastAsia="宋体" w:cs="宋体"/>
                <w:color w:val="auto"/>
                <w:highlight w:val="none"/>
              </w:rPr>
            </w:pPr>
            <w:r>
              <w:rPr>
                <w:rFonts w:hint="eastAsia" w:ascii="宋体" w:hAnsi="宋体" w:eastAsia="宋体" w:cs="宋体"/>
                <w:color w:val="auto"/>
                <w:highlight w:val="none"/>
              </w:rPr>
              <w:t>本标段任职</w:t>
            </w:r>
          </w:p>
        </w:tc>
        <w:tc>
          <w:tcPr>
            <w:tcW w:w="1020" w:type="dxa"/>
            <w:vMerge w:val="restart"/>
            <w:vAlign w:val="center"/>
          </w:tcPr>
          <w:p w14:paraId="43AC5F57">
            <w:pPr>
              <w:widowControl/>
              <w:spacing w:line="440" w:lineRule="atLeast"/>
              <w:jc w:val="center"/>
              <w:rPr>
                <w:rFonts w:hint="eastAsia" w:ascii="宋体" w:hAnsi="宋体" w:eastAsia="宋体" w:cs="宋体"/>
                <w:color w:val="auto"/>
                <w:highlight w:val="none"/>
              </w:rPr>
            </w:pPr>
            <w:r>
              <w:rPr>
                <w:rFonts w:hint="eastAsia" w:ascii="宋体" w:hAnsi="宋体" w:eastAsia="宋体" w:cs="宋体"/>
                <w:color w:val="auto"/>
                <w:highlight w:val="none"/>
              </w:rPr>
              <w:t>姓名</w:t>
            </w:r>
          </w:p>
        </w:tc>
        <w:tc>
          <w:tcPr>
            <w:tcW w:w="720" w:type="dxa"/>
            <w:vMerge w:val="restart"/>
            <w:vAlign w:val="center"/>
          </w:tcPr>
          <w:p w14:paraId="0F1D4D1A">
            <w:pPr>
              <w:widowControl/>
              <w:spacing w:line="440" w:lineRule="atLeast"/>
              <w:jc w:val="center"/>
              <w:rPr>
                <w:rFonts w:hint="eastAsia" w:ascii="宋体" w:hAnsi="宋体" w:eastAsia="宋体" w:cs="宋体"/>
                <w:color w:val="auto"/>
                <w:highlight w:val="none"/>
              </w:rPr>
            </w:pPr>
            <w:r>
              <w:rPr>
                <w:rFonts w:hint="eastAsia" w:ascii="宋体" w:hAnsi="宋体" w:eastAsia="宋体" w:cs="宋体"/>
                <w:color w:val="auto"/>
                <w:highlight w:val="none"/>
              </w:rPr>
              <w:t>技术职称</w:t>
            </w:r>
          </w:p>
        </w:tc>
        <w:tc>
          <w:tcPr>
            <w:tcW w:w="871" w:type="dxa"/>
            <w:vMerge w:val="restart"/>
            <w:vAlign w:val="center"/>
          </w:tcPr>
          <w:p w14:paraId="278852CF">
            <w:pPr>
              <w:widowControl/>
              <w:spacing w:line="440" w:lineRule="atLeast"/>
              <w:jc w:val="center"/>
              <w:rPr>
                <w:rFonts w:hint="eastAsia" w:ascii="宋体" w:hAnsi="宋体" w:eastAsia="宋体" w:cs="宋体"/>
                <w:color w:val="auto"/>
                <w:highlight w:val="none"/>
              </w:rPr>
            </w:pPr>
            <w:r>
              <w:rPr>
                <w:rFonts w:hint="eastAsia" w:ascii="宋体" w:hAnsi="宋体" w:eastAsia="宋体" w:cs="宋体"/>
                <w:color w:val="auto"/>
                <w:highlight w:val="none"/>
              </w:rPr>
              <w:t>专业</w:t>
            </w:r>
          </w:p>
        </w:tc>
        <w:tc>
          <w:tcPr>
            <w:tcW w:w="3134" w:type="dxa"/>
            <w:gridSpan w:val="3"/>
            <w:vAlign w:val="center"/>
          </w:tcPr>
          <w:p w14:paraId="53815DB6">
            <w:pPr>
              <w:widowControl/>
              <w:spacing w:line="440" w:lineRule="atLeast"/>
              <w:jc w:val="center"/>
              <w:rPr>
                <w:rFonts w:hint="eastAsia" w:ascii="宋体" w:hAnsi="宋体" w:eastAsia="宋体" w:cs="宋体"/>
                <w:color w:val="auto"/>
                <w:highlight w:val="none"/>
              </w:rPr>
            </w:pPr>
            <w:r>
              <w:rPr>
                <w:rFonts w:hint="eastAsia" w:ascii="宋体" w:hAnsi="宋体" w:eastAsia="宋体" w:cs="宋体"/>
                <w:color w:val="auto"/>
                <w:highlight w:val="none"/>
              </w:rPr>
              <w:t>执业或职业资格证明</w:t>
            </w:r>
          </w:p>
        </w:tc>
        <w:tc>
          <w:tcPr>
            <w:tcW w:w="714" w:type="dxa"/>
            <w:vMerge w:val="restart"/>
            <w:vAlign w:val="center"/>
          </w:tcPr>
          <w:p w14:paraId="75F53245">
            <w:pPr>
              <w:widowControl/>
              <w:spacing w:line="440" w:lineRule="atLeast"/>
              <w:jc w:val="center"/>
              <w:rPr>
                <w:rFonts w:hint="eastAsia" w:ascii="宋体" w:hAnsi="宋体" w:eastAsia="宋体" w:cs="宋体"/>
                <w:color w:val="auto"/>
                <w:highlight w:val="none"/>
              </w:rPr>
            </w:pPr>
            <w:r>
              <w:rPr>
                <w:rFonts w:hint="eastAsia" w:ascii="宋体" w:hAnsi="宋体" w:eastAsia="宋体" w:cs="宋体"/>
                <w:color w:val="auto"/>
                <w:highlight w:val="none"/>
              </w:rPr>
              <w:t>备注</w:t>
            </w:r>
          </w:p>
        </w:tc>
      </w:tr>
      <w:tr w14:paraId="53E22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3" w:type="dxa"/>
            <w:vMerge w:val="continue"/>
            <w:vAlign w:val="center"/>
          </w:tcPr>
          <w:p w14:paraId="45738815">
            <w:pPr>
              <w:widowControl/>
              <w:spacing w:line="440" w:lineRule="atLeast"/>
              <w:jc w:val="left"/>
              <w:rPr>
                <w:rFonts w:hint="eastAsia" w:ascii="宋体" w:hAnsi="宋体" w:eastAsia="宋体" w:cs="宋体"/>
                <w:color w:val="auto"/>
                <w:highlight w:val="none"/>
              </w:rPr>
            </w:pPr>
          </w:p>
        </w:tc>
        <w:tc>
          <w:tcPr>
            <w:tcW w:w="990" w:type="dxa"/>
            <w:vMerge w:val="continue"/>
          </w:tcPr>
          <w:p w14:paraId="4F3F27B2">
            <w:pPr>
              <w:widowControl/>
              <w:spacing w:line="440" w:lineRule="atLeast"/>
              <w:jc w:val="left"/>
              <w:rPr>
                <w:rFonts w:hint="eastAsia" w:ascii="宋体" w:hAnsi="宋体" w:eastAsia="宋体" w:cs="宋体"/>
                <w:color w:val="auto"/>
                <w:highlight w:val="none"/>
              </w:rPr>
            </w:pPr>
          </w:p>
        </w:tc>
        <w:tc>
          <w:tcPr>
            <w:tcW w:w="1020" w:type="dxa"/>
            <w:vMerge w:val="continue"/>
            <w:vAlign w:val="center"/>
          </w:tcPr>
          <w:p w14:paraId="6ACF29EE">
            <w:pPr>
              <w:widowControl/>
              <w:spacing w:line="440" w:lineRule="atLeast"/>
              <w:jc w:val="left"/>
              <w:rPr>
                <w:rFonts w:hint="eastAsia" w:ascii="宋体" w:hAnsi="宋体" w:eastAsia="宋体" w:cs="宋体"/>
                <w:color w:val="auto"/>
                <w:highlight w:val="none"/>
              </w:rPr>
            </w:pPr>
          </w:p>
        </w:tc>
        <w:tc>
          <w:tcPr>
            <w:tcW w:w="720" w:type="dxa"/>
            <w:vMerge w:val="continue"/>
            <w:vAlign w:val="center"/>
          </w:tcPr>
          <w:p w14:paraId="65B02A50">
            <w:pPr>
              <w:widowControl/>
              <w:spacing w:line="440" w:lineRule="atLeast"/>
              <w:jc w:val="left"/>
              <w:rPr>
                <w:rFonts w:hint="eastAsia" w:ascii="宋体" w:hAnsi="宋体" w:eastAsia="宋体" w:cs="宋体"/>
                <w:color w:val="auto"/>
                <w:highlight w:val="none"/>
              </w:rPr>
            </w:pPr>
          </w:p>
        </w:tc>
        <w:tc>
          <w:tcPr>
            <w:tcW w:w="871" w:type="dxa"/>
            <w:vMerge w:val="continue"/>
            <w:vAlign w:val="center"/>
          </w:tcPr>
          <w:p w14:paraId="51E05472">
            <w:pPr>
              <w:widowControl/>
              <w:spacing w:line="440" w:lineRule="atLeast"/>
              <w:jc w:val="center"/>
              <w:rPr>
                <w:rFonts w:hint="eastAsia" w:ascii="宋体" w:hAnsi="宋体" w:eastAsia="宋体" w:cs="宋体"/>
                <w:color w:val="auto"/>
                <w:highlight w:val="none"/>
              </w:rPr>
            </w:pPr>
          </w:p>
        </w:tc>
        <w:tc>
          <w:tcPr>
            <w:tcW w:w="1134" w:type="dxa"/>
            <w:vAlign w:val="center"/>
          </w:tcPr>
          <w:p w14:paraId="180FD1B0">
            <w:pPr>
              <w:widowControl/>
              <w:spacing w:before="100" w:beforeAutospacing="1" w:after="100" w:afterAutospacing="1" w:line="440" w:lineRule="atLeast"/>
              <w:jc w:val="center"/>
              <w:rPr>
                <w:rFonts w:hint="eastAsia" w:ascii="宋体" w:hAnsi="宋体" w:eastAsia="宋体" w:cs="宋体"/>
                <w:color w:val="auto"/>
                <w:highlight w:val="none"/>
              </w:rPr>
            </w:pPr>
            <w:r>
              <w:rPr>
                <w:rFonts w:hint="eastAsia" w:ascii="宋体" w:hAnsi="宋体" w:eastAsia="宋体" w:cs="宋体"/>
                <w:color w:val="auto"/>
                <w:highlight w:val="none"/>
              </w:rPr>
              <w:t>证书名称</w:t>
            </w:r>
          </w:p>
        </w:tc>
        <w:tc>
          <w:tcPr>
            <w:tcW w:w="1130" w:type="dxa"/>
            <w:vAlign w:val="center"/>
          </w:tcPr>
          <w:p w14:paraId="429F611E">
            <w:pPr>
              <w:widowControl/>
              <w:spacing w:before="100" w:beforeAutospacing="1" w:after="100" w:afterAutospacing="1" w:line="440" w:lineRule="atLeast"/>
              <w:jc w:val="center"/>
              <w:rPr>
                <w:rFonts w:hint="eastAsia" w:ascii="宋体" w:hAnsi="宋体" w:eastAsia="宋体" w:cs="宋体"/>
                <w:color w:val="auto"/>
                <w:highlight w:val="none"/>
              </w:rPr>
            </w:pPr>
            <w:r>
              <w:rPr>
                <w:rFonts w:hint="eastAsia" w:ascii="宋体" w:hAnsi="宋体" w:eastAsia="宋体" w:cs="宋体"/>
                <w:color w:val="auto"/>
                <w:highlight w:val="none"/>
              </w:rPr>
              <w:t>级别</w:t>
            </w:r>
          </w:p>
        </w:tc>
        <w:tc>
          <w:tcPr>
            <w:tcW w:w="870" w:type="dxa"/>
            <w:vAlign w:val="center"/>
          </w:tcPr>
          <w:p w14:paraId="6B8B7E8A">
            <w:pPr>
              <w:widowControl/>
              <w:spacing w:before="100" w:beforeAutospacing="1" w:after="100" w:afterAutospacing="1" w:line="440" w:lineRule="atLeast"/>
              <w:jc w:val="center"/>
              <w:rPr>
                <w:rFonts w:hint="eastAsia" w:ascii="宋体" w:hAnsi="宋体" w:eastAsia="宋体" w:cs="宋体"/>
                <w:color w:val="auto"/>
                <w:highlight w:val="none"/>
              </w:rPr>
            </w:pPr>
            <w:r>
              <w:rPr>
                <w:rFonts w:hint="eastAsia" w:ascii="宋体" w:hAnsi="宋体" w:eastAsia="宋体" w:cs="宋体"/>
                <w:color w:val="auto"/>
                <w:highlight w:val="none"/>
              </w:rPr>
              <w:t>证号</w:t>
            </w:r>
          </w:p>
        </w:tc>
        <w:tc>
          <w:tcPr>
            <w:tcW w:w="714" w:type="dxa"/>
            <w:vMerge w:val="continue"/>
            <w:vAlign w:val="center"/>
          </w:tcPr>
          <w:p w14:paraId="54FBCCF9">
            <w:pPr>
              <w:widowControl/>
              <w:spacing w:line="440" w:lineRule="atLeast"/>
              <w:jc w:val="center"/>
              <w:rPr>
                <w:rFonts w:hint="eastAsia" w:ascii="宋体" w:hAnsi="宋体" w:eastAsia="宋体" w:cs="宋体"/>
                <w:color w:val="auto"/>
                <w:highlight w:val="none"/>
              </w:rPr>
            </w:pPr>
          </w:p>
        </w:tc>
      </w:tr>
      <w:tr w14:paraId="4990C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3" w:type="dxa"/>
            <w:vAlign w:val="center"/>
          </w:tcPr>
          <w:p w14:paraId="180DD846">
            <w:pPr>
              <w:widowControl/>
              <w:spacing w:line="440" w:lineRule="atLeast"/>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w:t>
            </w:r>
          </w:p>
        </w:tc>
        <w:tc>
          <w:tcPr>
            <w:tcW w:w="990" w:type="dxa"/>
            <w:vAlign w:val="center"/>
          </w:tcPr>
          <w:p w14:paraId="71A3AAF5">
            <w:pPr>
              <w:widowControl/>
              <w:spacing w:line="440" w:lineRule="atLeast"/>
              <w:jc w:val="center"/>
              <w:rPr>
                <w:rFonts w:hint="default" w:ascii="宋体" w:hAnsi="宋体" w:eastAsia="宋体" w:cs="宋体"/>
                <w:color w:val="auto"/>
                <w:highlight w:val="none"/>
                <w:lang w:val="en-US" w:eastAsia="zh-CN"/>
              </w:rPr>
            </w:pPr>
          </w:p>
        </w:tc>
        <w:tc>
          <w:tcPr>
            <w:tcW w:w="1020" w:type="dxa"/>
            <w:vAlign w:val="center"/>
          </w:tcPr>
          <w:p w14:paraId="18A0983D">
            <w:pPr>
              <w:widowControl/>
              <w:spacing w:line="440" w:lineRule="atLeast"/>
              <w:jc w:val="center"/>
              <w:rPr>
                <w:rFonts w:hint="eastAsia" w:ascii="宋体" w:hAnsi="宋体" w:eastAsia="宋体" w:cs="宋体"/>
                <w:color w:val="auto"/>
                <w:highlight w:val="none"/>
                <w:lang w:val="en-US" w:eastAsia="zh-CN"/>
              </w:rPr>
            </w:pPr>
          </w:p>
        </w:tc>
        <w:tc>
          <w:tcPr>
            <w:tcW w:w="720" w:type="dxa"/>
            <w:vAlign w:val="center"/>
          </w:tcPr>
          <w:p w14:paraId="6C0A90B6">
            <w:pPr>
              <w:widowControl/>
              <w:spacing w:line="440" w:lineRule="atLeast"/>
              <w:jc w:val="center"/>
              <w:rPr>
                <w:rFonts w:hint="default" w:ascii="宋体" w:hAnsi="宋体" w:eastAsia="宋体" w:cs="宋体"/>
                <w:color w:val="auto"/>
                <w:highlight w:val="none"/>
                <w:lang w:val="en-US" w:eastAsia="zh-CN"/>
              </w:rPr>
            </w:pPr>
          </w:p>
        </w:tc>
        <w:tc>
          <w:tcPr>
            <w:tcW w:w="871" w:type="dxa"/>
            <w:vAlign w:val="center"/>
          </w:tcPr>
          <w:p w14:paraId="518FBC9A">
            <w:pPr>
              <w:widowControl/>
              <w:spacing w:line="440" w:lineRule="atLeast"/>
              <w:jc w:val="center"/>
              <w:rPr>
                <w:rFonts w:hint="default" w:ascii="宋体" w:hAnsi="宋体" w:eastAsia="宋体" w:cs="宋体"/>
                <w:color w:val="auto"/>
                <w:highlight w:val="none"/>
                <w:lang w:val="en-US" w:eastAsia="zh-CN"/>
              </w:rPr>
            </w:pPr>
          </w:p>
        </w:tc>
        <w:tc>
          <w:tcPr>
            <w:tcW w:w="1134" w:type="dxa"/>
            <w:vAlign w:val="center"/>
          </w:tcPr>
          <w:p w14:paraId="03C048D1">
            <w:pPr>
              <w:widowControl/>
              <w:spacing w:line="440" w:lineRule="atLeast"/>
              <w:jc w:val="center"/>
              <w:rPr>
                <w:rFonts w:hint="default" w:ascii="宋体" w:hAnsi="宋体" w:eastAsia="宋体" w:cs="宋体"/>
                <w:color w:val="auto"/>
                <w:highlight w:val="none"/>
                <w:lang w:val="en-US" w:eastAsia="zh-CN"/>
              </w:rPr>
            </w:pPr>
          </w:p>
        </w:tc>
        <w:tc>
          <w:tcPr>
            <w:tcW w:w="1130" w:type="dxa"/>
            <w:vAlign w:val="center"/>
          </w:tcPr>
          <w:p w14:paraId="6F6E3EC5">
            <w:pPr>
              <w:widowControl/>
              <w:spacing w:line="440" w:lineRule="atLeast"/>
              <w:jc w:val="center"/>
              <w:rPr>
                <w:rFonts w:hint="default" w:ascii="宋体" w:hAnsi="宋体" w:eastAsia="宋体" w:cs="宋体"/>
                <w:color w:val="auto"/>
                <w:highlight w:val="none"/>
                <w:lang w:val="en-US" w:eastAsia="zh-CN"/>
              </w:rPr>
            </w:pPr>
          </w:p>
        </w:tc>
        <w:tc>
          <w:tcPr>
            <w:tcW w:w="870" w:type="dxa"/>
            <w:vAlign w:val="center"/>
          </w:tcPr>
          <w:p w14:paraId="0F01258C">
            <w:pPr>
              <w:widowControl/>
              <w:spacing w:line="440" w:lineRule="atLeast"/>
              <w:jc w:val="center"/>
              <w:rPr>
                <w:rFonts w:hint="eastAsia" w:ascii="宋体" w:hAnsi="宋体" w:eastAsia="宋体" w:cs="宋体"/>
                <w:color w:val="auto"/>
                <w:highlight w:val="none"/>
              </w:rPr>
            </w:pPr>
          </w:p>
        </w:tc>
        <w:tc>
          <w:tcPr>
            <w:tcW w:w="714" w:type="dxa"/>
            <w:vAlign w:val="center"/>
          </w:tcPr>
          <w:p w14:paraId="69500F2A">
            <w:pPr>
              <w:widowControl/>
              <w:spacing w:line="440" w:lineRule="atLeast"/>
              <w:jc w:val="center"/>
              <w:rPr>
                <w:rFonts w:hint="eastAsia" w:ascii="宋体" w:hAnsi="宋体" w:eastAsia="宋体" w:cs="宋体"/>
                <w:color w:val="auto"/>
                <w:highlight w:val="none"/>
              </w:rPr>
            </w:pPr>
          </w:p>
        </w:tc>
      </w:tr>
      <w:tr w14:paraId="27C24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3" w:type="dxa"/>
            <w:vAlign w:val="center"/>
          </w:tcPr>
          <w:p w14:paraId="0CFF8C79">
            <w:pPr>
              <w:widowControl/>
              <w:spacing w:line="440" w:lineRule="atLeast"/>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w:t>
            </w:r>
          </w:p>
        </w:tc>
        <w:tc>
          <w:tcPr>
            <w:tcW w:w="990" w:type="dxa"/>
            <w:vAlign w:val="center"/>
          </w:tcPr>
          <w:p w14:paraId="647A615E">
            <w:pPr>
              <w:widowControl/>
              <w:spacing w:line="440" w:lineRule="atLeast"/>
              <w:jc w:val="center"/>
              <w:rPr>
                <w:rFonts w:hint="default" w:ascii="宋体" w:hAnsi="宋体" w:eastAsia="宋体" w:cs="宋体"/>
                <w:color w:val="auto"/>
                <w:highlight w:val="none"/>
                <w:lang w:val="en-US" w:eastAsia="zh-CN"/>
              </w:rPr>
            </w:pPr>
          </w:p>
        </w:tc>
        <w:tc>
          <w:tcPr>
            <w:tcW w:w="1020" w:type="dxa"/>
            <w:vAlign w:val="center"/>
          </w:tcPr>
          <w:p w14:paraId="5CF06D5D">
            <w:pPr>
              <w:widowControl/>
              <w:spacing w:line="440" w:lineRule="atLeast"/>
              <w:jc w:val="center"/>
              <w:rPr>
                <w:rFonts w:hint="eastAsia" w:ascii="宋体" w:hAnsi="宋体" w:eastAsia="宋体" w:cs="宋体"/>
                <w:color w:val="auto"/>
                <w:highlight w:val="none"/>
                <w:lang w:val="en-US" w:eastAsia="zh-CN"/>
              </w:rPr>
            </w:pPr>
          </w:p>
        </w:tc>
        <w:tc>
          <w:tcPr>
            <w:tcW w:w="720" w:type="dxa"/>
            <w:vAlign w:val="center"/>
          </w:tcPr>
          <w:p w14:paraId="7B8265B4">
            <w:pPr>
              <w:widowControl/>
              <w:spacing w:line="440" w:lineRule="atLeast"/>
              <w:jc w:val="center"/>
              <w:rPr>
                <w:rFonts w:hint="default" w:ascii="宋体" w:hAnsi="宋体" w:eastAsia="宋体" w:cs="宋体"/>
                <w:color w:val="auto"/>
                <w:highlight w:val="none"/>
                <w:lang w:val="en-US" w:eastAsia="zh-CN"/>
              </w:rPr>
            </w:pPr>
          </w:p>
        </w:tc>
        <w:tc>
          <w:tcPr>
            <w:tcW w:w="871" w:type="dxa"/>
            <w:vAlign w:val="center"/>
          </w:tcPr>
          <w:p w14:paraId="5969944A">
            <w:pPr>
              <w:widowControl/>
              <w:spacing w:line="440" w:lineRule="atLeast"/>
              <w:jc w:val="center"/>
              <w:rPr>
                <w:rFonts w:hint="eastAsia" w:ascii="宋体" w:hAnsi="宋体" w:eastAsia="宋体" w:cs="宋体"/>
                <w:color w:val="auto"/>
                <w:highlight w:val="none"/>
              </w:rPr>
            </w:pPr>
          </w:p>
        </w:tc>
        <w:tc>
          <w:tcPr>
            <w:tcW w:w="1134" w:type="dxa"/>
          </w:tcPr>
          <w:p w14:paraId="04F16D87">
            <w:pPr>
              <w:widowControl/>
              <w:spacing w:line="440" w:lineRule="atLeast"/>
              <w:jc w:val="center"/>
              <w:rPr>
                <w:rFonts w:hint="eastAsia" w:ascii="宋体" w:hAnsi="宋体" w:eastAsia="宋体" w:cs="宋体"/>
                <w:color w:val="auto"/>
                <w:highlight w:val="none"/>
                <w:lang w:val="en-US" w:eastAsia="zh-CN"/>
              </w:rPr>
            </w:pPr>
          </w:p>
        </w:tc>
        <w:tc>
          <w:tcPr>
            <w:tcW w:w="1130" w:type="dxa"/>
          </w:tcPr>
          <w:p w14:paraId="79F5CA5F">
            <w:pPr>
              <w:widowControl/>
              <w:spacing w:line="440" w:lineRule="atLeast"/>
              <w:jc w:val="center"/>
              <w:rPr>
                <w:rFonts w:hint="eastAsia" w:ascii="宋体" w:hAnsi="宋体" w:eastAsia="宋体" w:cs="宋体"/>
                <w:color w:val="auto"/>
                <w:highlight w:val="none"/>
                <w:lang w:val="en-US" w:eastAsia="zh-CN"/>
              </w:rPr>
            </w:pPr>
          </w:p>
        </w:tc>
        <w:tc>
          <w:tcPr>
            <w:tcW w:w="870" w:type="dxa"/>
          </w:tcPr>
          <w:p w14:paraId="49BB0B57">
            <w:pPr>
              <w:widowControl/>
              <w:spacing w:line="440" w:lineRule="atLeast"/>
              <w:jc w:val="center"/>
              <w:rPr>
                <w:rFonts w:hint="eastAsia" w:ascii="宋体" w:hAnsi="宋体" w:eastAsia="宋体" w:cs="宋体"/>
                <w:color w:val="auto"/>
                <w:highlight w:val="none"/>
                <w:lang w:val="en-US" w:eastAsia="zh-CN"/>
              </w:rPr>
            </w:pPr>
          </w:p>
        </w:tc>
        <w:tc>
          <w:tcPr>
            <w:tcW w:w="714" w:type="dxa"/>
          </w:tcPr>
          <w:p w14:paraId="2718AA74">
            <w:pPr>
              <w:widowControl/>
              <w:spacing w:line="440" w:lineRule="atLeast"/>
              <w:jc w:val="center"/>
              <w:rPr>
                <w:rFonts w:hint="eastAsia" w:ascii="宋体" w:hAnsi="宋体" w:eastAsia="宋体" w:cs="宋体"/>
                <w:color w:val="auto"/>
                <w:highlight w:val="none"/>
              </w:rPr>
            </w:pPr>
          </w:p>
        </w:tc>
      </w:tr>
      <w:tr w14:paraId="60245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3" w:type="dxa"/>
          </w:tcPr>
          <w:p w14:paraId="74ABFEB5">
            <w:pPr>
              <w:widowControl/>
              <w:spacing w:line="440" w:lineRule="atLeast"/>
              <w:jc w:val="center"/>
              <w:rPr>
                <w:rFonts w:hint="eastAsia" w:ascii="宋体" w:hAnsi="宋体" w:eastAsia="宋体" w:cs="宋体"/>
                <w:color w:val="auto"/>
                <w:highlight w:val="none"/>
                <w:lang w:val="en-US" w:eastAsia="zh-CN"/>
              </w:rPr>
            </w:pPr>
          </w:p>
        </w:tc>
        <w:tc>
          <w:tcPr>
            <w:tcW w:w="990" w:type="dxa"/>
          </w:tcPr>
          <w:p w14:paraId="12FF0AD0">
            <w:pPr>
              <w:widowControl/>
              <w:spacing w:line="440" w:lineRule="atLeast"/>
              <w:jc w:val="center"/>
              <w:rPr>
                <w:rFonts w:hint="eastAsia" w:ascii="宋体" w:hAnsi="宋体" w:eastAsia="宋体" w:cs="宋体"/>
                <w:color w:val="auto"/>
                <w:highlight w:val="none"/>
              </w:rPr>
            </w:pPr>
          </w:p>
        </w:tc>
        <w:tc>
          <w:tcPr>
            <w:tcW w:w="1020" w:type="dxa"/>
          </w:tcPr>
          <w:p w14:paraId="671FEA7D">
            <w:pPr>
              <w:widowControl/>
              <w:spacing w:line="440" w:lineRule="atLeast"/>
              <w:jc w:val="center"/>
              <w:rPr>
                <w:rFonts w:hint="eastAsia" w:ascii="宋体" w:hAnsi="宋体" w:eastAsia="宋体" w:cs="宋体"/>
                <w:color w:val="auto"/>
                <w:highlight w:val="none"/>
              </w:rPr>
            </w:pPr>
          </w:p>
        </w:tc>
        <w:tc>
          <w:tcPr>
            <w:tcW w:w="720" w:type="dxa"/>
          </w:tcPr>
          <w:p w14:paraId="7F2D209D">
            <w:pPr>
              <w:widowControl/>
              <w:spacing w:line="440" w:lineRule="atLeast"/>
              <w:jc w:val="center"/>
              <w:rPr>
                <w:rFonts w:hint="eastAsia" w:ascii="宋体" w:hAnsi="宋体" w:eastAsia="宋体" w:cs="宋体"/>
                <w:color w:val="auto"/>
                <w:highlight w:val="none"/>
              </w:rPr>
            </w:pPr>
          </w:p>
        </w:tc>
        <w:tc>
          <w:tcPr>
            <w:tcW w:w="871" w:type="dxa"/>
          </w:tcPr>
          <w:p w14:paraId="1410B151">
            <w:pPr>
              <w:widowControl/>
              <w:spacing w:line="440" w:lineRule="atLeast"/>
              <w:jc w:val="center"/>
              <w:rPr>
                <w:rFonts w:hint="eastAsia" w:ascii="宋体" w:hAnsi="宋体" w:eastAsia="宋体" w:cs="宋体"/>
                <w:color w:val="auto"/>
                <w:highlight w:val="none"/>
              </w:rPr>
            </w:pPr>
          </w:p>
        </w:tc>
        <w:tc>
          <w:tcPr>
            <w:tcW w:w="1134" w:type="dxa"/>
          </w:tcPr>
          <w:p w14:paraId="5D3BAFDC">
            <w:pPr>
              <w:widowControl/>
              <w:spacing w:line="440" w:lineRule="atLeast"/>
              <w:jc w:val="center"/>
              <w:rPr>
                <w:rFonts w:hint="eastAsia" w:ascii="宋体" w:hAnsi="宋体" w:eastAsia="宋体" w:cs="宋体"/>
                <w:color w:val="auto"/>
                <w:highlight w:val="none"/>
              </w:rPr>
            </w:pPr>
          </w:p>
        </w:tc>
        <w:tc>
          <w:tcPr>
            <w:tcW w:w="1130" w:type="dxa"/>
          </w:tcPr>
          <w:p w14:paraId="5BF2228A">
            <w:pPr>
              <w:widowControl/>
              <w:spacing w:line="440" w:lineRule="atLeast"/>
              <w:jc w:val="center"/>
              <w:rPr>
                <w:rFonts w:hint="eastAsia" w:ascii="宋体" w:hAnsi="宋体" w:eastAsia="宋体" w:cs="宋体"/>
                <w:color w:val="auto"/>
                <w:highlight w:val="none"/>
              </w:rPr>
            </w:pPr>
          </w:p>
        </w:tc>
        <w:tc>
          <w:tcPr>
            <w:tcW w:w="870" w:type="dxa"/>
          </w:tcPr>
          <w:p w14:paraId="07A6D97E">
            <w:pPr>
              <w:widowControl/>
              <w:spacing w:line="440" w:lineRule="atLeast"/>
              <w:jc w:val="center"/>
              <w:rPr>
                <w:rFonts w:hint="eastAsia" w:ascii="宋体" w:hAnsi="宋体" w:eastAsia="宋体" w:cs="宋体"/>
                <w:color w:val="auto"/>
                <w:highlight w:val="none"/>
              </w:rPr>
            </w:pPr>
          </w:p>
        </w:tc>
        <w:tc>
          <w:tcPr>
            <w:tcW w:w="714" w:type="dxa"/>
          </w:tcPr>
          <w:p w14:paraId="723186A7">
            <w:pPr>
              <w:widowControl/>
              <w:spacing w:line="440" w:lineRule="atLeast"/>
              <w:jc w:val="center"/>
              <w:rPr>
                <w:rFonts w:hint="eastAsia" w:ascii="宋体" w:hAnsi="宋体" w:eastAsia="宋体" w:cs="宋体"/>
                <w:color w:val="auto"/>
                <w:highlight w:val="none"/>
              </w:rPr>
            </w:pPr>
          </w:p>
        </w:tc>
      </w:tr>
      <w:tr w14:paraId="31FD5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3" w:type="dxa"/>
          </w:tcPr>
          <w:p w14:paraId="5C6622AE">
            <w:pPr>
              <w:widowControl/>
              <w:spacing w:line="440" w:lineRule="atLeast"/>
              <w:jc w:val="center"/>
              <w:rPr>
                <w:rFonts w:hint="eastAsia" w:ascii="宋体" w:hAnsi="宋体" w:eastAsia="宋体" w:cs="宋体"/>
                <w:color w:val="auto"/>
                <w:highlight w:val="none"/>
              </w:rPr>
            </w:pPr>
          </w:p>
        </w:tc>
        <w:tc>
          <w:tcPr>
            <w:tcW w:w="990" w:type="dxa"/>
          </w:tcPr>
          <w:p w14:paraId="612F56B8">
            <w:pPr>
              <w:widowControl/>
              <w:spacing w:line="440" w:lineRule="atLeast"/>
              <w:jc w:val="center"/>
              <w:rPr>
                <w:rFonts w:hint="eastAsia" w:ascii="宋体" w:hAnsi="宋体" w:eastAsia="宋体" w:cs="宋体"/>
                <w:color w:val="auto"/>
                <w:highlight w:val="none"/>
              </w:rPr>
            </w:pPr>
          </w:p>
        </w:tc>
        <w:tc>
          <w:tcPr>
            <w:tcW w:w="1020" w:type="dxa"/>
          </w:tcPr>
          <w:p w14:paraId="4D2D0DC0">
            <w:pPr>
              <w:widowControl/>
              <w:spacing w:line="440" w:lineRule="atLeast"/>
              <w:jc w:val="center"/>
              <w:rPr>
                <w:rFonts w:hint="eastAsia" w:ascii="宋体" w:hAnsi="宋体" w:eastAsia="宋体" w:cs="宋体"/>
                <w:color w:val="auto"/>
                <w:highlight w:val="none"/>
              </w:rPr>
            </w:pPr>
          </w:p>
        </w:tc>
        <w:tc>
          <w:tcPr>
            <w:tcW w:w="720" w:type="dxa"/>
          </w:tcPr>
          <w:p w14:paraId="6A56F040">
            <w:pPr>
              <w:widowControl/>
              <w:spacing w:line="440" w:lineRule="atLeast"/>
              <w:jc w:val="center"/>
              <w:rPr>
                <w:rFonts w:hint="eastAsia" w:ascii="宋体" w:hAnsi="宋体" w:eastAsia="宋体" w:cs="宋体"/>
                <w:color w:val="auto"/>
                <w:highlight w:val="none"/>
              </w:rPr>
            </w:pPr>
          </w:p>
        </w:tc>
        <w:tc>
          <w:tcPr>
            <w:tcW w:w="871" w:type="dxa"/>
          </w:tcPr>
          <w:p w14:paraId="17973802">
            <w:pPr>
              <w:widowControl/>
              <w:spacing w:line="440" w:lineRule="atLeast"/>
              <w:jc w:val="center"/>
              <w:rPr>
                <w:rFonts w:hint="eastAsia" w:ascii="宋体" w:hAnsi="宋体" w:eastAsia="宋体" w:cs="宋体"/>
                <w:color w:val="auto"/>
                <w:highlight w:val="none"/>
              </w:rPr>
            </w:pPr>
          </w:p>
        </w:tc>
        <w:tc>
          <w:tcPr>
            <w:tcW w:w="1134" w:type="dxa"/>
          </w:tcPr>
          <w:p w14:paraId="29EA6E7D">
            <w:pPr>
              <w:widowControl/>
              <w:spacing w:line="440" w:lineRule="atLeast"/>
              <w:jc w:val="center"/>
              <w:rPr>
                <w:rFonts w:hint="eastAsia" w:ascii="宋体" w:hAnsi="宋体" w:eastAsia="宋体" w:cs="宋体"/>
                <w:color w:val="auto"/>
                <w:highlight w:val="none"/>
              </w:rPr>
            </w:pPr>
          </w:p>
        </w:tc>
        <w:tc>
          <w:tcPr>
            <w:tcW w:w="1130" w:type="dxa"/>
          </w:tcPr>
          <w:p w14:paraId="1E1EB0C8">
            <w:pPr>
              <w:widowControl/>
              <w:spacing w:line="440" w:lineRule="atLeast"/>
              <w:jc w:val="center"/>
              <w:rPr>
                <w:rFonts w:hint="eastAsia" w:ascii="宋体" w:hAnsi="宋体" w:eastAsia="宋体" w:cs="宋体"/>
                <w:color w:val="auto"/>
                <w:highlight w:val="none"/>
              </w:rPr>
            </w:pPr>
          </w:p>
        </w:tc>
        <w:tc>
          <w:tcPr>
            <w:tcW w:w="870" w:type="dxa"/>
          </w:tcPr>
          <w:p w14:paraId="666981CB">
            <w:pPr>
              <w:widowControl/>
              <w:spacing w:line="440" w:lineRule="atLeast"/>
              <w:jc w:val="center"/>
              <w:rPr>
                <w:rFonts w:hint="eastAsia" w:ascii="宋体" w:hAnsi="宋体" w:eastAsia="宋体" w:cs="宋体"/>
                <w:color w:val="auto"/>
                <w:highlight w:val="none"/>
              </w:rPr>
            </w:pPr>
          </w:p>
        </w:tc>
        <w:tc>
          <w:tcPr>
            <w:tcW w:w="714" w:type="dxa"/>
          </w:tcPr>
          <w:p w14:paraId="3EB91FC5">
            <w:pPr>
              <w:widowControl/>
              <w:spacing w:line="440" w:lineRule="atLeast"/>
              <w:jc w:val="center"/>
              <w:rPr>
                <w:rFonts w:hint="eastAsia" w:ascii="宋体" w:hAnsi="宋体" w:eastAsia="宋体" w:cs="宋体"/>
                <w:color w:val="auto"/>
                <w:highlight w:val="none"/>
              </w:rPr>
            </w:pPr>
          </w:p>
        </w:tc>
      </w:tr>
      <w:tr w14:paraId="595EF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3" w:type="dxa"/>
          </w:tcPr>
          <w:p w14:paraId="24EAF27C">
            <w:pPr>
              <w:widowControl/>
              <w:spacing w:line="440" w:lineRule="atLeast"/>
              <w:jc w:val="center"/>
              <w:rPr>
                <w:rFonts w:hint="eastAsia" w:ascii="宋体" w:hAnsi="宋体" w:eastAsia="宋体" w:cs="宋体"/>
                <w:color w:val="auto"/>
                <w:highlight w:val="none"/>
              </w:rPr>
            </w:pPr>
          </w:p>
        </w:tc>
        <w:tc>
          <w:tcPr>
            <w:tcW w:w="990" w:type="dxa"/>
          </w:tcPr>
          <w:p w14:paraId="6B2CE20A">
            <w:pPr>
              <w:widowControl/>
              <w:spacing w:line="440" w:lineRule="atLeast"/>
              <w:jc w:val="center"/>
              <w:rPr>
                <w:rFonts w:hint="eastAsia" w:ascii="宋体" w:hAnsi="宋体" w:eastAsia="宋体" w:cs="宋体"/>
                <w:color w:val="auto"/>
                <w:highlight w:val="none"/>
              </w:rPr>
            </w:pPr>
          </w:p>
        </w:tc>
        <w:tc>
          <w:tcPr>
            <w:tcW w:w="1020" w:type="dxa"/>
          </w:tcPr>
          <w:p w14:paraId="54B4F159">
            <w:pPr>
              <w:widowControl/>
              <w:spacing w:line="440" w:lineRule="atLeast"/>
              <w:jc w:val="center"/>
              <w:rPr>
                <w:rFonts w:hint="eastAsia" w:ascii="宋体" w:hAnsi="宋体" w:eastAsia="宋体" w:cs="宋体"/>
                <w:color w:val="auto"/>
                <w:highlight w:val="none"/>
              </w:rPr>
            </w:pPr>
          </w:p>
        </w:tc>
        <w:tc>
          <w:tcPr>
            <w:tcW w:w="720" w:type="dxa"/>
          </w:tcPr>
          <w:p w14:paraId="12758575">
            <w:pPr>
              <w:widowControl/>
              <w:spacing w:line="440" w:lineRule="atLeast"/>
              <w:jc w:val="center"/>
              <w:rPr>
                <w:rFonts w:hint="eastAsia" w:ascii="宋体" w:hAnsi="宋体" w:eastAsia="宋体" w:cs="宋体"/>
                <w:color w:val="auto"/>
                <w:highlight w:val="none"/>
              </w:rPr>
            </w:pPr>
          </w:p>
        </w:tc>
        <w:tc>
          <w:tcPr>
            <w:tcW w:w="871" w:type="dxa"/>
          </w:tcPr>
          <w:p w14:paraId="1EA1D610">
            <w:pPr>
              <w:widowControl/>
              <w:spacing w:line="440" w:lineRule="atLeast"/>
              <w:jc w:val="center"/>
              <w:rPr>
                <w:rFonts w:hint="eastAsia" w:ascii="宋体" w:hAnsi="宋体" w:eastAsia="宋体" w:cs="宋体"/>
                <w:color w:val="auto"/>
                <w:highlight w:val="none"/>
              </w:rPr>
            </w:pPr>
          </w:p>
        </w:tc>
        <w:tc>
          <w:tcPr>
            <w:tcW w:w="1134" w:type="dxa"/>
          </w:tcPr>
          <w:p w14:paraId="702AFF19">
            <w:pPr>
              <w:widowControl/>
              <w:spacing w:line="440" w:lineRule="atLeast"/>
              <w:jc w:val="center"/>
              <w:rPr>
                <w:rFonts w:hint="eastAsia" w:ascii="宋体" w:hAnsi="宋体" w:eastAsia="宋体" w:cs="宋体"/>
                <w:color w:val="auto"/>
                <w:highlight w:val="none"/>
              </w:rPr>
            </w:pPr>
          </w:p>
        </w:tc>
        <w:tc>
          <w:tcPr>
            <w:tcW w:w="1130" w:type="dxa"/>
          </w:tcPr>
          <w:p w14:paraId="29CEF6BE">
            <w:pPr>
              <w:widowControl/>
              <w:spacing w:line="440" w:lineRule="atLeast"/>
              <w:jc w:val="center"/>
              <w:rPr>
                <w:rFonts w:hint="eastAsia" w:ascii="宋体" w:hAnsi="宋体" w:eastAsia="宋体" w:cs="宋体"/>
                <w:color w:val="auto"/>
                <w:highlight w:val="none"/>
              </w:rPr>
            </w:pPr>
          </w:p>
        </w:tc>
        <w:tc>
          <w:tcPr>
            <w:tcW w:w="870" w:type="dxa"/>
          </w:tcPr>
          <w:p w14:paraId="750B2850">
            <w:pPr>
              <w:widowControl/>
              <w:spacing w:line="440" w:lineRule="atLeast"/>
              <w:jc w:val="center"/>
              <w:rPr>
                <w:rFonts w:hint="eastAsia" w:ascii="宋体" w:hAnsi="宋体" w:eastAsia="宋体" w:cs="宋体"/>
                <w:color w:val="auto"/>
                <w:highlight w:val="none"/>
              </w:rPr>
            </w:pPr>
          </w:p>
        </w:tc>
        <w:tc>
          <w:tcPr>
            <w:tcW w:w="714" w:type="dxa"/>
          </w:tcPr>
          <w:p w14:paraId="50D79D14">
            <w:pPr>
              <w:widowControl/>
              <w:spacing w:line="440" w:lineRule="atLeast"/>
              <w:jc w:val="center"/>
              <w:rPr>
                <w:rFonts w:hint="eastAsia" w:ascii="宋体" w:hAnsi="宋体" w:eastAsia="宋体" w:cs="宋体"/>
                <w:color w:val="auto"/>
                <w:highlight w:val="none"/>
              </w:rPr>
            </w:pPr>
          </w:p>
        </w:tc>
      </w:tr>
      <w:tr w14:paraId="3AA51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3" w:type="dxa"/>
          </w:tcPr>
          <w:p w14:paraId="5DB78774">
            <w:pPr>
              <w:widowControl/>
              <w:spacing w:line="440" w:lineRule="atLeast"/>
              <w:jc w:val="center"/>
              <w:rPr>
                <w:rFonts w:hint="eastAsia" w:ascii="宋体" w:hAnsi="宋体" w:eastAsia="宋体" w:cs="宋体"/>
                <w:color w:val="auto"/>
                <w:highlight w:val="none"/>
              </w:rPr>
            </w:pPr>
          </w:p>
        </w:tc>
        <w:tc>
          <w:tcPr>
            <w:tcW w:w="990" w:type="dxa"/>
          </w:tcPr>
          <w:p w14:paraId="26805876">
            <w:pPr>
              <w:widowControl/>
              <w:spacing w:line="440" w:lineRule="atLeast"/>
              <w:jc w:val="center"/>
              <w:rPr>
                <w:rFonts w:hint="eastAsia" w:ascii="宋体" w:hAnsi="宋体" w:eastAsia="宋体" w:cs="宋体"/>
                <w:color w:val="auto"/>
                <w:highlight w:val="none"/>
              </w:rPr>
            </w:pPr>
          </w:p>
        </w:tc>
        <w:tc>
          <w:tcPr>
            <w:tcW w:w="1020" w:type="dxa"/>
          </w:tcPr>
          <w:p w14:paraId="2644B402">
            <w:pPr>
              <w:widowControl/>
              <w:spacing w:line="440" w:lineRule="atLeast"/>
              <w:jc w:val="center"/>
              <w:rPr>
                <w:rFonts w:hint="eastAsia" w:ascii="宋体" w:hAnsi="宋体" w:eastAsia="宋体" w:cs="宋体"/>
                <w:color w:val="auto"/>
                <w:highlight w:val="none"/>
              </w:rPr>
            </w:pPr>
          </w:p>
        </w:tc>
        <w:tc>
          <w:tcPr>
            <w:tcW w:w="720" w:type="dxa"/>
          </w:tcPr>
          <w:p w14:paraId="12A2B2BD">
            <w:pPr>
              <w:widowControl/>
              <w:spacing w:line="440" w:lineRule="atLeast"/>
              <w:jc w:val="center"/>
              <w:rPr>
                <w:rFonts w:hint="eastAsia" w:ascii="宋体" w:hAnsi="宋体" w:eastAsia="宋体" w:cs="宋体"/>
                <w:color w:val="auto"/>
                <w:highlight w:val="none"/>
              </w:rPr>
            </w:pPr>
          </w:p>
        </w:tc>
        <w:tc>
          <w:tcPr>
            <w:tcW w:w="871" w:type="dxa"/>
          </w:tcPr>
          <w:p w14:paraId="77791ADA">
            <w:pPr>
              <w:widowControl/>
              <w:spacing w:line="440" w:lineRule="atLeast"/>
              <w:jc w:val="center"/>
              <w:rPr>
                <w:rFonts w:hint="eastAsia" w:ascii="宋体" w:hAnsi="宋体" w:eastAsia="宋体" w:cs="宋体"/>
                <w:color w:val="auto"/>
                <w:highlight w:val="none"/>
              </w:rPr>
            </w:pPr>
          </w:p>
        </w:tc>
        <w:tc>
          <w:tcPr>
            <w:tcW w:w="1134" w:type="dxa"/>
          </w:tcPr>
          <w:p w14:paraId="50A2EE1D">
            <w:pPr>
              <w:widowControl/>
              <w:spacing w:line="440" w:lineRule="atLeast"/>
              <w:jc w:val="center"/>
              <w:rPr>
                <w:rFonts w:hint="eastAsia" w:ascii="宋体" w:hAnsi="宋体" w:eastAsia="宋体" w:cs="宋体"/>
                <w:color w:val="auto"/>
                <w:highlight w:val="none"/>
              </w:rPr>
            </w:pPr>
          </w:p>
        </w:tc>
        <w:tc>
          <w:tcPr>
            <w:tcW w:w="1130" w:type="dxa"/>
          </w:tcPr>
          <w:p w14:paraId="667E4931">
            <w:pPr>
              <w:widowControl/>
              <w:spacing w:line="440" w:lineRule="atLeast"/>
              <w:jc w:val="center"/>
              <w:rPr>
                <w:rFonts w:hint="eastAsia" w:ascii="宋体" w:hAnsi="宋体" w:eastAsia="宋体" w:cs="宋体"/>
                <w:color w:val="auto"/>
                <w:highlight w:val="none"/>
              </w:rPr>
            </w:pPr>
          </w:p>
        </w:tc>
        <w:tc>
          <w:tcPr>
            <w:tcW w:w="870" w:type="dxa"/>
          </w:tcPr>
          <w:p w14:paraId="5AA2F796">
            <w:pPr>
              <w:widowControl/>
              <w:spacing w:line="440" w:lineRule="atLeast"/>
              <w:jc w:val="center"/>
              <w:rPr>
                <w:rFonts w:hint="eastAsia" w:ascii="宋体" w:hAnsi="宋体" w:eastAsia="宋体" w:cs="宋体"/>
                <w:color w:val="auto"/>
                <w:highlight w:val="none"/>
              </w:rPr>
            </w:pPr>
          </w:p>
        </w:tc>
        <w:tc>
          <w:tcPr>
            <w:tcW w:w="714" w:type="dxa"/>
          </w:tcPr>
          <w:p w14:paraId="284FAB62">
            <w:pPr>
              <w:widowControl/>
              <w:spacing w:line="440" w:lineRule="atLeast"/>
              <w:jc w:val="center"/>
              <w:rPr>
                <w:rFonts w:hint="eastAsia" w:ascii="宋体" w:hAnsi="宋体" w:eastAsia="宋体" w:cs="宋体"/>
                <w:color w:val="auto"/>
                <w:highlight w:val="none"/>
              </w:rPr>
            </w:pPr>
          </w:p>
        </w:tc>
      </w:tr>
      <w:tr w14:paraId="4D4A7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3" w:type="dxa"/>
          </w:tcPr>
          <w:p w14:paraId="66C2B5BA">
            <w:pPr>
              <w:widowControl/>
              <w:spacing w:line="440" w:lineRule="atLeast"/>
              <w:jc w:val="center"/>
              <w:rPr>
                <w:rFonts w:hint="eastAsia" w:ascii="宋体" w:hAnsi="宋体" w:eastAsia="宋体" w:cs="宋体"/>
                <w:color w:val="auto"/>
                <w:highlight w:val="none"/>
              </w:rPr>
            </w:pPr>
          </w:p>
        </w:tc>
        <w:tc>
          <w:tcPr>
            <w:tcW w:w="990" w:type="dxa"/>
          </w:tcPr>
          <w:p w14:paraId="7661C907">
            <w:pPr>
              <w:widowControl/>
              <w:spacing w:line="440" w:lineRule="atLeast"/>
              <w:jc w:val="center"/>
              <w:rPr>
                <w:rFonts w:hint="eastAsia" w:ascii="宋体" w:hAnsi="宋体" w:eastAsia="宋体" w:cs="宋体"/>
                <w:color w:val="auto"/>
                <w:highlight w:val="none"/>
              </w:rPr>
            </w:pPr>
          </w:p>
        </w:tc>
        <w:tc>
          <w:tcPr>
            <w:tcW w:w="1020" w:type="dxa"/>
          </w:tcPr>
          <w:p w14:paraId="227C58E8">
            <w:pPr>
              <w:widowControl/>
              <w:spacing w:line="440" w:lineRule="atLeast"/>
              <w:jc w:val="center"/>
              <w:rPr>
                <w:rFonts w:hint="eastAsia" w:ascii="宋体" w:hAnsi="宋体" w:eastAsia="宋体" w:cs="宋体"/>
                <w:color w:val="auto"/>
                <w:highlight w:val="none"/>
              </w:rPr>
            </w:pPr>
          </w:p>
        </w:tc>
        <w:tc>
          <w:tcPr>
            <w:tcW w:w="720" w:type="dxa"/>
          </w:tcPr>
          <w:p w14:paraId="1233EC6E">
            <w:pPr>
              <w:widowControl/>
              <w:spacing w:line="440" w:lineRule="atLeast"/>
              <w:jc w:val="center"/>
              <w:rPr>
                <w:rFonts w:hint="eastAsia" w:ascii="宋体" w:hAnsi="宋体" w:eastAsia="宋体" w:cs="宋体"/>
                <w:color w:val="auto"/>
                <w:highlight w:val="none"/>
              </w:rPr>
            </w:pPr>
          </w:p>
        </w:tc>
        <w:tc>
          <w:tcPr>
            <w:tcW w:w="871" w:type="dxa"/>
          </w:tcPr>
          <w:p w14:paraId="1881028A">
            <w:pPr>
              <w:widowControl/>
              <w:spacing w:line="440" w:lineRule="atLeast"/>
              <w:jc w:val="center"/>
              <w:rPr>
                <w:rFonts w:hint="eastAsia" w:ascii="宋体" w:hAnsi="宋体" w:eastAsia="宋体" w:cs="宋体"/>
                <w:color w:val="auto"/>
                <w:highlight w:val="none"/>
              </w:rPr>
            </w:pPr>
          </w:p>
        </w:tc>
        <w:tc>
          <w:tcPr>
            <w:tcW w:w="1134" w:type="dxa"/>
          </w:tcPr>
          <w:p w14:paraId="0A7F35A4">
            <w:pPr>
              <w:widowControl/>
              <w:spacing w:line="440" w:lineRule="atLeast"/>
              <w:jc w:val="center"/>
              <w:rPr>
                <w:rFonts w:hint="eastAsia" w:ascii="宋体" w:hAnsi="宋体" w:eastAsia="宋体" w:cs="宋体"/>
                <w:color w:val="auto"/>
                <w:highlight w:val="none"/>
              </w:rPr>
            </w:pPr>
          </w:p>
        </w:tc>
        <w:tc>
          <w:tcPr>
            <w:tcW w:w="1130" w:type="dxa"/>
          </w:tcPr>
          <w:p w14:paraId="369CF7D0">
            <w:pPr>
              <w:widowControl/>
              <w:spacing w:line="440" w:lineRule="atLeast"/>
              <w:jc w:val="center"/>
              <w:rPr>
                <w:rFonts w:hint="eastAsia" w:ascii="宋体" w:hAnsi="宋体" w:eastAsia="宋体" w:cs="宋体"/>
                <w:color w:val="auto"/>
                <w:highlight w:val="none"/>
              </w:rPr>
            </w:pPr>
          </w:p>
        </w:tc>
        <w:tc>
          <w:tcPr>
            <w:tcW w:w="870" w:type="dxa"/>
          </w:tcPr>
          <w:p w14:paraId="4F061649">
            <w:pPr>
              <w:widowControl/>
              <w:spacing w:line="440" w:lineRule="atLeast"/>
              <w:jc w:val="center"/>
              <w:rPr>
                <w:rFonts w:hint="eastAsia" w:ascii="宋体" w:hAnsi="宋体" w:eastAsia="宋体" w:cs="宋体"/>
                <w:color w:val="auto"/>
                <w:highlight w:val="none"/>
              </w:rPr>
            </w:pPr>
          </w:p>
        </w:tc>
        <w:tc>
          <w:tcPr>
            <w:tcW w:w="714" w:type="dxa"/>
          </w:tcPr>
          <w:p w14:paraId="347761CD">
            <w:pPr>
              <w:widowControl/>
              <w:spacing w:line="440" w:lineRule="atLeast"/>
              <w:jc w:val="center"/>
              <w:rPr>
                <w:rFonts w:hint="eastAsia" w:ascii="宋体" w:hAnsi="宋体" w:eastAsia="宋体" w:cs="宋体"/>
                <w:color w:val="auto"/>
                <w:highlight w:val="none"/>
              </w:rPr>
            </w:pPr>
          </w:p>
        </w:tc>
      </w:tr>
      <w:tr w14:paraId="49707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3" w:type="dxa"/>
          </w:tcPr>
          <w:p w14:paraId="4075F57C">
            <w:pPr>
              <w:widowControl/>
              <w:spacing w:line="440" w:lineRule="atLeast"/>
              <w:jc w:val="center"/>
              <w:rPr>
                <w:rFonts w:hint="eastAsia" w:ascii="宋体" w:hAnsi="宋体" w:eastAsia="宋体" w:cs="宋体"/>
                <w:color w:val="auto"/>
                <w:highlight w:val="none"/>
              </w:rPr>
            </w:pPr>
          </w:p>
        </w:tc>
        <w:tc>
          <w:tcPr>
            <w:tcW w:w="990" w:type="dxa"/>
          </w:tcPr>
          <w:p w14:paraId="11118AF6">
            <w:pPr>
              <w:widowControl/>
              <w:spacing w:line="440" w:lineRule="atLeast"/>
              <w:jc w:val="center"/>
              <w:rPr>
                <w:rFonts w:hint="eastAsia" w:ascii="宋体" w:hAnsi="宋体" w:eastAsia="宋体" w:cs="宋体"/>
                <w:color w:val="auto"/>
                <w:highlight w:val="none"/>
              </w:rPr>
            </w:pPr>
          </w:p>
        </w:tc>
        <w:tc>
          <w:tcPr>
            <w:tcW w:w="1020" w:type="dxa"/>
          </w:tcPr>
          <w:p w14:paraId="6929E952">
            <w:pPr>
              <w:widowControl/>
              <w:spacing w:line="440" w:lineRule="atLeast"/>
              <w:jc w:val="center"/>
              <w:rPr>
                <w:rFonts w:hint="eastAsia" w:ascii="宋体" w:hAnsi="宋体" w:eastAsia="宋体" w:cs="宋体"/>
                <w:color w:val="auto"/>
                <w:highlight w:val="none"/>
              </w:rPr>
            </w:pPr>
          </w:p>
        </w:tc>
        <w:tc>
          <w:tcPr>
            <w:tcW w:w="720" w:type="dxa"/>
          </w:tcPr>
          <w:p w14:paraId="0EE6E62F">
            <w:pPr>
              <w:widowControl/>
              <w:spacing w:line="440" w:lineRule="atLeast"/>
              <w:jc w:val="center"/>
              <w:rPr>
                <w:rFonts w:hint="eastAsia" w:ascii="宋体" w:hAnsi="宋体" w:eastAsia="宋体" w:cs="宋体"/>
                <w:color w:val="auto"/>
                <w:highlight w:val="none"/>
              </w:rPr>
            </w:pPr>
          </w:p>
        </w:tc>
        <w:tc>
          <w:tcPr>
            <w:tcW w:w="871" w:type="dxa"/>
          </w:tcPr>
          <w:p w14:paraId="1604D53F">
            <w:pPr>
              <w:widowControl/>
              <w:spacing w:line="440" w:lineRule="atLeast"/>
              <w:jc w:val="center"/>
              <w:rPr>
                <w:rFonts w:hint="eastAsia" w:ascii="宋体" w:hAnsi="宋体" w:eastAsia="宋体" w:cs="宋体"/>
                <w:color w:val="auto"/>
                <w:highlight w:val="none"/>
              </w:rPr>
            </w:pPr>
          </w:p>
        </w:tc>
        <w:tc>
          <w:tcPr>
            <w:tcW w:w="1134" w:type="dxa"/>
          </w:tcPr>
          <w:p w14:paraId="52937C47">
            <w:pPr>
              <w:widowControl/>
              <w:spacing w:line="440" w:lineRule="atLeast"/>
              <w:jc w:val="center"/>
              <w:rPr>
                <w:rFonts w:hint="eastAsia" w:ascii="宋体" w:hAnsi="宋体" w:eastAsia="宋体" w:cs="宋体"/>
                <w:color w:val="auto"/>
                <w:highlight w:val="none"/>
              </w:rPr>
            </w:pPr>
          </w:p>
        </w:tc>
        <w:tc>
          <w:tcPr>
            <w:tcW w:w="1130" w:type="dxa"/>
          </w:tcPr>
          <w:p w14:paraId="3BD4E74F">
            <w:pPr>
              <w:widowControl/>
              <w:spacing w:line="440" w:lineRule="atLeast"/>
              <w:jc w:val="center"/>
              <w:rPr>
                <w:rFonts w:hint="eastAsia" w:ascii="宋体" w:hAnsi="宋体" w:eastAsia="宋体" w:cs="宋体"/>
                <w:color w:val="auto"/>
                <w:highlight w:val="none"/>
              </w:rPr>
            </w:pPr>
          </w:p>
        </w:tc>
        <w:tc>
          <w:tcPr>
            <w:tcW w:w="870" w:type="dxa"/>
          </w:tcPr>
          <w:p w14:paraId="34FDADDE">
            <w:pPr>
              <w:widowControl/>
              <w:spacing w:line="440" w:lineRule="atLeast"/>
              <w:jc w:val="center"/>
              <w:rPr>
                <w:rFonts w:hint="eastAsia" w:ascii="宋体" w:hAnsi="宋体" w:eastAsia="宋体" w:cs="宋体"/>
                <w:color w:val="auto"/>
                <w:highlight w:val="none"/>
              </w:rPr>
            </w:pPr>
          </w:p>
        </w:tc>
        <w:tc>
          <w:tcPr>
            <w:tcW w:w="714" w:type="dxa"/>
          </w:tcPr>
          <w:p w14:paraId="2CAF2048">
            <w:pPr>
              <w:widowControl/>
              <w:spacing w:line="440" w:lineRule="atLeast"/>
              <w:jc w:val="center"/>
              <w:rPr>
                <w:rFonts w:hint="eastAsia" w:ascii="宋体" w:hAnsi="宋体" w:eastAsia="宋体" w:cs="宋体"/>
                <w:color w:val="auto"/>
                <w:highlight w:val="none"/>
              </w:rPr>
            </w:pPr>
          </w:p>
        </w:tc>
      </w:tr>
      <w:tr w14:paraId="4A64E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3" w:type="dxa"/>
          </w:tcPr>
          <w:p w14:paraId="5D50D885">
            <w:pPr>
              <w:widowControl/>
              <w:spacing w:line="440" w:lineRule="atLeast"/>
              <w:jc w:val="center"/>
              <w:rPr>
                <w:rFonts w:hint="eastAsia" w:ascii="宋体" w:hAnsi="宋体" w:eastAsia="宋体" w:cs="宋体"/>
                <w:color w:val="auto"/>
                <w:highlight w:val="none"/>
              </w:rPr>
            </w:pPr>
          </w:p>
        </w:tc>
        <w:tc>
          <w:tcPr>
            <w:tcW w:w="990" w:type="dxa"/>
          </w:tcPr>
          <w:p w14:paraId="6BC0874A">
            <w:pPr>
              <w:widowControl/>
              <w:spacing w:line="440" w:lineRule="atLeast"/>
              <w:jc w:val="center"/>
              <w:rPr>
                <w:rFonts w:hint="eastAsia" w:ascii="宋体" w:hAnsi="宋体" w:eastAsia="宋体" w:cs="宋体"/>
                <w:color w:val="auto"/>
                <w:highlight w:val="none"/>
              </w:rPr>
            </w:pPr>
          </w:p>
        </w:tc>
        <w:tc>
          <w:tcPr>
            <w:tcW w:w="1020" w:type="dxa"/>
          </w:tcPr>
          <w:p w14:paraId="00EE2583">
            <w:pPr>
              <w:widowControl/>
              <w:spacing w:line="440" w:lineRule="atLeast"/>
              <w:jc w:val="center"/>
              <w:rPr>
                <w:rFonts w:hint="eastAsia" w:ascii="宋体" w:hAnsi="宋体" w:eastAsia="宋体" w:cs="宋体"/>
                <w:color w:val="auto"/>
                <w:highlight w:val="none"/>
              </w:rPr>
            </w:pPr>
          </w:p>
        </w:tc>
        <w:tc>
          <w:tcPr>
            <w:tcW w:w="720" w:type="dxa"/>
          </w:tcPr>
          <w:p w14:paraId="1BEEFE3B">
            <w:pPr>
              <w:widowControl/>
              <w:spacing w:line="440" w:lineRule="atLeast"/>
              <w:jc w:val="center"/>
              <w:rPr>
                <w:rFonts w:hint="eastAsia" w:ascii="宋体" w:hAnsi="宋体" w:eastAsia="宋体" w:cs="宋体"/>
                <w:color w:val="auto"/>
                <w:highlight w:val="none"/>
              </w:rPr>
            </w:pPr>
          </w:p>
        </w:tc>
        <w:tc>
          <w:tcPr>
            <w:tcW w:w="871" w:type="dxa"/>
          </w:tcPr>
          <w:p w14:paraId="4F00B573">
            <w:pPr>
              <w:widowControl/>
              <w:spacing w:line="440" w:lineRule="atLeast"/>
              <w:jc w:val="center"/>
              <w:rPr>
                <w:rFonts w:hint="eastAsia" w:ascii="宋体" w:hAnsi="宋体" w:eastAsia="宋体" w:cs="宋体"/>
                <w:color w:val="auto"/>
                <w:highlight w:val="none"/>
              </w:rPr>
            </w:pPr>
          </w:p>
        </w:tc>
        <w:tc>
          <w:tcPr>
            <w:tcW w:w="1134" w:type="dxa"/>
          </w:tcPr>
          <w:p w14:paraId="117E2D94">
            <w:pPr>
              <w:widowControl/>
              <w:spacing w:line="440" w:lineRule="atLeast"/>
              <w:jc w:val="center"/>
              <w:rPr>
                <w:rFonts w:hint="eastAsia" w:ascii="宋体" w:hAnsi="宋体" w:eastAsia="宋体" w:cs="宋体"/>
                <w:color w:val="auto"/>
                <w:highlight w:val="none"/>
              </w:rPr>
            </w:pPr>
          </w:p>
        </w:tc>
        <w:tc>
          <w:tcPr>
            <w:tcW w:w="1130" w:type="dxa"/>
          </w:tcPr>
          <w:p w14:paraId="76E2F2AC">
            <w:pPr>
              <w:widowControl/>
              <w:spacing w:line="440" w:lineRule="atLeast"/>
              <w:jc w:val="center"/>
              <w:rPr>
                <w:rFonts w:hint="eastAsia" w:ascii="宋体" w:hAnsi="宋体" w:eastAsia="宋体" w:cs="宋体"/>
                <w:color w:val="auto"/>
                <w:highlight w:val="none"/>
              </w:rPr>
            </w:pPr>
          </w:p>
        </w:tc>
        <w:tc>
          <w:tcPr>
            <w:tcW w:w="870" w:type="dxa"/>
          </w:tcPr>
          <w:p w14:paraId="12182BB9">
            <w:pPr>
              <w:widowControl/>
              <w:spacing w:line="440" w:lineRule="atLeast"/>
              <w:jc w:val="center"/>
              <w:rPr>
                <w:rFonts w:hint="eastAsia" w:ascii="宋体" w:hAnsi="宋体" w:eastAsia="宋体" w:cs="宋体"/>
                <w:color w:val="auto"/>
                <w:highlight w:val="none"/>
              </w:rPr>
            </w:pPr>
          </w:p>
        </w:tc>
        <w:tc>
          <w:tcPr>
            <w:tcW w:w="714" w:type="dxa"/>
          </w:tcPr>
          <w:p w14:paraId="40EAF9F3">
            <w:pPr>
              <w:widowControl/>
              <w:spacing w:line="440" w:lineRule="atLeast"/>
              <w:jc w:val="center"/>
              <w:rPr>
                <w:rFonts w:hint="eastAsia" w:ascii="宋体" w:hAnsi="宋体" w:eastAsia="宋体" w:cs="宋体"/>
                <w:color w:val="auto"/>
                <w:highlight w:val="none"/>
              </w:rPr>
            </w:pPr>
          </w:p>
        </w:tc>
      </w:tr>
      <w:tr w14:paraId="4964A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3" w:type="dxa"/>
          </w:tcPr>
          <w:p w14:paraId="1E8734AE">
            <w:pPr>
              <w:widowControl/>
              <w:spacing w:line="440" w:lineRule="atLeast"/>
              <w:jc w:val="center"/>
              <w:rPr>
                <w:rFonts w:hint="eastAsia" w:ascii="宋体" w:hAnsi="宋体" w:eastAsia="宋体" w:cs="宋体"/>
                <w:color w:val="auto"/>
                <w:highlight w:val="none"/>
              </w:rPr>
            </w:pPr>
          </w:p>
        </w:tc>
        <w:tc>
          <w:tcPr>
            <w:tcW w:w="990" w:type="dxa"/>
          </w:tcPr>
          <w:p w14:paraId="0D3FD8BA">
            <w:pPr>
              <w:widowControl/>
              <w:spacing w:line="440" w:lineRule="atLeast"/>
              <w:jc w:val="center"/>
              <w:rPr>
                <w:rFonts w:hint="eastAsia" w:ascii="宋体" w:hAnsi="宋体" w:eastAsia="宋体" w:cs="宋体"/>
                <w:color w:val="auto"/>
                <w:highlight w:val="none"/>
              </w:rPr>
            </w:pPr>
          </w:p>
        </w:tc>
        <w:tc>
          <w:tcPr>
            <w:tcW w:w="1020" w:type="dxa"/>
          </w:tcPr>
          <w:p w14:paraId="031599B2">
            <w:pPr>
              <w:widowControl/>
              <w:spacing w:line="440" w:lineRule="atLeast"/>
              <w:jc w:val="center"/>
              <w:rPr>
                <w:rFonts w:hint="eastAsia" w:ascii="宋体" w:hAnsi="宋体" w:eastAsia="宋体" w:cs="宋体"/>
                <w:color w:val="auto"/>
                <w:highlight w:val="none"/>
              </w:rPr>
            </w:pPr>
          </w:p>
        </w:tc>
        <w:tc>
          <w:tcPr>
            <w:tcW w:w="720" w:type="dxa"/>
          </w:tcPr>
          <w:p w14:paraId="48F8F9D5">
            <w:pPr>
              <w:widowControl/>
              <w:spacing w:line="440" w:lineRule="atLeast"/>
              <w:jc w:val="center"/>
              <w:rPr>
                <w:rFonts w:hint="eastAsia" w:ascii="宋体" w:hAnsi="宋体" w:eastAsia="宋体" w:cs="宋体"/>
                <w:color w:val="auto"/>
                <w:highlight w:val="none"/>
              </w:rPr>
            </w:pPr>
          </w:p>
        </w:tc>
        <w:tc>
          <w:tcPr>
            <w:tcW w:w="871" w:type="dxa"/>
          </w:tcPr>
          <w:p w14:paraId="6DCCE326">
            <w:pPr>
              <w:widowControl/>
              <w:spacing w:line="440" w:lineRule="atLeast"/>
              <w:jc w:val="center"/>
              <w:rPr>
                <w:rFonts w:hint="eastAsia" w:ascii="宋体" w:hAnsi="宋体" w:eastAsia="宋体" w:cs="宋体"/>
                <w:color w:val="auto"/>
                <w:highlight w:val="none"/>
              </w:rPr>
            </w:pPr>
          </w:p>
        </w:tc>
        <w:tc>
          <w:tcPr>
            <w:tcW w:w="1134" w:type="dxa"/>
          </w:tcPr>
          <w:p w14:paraId="2A7FFA3D">
            <w:pPr>
              <w:widowControl/>
              <w:spacing w:line="440" w:lineRule="atLeast"/>
              <w:jc w:val="center"/>
              <w:rPr>
                <w:rFonts w:hint="eastAsia" w:ascii="宋体" w:hAnsi="宋体" w:eastAsia="宋体" w:cs="宋体"/>
                <w:color w:val="auto"/>
                <w:highlight w:val="none"/>
              </w:rPr>
            </w:pPr>
          </w:p>
        </w:tc>
        <w:tc>
          <w:tcPr>
            <w:tcW w:w="1130" w:type="dxa"/>
          </w:tcPr>
          <w:p w14:paraId="45FD4E3C">
            <w:pPr>
              <w:widowControl/>
              <w:spacing w:line="440" w:lineRule="atLeast"/>
              <w:jc w:val="center"/>
              <w:rPr>
                <w:rFonts w:hint="eastAsia" w:ascii="宋体" w:hAnsi="宋体" w:eastAsia="宋体" w:cs="宋体"/>
                <w:color w:val="auto"/>
                <w:highlight w:val="none"/>
              </w:rPr>
            </w:pPr>
          </w:p>
        </w:tc>
        <w:tc>
          <w:tcPr>
            <w:tcW w:w="870" w:type="dxa"/>
          </w:tcPr>
          <w:p w14:paraId="71EAF681">
            <w:pPr>
              <w:widowControl/>
              <w:spacing w:line="440" w:lineRule="atLeast"/>
              <w:jc w:val="center"/>
              <w:rPr>
                <w:rFonts w:hint="eastAsia" w:ascii="宋体" w:hAnsi="宋体" w:eastAsia="宋体" w:cs="宋体"/>
                <w:color w:val="auto"/>
                <w:highlight w:val="none"/>
              </w:rPr>
            </w:pPr>
          </w:p>
        </w:tc>
        <w:tc>
          <w:tcPr>
            <w:tcW w:w="714" w:type="dxa"/>
          </w:tcPr>
          <w:p w14:paraId="6E32D482">
            <w:pPr>
              <w:widowControl/>
              <w:spacing w:line="440" w:lineRule="atLeast"/>
              <w:jc w:val="center"/>
              <w:rPr>
                <w:rFonts w:hint="eastAsia" w:ascii="宋体" w:hAnsi="宋体" w:eastAsia="宋体" w:cs="宋体"/>
                <w:color w:val="auto"/>
                <w:highlight w:val="none"/>
              </w:rPr>
            </w:pPr>
          </w:p>
        </w:tc>
      </w:tr>
      <w:tr w14:paraId="2C1B6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3" w:type="dxa"/>
          </w:tcPr>
          <w:p w14:paraId="4234C891">
            <w:pPr>
              <w:widowControl/>
              <w:spacing w:line="440" w:lineRule="atLeast"/>
              <w:jc w:val="center"/>
              <w:rPr>
                <w:rFonts w:hint="eastAsia" w:ascii="宋体" w:hAnsi="宋体" w:eastAsia="宋体" w:cs="宋体"/>
                <w:color w:val="auto"/>
                <w:highlight w:val="none"/>
              </w:rPr>
            </w:pPr>
          </w:p>
        </w:tc>
        <w:tc>
          <w:tcPr>
            <w:tcW w:w="990" w:type="dxa"/>
          </w:tcPr>
          <w:p w14:paraId="61EBC1DC">
            <w:pPr>
              <w:widowControl/>
              <w:spacing w:line="440" w:lineRule="atLeast"/>
              <w:jc w:val="center"/>
              <w:rPr>
                <w:rFonts w:hint="eastAsia" w:ascii="宋体" w:hAnsi="宋体" w:eastAsia="宋体" w:cs="宋体"/>
                <w:color w:val="auto"/>
                <w:highlight w:val="none"/>
              </w:rPr>
            </w:pPr>
          </w:p>
        </w:tc>
        <w:tc>
          <w:tcPr>
            <w:tcW w:w="1020" w:type="dxa"/>
          </w:tcPr>
          <w:p w14:paraId="57D70DFE">
            <w:pPr>
              <w:widowControl/>
              <w:spacing w:line="440" w:lineRule="atLeast"/>
              <w:jc w:val="center"/>
              <w:rPr>
                <w:rFonts w:hint="eastAsia" w:ascii="宋体" w:hAnsi="宋体" w:eastAsia="宋体" w:cs="宋体"/>
                <w:color w:val="auto"/>
                <w:highlight w:val="none"/>
              </w:rPr>
            </w:pPr>
          </w:p>
        </w:tc>
        <w:tc>
          <w:tcPr>
            <w:tcW w:w="720" w:type="dxa"/>
          </w:tcPr>
          <w:p w14:paraId="058B1E18">
            <w:pPr>
              <w:widowControl/>
              <w:spacing w:line="440" w:lineRule="atLeast"/>
              <w:jc w:val="center"/>
              <w:rPr>
                <w:rFonts w:hint="eastAsia" w:ascii="宋体" w:hAnsi="宋体" w:eastAsia="宋体" w:cs="宋体"/>
                <w:color w:val="auto"/>
                <w:highlight w:val="none"/>
              </w:rPr>
            </w:pPr>
          </w:p>
        </w:tc>
        <w:tc>
          <w:tcPr>
            <w:tcW w:w="871" w:type="dxa"/>
          </w:tcPr>
          <w:p w14:paraId="41A16976">
            <w:pPr>
              <w:widowControl/>
              <w:spacing w:line="440" w:lineRule="atLeast"/>
              <w:jc w:val="center"/>
              <w:rPr>
                <w:rFonts w:hint="eastAsia" w:ascii="宋体" w:hAnsi="宋体" w:eastAsia="宋体" w:cs="宋体"/>
                <w:color w:val="auto"/>
                <w:highlight w:val="none"/>
              </w:rPr>
            </w:pPr>
          </w:p>
        </w:tc>
        <w:tc>
          <w:tcPr>
            <w:tcW w:w="1134" w:type="dxa"/>
          </w:tcPr>
          <w:p w14:paraId="2BCE10AD">
            <w:pPr>
              <w:widowControl/>
              <w:spacing w:line="440" w:lineRule="atLeast"/>
              <w:jc w:val="center"/>
              <w:rPr>
                <w:rFonts w:hint="eastAsia" w:ascii="宋体" w:hAnsi="宋体" w:eastAsia="宋体" w:cs="宋体"/>
                <w:color w:val="auto"/>
                <w:highlight w:val="none"/>
              </w:rPr>
            </w:pPr>
          </w:p>
        </w:tc>
        <w:tc>
          <w:tcPr>
            <w:tcW w:w="1130" w:type="dxa"/>
          </w:tcPr>
          <w:p w14:paraId="5417375D">
            <w:pPr>
              <w:widowControl/>
              <w:spacing w:line="440" w:lineRule="atLeast"/>
              <w:jc w:val="center"/>
              <w:rPr>
                <w:rFonts w:hint="eastAsia" w:ascii="宋体" w:hAnsi="宋体" w:eastAsia="宋体" w:cs="宋体"/>
                <w:color w:val="auto"/>
                <w:highlight w:val="none"/>
              </w:rPr>
            </w:pPr>
          </w:p>
        </w:tc>
        <w:tc>
          <w:tcPr>
            <w:tcW w:w="870" w:type="dxa"/>
          </w:tcPr>
          <w:p w14:paraId="50857A66">
            <w:pPr>
              <w:widowControl/>
              <w:spacing w:line="440" w:lineRule="atLeast"/>
              <w:jc w:val="center"/>
              <w:rPr>
                <w:rFonts w:hint="eastAsia" w:ascii="宋体" w:hAnsi="宋体" w:eastAsia="宋体" w:cs="宋体"/>
                <w:color w:val="auto"/>
                <w:highlight w:val="none"/>
              </w:rPr>
            </w:pPr>
          </w:p>
        </w:tc>
        <w:tc>
          <w:tcPr>
            <w:tcW w:w="714" w:type="dxa"/>
          </w:tcPr>
          <w:p w14:paraId="12D7C891">
            <w:pPr>
              <w:widowControl/>
              <w:spacing w:line="440" w:lineRule="atLeast"/>
              <w:jc w:val="center"/>
              <w:rPr>
                <w:rFonts w:hint="eastAsia" w:ascii="宋体" w:hAnsi="宋体" w:eastAsia="宋体" w:cs="宋体"/>
                <w:color w:val="auto"/>
                <w:highlight w:val="none"/>
              </w:rPr>
            </w:pPr>
          </w:p>
        </w:tc>
      </w:tr>
      <w:tr w14:paraId="499D6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3" w:type="dxa"/>
          </w:tcPr>
          <w:p w14:paraId="46EE49AF">
            <w:pPr>
              <w:widowControl/>
              <w:spacing w:line="440" w:lineRule="atLeast"/>
              <w:jc w:val="center"/>
              <w:rPr>
                <w:rFonts w:hint="eastAsia" w:ascii="宋体" w:hAnsi="宋体" w:eastAsia="宋体" w:cs="宋体"/>
                <w:color w:val="auto"/>
                <w:highlight w:val="none"/>
              </w:rPr>
            </w:pPr>
          </w:p>
        </w:tc>
        <w:tc>
          <w:tcPr>
            <w:tcW w:w="990" w:type="dxa"/>
          </w:tcPr>
          <w:p w14:paraId="4F904AF8">
            <w:pPr>
              <w:widowControl/>
              <w:spacing w:line="440" w:lineRule="atLeast"/>
              <w:jc w:val="center"/>
              <w:rPr>
                <w:rFonts w:hint="eastAsia" w:ascii="宋体" w:hAnsi="宋体" w:eastAsia="宋体" w:cs="宋体"/>
                <w:color w:val="auto"/>
                <w:highlight w:val="none"/>
              </w:rPr>
            </w:pPr>
          </w:p>
        </w:tc>
        <w:tc>
          <w:tcPr>
            <w:tcW w:w="1020" w:type="dxa"/>
          </w:tcPr>
          <w:p w14:paraId="765F71EE">
            <w:pPr>
              <w:widowControl/>
              <w:spacing w:line="440" w:lineRule="atLeast"/>
              <w:jc w:val="center"/>
              <w:rPr>
                <w:rFonts w:hint="eastAsia" w:ascii="宋体" w:hAnsi="宋体" w:eastAsia="宋体" w:cs="宋体"/>
                <w:color w:val="auto"/>
                <w:highlight w:val="none"/>
              </w:rPr>
            </w:pPr>
          </w:p>
        </w:tc>
        <w:tc>
          <w:tcPr>
            <w:tcW w:w="720" w:type="dxa"/>
          </w:tcPr>
          <w:p w14:paraId="7EFBA0C0">
            <w:pPr>
              <w:widowControl/>
              <w:spacing w:line="440" w:lineRule="atLeast"/>
              <w:jc w:val="center"/>
              <w:rPr>
                <w:rFonts w:hint="eastAsia" w:ascii="宋体" w:hAnsi="宋体" w:eastAsia="宋体" w:cs="宋体"/>
                <w:color w:val="auto"/>
                <w:highlight w:val="none"/>
              </w:rPr>
            </w:pPr>
          </w:p>
        </w:tc>
        <w:tc>
          <w:tcPr>
            <w:tcW w:w="871" w:type="dxa"/>
          </w:tcPr>
          <w:p w14:paraId="5E6E42DA">
            <w:pPr>
              <w:widowControl/>
              <w:spacing w:line="440" w:lineRule="atLeast"/>
              <w:jc w:val="center"/>
              <w:rPr>
                <w:rFonts w:hint="eastAsia" w:ascii="宋体" w:hAnsi="宋体" w:eastAsia="宋体" w:cs="宋体"/>
                <w:color w:val="auto"/>
                <w:highlight w:val="none"/>
              </w:rPr>
            </w:pPr>
          </w:p>
        </w:tc>
        <w:tc>
          <w:tcPr>
            <w:tcW w:w="1134" w:type="dxa"/>
          </w:tcPr>
          <w:p w14:paraId="04644F8A">
            <w:pPr>
              <w:widowControl/>
              <w:spacing w:line="440" w:lineRule="atLeast"/>
              <w:jc w:val="center"/>
              <w:rPr>
                <w:rFonts w:hint="eastAsia" w:ascii="宋体" w:hAnsi="宋体" w:eastAsia="宋体" w:cs="宋体"/>
                <w:color w:val="auto"/>
                <w:highlight w:val="none"/>
              </w:rPr>
            </w:pPr>
          </w:p>
        </w:tc>
        <w:tc>
          <w:tcPr>
            <w:tcW w:w="1130" w:type="dxa"/>
          </w:tcPr>
          <w:p w14:paraId="352892CF">
            <w:pPr>
              <w:widowControl/>
              <w:spacing w:line="440" w:lineRule="atLeast"/>
              <w:jc w:val="center"/>
              <w:rPr>
                <w:rFonts w:hint="eastAsia" w:ascii="宋体" w:hAnsi="宋体" w:eastAsia="宋体" w:cs="宋体"/>
                <w:color w:val="auto"/>
                <w:highlight w:val="none"/>
              </w:rPr>
            </w:pPr>
          </w:p>
        </w:tc>
        <w:tc>
          <w:tcPr>
            <w:tcW w:w="870" w:type="dxa"/>
          </w:tcPr>
          <w:p w14:paraId="3CC46D85">
            <w:pPr>
              <w:widowControl/>
              <w:spacing w:line="440" w:lineRule="atLeast"/>
              <w:jc w:val="center"/>
              <w:rPr>
                <w:rFonts w:hint="eastAsia" w:ascii="宋体" w:hAnsi="宋体" w:eastAsia="宋体" w:cs="宋体"/>
                <w:color w:val="auto"/>
                <w:highlight w:val="none"/>
              </w:rPr>
            </w:pPr>
          </w:p>
        </w:tc>
        <w:tc>
          <w:tcPr>
            <w:tcW w:w="714" w:type="dxa"/>
          </w:tcPr>
          <w:p w14:paraId="4617D5CA">
            <w:pPr>
              <w:widowControl/>
              <w:spacing w:line="440" w:lineRule="atLeast"/>
              <w:jc w:val="center"/>
              <w:rPr>
                <w:rFonts w:hint="eastAsia" w:ascii="宋体" w:hAnsi="宋体" w:eastAsia="宋体" w:cs="宋体"/>
                <w:color w:val="auto"/>
                <w:highlight w:val="none"/>
              </w:rPr>
            </w:pPr>
          </w:p>
        </w:tc>
      </w:tr>
      <w:tr w14:paraId="2CC3C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3" w:type="dxa"/>
          </w:tcPr>
          <w:p w14:paraId="15A5B86A">
            <w:pPr>
              <w:widowControl/>
              <w:spacing w:line="440" w:lineRule="atLeast"/>
              <w:jc w:val="center"/>
              <w:rPr>
                <w:rFonts w:hint="eastAsia" w:ascii="宋体" w:hAnsi="宋体" w:eastAsia="宋体" w:cs="宋体"/>
                <w:color w:val="auto"/>
                <w:highlight w:val="none"/>
              </w:rPr>
            </w:pPr>
          </w:p>
        </w:tc>
        <w:tc>
          <w:tcPr>
            <w:tcW w:w="990" w:type="dxa"/>
          </w:tcPr>
          <w:p w14:paraId="09FDBCAB">
            <w:pPr>
              <w:widowControl/>
              <w:spacing w:line="440" w:lineRule="atLeast"/>
              <w:jc w:val="center"/>
              <w:rPr>
                <w:rFonts w:hint="eastAsia" w:ascii="宋体" w:hAnsi="宋体" w:eastAsia="宋体" w:cs="宋体"/>
                <w:color w:val="auto"/>
                <w:highlight w:val="none"/>
              </w:rPr>
            </w:pPr>
          </w:p>
        </w:tc>
        <w:tc>
          <w:tcPr>
            <w:tcW w:w="1020" w:type="dxa"/>
          </w:tcPr>
          <w:p w14:paraId="00274487">
            <w:pPr>
              <w:widowControl/>
              <w:spacing w:line="440" w:lineRule="atLeast"/>
              <w:jc w:val="center"/>
              <w:rPr>
                <w:rFonts w:hint="eastAsia" w:ascii="宋体" w:hAnsi="宋体" w:eastAsia="宋体" w:cs="宋体"/>
                <w:color w:val="auto"/>
                <w:highlight w:val="none"/>
              </w:rPr>
            </w:pPr>
          </w:p>
        </w:tc>
        <w:tc>
          <w:tcPr>
            <w:tcW w:w="720" w:type="dxa"/>
          </w:tcPr>
          <w:p w14:paraId="4A97DDB5">
            <w:pPr>
              <w:widowControl/>
              <w:spacing w:line="440" w:lineRule="atLeast"/>
              <w:jc w:val="center"/>
              <w:rPr>
                <w:rFonts w:hint="eastAsia" w:ascii="宋体" w:hAnsi="宋体" w:eastAsia="宋体" w:cs="宋体"/>
                <w:color w:val="auto"/>
                <w:highlight w:val="none"/>
              </w:rPr>
            </w:pPr>
          </w:p>
        </w:tc>
        <w:tc>
          <w:tcPr>
            <w:tcW w:w="871" w:type="dxa"/>
          </w:tcPr>
          <w:p w14:paraId="6C19F77B">
            <w:pPr>
              <w:widowControl/>
              <w:spacing w:line="440" w:lineRule="atLeast"/>
              <w:jc w:val="center"/>
              <w:rPr>
                <w:rFonts w:hint="eastAsia" w:ascii="宋体" w:hAnsi="宋体" w:eastAsia="宋体" w:cs="宋体"/>
                <w:color w:val="auto"/>
                <w:highlight w:val="none"/>
              </w:rPr>
            </w:pPr>
          </w:p>
        </w:tc>
        <w:tc>
          <w:tcPr>
            <w:tcW w:w="1134" w:type="dxa"/>
          </w:tcPr>
          <w:p w14:paraId="1CAE050A">
            <w:pPr>
              <w:widowControl/>
              <w:spacing w:line="440" w:lineRule="atLeast"/>
              <w:jc w:val="center"/>
              <w:rPr>
                <w:rFonts w:hint="eastAsia" w:ascii="宋体" w:hAnsi="宋体" w:eastAsia="宋体" w:cs="宋体"/>
                <w:color w:val="auto"/>
                <w:highlight w:val="none"/>
              </w:rPr>
            </w:pPr>
          </w:p>
        </w:tc>
        <w:tc>
          <w:tcPr>
            <w:tcW w:w="1130" w:type="dxa"/>
          </w:tcPr>
          <w:p w14:paraId="232529C0">
            <w:pPr>
              <w:widowControl/>
              <w:spacing w:line="440" w:lineRule="atLeast"/>
              <w:jc w:val="center"/>
              <w:rPr>
                <w:rFonts w:hint="eastAsia" w:ascii="宋体" w:hAnsi="宋体" w:eastAsia="宋体" w:cs="宋体"/>
                <w:color w:val="auto"/>
                <w:highlight w:val="none"/>
              </w:rPr>
            </w:pPr>
          </w:p>
        </w:tc>
        <w:tc>
          <w:tcPr>
            <w:tcW w:w="870" w:type="dxa"/>
          </w:tcPr>
          <w:p w14:paraId="710645A9">
            <w:pPr>
              <w:widowControl/>
              <w:spacing w:line="440" w:lineRule="atLeast"/>
              <w:jc w:val="center"/>
              <w:rPr>
                <w:rFonts w:hint="eastAsia" w:ascii="宋体" w:hAnsi="宋体" w:eastAsia="宋体" w:cs="宋体"/>
                <w:color w:val="auto"/>
                <w:highlight w:val="none"/>
              </w:rPr>
            </w:pPr>
          </w:p>
        </w:tc>
        <w:tc>
          <w:tcPr>
            <w:tcW w:w="714" w:type="dxa"/>
          </w:tcPr>
          <w:p w14:paraId="218B979F">
            <w:pPr>
              <w:widowControl/>
              <w:spacing w:line="440" w:lineRule="atLeast"/>
              <w:jc w:val="center"/>
              <w:rPr>
                <w:rFonts w:hint="eastAsia" w:ascii="宋体" w:hAnsi="宋体" w:eastAsia="宋体" w:cs="宋体"/>
                <w:color w:val="auto"/>
                <w:highlight w:val="none"/>
              </w:rPr>
            </w:pPr>
          </w:p>
        </w:tc>
      </w:tr>
      <w:tr w14:paraId="2EA66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3" w:type="dxa"/>
          </w:tcPr>
          <w:p w14:paraId="00CB038B">
            <w:pPr>
              <w:widowControl/>
              <w:spacing w:line="440" w:lineRule="atLeast"/>
              <w:jc w:val="center"/>
              <w:rPr>
                <w:rFonts w:hint="eastAsia" w:ascii="宋体" w:hAnsi="宋体" w:eastAsia="宋体" w:cs="宋体"/>
                <w:color w:val="auto"/>
                <w:highlight w:val="none"/>
              </w:rPr>
            </w:pPr>
          </w:p>
        </w:tc>
        <w:tc>
          <w:tcPr>
            <w:tcW w:w="990" w:type="dxa"/>
          </w:tcPr>
          <w:p w14:paraId="1612586F">
            <w:pPr>
              <w:widowControl/>
              <w:spacing w:line="440" w:lineRule="atLeast"/>
              <w:jc w:val="center"/>
              <w:rPr>
                <w:rFonts w:hint="eastAsia" w:ascii="宋体" w:hAnsi="宋体" w:eastAsia="宋体" w:cs="宋体"/>
                <w:color w:val="auto"/>
                <w:highlight w:val="none"/>
              </w:rPr>
            </w:pPr>
          </w:p>
        </w:tc>
        <w:tc>
          <w:tcPr>
            <w:tcW w:w="1020" w:type="dxa"/>
          </w:tcPr>
          <w:p w14:paraId="1CE57747">
            <w:pPr>
              <w:widowControl/>
              <w:spacing w:line="440" w:lineRule="atLeast"/>
              <w:jc w:val="center"/>
              <w:rPr>
                <w:rFonts w:hint="eastAsia" w:ascii="宋体" w:hAnsi="宋体" w:eastAsia="宋体" w:cs="宋体"/>
                <w:color w:val="auto"/>
                <w:highlight w:val="none"/>
              </w:rPr>
            </w:pPr>
          </w:p>
        </w:tc>
        <w:tc>
          <w:tcPr>
            <w:tcW w:w="720" w:type="dxa"/>
          </w:tcPr>
          <w:p w14:paraId="429016EA">
            <w:pPr>
              <w:widowControl/>
              <w:spacing w:line="440" w:lineRule="atLeast"/>
              <w:jc w:val="center"/>
              <w:rPr>
                <w:rFonts w:hint="eastAsia" w:ascii="宋体" w:hAnsi="宋体" w:eastAsia="宋体" w:cs="宋体"/>
                <w:color w:val="auto"/>
                <w:highlight w:val="none"/>
              </w:rPr>
            </w:pPr>
          </w:p>
        </w:tc>
        <w:tc>
          <w:tcPr>
            <w:tcW w:w="871" w:type="dxa"/>
          </w:tcPr>
          <w:p w14:paraId="2E143EF1">
            <w:pPr>
              <w:widowControl/>
              <w:spacing w:line="440" w:lineRule="atLeast"/>
              <w:jc w:val="center"/>
              <w:rPr>
                <w:rFonts w:hint="eastAsia" w:ascii="宋体" w:hAnsi="宋体" w:eastAsia="宋体" w:cs="宋体"/>
                <w:color w:val="auto"/>
                <w:highlight w:val="none"/>
              </w:rPr>
            </w:pPr>
          </w:p>
        </w:tc>
        <w:tc>
          <w:tcPr>
            <w:tcW w:w="1134" w:type="dxa"/>
          </w:tcPr>
          <w:p w14:paraId="5B27CC4D">
            <w:pPr>
              <w:widowControl/>
              <w:spacing w:line="440" w:lineRule="atLeast"/>
              <w:jc w:val="center"/>
              <w:rPr>
                <w:rFonts w:hint="eastAsia" w:ascii="宋体" w:hAnsi="宋体" w:eastAsia="宋体" w:cs="宋体"/>
                <w:color w:val="auto"/>
                <w:highlight w:val="none"/>
              </w:rPr>
            </w:pPr>
          </w:p>
        </w:tc>
        <w:tc>
          <w:tcPr>
            <w:tcW w:w="1130" w:type="dxa"/>
          </w:tcPr>
          <w:p w14:paraId="2BD09C23">
            <w:pPr>
              <w:widowControl/>
              <w:spacing w:line="440" w:lineRule="atLeast"/>
              <w:jc w:val="center"/>
              <w:rPr>
                <w:rFonts w:hint="eastAsia" w:ascii="宋体" w:hAnsi="宋体" w:eastAsia="宋体" w:cs="宋体"/>
                <w:color w:val="auto"/>
                <w:highlight w:val="none"/>
              </w:rPr>
            </w:pPr>
          </w:p>
        </w:tc>
        <w:tc>
          <w:tcPr>
            <w:tcW w:w="870" w:type="dxa"/>
          </w:tcPr>
          <w:p w14:paraId="60011D81">
            <w:pPr>
              <w:widowControl/>
              <w:spacing w:line="440" w:lineRule="atLeast"/>
              <w:jc w:val="center"/>
              <w:rPr>
                <w:rFonts w:hint="eastAsia" w:ascii="宋体" w:hAnsi="宋体" w:eastAsia="宋体" w:cs="宋体"/>
                <w:color w:val="auto"/>
                <w:highlight w:val="none"/>
              </w:rPr>
            </w:pPr>
          </w:p>
        </w:tc>
        <w:tc>
          <w:tcPr>
            <w:tcW w:w="714" w:type="dxa"/>
          </w:tcPr>
          <w:p w14:paraId="34015109">
            <w:pPr>
              <w:widowControl/>
              <w:spacing w:line="440" w:lineRule="atLeast"/>
              <w:jc w:val="center"/>
              <w:rPr>
                <w:rFonts w:hint="eastAsia" w:ascii="宋体" w:hAnsi="宋体" w:eastAsia="宋体" w:cs="宋体"/>
                <w:color w:val="auto"/>
                <w:highlight w:val="none"/>
              </w:rPr>
            </w:pPr>
          </w:p>
        </w:tc>
      </w:tr>
      <w:tr w14:paraId="30C94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3" w:type="dxa"/>
          </w:tcPr>
          <w:p w14:paraId="77E5A99C">
            <w:pPr>
              <w:widowControl/>
              <w:spacing w:line="440" w:lineRule="atLeast"/>
              <w:jc w:val="center"/>
              <w:rPr>
                <w:rFonts w:hint="eastAsia" w:ascii="宋体" w:hAnsi="宋体" w:eastAsia="宋体" w:cs="宋体"/>
                <w:color w:val="auto"/>
                <w:highlight w:val="none"/>
              </w:rPr>
            </w:pPr>
          </w:p>
        </w:tc>
        <w:tc>
          <w:tcPr>
            <w:tcW w:w="990" w:type="dxa"/>
          </w:tcPr>
          <w:p w14:paraId="2B69CDE1">
            <w:pPr>
              <w:widowControl/>
              <w:spacing w:line="440" w:lineRule="atLeast"/>
              <w:jc w:val="center"/>
              <w:rPr>
                <w:rFonts w:hint="eastAsia" w:ascii="宋体" w:hAnsi="宋体" w:eastAsia="宋体" w:cs="宋体"/>
                <w:color w:val="auto"/>
                <w:highlight w:val="none"/>
              </w:rPr>
            </w:pPr>
          </w:p>
        </w:tc>
        <w:tc>
          <w:tcPr>
            <w:tcW w:w="1020" w:type="dxa"/>
          </w:tcPr>
          <w:p w14:paraId="43234E0D">
            <w:pPr>
              <w:widowControl/>
              <w:spacing w:line="440" w:lineRule="atLeast"/>
              <w:jc w:val="center"/>
              <w:rPr>
                <w:rFonts w:hint="eastAsia" w:ascii="宋体" w:hAnsi="宋体" w:eastAsia="宋体" w:cs="宋体"/>
                <w:color w:val="auto"/>
                <w:highlight w:val="none"/>
              </w:rPr>
            </w:pPr>
          </w:p>
        </w:tc>
        <w:tc>
          <w:tcPr>
            <w:tcW w:w="720" w:type="dxa"/>
          </w:tcPr>
          <w:p w14:paraId="35EF0B5F">
            <w:pPr>
              <w:widowControl/>
              <w:spacing w:line="440" w:lineRule="atLeast"/>
              <w:jc w:val="center"/>
              <w:rPr>
                <w:rFonts w:hint="eastAsia" w:ascii="宋体" w:hAnsi="宋体" w:eastAsia="宋体" w:cs="宋体"/>
                <w:color w:val="auto"/>
                <w:highlight w:val="none"/>
              </w:rPr>
            </w:pPr>
          </w:p>
        </w:tc>
        <w:tc>
          <w:tcPr>
            <w:tcW w:w="871" w:type="dxa"/>
          </w:tcPr>
          <w:p w14:paraId="70D53B19">
            <w:pPr>
              <w:widowControl/>
              <w:spacing w:line="440" w:lineRule="atLeast"/>
              <w:jc w:val="center"/>
              <w:rPr>
                <w:rFonts w:hint="eastAsia" w:ascii="宋体" w:hAnsi="宋体" w:eastAsia="宋体" w:cs="宋体"/>
                <w:color w:val="auto"/>
                <w:highlight w:val="none"/>
              </w:rPr>
            </w:pPr>
          </w:p>
        </w:tc>
        <w:tc>
          <w:tcPr>
            <w:tcW w:w="1134" w:type="dxa"/>
          </w:tcPr>
          <w:p w14:paraId="5B9F8752">
            <w:pPr>
              <w:widowControl/>
              <w:spacing w:line="440" w:lineRule="atLeast"/>
              <w:jc w:val="center"/>
              <w:rPr>
                <w:rFonts w:hint="eastAsia" w:ascii="宋体" w:hAnsi="宋体" w:eastAsia="宋体" w:cs="宋体"/>
                <w:color w:val="auto"/>
                <w:highlight w:val="none"/>
              </w:rPr>
            </w:pPr>
          </w:p>
        </w:tc>
        <w:tc>
          <w:tcPr>
            <w:tcW w:w="1130" w:type="dxa"/>
          </w:tcPr>
          <w:p w14:paraId="5C837299">
            <w:pPr>
              <w:widowControl/>
              <w:spacing w:line="440" w:lineRule="atLeast"/>
              <w:jc w:val="center"/>
              <w:rPr>
                <w:rFonts w:hint="eastAsia" w:ascii="宋体" w:hAnsi="宋体" w:eastAsia="宋体" w:cs="宋体"/>
                <w:color w:val="auto"/>
                <w:highlight w:val="none"/>
              </w:rPr>
            </w:pPr>
          </w:p>
        </w:tc>
        <w:tc>
          <w:tcPr>
            <w:tcW w:w="870" w:type="dxa"/>
          </w:tcPr>
          <w:p w14:paraId="2E63766A">
            <w:pPr>
              <w:widowControl/>
              <w:spacing w:line="440" w:lineRule="atLeast"/>
              <w:jc w:val="center"/>
              <w:rPr>
                <w:rFonts w:hint="eastAsia" w:ascii="宋体" w:hAnsi="宋体" w:eastAsia="宋体" w:cs="宋体"/>
                <w:color w:val="auto"/>
                <w:highlight w:val="none"/>
              </w:rPr>
            </w:pPr>
          </w:p>
        </w:tc>
        <w:tc>
          <w:tcPr>
            <w:tcW w:w="714" w:type="dxa"/>
          </w:tcPr>
          <w:p w14:paraId="2F7FC5FB">
            <w:pPr>
              <w:widowControl/>
              <w:spacing w:line="440" w:lineRule="atLeast"/>
              <w:jc w:val="center"/>
              <w:rPr>
                <w:rFonts w:hint="eastAsia" w:ascii="宋体" w:hAnsi="宋体" w:eastAsia="宋体" w:cs="宋体"/>
                <w:color w:val="auto"/>
                <w:highlight w:val="none"/>
              </w:rPr>
            </w:pPr>
          </w:p>
        </w:tc>
      </w:tr>
      <w:tr w14:paraId="3F281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3" w:type="dxa"/>
          </w:tcPr>
          <w:p w14:paraId="4A1C1490">
            <w:pPr>
              <w:widowControl/>
              <w:spacing w:line="440" w:lineRule="atLeast"/>
              <w:jc w:val="center"/>
              <w:rPr>
                <w:rFonts w:hint="eastAsia" w:ascii="宋体" w:hAnsi="宋体" w:eastAsia="宋体" w:cs="宋体"/>
                <w:color w:val="auto"/>
                <w:highlight w:val="none"/>
              </w:rPr>
            </w:pPr>
          </w:p>
        </w:tc>
        <w:tc>
          <w:tcPr>
            <w:tcW w:w="990" w:type="dxa"/>
          </w:tcPr>
          <w:p w14:paraId="5026188B">
            <w:pPr>
              <w:widowControl/>
              <w:spacing w:line="440" w:lineRule="atLeast"/>
              <w:jc w:val="center"/>
              <w:rPr>
                <w:rFonts w:hint="eastAsia" w:ascii="宋体" w:hAnsi="宋体" w:eastAsia="宋体" w:cs="宋体"/>
                <w:color w:val="auto"/>
                <w:highlight w:val="none"/>
              </w:rPr>
            </w:pPr>
          </w:p>
        </w:tc>
        <w:tc>
          <w:tcPr>
            <w:tcW w:w="1020" w:type="dxa"/>
          </w:tcPr>
          <w:p w14:paraId="6CA38AFA">
            <w:pPr>
              <w:widowControl/>
              <w:spacing w:line="440" w:lineRule="atLeast"/>
              <w:jc w:val="center"/>
              <w:rPr>
                <w:rFonts w:hint="eastAsia" w:ascii="宋体" w:hAnsi="宋体" w:eastAsia="宋体" w:cs="宋体"/>
                <w:color w:val="auto"/>
                <w:highlight w:val="none"/>
              </w:rPr>
            </w:pPr>
          </w:p>
        </w:tc>
        <w:tc>
          <w:tcPr>
            <w:tcW w:w="720" w:type="dxa"/>
          </w:tcPr>
          <w:p w14:paraId="4C3985A1">
            <w:pPr>
              <w:widowControl/>
              <w:spacing w:line="440" w:lineRule="atLeast"/>
              <w:jc w:val="center"/>
              <w:rPr>
                <w:rFonts w:hint="eastAsia" w:ascii="宋体" w:hAnsi="宋体" w:eastAsia="宋体" w:cs="宋体"/>
                <w:color w:val="auto"/>
                <w:highlight w:val="none"/>
              </w:rPr>
            </w:pPr>
          </w:p>
        </w:tc>
        <w:tc>
          <w:tcPr>
            <w:tcW w:w="871" w:type="dxa"/>
          </w:tcPr>
          <w:p w14:paraId="5C6481CB">
            <w:pPr>
              <w:widowControl/>
              <w:spacing w:line="440" w:lineRule="atLeast"/>
              <w:jc w:val="center"/>
              <w:rPr>
                <w:rFonts w:hint="eastAsia" w:ascii="宋体" w:hAnsi="宋体" w:eastAsia="宋体" w:cs="宋体"/>
                <w:color w:val="auto"/>
                <w:highlight w:val="none"/>
              </w:rPr>
            </w:pPr>
          </w:p>
        </w:tc>
        <w:tc>
          <w:tcPr>
            <w:tcW w:w="1134" w:type="dxa"/>
          </w:tcPr>
          <w:p w14:paraId="5BFFCB8C">
            <w:pPr>
              <w:widowControl/>
              <w:spacing w:line="440" w:lineRule="atLeast"/>
              <w:jc w:val="center"/>
              <w:rPr>
                <w:rFonts w:hint="eastAsia" w:ascii="宋体" w:hAnsi="宋体" w:eastAsia="宋体" w:cs="宋体"/>
                <w:color w:val="auto"/>
                <w:highlight w:val="none"/>
              </w:rPr>
            </w:pPr>
          </w:p>
        </w:tc>
        <w:tc>
          <w:tcPr>
            <w:tcW w:w="1130" w:type="dxa"/>
          </w:tcPr>
          <w:p w14:paraId="1C4BA2B9">
            <w:pPr>
              <w:widowControl/>
              <w:spacing w:line="440" w:lineRule="atLeast"/>
              <w:jc w:val="center"/>
              <w:rPr>
                <w:rFonts w:hint="eastAsia" w:ascii="宋体" w:hAnsi="宋体" w:eastAsia="宋体" w:cs="宋体"/>
                <w:color w:val="auto"/>
                <w:highlight w:val="none"/>
              </w:rPr>
            </w:pPr>
          </w:p>
        </w:tc>
        <w:tc>
          <w:tcPr>
            <w:tcW w:w="870" w:type="dxa"/>
          </w:tcPr>
          <w:p w14:paraId="6CD532A0">
            <w:pPr>
              <w:widowControl/>
              <w:spacing w:line="440" w:lineRule="atLeast"/>
              <w:jc w:val="center"/>
              <w:rPr>
                <w:rFonts w:hint="eastAsia" w:ascii="宋体" w:hAnsi="宋体" w:eastAsia="宋体" w:cs="宋体"/>
                <w:color w:val="auto"/>
                <w:highlight w:val="none"/>
              </w:rPr>
            </w:pPr>
          </w:p>
        </w:tc>
        <w:tc>
          <w:tcPr>
            <w:tcW w:w="714" w:type="dxa"/>
          </w:tcPr>
          <w:p w14:paraId="5393BF59">
            <w:pPr>
              <w:widowControl/>
              <w:spacing w:line="440" w:lineRule="atLeast"/>
              <w:jc w:val="center"/>
              <w:rPr>
                <w:rFonts w:hint="eastAsia" w:ascii="宋体" w:hAnsi="宋体" w:eastAsia="宋体" w:cs="宋体"/>
                <w:color w:val="auto"/>
                <w:highlight w:val="none"/>
              </w:rPr>
            </w:pPr>
          </w:p>
        </w:tc>
      </w:tr>
      <w:tr w14:paraId="79FC3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3" w:type="dxa"/>
          </w:tcPr>
          <w:p w14:paraId="0E1E3D6E">
            <w:pPr>
              <w:widowControl/>
              <w:spacing w:line="440" w:lineRule="atLeast"/>
              <w:jc w:val="center"/>
              <w:rPr>
                <w:rFonts w:hint="eastAsia" w:ascii="宋体" w:hAnsi="宋体" w:eastAsia="宋体" w:cs="宋体"/>
                <w:color w:val="auto"/>
                <w:highlight w:val="none"/>
              </w:rPr>
            </w:pPr>
          </w:p>
        </w:tc>
        <w:tc>
          <w:tcPr>
            <w:tcW w:w="990" w:type="dxa"/>
          </w:tcPr>
          <w:p w14:paraId="4C049AD5">
            <w:pPr>
              <w:widowControl/>
              <w:spacing w:line="440" w:lineRule="atLeast"/>
              <w:jc w:val="center"/>
              <w:rPr>
                <w:rFonts w:hint="eastAsia" w:ascii="宋体" w:hAnsi="宋体" w:eastAsia="宋体" w:cs="宋体"/>
                <w:color w:val="auto"/>
                <w:highlight w:val="none"/>
              </w:rPr>
            </w:pPr>
          </w:p>
        </w:tc>
        <w:tc>
          <w:tcPr>
            <w:tcW w:w="1020" w:type="dxa"/>
          </w:tcPr>
          <w:p w14:paraId="129421B4">
            <w:pPr>
              <w:widowControl/>
              <w:spacing w:line="440" w:lineRule="atLeast"/>
              <w:jc w:val="center"/>
              <w:rPr>
                <w:rFonts w:hint="eastAsia" w:ascii="宋体" w:hAnsi="宋体" w:eastAsia="宋体" w:cs="宋体"/>
                <w:color w:val="auto"/>
                <w:highlight w:val="none"/>
              </w:rPr>
            </w:pPr>
          </w:p>
        </w:tc>
        <w:tc>
          <w:tcPr>
            <w:tcW w:w="720" w:type="dxa"/>
          </w:tcPr>
          <w:p w14:paraId="0D74BCEA">
            <w:pPr>
              <w:widowControl/>
              <w:spacing w:line="440" w:lineRule="atLeast"/>
              <w:jc w:val="center"/>
              <w:rPr>
                <w:rFonts w:hint="eastAsia" w:ascii="宋体" w:hAnsi="宋体" w:eastAsia="宋体" w:cs="宋体"/>
                <w:color w:val="auto"/>
                <w:highlight w:val="none"/>
              </w:rPr>
            </w:pPr>
          </w:p>
        </w:tc>
        <w:tc>
          <w:tcPr>
            <w:tcW w:w="871" w:type="dxa"/>
          </w:tcPr>
          <w:p w14:paraId="70D5AC79">
            <w:pPr>
              <w:widowControl/>
              <w:spacing w:line="440" w:lineRule="atLeast"/>
              <w:jc w:val="center"/>
              <w:rPr>
                <w:rFonts w:hint="eastAsia" w:ascii="宋体" w:hAnsi="宋体" w:eastAsia="宋体" w:cs="宋体"/>
                <w:color w:val="auto"/>
                <w:highlight w:val="none"/>
              </w:rPr>
            </w:pPr>
          </w:p>
        </w:tc>
        <w:tc>
          <w:tcPr>
            <w:tcW w:w="1134" w:type="dxa"/>
          </w:tcPr>
          <w:p w14:paraId="1E71D0B6">
            <w:pPr>
              <w:widowControl/>
              <w:spacing w:line="440" w:lineRule="atLeast"/>
              <w:jc w:val="center"/>
              <w:rPr>
                <w:rFonts w:hint="eastAsia" w:ascii="宋体" w:hAnsi="宋体" w:eastAsia="宋体" w:cs="宋体"/>
                <w:color w:val="auto"/>
                <w:highlight w:val="none"/>
              </w:rPr>
            </w:pPr>
          </w:p>
        </w:tc>
        <w:tc>
          <w:tcPr>
            <w:tcW w:w="1130" w:type="dxa"/>
          </w:tcPr>
          <w:p w14:paraId="5DC62BA4">
            <w:pPr>
              <w:widowControl/>
              <w:spacing w:line="440" w:lineRule="atLeast"/>
              <w:jc w:val="center"/>
              <w:rPr>
                <w:rFonts w:hint="eastAsia" w:ascii="宋体" w:hAnsi="宋体" w:eastAsia="宋体" w:cs="宋体"/>
                <w:color w:val="auto"/>
                <w:highlight w:val="none"/>
              </w:rPr>
            </w:pPr>
          </w:p>
        </w:tc>
        <w:tc>
          <w:tcPr>
            <w:tcW w:w="870" w:type="dxa"/>
          </w:tcPr>
          <w:p w14:paraId="7CBB785A">
            <w:pPr>
              <w:widowControl/>
              <w:spacing w:line="440" w:lineRule="atLeast"/>
              <w:jc w:val="center"/>
              <w:rPr>
                <w:rFonts w:hint="eastAsia" w:ascii="宋体" w:hAnsi="宋体" w:eastAsia="宋体" w:cs="宋体"/>
                <w:color w:val="auto"/>
                <w:highlight w:val="none"/>
              </w:rPr>
            </w:pPr>
          </w:p>
        </w:tc>
        <w:tc>
          <w:tcPr>
            <w:tcW w:w="714" w:type="dxa"/>
          </w:tcPr>
          <w:p w14:paraId="4B1BB57C">
            <w:pPr>
              <w:widowControl/>
              <w:spacing w:line="440" w:lineRule="atLeast"/>
              <w:jc w:val="center"/>
              <w:rPr>
                <w:rFonts w:hint="eastAsia" w:ascii="宋体" w:hAnsi="宋体" w:eastAsia="宋体" w:cs="宋体"/>
                <w:color w:val="auto"/>
                <w:highlight w:val="none"/>
              </w:rPr>
            </w:pPr>
          </w:p>
        </w:tc>
      </w:tr>
      <w:tr w14:paraId="71EAC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3" w:type="dxa"/>
          </w:tcPr>
          <w:p w14:paraId="5F9F16D9">
            <w:pPr>
              <w:widowControl/>
              <w:spacing w:line="440" w:lineRule="atLeast"/>
              <w:jc w:val="center"/>
              <w:rPr>
                <w:rFonts w:hint="eastAsia" w:ascii="宋体" w:hAnsi="宋体" w:eastAsia="宋体" w:cs="宋体"/>
                <w:color w:val="auto"/>
                <w:highlight w:val="none"/>
              </w:rPr>
            </w:pPr>
          </w:p>
        </w:tc>
        <w:tc>
          <w:tcPr>
            <w:tcW w:w="990" w:type="dxa"/>
          </w:tcPr>
          <w:p w14:paraId="6392AB21">
            <w:pPr>
              <w:widowControl/>
              <w:spacing w:line="440" w:lineRule="atLeast"/>
              <w:jc w:val="center"/>
              <w:rPr>
                <w:rFonts w:hint="eastAsia" w:ascii="宋体" w:hAnsi="宋体" w:eastAsia="宋体" w:cs="宋体"/>
                <w:color w:val="auto"/>
                <w:highlight w:val="none"/>
              </w:rPr>
            </w:pPr>
          </w:p>
        </w:tc>
        <w:tc>
          <w:tcPr>
            <w:tcW w:w="1020" w:type="dxa"/>
          </w:tcPr>
          <w:p w14:paraId="0A7A4A59">
            <w:pPr>
              <w:widowControl/>
              <w:spacing w:line="440" w:lineRule="atLeast"/>
              <w:jc w:val="center"/>
              <w:rPr>
                <w:rFonts w:hint="eastAsia" w:ascii="宋体" w:hAnsi="宋体" w:eastAsia="宋体" w:cs="宋体"/>
                <w:color w:val="auto"/>
                <w:highlight w:val="none"/>
              </w:rPr>
            </w:pPr>
          </w:p>
        </w:tc>
        <w:tc>
          <w:tcPr>
            <w:tcW w:w="720" w:type="dxa"/>
          </w:tcPr>
          <w:p w14:paraId="7E7580BB">
            <w:pPr>
              <w:widowControl/>
              <w:spacing w:line="440" w:lineRule="atLeast"/>
              <w:jc w:val="center"/>
              <w:rPr>
                <w:rFonts w:hint="eastAsia" w:ascii="宋体" w:hAnsi="宋体" w:eastAsia="宋体" w:cs="宋体"/>
                <w:color w:val="auto"/>
                <w:highlight w:val="none"/>
              </w:rPr>
            </w:pPr>
          </w:p>
        </w:tc>
        <w:tc>
          <w:tcPr>
            <w:tcW w:w="871" w:type="dxa"/>
          </w:tcPr>
          <w:p w14:paraId="3B1C5E74">
            <w:pPr>
              <w:widowControl/>
              <w:spacing w:line="440" w:lineRule="atLeast"/>
              <w:jc w:val="center"/>
              <w:rPr>
                <w:rFonts w:hint="eastAsia" w:ascii="宋体" w:hAnsi="宋体" w:eastAsia="宋体" w:cs="宋体"/>
                <w:color w:val="auto"/>
                <w:highlight w:val="none"/>
              </w:rPr>
            </w:pPr>
          </w:p>
        </w:tc>
        <w:tc>
          <w:tcPr>
            <w:tcW w:w="1134" w:type="dxa"/>
          </w:tcPr>
          <w:p w14:paraId="1578D280">
            <w:pPr>
              <w:widowControl/>
              <w:spacing w:line="440" w:lineRule="atLeast"/>
              <w:jc w:val="center"/>
              <w:rPr>
                <w:rFonts w:hint="eastAsia" w:ascii="宋体" w:hAnsi="宋体" w:eastAsia="宋体" w:cs="宋体"/>
                <w:color w:val="auto"/>
                <w:highlight w:val="none"/>
              </w:rPr>
            </w:pPr>
          </w:p>
        </w:tc>
        <w:tc>
          <w:tcPr>
            <w:tcW w:w="1130" w:type="dxa"/>
          </w:tcPr>
          <w:p w14:paraId="7C73062F">
            <w:pPr>
              <w:widowControl/>
              <w:spacing w:line="440" w:lineRule="atLeast"/>
              <w:jc w:val="center"/>
              <w:rPr>
                <w:rFonts w:hint="eastAsia" w:ascii="宋体" w:hAnsi="宋体" w:eastAsia="宋体" w:cs="宋体"/>
                <w:color w:val="auto"/>
                <w:highlight w:val="none"/>
              </w:rPr>
            </w:pPr>
          </w:p>
        </w:tc>
        <w:tc>
          <w:tcPr>
            <w:tcW w:w="870" w:type="dxa"/>
          </w:tcPr>
          <w:p w14:paraId="4D9BFA77">
            <w:pPr>
              <w:widowControl/>
              <w:spacing w:line="440" w:lineRule="atLeast"/>
              <w:jc w:val="center"/>
              <w:rPr>
                <w:rFonts w:hint="eastAsia" w:ascii="宋体" w:hAnsi="宋体" w:eastAsia="宋体" w:cs="宋体"/>
                <w:color w:val="auto"/>
                <w:highlight w:val="none"/>
              </w:rPr>
            </w:pPr>
          </w:p>
        </w:tc>
        <w:tc>
          <w:tcPr>
            <w:tcW w:w="714" w:type="dxa"/>
          </w:tcPr>
          <w:p w14:paraId="0F32257B">
            <w:pPr>
              <w:widowControl/>
              <w:spacing w:line="440" w:lineRule="atLeast"/>
              <w:jc w:val="center"/>
              <w:rPr>
                <w:rFonts w:hint="eastAsia" w:ascii="宋体" w:hAnsi="宋体" w:eastAsia="宋体" w:cs="宋体"/>
                <w:color w:val="auto"/>
                <w:highlight w:val="none"/>
              </w:rPr>
            </w:pPr>
          </w:p>
        </w:tc>
      </w:tr>
    </w:tbl>
    <w:p w14:paraId="4F8779F2">
      <w:pPr>
        <w:pStyle w:val="184"/>
        <w:spacing w:beforeLines="50" w:after="120" w:afterLines="50" w:line="440" w:lineRule="atLeast"/>
        <w:jc w:val="center"/>
        <w:outlineLvl w:val="3"/>
        <w:rPr>
          <w:rFonts w:ascii="宋体" w:hAnsi="宋体" w:eastAsia="微软雅黑" w:cs="Times New Roman"/>
          <w:b/>
          <w:color w:val="000000" w:themeColor="text1"/>
          <w:kern w:val="2"/>
          <w:sz w:val="24"/>
          <w:szCs w:val="21"/>
          <w:highlight w:val="none"/>
          <w:lang w:val="en-US" w:eastAsia="zh-CN" w:bidi="ar-SA"/>
          <w14:textFill>
            <w14:solidFill>
              <w14:schemeClr w14:val="tx1"/>
            </w14:solidFill>
          </w14:textFill>
        </w:rPr>
      </w:pPr>
    </w:p>
    <w:p w14:paraId="21E583FF">
      <w:pPr>
        <w:pStyle w:val="184"/>
        <w:spacing w:beforeLines="50" w:after="120" w:afterLines="50" w:line="440" w:lineRule="atLeast"/>
        <w:jc w:val="both"/>
        <w:outlineLvl w:val="3"/>
        <w:rPr>
          <w:rFonts w:ascii="Times New Roman" w:hAnsi="Times New Roman" w:eastAsia="宋体"/>
          <w:color w:val="000000" w:themeColor="text1"/>
          <w:sz w:val="24"/>
          <w:szCs w:val="24"/>
          <w:highlight w:val="none"/>
          <w:lang w:eastAsia="zh-CN"/>
          <w14:textFill>
            <w14:solidFill>
              <w14:schemeClr w14:val="tx1"/>
            </w14:solidFill>
          </w14:textFill>
        </w:rPr>
      </w:pPr>
    </w:p>
    <w:p w14:paraId="733DF861">
      <w:pPr>
        <w:pStyle w:val="2"/>
        <w:spacing w:before="0" w:after="0" w:line="380" w:lineRule="atLeast"/>
        <w:rPr>
          <w:rFonts w:eastAsia="黑体"/>
          <w:b w:val="0"/>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w:br w:type="page"/>
      </w:r>
      <w:bookmarkEnd w:id="168"/>
      <w:bookmarkEnd w:id="169"/>
      <w:bookmarkStart w:id="180" w:name="_Toc509993927"/>
      <w:bookmarkStart w:id="181" w:name="_Toc234833232"/>
      <w:bookmarkStart w:id="182" w:name="_Toc510015792"/>
      <w:r>
        <w:rPr>
          <w:rFonts w:eastAsia="黑体"/>
          <w:b w:val="0"/>
          <w:color w:val="000000" w:themeColor="text1"/>
          <w:sz w:val="24"/>
          <w:szCs w:val="24"/>
          <w:highlight w:val="none"/>
          <w14:textFill>
            <w14:solidFill>
              <w14:schemeClr w14:val="tx1"/>
            </w14:solidFill>
          </w14:textFill>
        </w:rPr>
        <w:t>附件二 廉政合同</w:t>
      </w:r>
      <w:bookmarkEnd w:id="180"/>
      <w:bookmarkEnd w:id="181"/>
    </w:p>
    <w:p w14:paraId="2611AD64">
      <w:pPr>
        <w:spacing w:line="440" w:lineRule="exact"/>
        <w:jc w:val="center"/>
        <w:rPr>
          <w:rFonts w:eastAsia="黑体"/>
          <w:color w:val="000000" w:themeColor="text1"/>
          <w:sz w:val="28"/>
          <w:szCs w:val="28"/>
          <w:highlight w:val="none"/>
          <w14:textFill>
            <w14:solidFill>
              <w14:schemeClr w14:val="tx1"/>
            </w14:solidFill>
          </w14:textFill>
        </w:rPr>
      </w:pPr>
      <w:r>
        <w:rPr>
          <w:rFonts w:eastAsia="黑体"/>
          <w:color w:val="000000" w:themeColor="text1"/>
          <w:sz w:val="28"/>
          <w:szCs w:val="28"/>
          <w:highlight w:val="none"/>
          <w14:textFill>
            <w14:solidFill>
              <w14:schemeClr w14:val="tx1"/>
            </w14:solidFill>
          </w14:textFill>
        </w:rPr>
        <w:t>廉 政 合 同</w:t>
      </w:r>
    </w:p>
    <w:p w14:paraId="12CF576B">
      <w:pPr>
        <w:spacing w:line="400" w:lineRule="atLeast"/>
        <w:rPr>
          <w:rFonts w:eastAsia="黑体"/>
          <w:b/>
          <w:color w:val="000000" w:themeColor="text1"/>
          <w:spacing w:val="30"/>
          <w:sz w:val="24"/>
          <w:highlight w:val="none"/>
          <w14:textFill>
            <w14:solidFill>
              <w14:schemeClr w14:val="tx1"/>
            </w14:solidFill>
          </w14:textFill>
        </w:rPr>
      </w:pPr>
    </w:p>
    <w:p w14:paraId="359C2FAC">
      <w:pPr>
        <w:spacing w:line="400" w:lineRule="atLeast"/>
        <w:ind w:firstLine="616" w:firstLineChars="257"/>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根据《关于在交通基础设施建设中加强廉政建设的若干意见》以及有关工程建设、廉政建设的规定，为做好工程建设中的党风廉政建设，保证工程建设高效优质，保证建设资金的安全和有效使用以及投资效益，</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（项目名称）的项目法人</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（项目法人名称，以下简称“委托人”）与该项目</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标段的</w:t>
      </w:r>
      <w:r>
        <w:rPr>
          <w:rFonts w:hint="eastAsia"/>
          <w:color w:val="000000" w:themeColor="text1"/>
          <w:sz w:val="24"/>
          <w:highlight w:val="none"/>
          <w14:textFill>
            <w14:solidFill>
              <w14:schemeClr w14:val="tx1"/>
            </w14:solidFill>
          </w14:textFill>
        </w:rPr>
        <w:t>咨询服务</w:t>
      </w:r>
      <w:r>
        <w:rPr>
          <w:color w:val="000000" w:themeColor="text1"/>
          <w:sz w:val="24"/>
          <w:highlight w:val="none"/>
          <w14:textFill>
            <w14:solidFill>
              <w14:schemeClr w14:val="tx1"/>
            </w14:solidFill>
          </w14:textFill>
        </w:rPr>
        <w:t>单位</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咨询服务</w:t>
      </w:r>
      <w:r>
        <w:rPr>
          <w:color w:val="000000" w:themeColor="text1"/>
          <w:sz w:val="24"/>
          <w:highlight w:val="none"/>
          <w14:textFill>
            <w14:solidFill>
              <w14:schemeClr w14:val="tx1"/>
            </w14:solidFill>
          </w14:textFill>
        </w:rPr>
        <w:t>单位名称，以下简称“咨询人”），特订立如下合同。</w:t>
      </w:r>
    </w:p>
    <w:p w14:paraId="5E402A28">
      <w:pPr>
        <w:spacing w:line="400" w:lineRule="atLeast"/>
        <w:ind w:firstLine="616" w:firstLineChars="257"/>
        <w:rPr>
          <w:rFonts w:eastAsia="黑体"/>
          <w:color w:val="000000" w:themeColor="text1"/>
          <w:sz w:val="24"/>
          <w:highlight w:val="none"/>
          <w14:textFill>
            <w14:solidFill>
              <w14:schemeClr w14:val="tx1"/>
            </w14:solidFill>
          </w14:textFill>
        </w:rPr>
      </w:pPr>
      <w:r>
        <w:rPr>
          <w:rFonts w:eastAsia="黑体"/>
          <w:color w:val="000000" w:themeColor="text1"/>
          <w:sz w:val="24"/>
          <w:highlight w:val="none"/>
          <w14:textFill>
            <w14:solidFill>
              <w14:schemeClr w14:val="tx1"/>
            </w14:solidFill>
          </w14:textFill>
        </w:rPr>
        <w:t>1. 委托人和咨询人双方的权利和义务</w:t>
      </w:r>
    </w:p>
    <w:p w14:paraId="2F27BB14">
      <w:pPr>
        <w:spacing w:line="400" w:lineRule="atLeast"/>
        <w:ind w:firstLine="616" w:firstLineChars="257"/>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（1）严格遵守党的政策规定和国家有关法律法规及交通运输部的有关规定。</w:t>
      </w:r>
    </w:p>
    <w:p w14:paraId="0D22F757">
      <w:pPr>
        <w:spacing w:line="400" w:lineRule="atLeast"/>
        <w:ind w:firstLine="616" w:firstLineChars="257"/>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（2）严格执行</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（项目名称）</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标段</w:t>
      </w:r>
      <w:r>
        <w:rPr>
          <w:rFonts w:hint="eastAsia"/>
          <w:color w:val="000000" w:themeColor="text1"/>
          <w:sz w:val="24"/>
          <w:highlight w:val="none"/>
          <w14:textFill>
            <w14:solidFill>
              <w14:schemeClr w14:val="tx1"/>
            </w14:solidFill>
          </w14:textFill>
        </w:rPr>
        <w:t>咨询服务</w:t>
      </w:r>
      <w:r>
        <w:rPr>
          <w:color w:val="000000" w:themeColor="text1"/>
          <w:sz w:val="24"/>
          <w:highlight w:val="none"/>
          <w14:textFill>
            <w14:solidFill>
              <w14:schemeClr w14:val="tx1"/>
            </w14:solidFill>
          </w14:textFill>
        </w:rPr>
        <w:t>合同文件，自觉按合同办事。</w:t>
      </w:r>
    </w:p>
    <w:p w14:paraId="012496DB">
      <w:pPr>
        <w:spacing w:line="400" w:lineRule="atLeast"/>
        <w:ind w:firstLine="616" w:firstLineChars="257"/>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（3）双方的业务活动坚持公开、公正、诚信、透明的原则（法律认定的商业秘密和合同文件另有规定除外），不得损害国家和集体利益，不得违反工程建设管理规章制度。</w:t>
      </w:r>
    </w:p>
    <w:p w14:paraId="719862D0">
      <w:pPr>
        <w:spacing w:line="400" w:lineRule="atLeast"/>
        <w:ind w:firstLine="616" w:firstLineChars="257"/>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（4）建立健全廉政制度，开展廉政教育，设立廉政告示牌，公布举报电话，监督并认真查处违法违纪行为。</w:t>
      </w:r>
    </w:p>
    <w:p w14:paraId="24ACB8C4">
      <w:pPr>
        <w:spacing w:line="400" w:lineRule="atLeast"/>
        <w:ind w:firstLine="616" w:firstLineChars="257"/>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（5）发现对方在业务活动中有违反廉政规定的行为，有及时提醒对方纠正的权利和义务。</w:t>
      </w:r>
    </w:p>
    <w:p w14:paraId="77360867">
      <w:pPr>
        <w:spacing w:line="400" w:lineRule="atLeast"/>
        <w:ind w:firstLine="616" w:firstLineChars="257"/>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（6）发现对方严重违反本合同义务条款的行为，有向其上级有关部门举报、建议给予处理并要求告知处理结果的权利。</w:t>
      </w:r>
    </w:p>
    <w:p w14:paraId="2A24C16F">
      <w:pPr>
        <w:spacing w:line="400" w:lineRule="atLeast"/>
        <w:ind w:firstLine="616" w:firstLineChars="257"/>
        <w:rPr>
          <w:rFonts w:eastAsia="黑体"/>
          <w:color w:val="000000" w:themeColor="text1"/>
          <w:sz w:val="24"/>
          <w:highlight w:val="none"/>
          <w14:textFill>
            <w14:solidFill>
              <w14:schemeClr w14:val="tx1"/>
            </w14:solidFill>
          </w14:textFill>
        </w:rPr>
      </w:pPr>
      <w:r>
        <w:rPr>
          <w:rFonts w:eastAsia="黑体"/>
          <w:color w:val="000000" w:themeColor="text1"/>
          <w:sz w:val="24"/>
          <w:highlight w:val="none"/>
          <w14:textFill>
            <w14:solidFill>
              <w14:schemeClr w14:val="tx1"/>
            </w14:solidFill>
          </w14:textFill>
        </w:rPr>
        <w:t>2. 委托人的义务</w:t>
      </w:r>
    </w:p>
    <w:p w14:paraId="5E55CCE4">
      <w:pPr>
        <w:spacing w:line="400" w:lineRule="atLeast"/>
        <w:ind w:firstLine="616" w:firstLineChars="257"/>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（1）委托人及其工作人员不得索要或接受咨询人的礼金、有价证券和贵重物品，不得让咨询人报销任何应由委托人或委托人工作人员个人支付的费用等。</w:t>
      </w:r>
    </w:p>
    <w:p w14:paraId="0334762B">
      <w:pPr>
        <w:spacing w:line="400" w:lineRule="atLeast"/>
        <w:ind w:firstLine="616" w:firstLineChars="257"/>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（2）委托人工作人员不得参加咨询人安排的超标准宴请和娱乐活动；不得接受咨询人提供的通信工具、交通工具和高档办公用品等。</w:t>
      </w:r>
    </w:p>
    <w:p w14:paraId="11692630">
      <w:pPr>
        <w:spacing w:line="400" w:lineRule="atLeast"/>
        <w:ind w:firstLine="616" w:firstLineChars="257"/>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（3）委托人及其工作人员不得要求或者接受咨询人为其住房装修、婚丧嫁娶活动、配偶子女的工作安排以及出国出境、旅游等提供方便等。</w:t>
      </w:r>
    </w:p>
    <w:p w14:paraId="4EDFCCEC">
      <w:pPr>
        <w:spacing w:line="400" w:lineRule="atLeast"/>
        <w:ind w:firstLine="616" w:firstLineChars="257"/>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（4）委托人工作人员及其配偶、子女、亲属不得从事与本</w:t>
      </w:r>
      <w:r>
        <w:rPr>
          <w:rFonts w:hint="eastAsia"/>
          <w:color w:val="000000" w:themeColor="text1"/>
          <w:sz w:val="24"/>
          <w:highlight w:val="none"/>
          <w14:textFill>
            <w14:solidFill>
              <w14:schemeClr w14:val="tx1"/>
            </w14:solidFill>
          </w14:textFill>
        </w:rPr>
        <w:t>咨询服务</w:t>
      </w:r>
      <w:r>
        <w:rPr>
          <w:color w:val="000000" w:themeColor="text1"/>
          <w:sz w:val="24"/>
          <w:highlight w:val="none"/>
          <w14:textFill>
            <w14:solidFill>
              <w14:schemeClr w14:val="tx1"/>
            </w14:solidFill>
          </w14:textFill>
        </w:rPr>
        <w:t>合同有关的</w:t>
      </w:r>
      <w:r>
        <w:rPr>
          <w:rFonts w:hint="eastAsia"/>
          <w:color w:val="000000" w:themeColor="text1"/>
          <w:sz w:val="24"/>
          <w:highlight w:val="none"/>
          <w14:textFill>
            <w14:solidFill>
              <w14:schemeClr w14:val="tx1"/>
            </w14:solidFill>
          </w14:textFill>
        </w:rPr>
        <w:t>咨询服务</w:t>
      </w:r>
      <w:r>
        <w:rPr>
          <w:color w:val="000000" w:themeColor="text1"/>
          <w:sz w:val="24"/>
          <w:highlight w:val="none"/>
          <w14:textFill>
            <w14:solidFill>
              <w14:schemeClr w14:val="tx1"/>
            </w14:solidFill>
          </w14:textFill>
        </w:rPr>
        <w:t>业务等活动。不得以任何理由要求咨询人和相关单位在设计中使用某种产品、材料和设备。</w:t>
      </w:r>
    </w:p>
    <w:p w14:paraId="77681C3A">
      <w:pPr>
        <w:spacing w:line="400" w:lineRule="atLeast"/>
        <w:ind w:firstLine="616" w:firstLineChars="257"/>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（5）委托人工作人员要秉公办事，不准营私舞弊，不准利用职权从事各种个人有偿中介活动和安排个人</w:t>
      </w:r>
      <w:r>
        <w:rPr>
          <w:rFonts w:hint="eastAsia"/>
          <w:color w:val="000000" w:themeColor="text1"/>
          <w:sz w:val="24"/>
          <w:highlight w:val="none"/>
          <w14:textFill>
            <w14:solidFill>
              <w14:schemeClr w14:val="tx1"/>
            </w14:solidFill>
          </w14:textFill>
        </w:rPr>
        <w:t>咨询服务</w:t>
      </w:r>
      <w:r>
        <w:rPr>
          <w:color w:val="000000" w:themeColor="text1"/>
          <w:sz w:val="24"/>
          <w:highlight w:val="none"/>
          <w14:textFill>
            <w14:solidFill>
              <w14:schemeClr w14:val="tx1"/>
            </w14:solidFill>
          </w14:textFill>
        </w:rPr>
        <w:t>队伍。</w:t>
      </w:r>
    </w:p>
    <w:p w14:paraId="7B4643C0">
      <w:pPr>
        <w:spacing w:line="400" w:lineRule="atLeast"/>
        <w:ind w:firstLine="616" w:firstLineChars="257"/>
        <w:rPr>
          <w:rFonts w:eastAsia="黑体"/>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br w:type="page"/>
      </w:r>
      <w:r>
        <w:rPr>
          <w:rFonts w:eastAsia="黑体"/>
          <w:color w:val="000000" w:themeColor="text1"/>
          <w:sz w:val="24"/>
          <w:highlight w:val="none"/>
          <w14:textFill>
            <w14:solidFill>
              <w14:schemeClr w14:val="tx1"/>
            </w14:solidFill>
          </w14:textFill>
        </w:rPr>
        <w:t>3. 咨询人的义务</w:t>
      </w:r>
    </w:p>
    <w:p w14:paraId="6269461D">
      <w:pPr>
        <w:spacing w:line="400" w:lineRule="atLeast"/>
        <w:ind w:firstLine="616" w:firstLineChars="257"/>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（1）咨询人不得以任何理由向委托人及其工作人员行贿或馈赠礼金、有价证券、贵重礼品。</w:t>
      </w:r>
    </w:p>
    <w:p w14:paraId="694715F1">
      <w:pPr>
        <w:spacing w:line="400" w:lineRule="atLeast"/>
        <w:ind w:firstLine="616" w:firstLineChars="257"/>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（2）咨询人不得以任何名义为委托人及其工作人员报销应由委托人单位或个人支付的任何费用。</w:t>
      </w:r>
    </w:p>
    <w:p w14:paraId="0219BF3E">
      <w:pPr>
        <w:spacing w:line="400" w:lineRule="atLeast"/>
        <w:ind w:firstLine="616" w:firstLineChars="257"/>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（3）咨询人不得以任何理由安排委托人工作人员参加超标准宴请及娱乐活动。</w:t>
      </w:r>
    </w:p>
    <w:p w14:paraId="0D4AE4CA">
      <w:pPr>
        <w:spacing w:line="400" w:lineRule="atLeast"/>
        <w:ind w:firstLine="616" w:firstLineChars="257"/>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（4）咨询人不得为委托人单位和个人购置或提供通信工具、交通工具和高档办公用品等。</w:t>
      </w:r>
    </w:p>
    <w:p w14:paraId="765E964C">
      <w:pPr>
        <w:spacing w:line="400" w:lineRule="atLeast"/>
        <w:ind w:firstLine="616" w:firstLineChars="257"/>
        <w:rPr>
          <w:rFonts w:eastAsia="黑体"/>
          <w:color w:val="000000" w:themeColor="text1"/>
          <w:sz w:val="24"/>
          <w:highlight w:val="none"/>
          <w14:textFill>
            <w14:solidFill>
              <w14:schemeClr w14:val="tx1"/>
            </w14:solidFill>
          </w14:textFill>
        </w:rPr>
      </w:pPr>
      <w:r>
        <w:rPr>
          <w:rFonts w:eastAsia="黑体"/>
          <w:color w:val="000000" w:themeColor="text1"/>
          <w:sz w:val="24"/>
          <w:highlight w:val="none"/>
          <w14:textFill>
            <w14:solidFill>
              <w14:schemeClr w14:val="tx1"/>
            </w14:solidFill>
          </w14:textFill>
        </w:rPr>
        <w:t>4. 违约责任</w:t>
      </w:r>
    </w:p>
    <w:p w14:paraId="38E6D7B4">
      <w:pPr>
        <w:spacing w:line="400" w:lineRule="atLeast"/>
        <w:ind w:firstLine="616" w:firstLineChars="257"/>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（1）委托人及其工作人员违反本合同第1、2条，按管理权限，依据有关规定给予党纪、政纪或组织处理；涉嫌犯罪的，移交司法机关追究刑事责任；给咨询人单位造成经济损失的，应予以赔偿。</w:t>
      </w:r>
    </w:p>
    <w:p w14:paraId="35989A53">
      <w:pPr>
        <w:spacing w:line="400" w:lineRule="atLeast"/>
        <w:ind w:firstLine="616" w:firstLineChars="257"/>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咨询人及其工作人员违反本合同第1、3条，按管理权限，依据有关规定给予党纪、政纪或组织处理；给委托人单位造成经济损失的，应予以赔偿；情节严重的，委托人建议交通运输主管部门给予咨询人一至三年内不得进入其主管的公路建设市场的处罚。</w:t>
      </w:r>
    </w:p>
    <w:p w14:paraId="53E0E9A0">
      <w:pPr>
        <w:spacing w:line="400" w:lineRule="atLeast"/>
        <w:ind w:firstLine="616" w:firstLineChars="257"/>
        <w:rPr>
          <w:color w:val="000000" w:themeColor="text1"/>
          <w:sz w:val="24"/>
          <w:highlight w:val="none"/>
          <w14:textFill>
            <w14:solidFill>
              <w14:schemeClr w14:val="tx1"/>
            </w14:solidFill>
          </w14:textFill>
        </w:rPr>
      </w:pPr>
      <w:r>
        <w:rPr>
          <w:rFonts w:eastAsia="黑体"/>
          <w:color w:val="000000" w:themeColor="text1"/>
          <w:sz w:val="24"/>
          <w:highlight w:val="none"/>
          <w14:textFill>
            <w14:solidFill>
              <w14:schemeClr w14:val="tx1"/>
            </w14:solidFill>
          </w14:textFill>
        </w:rPr>
        <w:t>5.</w:t>
      </w:r>
      <w:r>
        <w:rPr>
          <w:color w:val="000000" w:themeColor="text1"/>
          <w:sz w:val="24"/>
          <w:highlight w:val="none"/>
          <w14:textFill>
            <w14:solidFill>
              <w14:schemeClr w14:val="tx1"/>
            </w14:solidFill>
          </w14:textFill>
        </w:rPr>
        <w:t xml:space="preserve"> 双方约定：本合同由双方或双方上级单位的纪检监察部门负责监督执行。由委托人或委托人上级单位的纪检监察部门约请咨询人或咨询人上级单位纪检监察部门对本合同执行情况进行检查，提出在本合同规定范围内的裁定意见。</w:t>
      </w:r>
    </w:p>
    <w:p w14:paraId="46D877B6">
      <w:pPr>
        <w:spacing w:line="400" w:lineRule="atLeast"/>
        <w:ind w:firstLine="616" w:firstLineChars="257"/>
        <w:rPr>
          <w:color w:val="000000" w:themeColor="text1"/>
          <w:sz w:val="24"/>
          <w:highlight w:val="none"/>
          <w14:textFill>
            <w14:solidFill>
              <w14:schemeClr w14:val="tx1"/>
            </w14:solidFill>
          </w14:textFill>
        </w:rPr>
      </w:pPr>
      <w:r>
        <w:rPr>
          <w:rFonts w:eastAsia="黑体"/>
          <w:color w:val="000000" w:themeColor="text1"/>
          <w:sz w:val="24"/>
          <w:highlight w:val="none"/>
          <w14:textFill>
            <w14:solidFill>
              <w14:schemeClr w14:val="tx1"/>
            </w14:solidFill>
          </w14:textFill>
        </w:rPr>
        <w:t xml:space="preserve">6. </w:t>
      </w:r>
      <w:r>
        <w:rPr>
          <w:color w:val="000000" w:themeColor="text1"/>
          <w:sz w:val="24"/>
          <w:highlight w:val="none"/>
          <w14:textFill>
            <w14:solidFill>
              <w14:schemeClr w14:val="tx1"/>
            </w14:solidFill>
          </w14:textFill>
        </w:rPr>
        <w:t>本合同有效期为合同双方签署之日起至</w:t>
      </w:r>
      <w:r>
        <w:rPr>
          <w:rFonts w:hint="eastAsia"/>
          <w:color w:val="000000" w:themeColor="text1"/>
          <w:sz w:val="24"/>
          <w:highlight w:val="none"/>
          <w14:textFill>
            <w14:solidFill>
              <w14:schemeClr w14:val="tx1"/>
            </w14:solidFill>
          </w14:textFill>
        </w:rPr>
        <w:t>咨询服务</w:t>
      </w:r>
      <w:r>
        <w:rPr>
          <w:color w:val="000000" w:themeColor="text1"/>
          <w:sz w:val="24"/>
          <w:highlight w:val="none"/>
          <w14:textFill>
            <w14:solidFill>
              <w14:schemeClr w14:val="tx1"/>
            </w14:solidFill>
          </w14:textFill>
        </w:rPr>
        <w:t>合同失效日止。</w:t>
      </w:r>
    </w:p>
    <w:p w14:paraId="4598EE06">
      <w:pPr>
        <w:spacing w:line="400" w:lineRule="atLeast"/>
        <w:ind w:firstLine="616" w:firstLineChars="257"/>
        <w:rPr>
          <w:color w:val="000000" w:themeColor="text1"/>
          <w:sz w:val="24"/>
          <w:highlight w:val="none"/>
          <w14:textFill>
            <w14:solidFill>
              <w14:schemeClr w14:val="tx1"/>
            </w14:solidFill>
          </w14:textFill>
        </w:rPr>
      </w:pPr>
      <w:r>
        <w:rPr>
          <w:rFonts w:eastAsia="黑体"/>
          <w:color w:val="000000" w:themeColor="text1"/>
          <w:sz w:val="24"/>
          <w:highlight w:val="none"/>
          <w14:textFill>
            <w14:solidFill>
              <w14:schemeClr w14:val="tx1"/>
            </w14:solidFill>
          </w14:textFill>
        </w:rPr>
        <w:t xml:space="preserve">7. </w:t>
      </w:r>
      <w:r>
        <w:rPr>
          <w:color w:val="000000" w:themeColor="text1"/>
          <w:sz w:val="24"/>
          <w:highlight w:val="none"/>
          <w14:textFill>
            <w14:solidFill>
              <w14:schemeClr w14:val="tx1"/>
            </w14:solidFill>
          </w14:textFill>
        </w:rPr>
        <w:t>本合同作为</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（项目名称）</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标段</w:t>
      </w:r>
      <w:r>
        <w:rPr>
          <w:rFonts w:hint="eastAsia"/>
          <w:color w:val="000000" w:themeColor="text1"/>
          <w:sz w:val="24"/>
          <w:highlight w:val="none"/>
          <w14:textFill>
            <w14:solidFill>
              <w14:schemeClr w14:val="tx1"/>
            </w14:solidFill>
          </w14:textFill>
        </w:rPr>
        <w:t>咨询服务</w:t>
      </w:r>
      <w:r>
        <w:rPr>
          <w:color w:val="000000" w:themeColor="text1"/>
          <w:sz w:val="24"/>
          <w:highlight w:val="none"/>
          <w14:textFill>
            <w14:solidFill>
              <w14:schemeClr w14:val="tx1"/>
            </w14:solidFill>
          </w14:textFill>
        </w:rPr>
        <w:t>合同的附件，</w:t>
      </w:r>
      <w:bookmarkStart w:id="183" w:name="_Hlk12837718"/>
      <w:r>
        <w:rPr>
          <w:color w:val="000000" w:themeColor="text1"/>
          <w:sz w:val="24"/>
          <w:highlight w:val="none"/>
          <w14:textFill>
            <w14:solidFill>
              <w14:schemeClr w14:val="tx1"/>
            </w14:solidFill>
          </w14:textFill>
        </w:rPr>
        <w:t>与</w:t>
      </w:r>
      <w:r>
        <w:rPr>
          <w:rFonts w:hint="eastAsia"/>
          <w:color w:val="000000" w:themeColor="text1"/>
          <w:sz w:val="24"/>
          <w:highlight w:val="none"/>
          <w14:textFill>
            <w14:solidFill>
              <w14:schemeClr w14:val="tx1"/>
            </w14:solidFill>
          </w14:textFill>
        </w:rPr>
        <w:t>咨询服务</w:t>
      </w:r>
      <w:r>
        <w:rPr>
          <w:color w:val="000000" w:themeColor="text1"/>
          <w:sz w:val="24"/>
          <w:highlight w:val="none"/>
          <w14:textFill>
            <w14:solidFill>
              <w14:schemeClr w14:val="tx1"/>
            </w14:solidFill>
          </w14:textFill>
        </w:rPr>
        <w:t>合同具有同等的法律效力，</w:t>
      </w:r>
      <w:bookmarkEnd w:id="183"/>
      <w:r>
        <w:rPr>
          <w:rFonts w:hint="eastAsia"/>
          <w:color w:val="000000" w:themeColor="text1"/>
          <w:sz w:val="24"/>
          <w:highlight w:val="none"/>
          <w14:textFill>
            <w14:solidFill>
              <w14:schemeClr w14:val="tx1"/>
            </w14:solidFill>
          </w14:textFill>
        </w:rPr>
        <w:t>自合同双方法定代表人或其委托代理人签字并加盖单位公章之日起生效。</w:t>
      </w:r>
    </w:p>
    <w:p w14:paraId="1330B183">
      <w:pPr>
        <w:spacing w:line="400" w:lineRule="atLeast"/>
        <w:ind w:firstLine="616" w:firstLineChars="257"/>
        <w:rPr>
          <w:color w:val="000000" w:themeColor="text1"/>
          <w:sz w:val="24"/>
          <w:highlight w:val="none"/>
          <w14:textFill>
            <w14:solidFill>
              <w14:schemeClr w14:val="tx1"/>
            </w14:solidFill>
          </w14:textFill>
        </w:rPr>
      </w:pPr>
      <w:r>
        <w:rPr>
          <w:rFonts w:eastAsia="黑体"/>
          <w:color w:val="000000" w:themeColor="text1"/>
          <w:sz w:val="24"/>
          <w:highlight w:val="none"/>
          <w14:textFill>
            <w14:solidFill>
              <w14:schemeClr w14:val="tx1"/>
            </w14:solidFill>
          </w14:textFill>
        </w:rPr>
        <w:t>8.</w:t>
      </w:r>
      <w:r>
        <w:rPr>
          <w:color w:val="000000" w:themeColor="text1"/>
          <w:sz w:val="24"/>
          <w:highlight w:val="none"/>
          <w14:textFill>
            <w14:solidFill>
              <w14:schemeClr w14:val="tx1"/>
            </w14:solidFill>
          </w14:textFill>
        </w:rPr>
        <w:t xml:space="preserve"> 本合同一式</w:t>
      </w:r>
      <w:r>
        <w:rPr>
          <w:rFonts w:hint="eastAsia"/>
          <w:color w:val="000000" w:themeColor="text1"/>
          <w:sz w:val="24"/>
          <w:highlight w:val="none"/>
          <w:lang w:val="en-US" w:eastAsia="zh-CN"/>
          <w14:textFill>
            <w14:solidFill>
              <w14:schemeClr w14:val="tx1"/>
            </w14:solidFill>
          </w14:textFill>
        </w:rPr>
        <w:t xml:space="preserve">   </w:t>
      </w:r>
      <w:r>
        <w:rPr>
          <w:color w:val="000000" w:themeColor="text1"/>
          <w:sz w:val="24"/>
          <w:highlight w:val="none"/>
          <w14:textFill>
            <w14:solidFill>
              <w14:schemeClr w14:val="tx1"/>
            </w14:solidFill>
          </w14:textFill>
        </w:rPr>
        <w:t>份，由委托人和咨询人各执</w:t>
      </w:r>
      <w:r>
        <w:rPr>
          <w:rFonts w:hint="eastAsia"/>
          <w:color w:val="000000" w:themeColor="text1"/>
          <w:sz w:val="24"/>
          <w:highlight w:val="none"/>
          <w:lang w:val="en-US" w:eastAsia="zh-CN"/>
          <w14:textFill>
            <w14:solidFill>
              <w14:schemeClr w14:val="tx1"/>
            </w14:solidFill>
          </w14:textFill>
        </w:rPr>
        <w:t xml:space="preserve">   </w:t>
      </w:r>
      <w:r>
        <w:rPr>
          <w:color w:val="000000" w:themeColor="text1"/>
          <w:sz w:val="24"/>
          <w:highlight w:val="none"/>
          <w14:textFill>
            <w14:solidFill>
              <w14:schemeClr w14:val="tx1"/>
            </w14:solidFill>
          </w14:textFill>
        </w:rPr>
        <w:t>份，送交委托人和咨询人的监督单位各一份。</w:t>
      </w:r>
    </w:p>
    <w:p w14:paraId="0C4ED19A">
      <w:pPr>
        <w:spacing w:line="400" w:lineRule="atLeast"/>
        <w:rPr>
          <w:color w:val="000000" w:themeColor="text1"/>
          <w:sz w:val="24"/>
          <w:highlight w:val="none"/>
          <w14:textFill>
            <w14:solidFill>
              <w14:schemeClr w14:val="tx1"/>
            </w14:solidFill>
          </w14:textFill>
        </w:rPr>
      </w:pPr>
    </w:p>
    <w:p w14:paraId="5E6A13DA">
      <w:pPr>
        <w:spacing w:line="44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委托人：</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（盖单位章）     咨询人：</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（盖单位章）</w:t>
      </w:r>
    </w:p>
    <w:p w14:paraId="57AE82A1">
      <w:pPr>
        <w:spacing w:line="44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法定代表人或其委托代理人：</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（签字）  法定代表人或其委托代理人：</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（签字）</w:t>
      </w:r>
    </w:p>
    <w:p w14:paraId="1D7C5AC6">
      <w:pPr>
        <w:spacing w:line="440" w:lineRule="exact"/>
        <w:ind w:firstLine="360" w:firstLineChars="150"/>
        <w:rPr>
          <w:color w:val="000000" w:themeColor="text1"/>
          <w:sz w:val="24"/>
          <w:highlight w:val="none"/>
          <w14:textFill>
            <w14:solidFill>
              <w14:schemeClr w14:val="tx1"/>
            </w14:solidFill>
          </w14:textFill>
        </w:rPr>
      </w:pP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年</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 xml:space="preserve">月 </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 xml:space="preserve"> 日         </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年</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 xml:space="preserve">月 </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 xml:space="preserve"> 日</w:t>
      </w:r>
    </w:p>
    <w:p w14:paraId="01777DCD">
      <w:pPr>
        <w:spacing w:line="440" w:lineRule="exact"/>
        <w:ind w:firstLine="360" w:firstLineChars="150"/>
        <w:rPr>
          <w:color w:val="000000" w:themeColor="text1"/>
          <w:sz w:val="24"/>
          <w:highlight w:val="none"/>
          <w14:textFill>
            <w14:solidFill>
              <w14:schemeClr w14:val="tx1"/>
            </w14:solidFill>
          </w14:textFill>
        </w:rPr>
      </w:pPr>
    </w:p>
    <w:p w14:paraId="116E6403">
      <w:pPr>
        <w:spacing w:line="400" w:lineRule="atLeast"/>
        <w:rPr>
          <w:color w:val="000000" w:themeColor="text1"/>
          <w:sz w:val="24"/>
          <w:highlight w:val="none"/>
          <w14:textFill>
            <w14:solidFill>
              <w14:schemeClr w14:val="tx1"/>
            </w14:solidFill>
          </w14:textFill>
        </w:rPr>
      </w:pPr>
    </w:p>
    <w:p w14:paraId="1DF4B656">
      <w:pPr>
        <w:pStyle w:val="160"/>
        <w:spacing w:before="260" w:after="260" w:line="440" w:lineRule="atLeast"/>
        <w:ind w:firstLine="117" w:firstLineChars="49"/>
        <w:outlineLvl w:val="2"/>
        <w:rPr>
          <w:rFonts w:ascii="Times New Roman" w:hAnsi="Times New Roman" w:eastAsia="黑体"/>
          <w:color w:val="000000" w:themeColor="text1"/>
          <w:sz w:val="24"/>
          <w:szCs w:val="24"/>
          <w:highlight w:val="none"/>
          <w:lang w:eastAsia="zh-CN"/>
          <w14:textFill>
            <w14:solidFill>
              <w14:schemeClr w14:val="tx1"/>
            </w14:solidFill>
          </w14:textFill>
        </w:rPr>
      </w:pPr>
      <w:r>
        <w:rPr>
          <w:rFonts w:ascii="Times New Roman" w:hAnsi="Times New Roman"/>
          <w:color w:val="000000" w:themeColor="text1"/>
          <w:sz w:val="24"/>
          <w:highlight w:val="none"/>
          <w:lang w:eastAsia="zh-CN"/>
          <w14:textFill>
            <w14:solidFill>
              <w14:schemeClr w14:val="tx1"/>
            </w14:solidFill>
          </w14:textFill>
        </w:rPr>
        <w:br w:type="page"/>
      </w:r>
      <w:r>
        <w:rPr>
          <w:rFonts w:ascii="Times New Roman" w:hAnsi="Times New Roman" w:eastAsia="黑体"/>
          <w:color w:val="000000" w:themeColor="text1"/>
          <w:sz w:val="24"/>
          <w:szCs w:val="24"/>
          <w:highlight w:val="none"/>
          <w:lang w:eastAsia="zh-CN"/>
          <w14:textFill>
            <w14:solidFill>
              <w14:schemeClr w14:val="tx1"/>
            </w14:solidFill>
          </w14:textFill>
        </w:rPr>
        <w:t>附件三 履约保证金格式</w:t>
      </w:r>
      <w:bookmarkEnd w:id="182"/>
    </w:p>
    <w:p w14:paraId="3C15BF27">
      <w:pPr>
        <w:spacing w:line="440" w:lineRule="atLeast"/>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如采用银行保函，格式如下。</w:t>
      </w:r>
    </w:p>
    <w:p w14:paraId="308C36FA">
      <w:pPr>
        <w:spacing w:line="440" w:lineRule="atLeast"/>
        <w:jc w:val="center"/>
        <w:rPr>
          <w:rFonts w:eastAsia="黑体"/>
          <w:color w:val="000000" w:themeColor="text1"/>
          <w:sz w:val="28"/>
          <w:szCs w:val="28"/>
          <w:highlight w:val="none"/>
          <w14:textFill>
            <w14:solidFill>
              <w14:schemeClr w14:val="tx1"/>
            </w14:solidFill>
          </w14:textFill>
        </w:rPr>
      </w:pPr>
      <w:r>
        <w:rPr>
          <w:rFonts w:eastAsia="黑体"/>
          <w:color w:val="000000" w:themeColor="text1"/>
          <w:sz w:val="28"/>
          <w:szCs w:val="28"/>
          <w:highlight w:val="none"/>
          <w14:textFill>
            <w14:solidFill>
              <w14:schemeClr w14:val="tx1"/>
            </w14:solidFill>
          </w14:textFill>
        </w:rPr>
        <w:t>履约保证金</w:t>
      </w:r>
    </w:p>
    <w:p w14:paraId="51297F85">
      <w:pPr>
        <w:spacing w:line="440" w:lineRule="atLeast"/>
        <w:rPr>
          <w:color w:val="000000" w:themeColor="text1"/>
          <w:sz w:val="24"/>
          <w:highlight w:val="none"/>
          <w14:textFill>
            <w14:solidFill>
              <w14:schemeClr w14:val="tx1"/>
            </w14:solidFill>
          </w14:textFill>
        </w:rPr>
      </w:pPr>
    </w:p>
    <w:p w14:paraId="26518959">
      <w:pPr>
        <w:spacing w:line="440" w:lineRule="atLeas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w:t>
      </w:r>
      <w:r>
        <w:rPr>
          <w:color w:val="000000" w:themeColor="text1"/>
          <w:sz w:val="24"/>
          <w:highlight w:val="none"/>
          <w:u w:val="single"/>
          <w14:textFill>
            <w14:solidFill>
              <w14:schemeClr w14:val="tx1"/>
            </w14:solidFill>
          </w14:textFill>
        </w:rPr>
        <w:t xml:space="preserve">            </w:t>
      </w:r>
      <w:r>
        <w:rPr>
          <w:color w:val="000000" w:themeColor="text1"/>
          <w:sz w:val="24"/>
          <w:highlight w:val="none"/>
          <w:u w:val="single"/>
          <w14:textFill>
            <w14:solidFill>
              <w14:schemeClr w14:val="tx1"/>
            </w14:solidFill>
          </w14:textFill>
        </w:rPr>
        <w:tab/>
      </w:r>
      <w:r>
        <w:rPr>
          <w:color w:val="000000" w:themeColor="text1"/>
          <w:sz w:val="24"/>
          <w:highlight w:val="none"/>
          <w:u w:val="single"/>
          <w14:textFill>
            <w14:solidFill>
              <w14:schemeClr w14:val="tx1"/>
            </w14:solidFill>
          </w14:textFill>
        </w:rPr>
        <w:tab/>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w:t>
      </w:r>
      <w:r>
        <w:rPr>
          <w:rFonts w:hint="eastAsia"/>
          <w:color w:val="000000" w:themeColor="text1"/>
          <w:sz w:val="24"/>
          <w:highlight w:val="none"/>
          <w:lang w:val="en-US" w:eastAsia="zh-CN"/>
          <w14:textFill>
            <w14:solidFill>
              <w14:schemeClr w14:val="tx1"/>
            </w14:solidFill>
          </w14:textFill>
        </w:rPr>
        <w:t>受益</w:t>
      </w:r>
      <w:r>
        <w:rPr>
          <w:color w:val="000000" w:themeColor="text1"/>
          <w:sz w:val="24"/>
          <w:highlight w:val="none"/>
          <w14:textFill>
            <w14:solidFill>
              <w14:schemeClr w14:val="tx1"/>
            </w14:solidFill>
          </w14:textFill>
        </w:rPr>
        <w:t>人名称）：</w:t>
      </w:r>
    </w:p>
    <w:p w14:paraId="45B65ADE">
      <w:pPr>
        <w:spacing w:line="440" w:lineRule="atLeast"/>
        <w:rPr>
          <w:color w:val="000000" w:themeColor="text1"/>
          <w:sz w:val="24"/>
          <w:highlight w:val="none"/>
          <w14:textFill>
            <w14:solidFill>
              <w14:schemeClr w14:val="tx1"/>
            </w14:solidFill>
          </w14:textFill>
        </w:rPr>
      </w:pPr>
    </w:p>
    <w:p w14:paraId="6ECF6E06">
      <w:pPr>
        <w:spacing w:line="440" w:lineRule="atLeast"/>
        <w:ind w:firstLine="600" w:firstLineChars="25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鉴于</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（委托人名称，以下简称“委托人”）接受</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（咨询人名称）（以下称“咨询人”）于</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年</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月</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日参加</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（项目名称）咨询服务的投标。我方愿意无条件地、不可撤销地就咨询人履行与你方订立的合同，</w:t>
      </w:r>
      <w:r>
        <w:rPr>
          <w:rFonts w:hint="eastAsia"/>
          <w:color w:val="000000" w:themeColor="text1"/>
          <w:sz w:val="24"/>
          <w:highlight w:val="none"/>
          <w:lang w:val="en-US" w:eastAsia="zh-CN"/>
          <w14:textFill>
            <w14:solidFill>
              <w14:schemeClr w14:val="tx1"/>
            </w14:solidFill>
          </w14:textFill>
        </w:rPr>
        <w:t>并</w:t>
      </w:r>
      <w:r>
        <w:rPr>
          <w:color w:val="000000" w:themeColor="text1"/>
          <w:sz w:val="24"/>
          <w:highlight w:val="none"/>
          <w14:textFill>
            <w14:solidFill>
              <w14:schemeClr w14:val="tx1"/>
            </w14:solidFill>
          </w14:textFill>
        </w:rPr>
        <w:t>向</w:t>
      </w:r>
      <w:r>
        <w:rPr>
          <w:rFonts w:hint="eastAsia"/>
          <w:color w:val="000000" w:themeColor="text1"/>
          <w:sz w:val="24"/>
          <w:highlight w:val="none"/>
          <w:lang w:val="en-US" w:eastAsia="zh-CN"/>
          <w14:textFill>
            <w14:solidFill>
              <w14:schemeClr w14:val="tx1"/>
            </w14:solidFill>
          </w14:textFill>
        </w:rPr>
        <w:t>受益人</w:t>
      </w:r>
      <w:r>
        <w:rPr>
          <w:color w:val="000000" w:themeColor="text1"/>
          <w:sz w:val="24"/>
          <w:highlight w:val="none"/>
          <w14:textFill>
            <w14:solidFill>
              <w14:schemeClr w14:val="tx1"/>
            </w14:solidFill>
          </w14:textFill>
        </w:rPr>
        <w:t>提供担保。</w:t>
      </w:r>
    </w:p>
    <w:p w14:paraId="42A3D893">
      <w:pPr>
        <w:spacing w:line="440" w:lineRule="atLeast"/>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 担保金额人民币（大写）</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 xml:space="preserve"> 元（¥</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w:t>
      </w:r>
    </w:p>
    <w:p w14:paraId="701357A7">
      <w:pPr>
        <w:spacing w:line="440" w:lineRule="atLeast"/>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 担保有效期自委托人与咨询人签订的合同生效之日起至委托人签发交工验收证书且咨询人按照合同约定提交缺陷责任期保函之日止。</w:t>
      </w:r>
      <w:r>
        <w:rPr>
          <w:rStyle w:val="143"/>
          <w:rFonts w:eastAsia="黑体"/>
          <w:color w:val="000000" w:themeColor="text1"/>
          <w:sz w:val="28"/>
          <w:szCs w:val="28"/>
          <w:highlight w:val="none"/>
          <w14:textFill>
            <w14:solidFill>
              <w14:schemeClr w14:val="tx1"/>
            </w14:solidFill>
          </w14:textFill>
        </w:rPr>
        <w:footnoteReference w:id="0"/>
      </w:r>
    </w:p>
    <w:p w14:paraId="0FE1B567">
      <w:pPr>
        <w:spacing w:line="440" w:lineRule="atLeast"/>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3. 在本担保有效期内，因咨询人违反合同约定的义务给你方造成经济损失时，我方在收到你方以书面形式提出的在担保金额内的赔偿要求后，在7天内无条件支付，无须你方出具证明或陈述理由。</w:t>
      </w:r>
    </w:p>
    <w:p w14:paraId="0FDB8E2E">
      <w:pPr>
        <w:spacing w:line="440" w:lineRule="atLeast"/>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4. 委托人和咨询人按合同条款变更合同时，我方承担本担保规定的义务不变。</w:t>
      </w:r>
    </w:p>
    <w:p w14:paraId="743D4AB0">
      <w:pPr>
        <w:spacing w:line="440" w:lineRule="atLeast"/>
        <w:rPr>
          <w:color w:val="000000" w:themeColor="text1"/>
          <w:sz w:val="24"/>
          <w:highlight w:val="none"/>
          <w14:textFill>
            <w14:solidFill>
              <w14:schemeClr w14:val="tx1"/>
            </w14:solidFill>
          </w14:textFill>
        </w:rPr>
      </w:pPr>
    </w:p>
    <w:p w14:paraId="5A68ACE3">
      <w:pPr>
        <w:spacing w:line="440" w:lineRule="atLeast"/>
        <w:rPr>
          <w:color w:val="000000" w:themeColor="text1"/>
          <w:sz w:val="24"/>
          <w:highlight w:val="none"/>
          <w14:textFill>
            <w14:solidFill>
              <w14:schemeClr w14:val="tx1"/>
            </w14:solidFill>
          </w14:textFill>
        </w:rPr>
      </w:pPr>
    </w:p>
    <w:p w14:paraId="20D3376C">
      <w:pPr>
        <w:spacing w:line="440" w:lineRule="atLeast"/>
        <w:ind w:firstLine="3496" w:firstLineChars="1457"/>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担 保 人：</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（盖单位章）</w:t>
      </w:r>
    </w:p>
    <w:p w14:paraId="3CCDBAE8">
      <w:pPr>
        <w:spacing w:line="440" w:lineRule="atLeast"/>
        <w:ind w:firstLine="3496" w:firstLineChars="1457"/>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法定代表人或其委托代理人：</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（签字）</w:t>
      </w:r>
    </w:p>
    <w:p w14:paraId="0BEA1EA1">
      <w:pPr>
        <w:spacing w:line="440" w:lineRule="atLeast"/>
        <w:ind w:firstLine="3496" w:firstLineChars="1457"/>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地    址：</w:t>
      </w:r>
      <w:r>
        <w:rPr>
          <w:color w:val="000000" w:themeColor="text1"/>
          <w:sz w:val="24"/>
          <w:highlight w:val="none"/>
          <w:u w:val="single"/>
          <w14:textFill>
            <w14:solidFill>
              <w14:schemeClr w14:val="tx1"/>
            </w14:solidFill>
          </w14:textFill>
        </w:rPr>
        <w:tab/>
      </w:r>
      <w:r>
        <w:rPr>
          <w:color w:val="000000" w:themeColor="text1"/>
          <w:sz w:val="24"/>
          <w:highlight w:val="none"/>
          <w:u w:val="single"/>
          <w14:textFill>
            <w14:solidFill>
              <w14:schemeClr w14:val="tx1"/>
            </w14:solidFill>
          </w14:textFill>
        </w:rPr>
        <w:tab/>
      </w:r>
      <w:r>
        <w:rPr>
          <w:color w:val="000000" w:themeColor="text1"/>
          <w:sz w:val="24"/>
          <w:highlight w:val="none"/>
          <w:u w:val="single"/>
          <w14:textFill>
            <w14:solidFill>
              <w14:schemeClr w14:val="tx1"/>
            </w14:solidFill>
          </w14:textFill>
        </w:rPr>
        <w:tab/>
      </w:r>
      <w:r>
        <w:rPr>
          <w:color w:val="000000" w:themeColor="text1"/>
          <w:sz w:val="24"/>
          <w:highlight w:val="none"/>
          <w:u w:val="single"/>
          <w14:textFill>
            <w14:solidFill>
              <w14:schemeClr w14:val="tx1"/>
            </w14:solidFill>
          </w14:textFill>
        </w:rPr>
        <w:t xml:space="preserve">            </w:t>
      </w:r>
      <w:r>
        <w:rPr>
          <w:color w:val="000000" w:themeColor="text1"/>
          <w:sz w:val="24"/>
          <w:highlight w:val="none"/>
          <w:u w:val="single"/>
          <w14:textFill>
            <w14:solidFill>
              <w14:schemeClr w14:val="tx1"/>
            </w14:solidFill>
          </w14:textFill>
        </w:rPr>
        <w:tab/>
      </w:r>
      <w:r>
        <w:rPr>
          <w:color w:val="000000" w:themeColor="text1"/>
          <w:sz w:val="24"/>
          <w:highlight w:val="none"/>
          <w:u w:val="single"/>
          <w14:textFill>
            <w14:solidFill>
              <w14:schemeClr w14:val="tx1"/>
            </w14:solidFill>
          </w14:textFill>
        </w:rPr>
        <w:tab/>
      </w:r>
      <w:r>
        <w:rPr>
          <w:color w:val="000000" w:themeColor="text1"/>
          <w:sz w:val="24"/>
          <w:highlight w:val="none"/>
          <w:u w:val="single"/>
          <w14:textFill>
            <w14:solidFill>
              <w14:schemeClr w14:val="tx1"/>
            </w14:solidFill>
          </w14:textFill>
        </w:rPr>
        <w:tab/>
      </w:r>
    </w:p>
    <w:p w14:paraId="03B6AD85">
      <w:pPr>
        <w:spacing w:line="440" w:lineRule="atLeast"/>
        <w:ind w:firstLine="3496" w:firstLineChars="1457"/>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邮政编码：</w:t>
      </w:r>
      <w:r>
        <w:rPr>
          <w:color w:val="000000" w:themeColor="text1"/>
          <w:sz w:val="24"/>
          <w:highlight w:val="none"/>
          <w:u w:val="single"/>
          <w14:textFill>
            <w14:solidFill>
              <w14:schemeClr w14:val="tx1"/>
            </w14:solidFill>
          </w14:textFill>
        </w:rPr>
        <w:tab/>
      </w:r>
      <w:r>
        <w:rPr>
          <w:color w:val="000000" w:themeColor="text1"/>
          <w:sz w:val="24"/>
          <w:highlight w:val="none"/>
          <w:u w:val="single"/>
          <w14:textFill>
            <w14:solidFill>
              <w14:schemeClr w14:val="tx1"/>
            </w14:solidFill>
          </w14:textFill>
        </w:rPr>
        <w:tab/>
      </w:r>
      <w:r>
        <w:rPr>
          <w:color w:val="000000" w:themeColor="text1"/>
          <w:sz w:val="24"/>
          <w:highlight w:val="none"/>
          <w:u w:val="single"/>
          <w14:textFill>
            <w14:solidFill>
              <w14:schemeClr w14:val="tx1"/>
            </w14:solidFill>
          </w14:textFill>
        </w:rPr>
        <w:tab/>
      </w:r>
      <w:r>
        <w:rPr>
          <w:color w:val="000000" w:themeColor="text1"/>
          <w:sz w:val="24"/>
          <w:highlight w:val="none"/>
          <w:u w:val="single"/>
          <w14:textFill>
            <w14:solidFill>
              <w14:schemeClr w14:val="tx1"/>
            </w14:solidFill>
          </w14:textFill>
        </w:rPr>
        <w:tab/>
      </w:r>
      <w:r>
        <w:rPr>
          <w:color w:val="000000" w:themeColor="text1"/>
          <w:sz w:val="24"/>
          <w:highlight w:val="none"/>
          <w:u w:val="single"/>
          <w14:textFill>
            <w14:solidFill>
              <w14:schemeClr w14:val="tx1"/>
            </w14:solidFill>
          </w14:textFill>
        </w:rPr>
        <w:tab/>
      </w:r>
      <w:r>
        <w:rPr>
          <w:color w:val="000000" w:themeColor="text1"/>
          <w:sz w:val="24"/>
          <w:highlight w:val="none"/>
          <w:u w:val="single"/>
          <w14:textFill>
            <w14:solidFill>
              <w14:schemeClr w14:val="tx1"/>
            </w14:solidFill>
          </w14:textFill>
        </w:rPr>
        <w:tab/>
      </w:r>
      <w:r>
        <w:rPr>
          <w:color w:val="000000" w:themeColor="text1"/>
          <w:sz w:val="24"/>
          <w:highlight w:val="none"/>
          <w:u w:val="single"/>
          <w14:textFill>
            <w14:solidFill>
              <w14:schemeClr w14:val="tx1"/>
            </w14:solidFill>
          </w14:textFill>
        </w:rPr>
        <w:tab/>
      </w:r>
      <w:r>
        <w:rPr>
          <w:color w:val="000000" w:themeColor="text1"/>
          <w:sz w:val="24"/>
          <w:highlight w:val="none"/>
          <w:u w:val="single"/>
          <w14:textFill>
            <w14:solidFill>
              <w14:schemeClr w14:val="tx1"/>
            </w14:solidFill>
          </w14:textFill>
        </w:rPr>
        <w:tab/>
      </w:r>
      <w:r>
        <w:rPr>
          <w:color w:val="000000" w:themeColor="text1"/>
          <w:sz w:val="24"/>
          <w:highlight w:val="none"/>
          <w:u w:val="single"/>
          <w14:textFill>
            <w14:solidFill>
              <w14:schemeClr w14:val="tx1"/>
            </w14:solidFill>
          </w14:textFill>
        </w:rPr>
        <w:tab/>
      </w:r>
    </w:p>
    <w:p w14:paraId="59A368FF">
      <w:pPr>
        <w:spacing w:line="440" w:lineRule="atLeast"/>
        <w:ind w:firstLine="3496" w:firstLineChars="1457"/>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电    话：</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 xml:space="preserve"> </w:t>
      </w:r>
    </w:p>
    <w:p w14:paraId="3195E1C7">
      <w:pPr>
        <w:spacing w:line="440" w:lineRule="atLeast"/>
        <w:ind w:firstLine="3496" w:firstLineChars="1457"/>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传    真：</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 xml:space="preserve"> </w:t>
      </w:r>
    </w:p>
    <w:p w14:paraId="564DCB7F">
      <w:pPr>
        <w:jc w:val="right"/>
        <w:rPr>
          <w:color w:val="000000" w:themeColor="text1"/>
          <w:highlight w:val="none"/>
          <w14:textFill>
            <w14:solidFill>
              <w14:schemeClr w14:val="tx1"/>
            </w14:solidFill>
          </w14:textFill>
        </w:rPr>
      </w:pP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 xml:space="preserve"> 年</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 xml:space="preserve">月 </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日</w:t>
      </w:r>
    </w:p>
    <w:p w14:paraId="532276E6">
      <w:pPr>
        <w:pStyle w:val="33"/>
        <w:spacing w:before="5" w:line="360" w:lineRule="auto"/>
        <w:ind w:firstLine="321" w:firstLineChars="100"/>
        <w:jc w:val="center"/>
        <w:rPr>
          <w:rFonts w:ascii="Microsoft JhengHei"/>
          <w:b/>
          <w:color w:val="000000" w:themeColor="text1"/>
          <w:sz w:val="32"/>
          <w:szCs w:val="32"/>
          <w:highlight w:val="none"/>
          <w14:textFill>
            <w14:solidFill>
              <w14:schemeClr w14:val="tx1"/>
            </w14:solidFill>
          </w14:textFill>
        </w:rPr>
      </w:pPr>
    </w:p>
    <w:p w14:paraId="76615202">
      <w:pPr>
        <w:rPr>
          <w:rFonts w:eastAsia="黑体"/>
          <w:color w:val="000000" w:themeColor="text1"/>
          <w:sz w:val="24"/>
          <w:highlight w:val="none"/>
          <w14:textFill>
            <w14:solidFill>
              <w14:schemeClr w14:val="tx1"/>
            </w14:solidFill>
          </w14:textFill>
        </w:rPr>
      </w:pPr>
      <w:r>
        <w:rPr>
          <w:rFonts w:eastAsia="黑体"/>
          <w:color w:val="000000" w:themeColor="text1"/>
          <w:sz w:val="24"/>
          <w:highlight w:val="none"/>
          <w14:textFill>
            <w14:solidFill>
              <w14:schemeClr w14:val="tx1"/>
            </w14:solidFill>
          </w14:textFill>
        </w:rPr>
        <w:br w:type="page"/>
      </w:r>
    </w:p>
    <w:p w14:paraId="1C0B47C5">
      <w:pPr>
        <w:rPr>
          <w:color w:val="000000" w:themeColor="text1"/>
          <w:highlight w:val="none"/>
          <w14:textFill>
            <w14:solidFill>
              <w14:schemeClr w14:val="tx1"/>
            </w14:solidFill>
          </w14:textFill>
        </w:rPr>
      </w:pPr>
    </w:p>
    <w:p w14:paraId="235369D4">
      <w:pPr>
        <w:pStyle w:val="85"/>
        <w:rPr>
          <w:color w:val="000000" w:themeColor="text1"/>
          <w:highlight w:val="none"/>
          <w14:textFill>
            <w14:solidFill>
              <w14:schemeClr w14:val="tx1"/>
            </w14:solidFill>
          </w14:textFill>
        </w:rPr>
      </w:pPr>
    </w:p>
    <w:p w14:paraId="3DE7C1A1">
      <w:pPr>
        <w:pStyle w:val="83"/>
        <w:spacing w:line="440" w:lineRule="atLeast"/>
        <w:ind w:firstLine="720"/>
        <w:rPr>
          <w:rFonts w:hint="eastAsia" w:ascii="宋体" w:hAnsi="宋体" w:cs="宋体"/>
          <w:color w:val="000000" w:themeColor="text1"/>
          <w:sz w:val="56"/>
          <w:szCs w:val="56"/>
          <w:highlight w:val="none"/>
          <w14:textFill>
            <w14:solidFill>
              <w14:schemeClr w14:val="tx1"/>
            </w14:solidFill>
          </w14:textFill>
        </w:rPr>
      </w:pPr>
      <w:bookmarkStart w:id="184" w:name="_Toc267901496"/>
      <w:bookmarkStart w:id="185" w:name="_Toc461179552"/>
      <w:bookmarkStart w:id="186" w:name="_Toc510015793"/>
    </w:p>
    <w:p w14:paraId="470F0248">
      <w:pPr>
        <w:pStyle w:val="83"/>
        <w:spacing w:line="440" w:lineRule="atLeast"/>
        <w:ind w:firstLine="720"/>
        <w:rPr>
          <w:rFonts w:hint="eastAsia" w:ascii="宋体" w:hAnsi="宋体" w:cs="宋体"/>
          <w:color w:val="000000" w:themeColor="text1"/>
          <w:sz w:val="56"/>
          <w:szCs w:val="56"/>
          <w:highlight w:val="none"/>
          <w14:textFill>
            <w14:solidFill>
              <w14:schemeClr w14:val="tx1"/>
            </w14:solidFill>
          </w14:textFill>
        </w:rPr>
      </w:pPr>
    </w:p>
    <w:p w14:paraId="12CC9C1C">
      <w:pPr>
        <w:pStyle w:val="83"/>
        <w:spacing w:line="440" w:lineRule="atLeast"/>
        <w:ind w:firstLine="720"/>
        <w:rPr>
          <w:rFonts w:hint="eastAsia" w:ascii="宋体" w:hAnsi="宋体" w:cs="宋体"/>
          <w:color w:val="000000" w:themeColor="text1"/>
          <w:sz w:val="56"/>
          <w:szCs w:val="56"/>
          <w:highlight w:val="none"/>
          <w14:textFill>
            <w14:solidFill>
              <w14:schemeClr w14:val="tx1"/>
            </w14:solidFill>
          </w14:textFill>
        </w:rPr>
      </w:pPr>
    </w:p>
    <w:p w14:paraId="5A6D8D1D">
      <w:pPr>
        <w:pStyle w:val="83"/>
        <w:spacing w:line="440" w:lineRule="atLeast"/>
        <w:ind w:firstLine="720"/>
        <w:rPr>
          <w:rFonts w:hint="eastAsia" w:ascii="宋体" w:hAnsi="宋体" w:cs="宋体"/>
          <w:color w:val="000000" w:themeColor="text1"/>
          <w:sz w:val="36"/>
          <w:szCs w:val="36"/>
          <w:highlight w:val="none"/>
          <w14:textFill>
            <w14:solidFill>
              <w14:schemeClr w14:val="tx1"/>
            </w14:solidFill>
          </w14:textFill>
        </w:rPr>
      </w:pPr>
      <w:r>
        <w:rPr>
          <w:rFonts w:hint="eastAsia" w:ascii="宋体" w:hAnsi="宋体" w:cs="宋体"/>
          <w:color w:val="000000" w:themeColor="text1"/>
          <w:sz w:val="56"/>
          <w:szCs w:val="56"/>
          <w:highlight w:val="none"/>
          <w14:textFill>
            <w14:solidFill>
              <w14:schemeClr w14:val="tx1"/>
            </w14:solidFill>
          </w14:textFill>
        </w:rPr>
        <w:t xml:space="preserve">第五章  </w:t>
      </w:r>
      <w:bookmarkEnd w:id="184"/>
      <w:bookmarkEnd w:id="185"/>
      <w:r>
        <w:rPr>
          <w:rFonts w:hint="eastAsia" w:ascii="宋体" w:hAnsi="宋体" w:cs="宋体"/>
          <w:color w:val="000000" w:themeColor="text1"/>
          <w:sz w:val="56"/>
          <w:szCs w:val="56"/>
          <w:highlight w:val="none"/>
          <w14:textFill>
            <w14:solidFill>
              <w14:schemeClr w14:val="tx1"/>
            </w14:solidFill>
          </w14:textFill>
        </w:rPr>
        <w:t>委托人要求</w:t>
      </w:r>
      <w:bookmarkEnd w:id="186"/>
    </w:p>
    <w:p w14:paraId="2E15799A">
      <w:pPr>
        <w:spacing w:line="440" w:lineRule="atLeast"/>
        <w:rPr>
          <w:rFonts w:hint="eastAsia" w:ascii="宋体" w:hAnsi="宋体" w:cs="宋体"/>
          <w:color w:val="000000" w:themeColor="text1"/>
          <w:sz w:val="20"/>
          <w:szCs w:val="20"/>
          <w:highlight w:val="none"/>
          <w14:textFill>
            <w14:solidFill>
              <w14:schemeClr w14:val="tx1"/>
            </w14:solidFill>
          </w14:textFill>
        </w:rPr>
      </w:pPr>
    </w:p>
    <w:p w14:paraId="7010964E">
      <w:pPr>
        <w:spacing w:line="440" w:lineRule="atLeast"/>
        <w:rPr>
          <w:rFonts w:hint="eastAsia" w:ascii="宋体" w:hAnsi="宋体" w:cs="宋体"/>
          <w:color w:val="000000" w:themeColor="text1"/>
          <w:sz w:val="20"/>
          <w:szCs w:val="20"/>
          <w:highlight w:val="none"/>
          <w14:textFill>
            <w14:solidFill>
              <w14:schemeClr w14:val="tx1"/>
            </w14:solidFill>
          </w14:textFill>
        </w:rPr>
      </w:pPr>
    </w:p>
    <w:p w14:paraId="2C220F50">
      <w:pPr>
        <w:spacing w:line="440" w:lineRule="atLeast"/>
        <w:rPr>
          <w:rFonts w:hint="eastAsia" w:ascii="宋体" w:hAnsi="宋体" w:cs="宋体"/>
          <w:color w:val="000000" w:themeColor="text1"/>
          <w:sz w:val="20"/>
          <w:szCs w:val="20"/>
          <w:highlight w:val="none"/>
          <w14:textFill>
            <w14:solidFill>
              <w14:schemeClr w14:val="tx1"/>
            </w14:solidFill>
          </w14:textFill>
        </w:rPr>
      </w:pPr>
    </w:p>
    <w:p w14:paraId="5BC13299">
      <w:pPr>
        <w:spacing w:line="440" w:lineRule="atLeast"/>
        <w:rPr>
          <w:rFonts w:hint="eastAsia" w:ascii="宋体" w:hAnsi="宋体" w:cs="宋体"/>
          <w:color w:val="000000" w:themeColor="text1"/>
          <w:sz w:val="20"/>
          <w:szCs w:val="20"/>
          <w:highlight w:val="none"/>
          <w14:textFill>
            <w14:solidFill>
              <w14:schemeClr w14:val="tx1"/>
            </w14:solidFill>
          </w14:textFill>
        </w:rPr>
      </w:pPr>
    </w:p>
    <w:p w14:paraId="61BD047B">
      <w:pPr>
        <w:spacing w:line="440" w:lineRule="atLeast"/>
        <w:rPr>
          <w:rFonts w:hint="eastAsia" w:ascii="宋体" w:hAnsi="宋体" w:cs="宋体"/>
          <w:color w:val="000000" w:themeColor="text1"/>
          <w:sz w:val="20"/>
          <w:szCs w:val="20"/>
          <w:highlight w:val="none"/>
          <w14:textFill>
            <w14:solidFill>
              <w14:schemeClr w14:val="tx1"/>
            </w14:solidFill>
          </w14:textFill>
        </w:rPr>
      </w:pPr>
    </w:p>
    <w:p w14:paraId="24F2E989">
      <w:pPr>
        <w:spacing w:line="440" w:lineRule="atLeast"/>
        <w:rPr>
          <w:rFonts w:hint="eastAsia" w:ascii="宋体" w:hAnsi="宋体" w:cs="宋体"/>
          <w:color w:val="000000" w:themeColor="text1"/>
          <w:sz w:val="20"/>
          <w:szCs w:val="20"/>
          <w:highlight w:val="none"/>
          <w14:textFill>
            <w14:solidFill>
              <w14:schemeClr w14:val="tx1"/>
            </w14:solidFill>
          </w14:textFill>
        </w:rPr>
      </w:pPr>
    </w:p>
    <w:p w14:paraId="7AFFB7DF">
      <w:pPr>
        <w:pStyle w:val="160"/>
        <w:spacing w:before="260" w:after="260" w:line="440" w:lineRule="atLeast"/>
        <w:jc w:val="center"/>
        <w:rPr>
          <w:rFonts w:hint="eastAsia" w:ascii="宋体" w:hAnsi="宋体" w:eastAsia="宋体" w:cs="宋体"/>
          <w:b/>
          <w:color w:val="000000" w:themeColor="text1"/>
          <w:spacing w:val="1"/>
          <w:sz w:val="36"/>
          <w:szCs w:val="36"/>
          <w:highlight w:val="none"/>
          <w:lang w:eastAsia="zh-CN"/>
          <w14:textFill>
            <w14:solidFill>
              <w14:schemeClr w14:val="tx1"/>
            </w14:solidFill>
          </w14:textFill>
        </w:rPr>
      </w:pPr>
      <w:r>
        <w:rPr>
          <w:rFonts w:hint="eastAsia" w:ascii="宋体" w:hAnsi="宋体" w:eastAsia="宋体" w:cs="宋体"/>
          <w:color w:val="000000" w:themeColor="text1"/>
          <w:sz w:val="20"/>
          <w:szCs w:val="20"/>
          <w:highlight w:val="none"/>
          <w:lang w:eastAsia="zh-CN"/>
          <w14:textFill>
            <w14:solidFill>
              <w14:schemeClr w14:val="tx1"/>
            </w14:solidFill>
          </w14:textFill>
        </w:rPr>
        <w:br w:type="page"/>
      </w:r>
      <w:r>
        <w:rPr>
          <w:rFonts w:hint="eastAsia" w:ascii="宋体" w:hAnsi="宋体" w:eastAsia="宋体" w:cs="宋体"/>
          <w:b/>
          <w:color w:val="000000" w:themeColor="text1"/>
          <w:spacing w:val="1"/>
          <w:sz w:val="36"/>
          <w:szCs w:val="36"/>
          <w:highlight w:val="none"/>
          <w:lang w:eastAsia="zh-CN"/>
          <w14:textFill>
            <w14:solidFill>
              <w14:schemeClr w14:val="tx1"/>
            </w14:solidFill>
          </w14:textFill>
        </w:rPr>
        <w:t>委托人要求</w:t>
      </w:r>
    </w:p>
    <w:p w14:paraId="1D72DBDE">
      <w:pPr>
        <w:pStyle w:val="957"/>
        <w:spacing w:before="0" w:after="0" w:line="360" w:lineRule="auto"/>
        <w:ind w:firstLine="480" w:firstLineChars="200"/>
        <w:rPr>
          <w:rFonts w:hint="eastAsia" w:cs="宋体" w:asciiTheme="minorEastAsia" w:hAnsiTheme="minorEastAsia" w:eastAsiaTheme="minorEastAsia"/>
          <w:color w:val="000000" w:themeColor="text1"/>
          <w:sz w:val="24"/>
          <w:szCs w:val="24"/>
          <w:highlight w:val="none"/>
          <w:lang w:eastAsia="zh-CN"/>
          <w14:textFill>
            <w14:solidFill>
              <w14:schemeClr w14:val="tx1"/>
            </w14:solidFill>
          </w14:textFill>
        </w:rPr>
      </w:pPr>
      <w:r>
        <w:rPr>
          <w:rFonts w:hint="eastAsia" w:cs="宋体" w:asciiTheme="minorEastAsia" w:hAnsiTheme="minorEastAsia" w:eastAsiaTheme="minorEastAsia"/>
          <w:color w:val="000000" w:themeColor="text1"/>
          <w:sz w:val="24"/>
          <w:szCs w:val="24"/>
          <w:highlight w:val="none"/>
          <w:lang w:eastAsia="zh-CN"/>
          <w14:textFill>
            <w14:solidFill>
              <w14:schemeClr w14:val="tx1"/>
            </w14:solidFill>
          </w14:textFill>
        </w:rPr>
        <w:t>委托人要求包括但不限于以下内容：</w:t>
      </w:r>
    </w:p>
    <w:p w14:paraId="7208D0E8">
      <w:pPr>
        <w:pStyle w:val="160"/>
        <w:spacing w:before="0" w:after="0" w:line="360" w:lineRule="auto"/>
        <w:outlineLvl w:val="1"/>
        <w:rPr>
          <w:rFonts w:hint="eastAsia" w:cs="宋体" w:asciiTheme="minorEastAsia" w:hAnsiTheme="minorEastAsia" w:eastAsiaTheme="minorEastAsia"/>
          <w:b/>
          <w:color w:val="000000" w:themeColor="text1"/>
          <w:spacing w:val="1"/>
          <w:sz w:val="28"/>
          <w:szCs w:val="28"/>
          <w:highlight w:val="none"/>
          <w:lang w:eastAsia="zh-CN"/>
          <w14:textFill>
            <w14:solidFill>
              <w14:schemeClr w14:val="tx1"/>
            </w14:solidFill>
          </w14:textFill>
        </w:rPr>
      </w:pPr>
      <w:bookmarkStart w:id="187" w:name="_Toc506008212"/>
      <w:bookmarkStart w:id="188" w:name="_Toc513817629"/>
      <w:bookmarkStart w:id="189" w:name="_Toc499646510"/>
      <w:bookmarkStart w:id="190" w:name="_Toc508886121"/>
      <w:r>
        <w:rPr>
          <w:rFonts w:hint="eastAsia" w:cs="宋体" w:asciiTheme="minorEastAsia" w:hAnsiTheme="minorEastAsia" w:eastAsiaTheme="minorEastAsia"/>
          <w:b/>
          <w:color w:val="000000" w:themeColor="text1"/>
          <w:spacing w:val="1"/>
          <w:sz w:val="28"/>
          <w:szCs w:val="28"/>
          <w:highlight w:val="none"/>
          <w:lang w:eastAsia="zh-CN"/>
          <w14:textFill>
            <w14:solidFill>
              <w14:schemeClr w14:val="tx1"/>
            </w14:solidFill>
          </w14:textFill>
        </w:rPr>
        <w:t>一、咨询服务要求</w:t>
      </w:r>
      <w:bookmarkEnd w:id="187"/>
      <w:bookmarkEnd w:id="188"/>
      <w:bookmarkEnd w:id="189"/>
      <w:bookmarkEnd w:id="190"/>
    </w:p>
    <w:p w14:paraId="5E416A23">
      <w:pPr>
        <w:autoSpaceDE w:val="0"/>
        <w:spacing w:line="360" w:lineRule="auto"/>
        <w:ind w:firstLine="480" w:firstLineChars="200"/>
        <w:rPr>
          <w:rFonts w:hint="eastAsia" w:ascii="宋体" w:hAnsi="宋体"/>
          <w:b w:val="0"/>
          <w:bCs w:val="0"/>
          <w:color w:val="000000" w:themeColor="text1"/>
          <w:sz w:val="24"/>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24"/>
          <w:szCs w:val="24"/>
          <w:highlight w:val="none"/>
          <w:lang w:eastAsia="zh-CN"/>
          <w14:textFill>
            <w14:solidFill>
              <w14:schemeClr w14:val="tx1"/>
            </w14:solidFill>
          </w14:textFill>
        </w:rPr>
        <w:t>采购项目概况：</w:t>
      </w:r>
      <w:r>
        <w:rPr>
          <w:rFonts w:hint="eastAsia" w:ascii="宋体" w:hAnsi="宋体" w:eastAsia="宋体" w:cs="Times New Roman"/>
          <w:sz w:val="24"/>
          <w:highlight w:val="none"/>
        </w:rPr>
        <w:t>G59呼北高速张家界至官庄段第二合同段</w:t>
      </w:r>
      <w:r>
        <w:rPr>
          <w:rFonts w:hint="eastAsia" w:ascii="宋体" w:hAnsi="宋体" w:eastAsia="宋体" w:cs="Times New Roman"/>
          <w:sz w:val="24"/>
          <w:szCs w:val="24"/>
          <w:highlight w:val="none"/>
          <w:lang w:val="en-US" w:eastAsia="zh-CN"/>
        </w:rPr>
        <w:t>镰刀湾特大桥位于怀化市沅陵县清浪乡，西岸位于洞庭溪村，东岸位于翻身村，附近无乡村道路、仅水路与之连通，交通不便。桥梁中心桩号为 L4K6+849，起点桩号为 L4K6+652.16，终点桩号为L4K7+042.04，结构形式为3x20m先简支后结构连续预制小箱梁+220m钢筋砼上承式拱+5x20m先简支后结构连续预制小箱梁，桥长390m。</w:t>
      </w:r>
    </w:p>
    <w:p w14:paraId="1062B69A">
      <w:pPr>
        <w:pStyle w:val="5"/>
        <w:rPr>
          <w:rFonts w:ascii="Arial" w:hAnsi="Arial"/>
          <w:color w:val="000000" w:themeColor="text1"/>
          <w:highlight w:val="none"/>
          <w14:textFill>
            <w14:solidFill>
              <w14:schemeClr w14:val="tx1"/>
            </w14:solidFill>
          </w14:textFill>
        </w:rPr>
      </w:pPr>
      <w:r>
        <w:rPr>
          <w:rFonts w:hint="eastAsia" w:ascii="黑体" w:hAnsi="黑体"/>
          <w:color w:val="000000" w:themeColor="text1"/>
          <w:highlight w:val="none"/>
          <w14:textFill>
            <w14:solidFill>
              <w14:schemeClr w14:val="tx1"/>
            </w14:solidFill>
          </w14:textFill>
        </w:rPr>
        <w:t xml:space="preserve">二、采购范围及相关要求 </w:t>
      </w:r>
    </w:p>
    <w:p w14:paraId="28B301A2">
      <w:pPr>
        <w:autoSpaceDE w:val="0"/>
        <w:spacing w:line="40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2.1 采购范围：本次采购分为1个标包。其标包划分及采购内容等见下表。</w:t>
      </w:r>
    </w:p>
    <w:tbl>
      <w:tblPr>
        <w:tblStyle w:val="87"/>
        <w:tblpPr w:leftFromText="180" w:rightFromText="180" w:vertAnchor="text" w:horzAnchor="page" w:tblpXSpec="center" w:tblpY="250"/>
        <w:tblOverlap w:val="never"/>
        <w:tblW w:w="494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4"/>
        <w:gridCol w:w="1793"/>
        <w:gridCol w:w="1212"/>
        <w:gridCol w:w="1529"/>
        <w:gridCol w:w="974"/>
        <w:gridCol w:w="2255"/>
        <w:gridCol w:w="1358"/>
      </w:tblGrid>
      <w:tr w14:paraId="1A5F4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301" w:type="pct"/>
            <w:vAlign w:val="center"/>
          </w:tcPr>
          <w:p w14:paraId="2D689C7D">
            <w:pPr>
              <w:widowControl w:val="0"/>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标段</w:t>
            </w:r>
          </w:p>
        </w:tc>
        <w:tc>
          <w:tcPr>
            <w:tcW w:w="923" w:type="pct"/>
            <w:vAlign w:val="center"/>
          </w:tcPr>
          <w:p w14:paraId="759446FA">
            <w:pPr>
              <w:widowControl w:val="0"/>
              <w:jc w:val="center"/>
              <w:rPr>
                <w:rFonts w:ascii="Times New Roman" w:hAnsi="Times New Roman" w:eastAsia="宋体" w:cs="Times New Roman"/>
                <w:color w:val="000000" w:themeColor="text1"/>
                <w:szCs w:val="21"/>
                <w:highlight w:val="none"/>
                <w14:textFill>
                  <w14:solidFill>
                    <w14:schemeClr w14:val="tx1"/>
                  </w14:solidFill>
                </w14:textFill>
              </w:rPr>
            </w:pPr>
            <w:r>
              <w:rPr>
                <w:rFonts w:hint="eastAsia" w:ascii="Times New Roman" w:hAnsi="Times New Roman" w:eastAsia="宋体" w:cs="Times New Roman"/>
                <w:color w:val="000000" w:themeColor="text1"/>
                <w:szCs w:val="21"/>
                <w:highlight w:val="none"/>
                <w14:textFill>
                  <w14:solidFill>
                    <w14:schemeClr w14:val="tx1"/>
                  </w14:solidFill>
                </w14:textFill>
              </w:rPr>
              <w:t>工作内容</w:t>
            </w:r>
          </w:p>
        </w:tc>
        <w:tc>
          <w:tcPr>
            <w:tcW w:w="624" w:type="pct"/>
            <w:vAlign w:val="center"/>
          </w:tcPr>
          <w:p w14:paraId="54BCD77D">
            <w:pPr>
              <w:widowControl w:val="0"/>
              <w:jc w:val="center"/>
              <w:rPr>
                <w:rFonts w:ascii="Times New Roman" w:hAnsi="Times New Roman" w:eastAsia="宋体" w:cs="Times New Roman"/>
                <w:color w:val="000000" w:themeColor="text1"/>
                <w:szCs w:val="21"/>
                <w:highlight w:val="none"/>
                <w14:textFill>
                  <w14:solidFill>
                    <w14:schemeClr w14:val="tx1"/>
                  </w14:solidFill>
                </w14:textFill>
              </w:rPr>
            </w:pPr>
            <w:r>
              <w:rPr>
                <w:rFonts w:hint="eastAsia" w:ascii="Times New Roman" w:hAnsi="Times New Roman" w:eastAsia="宋体" w:cs="Times New Roman"/>
                <w:color w:val="000000" w:themeColor="text1"/>
                <w:szCs w:val="21"/>
                <w:highlight w:val="none"/>
                <w14:textFill>
                  <w14:solidFill>
                    <w14:schemeClr w14:val="tx1"/>
                  </w14:solidFill>
                </w14:textFill>
              </w:rPr>
              <w:t>数 量</w:t>
            </w:r>
          </w:p>
          <w:p w14:paraId="4440ED65">
            <w:pPr>
              <w:widowControl w:val="0"/>
              <w:jc w:val="center"/>
              <w:rPr>
                <w:rFonts w:ascii="Times New Roman" w:hAnsi="Times New Roman" w:eastAsia="宋体" w:cs="Times New Roman"/>
                <w:color w:val="000000" w:themeColor="text1"/>
                <w:szCs w:val="21"/>
                <w:highlight w:val="none"/>
                <w14:textFill>
                  <w14:solidFill>
                    <w14:schemeClr w14:val="tx1"/>
                  </w14:solidFill>
                </w14:textFill>
              </w:rPr>
            </w:pPr>
            <w:r>
              <w:rPr>
                <w:rFonts w:hint="eastAsia" w:ascii="Times New Roman" w:hAnsi="Times New Roman" w:eastAsia="宋体" w:cs="Times New Roman"/>
                <w:color w:val="000000" w:themeColor="text1"/>
                <w:szCs w:val="21"/>
                <w:highlight w:val="none"/>
                <w14:textFill>
                  <w14:solidFill>
                    <w14:schemeClr w14:val="tx1"/>
                  </w14:solidFill>
                </w14:textFill>
              </w:rPr>
              <w:t>（单位：项）</w:t>
            </w:r>
          </w:p>
        </w:tc>
        <w:tc>
          <w:tcPr>
            <w:tcW w:w="787" w:type="pct"/>
            <w:vAlign w:val="center"/>
          </w:tcPr>
          <w:p w14:paraId="1C45B3AD">
            <w:pPr>
              <w:widowControl w:val="0"/>
              <w:jc w:val="center"/>
              <w:rPr>
                <w:rFonts w:hint="eastAsia" w:ascii="Times New Roman" w:hAnsi="Times New Roman" w:eastAsia="宋体" w:cs="Times New Roman"/>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auto"/>
                <w:sz w:val="21"/>
                <w:szCs w:val="21"/>
                <w:highlight w:val="none"/>
              </w:rPr>
              <w:t>桩号</w:t>
            </w:r>
          </w:p>
        </w:tc>
        <w:tc>
          <w:tcPr>
            <w:tcW w:w="502" w:type="pct"/>
            <w:shd w:val="clear" w:color="auto" w:fill="auto"/>
            <w:vAlign w:val="center"/>
          </w:tcPr>
          <w:p w14:paraId="0A897AE9">
            <w:pPr>
              <w:widowControl/>
              <w:spacing w:line="440" w:lineRule="atLeast"/>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长度</w:t>
            </w:r>
          </w:p>
          <w:p w14:paraId="3B500DDC">
            <w:pPr>
              <w:widowControl/>
              <w:spacing w:line="440" w:lineRule="atLeast"/>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rPr>
              <w:t>（m）</w:t>
            </w:r>
          </w:p>
        </w:tc>
        <w:tc>
          <w:tcPr>
            <w:tcW w:w="1161" w:type="pct"/>
            <w:vAlign w:val="center"/>
          </w:tcPr>
          <w:p w14:paraId="22C9E9D4">
            <w:pPr>
              <w:widowControl w:val="0"/>
              <w:jc w:val="center"/>
              <w:rPr>
                <w:rFonts w:hint="eastAsia" w:ascii="Times New Roman" w:hAnsi="Times New Roman" w:eastAsia="宋体" w:cs="Times New Roman"/>
                <w:color w:val="000000" w:themeColor="text1"/>
                <w:szCs w:val="21"/>
                <w:highlight w:val="none"/>
                <w14:textFill>
                  <w14:solidFill>
                    <w14:schemeClr w14:val="tx1"/>
                  </w14:solidFill>
                </w14:textFill>
              </w:rPr>
            </w:pPr>
            <w:r>
              <w:rPr>
                <w:rFonts w:hint="eastAsia" w:ascii="Times New Roman" w:hAnsi="Times New Roman" w:eastAsia="宋体" w:cs="Times New Roman"/>
                <w:color w:val="000000" w:themeColor="text1"/>
                <w:szCs w:val="21"/>
                <w:highlight w:val="none"/>
                <w14:textFill>
                  <w14:solidFill>
                    <w14:schemeClr w14:val="tx1"/>
                  </w14:solidFill>
                </w14:textFill>
              </w:rPr>
              <w:t>服务范围</w:t>
            </w:r>
          </w:p>
        </w:tc>
        <w:tc>
          <w:tcPr>
            <w:tcW w:w="699" w:type="pct"/>
            <w:vAlign w:val="center"/>
          </w:tcPr>
          <w:p w14:paraId="02EB082B">
            <w:pPr>
              <w:widowControl w:val="0"/>
              <w:jc w:val="cente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cs="Times New Roman"/>
                <w:color w:val="000000" w:themeColor="text1"/>
                <w:szCs w:val="21"/>
                <w:highlight w:val="none"/>
                <w:lang w:val="en-US" w:eastAsia="zh-CN"/>
                <w14:textFill>
                  <w14:solidFill>
                    <w14:schemeClr w14:val="tx1"/>
                  </w14:solidFill>
                </w14:textFill>
              </w:rPr>
              <w:t>备注</w:t>
            </w:r>
          </w:p>
        </w:tc>
      </w:tr>
      <w:tr w14:paraId="79566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jc w:val="center"/>
        </w:trPr>
        <w:tc>
          <w:tcPr>
            <w:tcW w:w="301" w:type="pct"/>
            <w:vAlign w:val="center"/>
          </w:tcPr>
          <w:p w14:paraId="2D815C80">
            <w:pPr>
              <w:widowControl w:val="0"/>
              <w:spacing w:line="360" w:lineRule="auto"/>
              <w:jc w:val="both"/>
              <w:rPr>
                <w:rFonts w:hint="eastAsia" w:ascii="宋体" w:hAnsi="宋体" w:eastAsia="宋体" w:cs="宋体"/>
                <w:bCs/>
                <w:color w:val="000000" w:themeColor="text1"/>
                <w:szCs w:val="21"/>
                <w:highlight w:val="none"/>
                <w:lang w:val="en-US" w:eastAsia="zh-CN"/>
                <w14:textFill>
                  <w14:solidFill>
                    <w14:schemeClr w14:val="tx1"/>
                  </w14:solidFill>
                </w14:textFill>
              </w:rPr>
            </w:pPr>
            <w:r>
              <w:rPr>
                <w:rFonts w:hint="eastAsia" w:ascii="宋体" w:hAnsi="宋体" w:eastAsia="宋体" w:cs="宋体"/>
                <w:bCs/>
                <w:color w:val="000000" w:themeColor="text1"/>
                <w:szCs w:val="21"/>
                <w:highlight w:val="none"/>
                <w:lang w:val="en-US" w:eastAsia="zh-CN"/>
                <w14:textFill>
                  <w14:solidFill>
                    <w14:schemeClr w14:val="tx1"/>
                  </w14:solidFill>
                </w14:textFill>
              </w:rPr>
              <w:t>I标</w:t>
            </w:r>
          </w:p>
        </w:tc>
        <w:tc>
          <w:tcPr>
            <w:tcW w:w="923" w:type="pct"/>
            <w:vAlign w:val="center"/>
          </w:tcPr>
          <w:p w14:paraId="3F4DB3A5">
            <w:pPr>
              <w:widowControl w:val="0"/>
              <w:spacing w:line="360" w:lineRule="auto"/>
              <w:jc w:val="both"/>
              <w:rPr>
                <w:rFonts w:hint="eastAsia" w:ascii="宋体" w:hAnsi="宋体" w:eastAsia="宋体" w:cs="宋体"/>
                <w:bCs/>
                <w:color w:val="000000" w:themeColor="text1"/>
                <w:szCs w:val="21"/>
                <w:highlight w:val="none"/>
                <w:shd w:val="clear" w:color="auto" w:fill="FFFFFF"/>
                <w14:textFill>
                  <w14:solidFill>
                    <w14:schemeClr w14:val="tx1"/>
                  </w14:solidFill>
                </w14:textFill>
              </w:rPr>
            </w:pPr>
            <w:r>
              <w:rPr>
                <w:rFonts w:hint="eastAsia" w:ascii="宋体" w:hAnsi="宋体" w:eastAsia="宋体" w:cs="宋体"/>
                <w:bCs/>
                <w:color w:val="000000" w:themeColor="text1"/>
                <w:szCs w:val="21"/>
                <w:highlight w:val="none"/>
                <w:shd w:val="clear" w:color="auto" w:fill="FFFFFF"/>
                <w:lang w:val="en-US" w:eastAsia="zh-CN"/>
                <w14:textFill>
                  <w14:solidFill>
                    <w14:schemeClr w14:val="tx1"/>
                  </w14:solidFill>
                </w14:textFill>
              </w:rPr>
              <w:t>G59呼北高速张家界至官庄段第二标段镰刀湾特大桥施工监控技术咨询服务</w:t>
            </w:r>
            <w:r>
              <w:rPr>
                <w:rFonts w:hint="eastAsia" w:ascii="宋体" w:hAnsi="宋体" w:eastAsia="宋体" w:cs="宋体"/>
                <w:bCs/>
                <w:color w:val="000000" w:themeColor="text1"/>
                <w:szCs w:val="21"/>
                <w:highlight w:val="none"/>
                <w:shd w:val="clear" w:color="auto" w:fill="FFFFFF"/>
                <w14:textFill>
                  <w14:solidFill>
                    <w14:schemeClr w14:val="tx1"/>
                  </w14:solidFill>
                </w14:textFill>
              </w:rPr>
              <w:t>采购</w:t>
            </w:r>
          </w:p>
        </w:tc>
        <w:tc>
          <w:tcPr>
            <w:tcW w:w="624" w:type="pct"/>
            <w:vAlign w:val="center"/>
          </w:tcPr>
          <w:p w14:paraId="4FFFB330">
            <w:pPr>
              <w:widowControl w:val="0"/>
              <w:tabs>
                <w:tab w:val="left" w:pos="438"/>
              </w:tabs>
              <w:spacing w:line="360" w:lineRule="auto"/>
              <w:jc w:val="center"/>
              <w:rPr>
                <w:rFonts w:hint="eastAsia" w:ascii="宋体" w:hAnsi="宋体" w:eastAsia="宋体" w:cs="宋体"/>
                <w:bCs/>
                <w:color w:val="000000" w:themeColor="text1"/>
                <w:szCs w:val="21"/>
                <w:highlight w:val="none"/>
                <w:shd w:val="clear" w:color="auto" w:fill="FFFFFF"/>
                <w14:textFill>
                  <w14:solidFill>
                    <w14:schemeClr w14:val="tx1"/>
                  </w14:solidFill>
                </w14:textFill>
              </w:rPr>
            </w:pPr>
            <w:r>
              <w:rPr>
                <w:rFonts w:hint="eastAsia" w:ascii="宋体" w:hAnsi="宋体" w:eastAsia="宋体" w:cs="宋体"/>
                <w:bCs/>
                <w:color w:val="000000" w:themeColor="text1"/>
                <w:szCs w:val="21"/>
                <w:highlight w:val="none"/>
                <w:shd w:val="clear" w:color="auto" w:fill="FFFFFF"/>
                <w14:textFill>
                  <w14:solidFill>
                    <w14:schemeClr w14:val="tx1"/>
                  </w14:solidFill>
                </w14:textFill>
              </w:rPr>
              <w:t>1</w:t>
            </w:r>
          </w:p>
        </w:tc>
        <w:tc>
          <w:tcPr>
            <w:tcW w:w="787" w:type="pct"/>
            <w:vAlign w:val="center"/>
          </w:tcPr>
          <w:p w14:paraId="2EBAA4F5">
            <w:pPr>
              <w:widowControl w:val="0"/>
              <w:tabs>
                <w:tab w:val="left" w:pos="438"/>
              </w:tabs>
              <w:spacing w:line="360" w:lineRule="auto"/>
              <w:jc w:val="center"/>
              <w:rPr>
                <w:rFonts w:hint="eastAsia" w:ascii="宋体" w:hAnsi="宋体" w:eastAsia="宋体" w:cs="宋体"/>
                <w:bCs/>
                <w:color w:val="000000" w:themeColor="text1"/>
                <w:szCs w:val="21"/>
                <w:highlight w:val="none"/>
                <w:shd w:val="clear" w:color="auto" w:fill="FFFFFF"/>
                <w14:textFill>
                  <w14:solidFill>
                    <w14:schemeClr w14:val="tx1"/>
                  </w14:solidFill>
                </w14:textFill>
              </w:rPr>
            </w:pPr>
            <w:r>
              <w:rPr>
                <w:rFonts w:hint="eastAsia" w:ascii="宋体" w:hAnsi="宋体" w:eastAsia="宋体" w:cs="Times New Roman"/>
                <w:sz w:val="24"/>
                <w:szCs w:val="24"/>
                <w:highlight w:val="none"/>
                <w:lang w:val="en-US" w:eastAsia="zh-CN"/>
              </w:rPr>
              <w:t>L4K6+849</w:t>
            </w:r>
            <w:r>
              <w:rPr>
                <w:rFonts w:hint="eastAsia" w:ascii="宋体" w:hAnsi="宋体" w:eastAsia="宋体" w:cs="Times New Roman"/>
                <w:sz w:val="24"/>
                <w:szCs w:val="24"/>
                <w:highlight w:val="none"/>
              </w:rPr>
              <w:t>～</w:t>
            </w:r>
            <w:r>
              <w:rPr>
                <w:rFonts w:hint="eastAsia" w:ascii="宋体" w:hAnsi="宋体" w:eastAsia="宋体" w:cs="Times New Roman"/>
                <w:sz w:val="24"/>
                <w:szCs w:val="24"/>
                <w:highlight w:val="none"/>
                <w:lang w:val="en-US" w:eastAsia="zh-CN"/>
              </w:rPr>
              <w:t>L4K7+042.04</w:t>
            </w:r>
          </w:p>
        </w:tc>
        <w:tc>
          <w:tcPr>
            <w:tcW w:w="502" w:type="pct"/>
            <w:shd w:val="clear" w:color="auto" w:fill="auto"/>
            <w:vAlign w:val="center"/>
          </w:tcPr>
          <w:p w14:paraId="7429D36B">
            <w:pPr>
              <w:widowControl/>
              <w:spacing w:line="440" w:lineRule="atLeast"/>
              <w:jc w:val="center"/>
              <w:rPr>
                <w:rFonts w:hint="eastAsia" w:asciiTheme="minorEastAsia" w:hAnsiTheme="minorEastAsia" w:eastAsiaTheme="minorEastAsia" w:cstheme="minorEastAsia"/>
                <w:b/>
                <w:color w:val="auto"/>
                <w:kern w:val="2"/>
                <w:sz w:val="21"/>
                <w:szCs w:val="21"/>
                <w:highlight w:val="none"/>
                <w:lang w:val="en-US" w:eastAsia="zh-CN" w:bidi="ar-SA"/>
              </w:rPr>
            </w:pPr>
            <w:r>
              <w:rPr>
                <w:rStyle w:val="128"/>
                <w:rFonts w:hint="eastAsia" w:asciiTheme="minorEastAsia" w:hAnsiTheme="minorEastAsia" w:eastAsiaTheme="minorEastAsia" w:cstheme="minorEastAsia"/>
                <w:iCs/>
                <w:color w:val="auto"/>
                <w:sz w:val="21"/>
                <w:szCs w:val="21"/>
                <w:highlight w:val="none"/>
                <w:lang w:val="en-US" w:eastAsia="zh-CN"/>
              </w:rPr>
              <w:t>390</w:t>
            </w:r>
          </w:p>
        </w:tc>
        <w:tc>
          <w:tcPr>
            <w:tcW w:w="1161" w:type="pct"/>
            <w:vAlign w:val="center"/>
          </w:tcPr>
          <w:p w14:paraId="2897CE4B">
            <w:pPr>
              <w:widowControl w:val="0"/>
              <w:spacing w:line="360" w:lineRule="auto"/>
              <w:jc w:val="both"/>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镰刀湾特大桥施工监控。</w:t>
            </w:r>
          </w:p>
        </w:tc>
        <w:tc>
          <w:tcPr>
            <w:tcW w:w="699" w:type="pct"/>
            <w:vAlign w:val="center"/>
          </w:tcPr>
          <w:p w14:paraId="043DB270">
            <w:pPr>
              <w:widowControl w:val="0"/>
              <w:spacing w:line="360" w:lineRule="auto"/>
              <w:jc w:val="center"/>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 xml:space="preserve"> </w:t>
            </w:r>
          </w:p>
        </w:tc>
      </w:tr>
    </w:tbl>
    <w:p w14:paraId="2CFFD028">
      <w:pPr>
        <w:autoSpaceDE w:val="0"/>
        <w:spacing w:line="400" w:lineRule="exact"/>
        <w:rPr>
          <w:rFonts w:hint="eastAsia" w:ascii="宋体" w:hAnsi="宋体"/>
          <w:color w:val="000000" w:themeColor="text1"/>
          <w:sz w:val="24"/>
          <w:highlight w:val="none"/>
          <w14:textFill>
            <w14:solidFill>
              <w14:schemeClr w14:val="tx1"/>
            </w14:solidFill>
          </w14:textFill>
        </w:rPr>
      </w:pPr>
    </w:p>
    <w:p w14:paraId="408A343E">
      <w:pPr>
        <w:autoSpaceDE w:val="0"/>
        <w:spacing w:line="360" w:lineRule="auto"/>
        <w:ind w:firstLine="480" w:firstLineChars="200"/>
        <w:rPr>
          <w:rFonts w:hint="eastAsia" w:ascii="宋体" w:hAnsi="宋体" w:eastAsia="宋体" w:cs="宋体"/>
          <w:color w:val="auto"/>
          <w:sz w:val="24"/>
          <w:szCs w:val="24"/>
          <w:highlight w:val="none"/>
          <w:lang w:val="en-US" w:eastAsia="zh-CN"/>
        </w:rPr>
      </w:pPr>
      <w:r>
        <w:rPr>
          <w:rFonts w:ascii="宋体" w:hAnsi="宋体" w:eastAsia="宋体" w:cs="宋体"/>
          <w:color w:val="auto"/>
          <w:sz w:val="24"/>
          <w:szCs w:val="24"/>
          <w:highlight w:val="none"/>
        </w:rPr>
        <w:t>本次招标咨询服务期限为：签订合同协议书之日起至本项目</w:t>
      </w:r>
      <w:r>
        <w:rPr>
          <w:rFonts w:hint="eastAsia" w:ascii="宋体" w:hAnsi="宋体" w:cs="宋体"/>
          <w:color w:val="auto"/>
          <w:sz w:val="24"/>
          <w:szCs w:val="24"/>
          <w:highlight w:val="none"/>
          <w:lang w:val="en-US" w:eastAsia="zh-CN"/>
        </w:rPr>
        <w:t>完</w:t>
      </w:r>
      <w:r>
        <w:rPr>
          <w:rFonts w:hint="eastAsia" w:ascii="宋体" w:hAnsi="宋体" w:eastAsia="宋体" w:cs="宋体"/>
          <w:color w:val="auto"/>
          <w:sz w:val="24"/>
          <w:szCs w:val="24"/>
          <w:highlight w:val="none"/>
        </w:rPr>
        <w:t>工</w:t>
      </w:r>
      <w:r>
        <w:rPr>
          <w:rFonts w:ascii="宋体" w:hAnsi="宋体" w:eastAsia="宋体" w:cs="宋体"/>
          <w:color w:val="auto"/>
          <w:sz w:val="24"/>
          <w:szCs w:val="24"/>
          <w:highlight w:val="none"/>
        </w:rPr>
        <w:t>验收通过之日止。</w:t>
      </w:r>
      <w:r>
        <w:rPr>
          <w:rFonts w:hint="eastAsia" w:ascii="宋体" w:hAnsi="宋体" w:eastAsia="宋体" w:cs="宋体"/>
          <w:color w:val="auto"/>
          <w:sz w:val="24"/>
          <w:szCs w:val="24"/>
          <w:highlight w:val="none"/>
          <w:lang w:val="en-US" w:eastAsia="zh-CN"/>
        </w:rPr>
        <w:t xml:space="preserve">具体进场时间为合同签订之日起 </w:t>
      </w:r>
      <w:r>
        <w:rPr>
          <w:rFonts w:hint="eastAsia" w:ascii="宋体" w:hAnsi="宋体" w:eastAsia="宋体" w:cs="宋体"/>
          <w:color w:val="auto"/>
          <w:sz w:val="24"/>
          <w:szCs w:val="24"/>
          <w:highlight w:val="none"/>
          <w:u w:val="single"/>
          <w:lang w:val="en-US" w:eastAsia="zh-CN"/>
        </w:rPr>
        <w:t xml:space="preserve"> 7  </w:t>
      </w:r>
      <w:r>
        <w:rPr>
          <w:rFonts w:hint="eastAsia" w:ascii="宋体" w:hAnsi="宋体" w:eastAsia="宋体" w:cs="宋体"/>
          <w:color w:val="auto"/>
          <w:sz w:val="24"/>
          <w:szCs w:val="24"/>
          <w:highlight w:val="none"/>
          <w:lang w:val="en-US" w:eastAsia="zh-CN"/>
        </w:rPr>
        <w:t>日内。</w:t>
      </w:r>
    </w:p>
    <w:p w14:paraId="14A2BF97">
      <w:pPr>
        <w:autoSpaceDE w:val="0"/>
        <w:spacing w:line="360" w:lineRule="auto"/>
        <w:ind w:firstLine="480" w:firstLineChars="200"/>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2.3 服务地点：采购人指定地点。</w:t>
      </w:r>
    </w:p>
    <w:p w14:paraId="3B345CD7">
      <w:pPr>
        <w:autoSpaceDE w:val="0"/>
        <w:spacing w:line="360" w:lineRule="auto"/>
        <w:ind w:firstLine="480" w:firstLineChars="200"/>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 xml:space="preserve">2.4 </w:t>
      </w:r>
      <w:r>
        <w:rPr>
          <w:rFonts w:hint="eastAsia" w:asciiTheme="minorEastAsia" w:hAnsiTheme="minorEastAsia" w:eastAsiaTheme="minorEastAsia"/>
          <w:color w:val="000000" w:themeColor="text1"/>
          <w:sz w:val="24"/>
          <w:highlight w:val="none"/>
          <w14:textFill>
            <w14:solidFill>
              <w14:schemeClr w14:val="tx1"/>
            </w14:solidFill>
          </w14:textFill>
        </w:rPr>
        <w:t>质量要求或服务标准：</w:t>
      </w:r>
    </w:p>
    <w:p w14:paraId="0502CA2E">
      <w:pPr>
        <w:autoSpaceDE w:val="0"/>
        <w:spacing w:line="360" w:lineRule="auto"/>
        <w:ind w:firstLine="480" w:firstLineChars="200"/>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（1）供应商应按照相关法律法规、技术标准和规范要求，根据采购人需求，开展</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施工监控</w:t>
      </w:r>
      <w:r>
        <w:rPr>
          <w:rFonts w:hint="eastAsia" w:asciiTheme="minorEastAsia" w:hAnsiTheme="minorEastAsia" w:eastAsiaTheme="minorEastAsia"/>
          <w:color w:val="000000" w:themeColor="text1"/>
          <w:sz w:val="24"/>
          <w:highlight w:val="none"/>
          <w14:textFill>
            <w14:solidFill>
              <w14:schemeClr w14:val="tx1"/>
            </w14:solidFill>
          </w14:textFill>
        </w:rPr>
        <w:t>服务工作。</w:t>
      </w:r>
    </w:p>
    <w:p w14:paraId="6D83A74E">
      <w:pPr>
        <w:autoSpaceDE w:val="0"/>
        <w:spacing w:line="360" w:lineRule="auto"/>
        <w:ind w:firstLine="480" w:firstLineChars="200"/>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（2）供应商应按期、按质、按量地完成双方商定的各项工作内容，并对成果报告的质量负责。</w:t>
      </w:r>
    </w:p>
    <w:p w14:paraId="31D85942">
      <w:pPr>
        <w:autoSpaceDE w:val="0"/>
        <w:spacing w:line="360" w:lineRule="auto"/>
        <w:ind w:firstLine="480" w:firstLineChars="200"/>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（3）在编制过程中，供应商应主动和采购人保持密切联系。</w:t>
      </w:r>
    </w:p>
    <w:p w14:paraId="2662BCF5">
      <w:pPr>
        <w:pStyle w:val="72"/>
        <w:spacing w:line="360" w:lineRule="auto"/>
        <w:ind w:left="0" w:leftChars="0" w:firstLine="480" w:firstLineChars="200"/>
        <w:rPr>
          <w:rFonts w:hint="eastAsia"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（4）供应商的工作进度没有达到响应文件中承诺的进度计划时，采购人有权向供应商提出要求增加服务人员，供应商应无条件满足。</w:t>
      </w:r>
    </w:p>
    <w:p w14:paraId="356580F8">
      <w:pPr>
        <w:rPr>
          <w:highlight w:val="none"/>
        </w:rPr>
      </w:pPr>
    </w:p>
    <w:p w14:paraId="27EAE9FA">
      <w:pPr>
        <w:widowControl/>
        <w:spacing w:line="360" w:lineRule="auto"/>
        <w:ind w:firstLine="180" w:firstLineChars="100"/>
        <w:jc w:val="left"/>
        <w:rPr>
          <w:rFonts w:ascii="Calibri" w:hAnsi="Calibri" w:eastAsia="宋体" w:cs="Times New Roman"/>
          <w:color w:val="auto"/>
          <w:kern w:val="2"/>
          <w:sz w:val="18"/>
          <w:szCs w:val="18"/>
          <w:highlight w:val="none"/>
          <w:lang w:val="en-US" w:eastAsia="zh-CN" w:bidi="ar-SA"/>
        </w:rPr>
      </w:pPr>
    </w:p>
    <w:p w14:paraId="26EE7E3C">
      <w:pPr>
        <w:widowControl/>
        <w:spacing w:line="360" w:lineRule="auto"/>
        <w:ind w:firstLine="480" w:firstLineChars="20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2.4服务依据</w:t>
      </w:r>
    </w:p>
    <w:p w14:paraId="318547C4">
      <w:pPr>
        <w:widowControl/>
        <w:spacing w:line="360" w:lineRule="auto"/>
        <w:ind w:firstLine="480" w:firstLineChars="20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(1)适用的法律、行政法规及部门规章；</w:t>
      </w:r>
    </w:p>
    <w:p w14:paraId="15D75D1B">
      <w:pPr>
        <w:widowControl/>
        <w:spacing w:line="360" w:lineRule="auto"/>
        <w:ind w:firstLine="480" w:firstLineChars="20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 所有与工程施工有关的国家现行的公路建设标准、规范、规程及相关文件。</w:t>
      </w:r>
    </w:p>
    <w:p w14:paraId="5FFCF46E">
      <w:pPr>
        <w:widowControl/>
        <w:spacing w:line="360" w:lineRule="auto"/>
        <w:ind w:firstLine="480" w:firstLineChars="20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(3)委托人签订的勘察、设计和施工承包合同；</w:t>
      </w:r>
    </w:p>
    <w:p w14:paraId="11BBA59C">
      <w:pPr>
        <w:keepNext w:val="0"/>
        <w:keepLines w:val="0"/>
        <w:pageBreakBefore w:val="0"/>
        <w:widowControl/>
        <w:suppressLineNumbers w:val="0"/>
        <w:kinsoku/>
        <w:wordWrap/>
        <w:overflowPunct/>
        <w:topLinePunct w:val="0"/>
        <w:autoSpaceDE/>
        <w:autoSpaceDN/>
        <w:bidi w:val="0"/>
        <w:adjustRightInd/>
        <w:snapToGrid/>
        <w:spacing w:before="0" w:beforeLines="25" w:after="0" w:afterLines="25" w:line="300" w:lineRule="auto"/>
        <w:jc w:val="left"/>
        <w:textAlignment w:val="auto"/>
        <w:outlineLvl w:val="1"/>
        <w:rPr>
          <w:rFonts w:hint="eastAsia" w:ascii="黑体" w:hAnsi="黑体" w:eastAsiaTheme="majorEastAsia" w:cstheme="majorBidi"/>
          <w:b/>
          <w:bCs/>
          <w:color w:val="000000" w:themeColor="text1"/>
          <w:kern w:val="2"/>
          <w:sz w:val="28"/>
          <w:szCs w:val="28"/>
          <w:highlight w:val="none"/>
          <w:lang w:val="en-US" w:eastAsia="zh-CN" w:bidi="ar-SA"/>
          <w14:textFill>
            <w14:solidFill>
              <w14:schemeClr w14:val="tx1"/>
            </w14:solidFill>
          </w14:textFill>
        </w:rPr>
      </w:pPr>
      <w:r>
        <w:rPr>
          <w:rFonts w:hint="eastAsia" w:ascii="黑体" w:hAnsi="黑体" w:eastAsiaTheme="majorEastAsia" w:cstheme="majorBidi"/>
          <w:b/>
          <w:bCs/>
          <w:color w:val="000000" w:themeColor="text1"/>
          <w:kern w:val="2"/>
          <w:sz w:val="28"/>
          <w:szCs w:val="28"/>
          <w:highlight w:val="none"/>
          <w:lang w:val="en-US" w:eastAsia="zh-CN" w:bidi="ar-SA"/>
          <w14:textFill>
            <w14:solidFill>
              <w14:schemeClr w14:val="tx1"/>
            </w14:solidFill>
          </w14:textFill>
        </w:rPr>
        <w:t xml:space="preserve">三、规范要求 </w:t>
      </w:r>
    </w:p>
    <w:p w14:paraId="27E63C42">
      <w:pPr>
        <w:keepNext w:val="0"/>
        <w:keepLines w:val="0"/>
        <w:pageBreakBefore w:val="0"/>
        <w:widowControl/>
        <w:suppressLineNumbers w:val="0"/>
        <w:kinsoku/>
        <w:wordWrap/>
        <w:overflowPunct/>
        <w:topLinePunct w:val="0"/>
        <w:autoSpaceDE/>
        <w:autoSpaceDN/>
        <w:bidi w:val="0"/>
        <w:adjustRightInd/>
        <w:snapToGrid/>
        <w:spacing w:before="0" w:beforeLines="25" w:after="0" w:afterLines="25" w:line="30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position w:val="-6"/>
          <w:sz w:val="24"/>
          <w:szCs w:val="24"/>
          <w:highlight w:val="none"/>
          <w:lang w:val="en-US" w:eastAsia="zh-CN" w:bidi="ar"/>
        </w:rPr>
        <w:t xml:space="preserve">施工监控依据（以下规程、规范、标准等以现行最新颁布的要求为准）： </w:t>
      </w:r>
    </w:p>
    <w:p w14:paraId="089E3031">
      <w:pPr>
        <w:keepNext w:val="0"/>
        <w:keepLines w:val="0"/>
        <w:pageBreakBefore w:val="0"/>
        <w:widowControl/>
        <w:suppressLineNumbers w:val="0"/>
        <w:kinsoku/>
        <w:wordWrap/>
        <w:overflowPunct/>
        <w:topLinePunct w:val="0"/>
        <w:autoSpaceDE/>
        <w:autoSpaceDN/>
        <w:bidi w:val="0"/>
        <w:adjustRightInd/>
        <w:snapToGrid/>
        <w:spacing w:before="0" w:beforeLines="25" w:after="0" w:afterLines="25" w:line="300" w:lineRule="auto"/>
        <w:ind w:firstLine="480" w:firstLineChars="200"/>
        <w:jc w:val="left"/>
        <w:textAlignment w:val="auto"/>
        <w:outlineLvl w:val="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position w:val="-6"/>
          <w:sz w:val="24"/>
          <w:szCs w:val="24"/>
          <w:highlight w:val="none"/>
          <w:lang w:val="en-US" w:eastAsia="zh-CN" w:bidi="ar"/>
        </w:rPr>
        <w:t>（1）</w:t>
      </w:r>
      <w:r>
        <w:rPr>
          <w:rFonts w:hint="eastAsia" w:asciiTheme="minorEastAsia" w:hAnsiTheme="minorEastAsia" w:eastAsiaTheme="minorEastAsia" w:cstheme="minorEastAsia"/>
          <w:color w:val="auto"/>
          <w:kern w:val="0"/>
          <w:position w:val="-6"/>
          <w:sz w:val="24"/>
          <w:highlight w:val="none"/>
          <w:lang w:bidi="ar"/>
        </w:rPr>
        <w:t>《公路桥梁施工监控技术规程》（JTG/T 3650-01—2022）</w:t>
      </w:r>
      <w:r>
        <w:rPr>
          <w:rFonts w:hint="eastAsia" w:asciiTheme="minorEastAsia" w:hAnsiTheme="minorEastAsia" w:eastAsiaTheme="minorEastAsia" w:cstheme="minorEastAsia"/>
          <w:color w:val="auto"/>
          <w:kern w:val="0"/>
          <w:position w:val="-6"/>
          <w:sz w:val="24"/>
          <w:szCs w:val="24"/>
          <w:highlight w:val="none"/>
          <w:lang w:val="en-US" w:eastAsia="zh-CN" w:bidi="ar"/>
        </w:rPr>
        <w:t xml:space="preserve"> </w:t>
      </w:r>
    </w:p>
    <w:p w14:paraId="0CC9D589">
      <w:pPr>
        <w:keepNext w:val="0"/>
        <w:keepLines w:val="0"/>
        <w:pageBreakBefore w:val="0"/>
        <w:widowControl/>
        <w:suppressLineNumbers w:val="0"/>
        <w:kinsoku/>
        <w:wordWrap/>
        <w:overflowPunct/>
        <w:topLinePunct w:val="0"/>
        <w:autoSpaceDE/>
        <w:autoSpaceDN/>
        <w:bidi w:val="0"/>
        <w:adjustRightInd/>
        <w:snapToGrid/>
        <w:spacing w:before="0" w:beforeLines="25" w:after="0" w:afterLines="25" w:line="30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position w:val="-6"/>
          <w:sz w:val="24"/>
          <w:szCs w:val="24"/>
          <w:highlight w:val="none"/>
          <w:lang w:val="en-US" w:eastAsia="zh-CN" w:bidi="ar"/>
        </w:rPr>
        <w:t>（2）</w:t>
      </w:r>
      <w:r>
        <w:rPr>
          <w:rFonts w:hint="eastAsia" w:asciiTheme="minorEastAsia" w:hAnsiTheme="minorEastAsia" w:eastAsiaTheme="minorEastAsia" w:cstheme="minorEastAsia"/>
          <w:color w:val="auto"/>
          <w:kern w:val="0"/>
          <w:position w:val="-6"/>
          <w:sz w:val="24"/>
          <w:highlight w:val="none"/>
          <w:lang w:bidi="ar"/>
        </w:rPr>
        <w:t>《钢筋混凝土拱桥悬臂浇筑与劲性骨架组合法应用技术规程》</w:t>
      </w:r>
      <w:r>
        <w:rPr>
          <w:rFonts w:hint="eastAsia" w:asciiTheme="minorEastAsia" w:hAnsiTheme="minorEastAsia" w:eastAsiaTheme="minorEastAsia" w:cstheme="minorEastAsia"/>
          <w:color w:val="auto"/>
          <w:kern w:val="0"/>
          <w:position w:val="-6"/>
          <w:sz w:val="24"/>
          <w:szCs w:val="24"/>
          <w:highlight w:val="none"/>
          <w:lang w:val="en-US" w:eastAsia="zh-CN" w:bidi="ar"/>
        </w:rPr>
        <w:t xml:space="preserve"> </w:t>
      </w:r>
    </w:p>
    <w:p w14:paraId="3AA743B8">
      <w:pPr>
        <w:keepNext w:val="0"/>
        <w:keepLines w:val="0"/>
        <w:pageBreakBefore w:val="0"/>
        <w:widowControl/>
        <w:suppressLineNumbers w:val="0"/>
        <w:kinsoku/>
        <w:wordWrap/>
        <w:overflowPunct/>
        <w:topLinePunct w:val="0"/>
        <w:autoSpaceDE/>
        <w:autoSpaceDN/>
        <w:bidi w:val="0"/>
        <w:adjustRightInd/>
        <w:snapToGrid/>
        <w:spacing w:before="0" w:beforeLines="25" w:after="0" w:afterLines="25" w:line="30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position w:val="-6"/>
          <w:sz w:val="24"/>
          <w:szCs w:val="24"/>
          <w:highlight w:val="none"/>
          <w:lang w:val="en-US" w:eastAsia="zh-CN" w:bidi="ar"/>
        </w:rPr>
        <w:t xml:space="preserve">（3）《公路工程竣（交）工验收办法》 </w:t>
      </w:r>
    </w:p>
    <w:p w14:paraId="3944BED2">
      <w:pPr>
        <w:keepNext w:val="0"/>
        <w:keepLines w:val="0"/>
        <w:pageBreakBefore w:val="0"/>
        <w:widowControl/>
        <w:suppressLineNumbers w:val="0"/>
        <w:kinsoku/>
        <w:wordWrap/>
        <w:overflowPunct/>
        <w:topLinePunct w:val="0"/>
        <w:autoSpaceDE/>
        <w:autoSpaceDN/>
        <w:bidi w:val="0"/>
        <w:adjustRightInd/>
        <w:snapToGrid/>
        <w:spacing w:before="0" w:beforeLines="25" w:after="0" w:afterLines="25" w:line="30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position w:val="-6"/>
          <w:sz w:val="24"/>
          <w:szCs w:val="24"/>
          <w:highlight w:val="none"/>
          <w:lang w:val="en-US" w:eastAsia="zh-CN" w:bidi="ar"/>
        </w:rPr>
        <w:t xml:space="preserve">（4）中华人民共和国交通部颁《公路工程技术标准》 </w:t>
      </w:r>
    </w:p>
    <w:p w14:paraId="45F8108D">
      <w:pPr>
        <w:keepNext w:val="0"/>
        <w:keepLines w:val="0"/>
        <w:pageBreakBefore w:val="0"/>
        <w:widowControl/>
        <w:suppressLineNumbers w:val="0"/>
        <w:kinsoku/>
        <w:wordWrap/>
        <w:overflowPunct/>
        <w:topLinePunct w:val="0"/>
        <w:autoSpaceDE/>
        <w:autoSpaceDN/>
        <w:bidi w:val="0"/>
        <w:adjustRightInd/>
        <w:snapToGrid/>
        <w:spacing w:before="0" w:beforeLines="25" w:after="0" w:afterLines="25" w:line="30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position w:val="-6"/>
          <w:sz w:val="24"/>
          <w:szCs w:val="24"/>
          <w:highlight w:val="none"/>
          <w:lang w:val="en-US" w:eastAsia="zh-CN" w:bidi="ar"/>
        </w:rPr>
        <w:t xml:space="preserve">（5）中华人民共和国交通部颁《公路桥涵设计通用规范》 </w:t>
      </w:r>
    </w:p>
    <w:p w14:paraId="4D59AADA">
      <w:pPr>
        <w:keepNext w:val="0"/>
        <w:keepLines w:val="0"/>
        <w:pageBreakBefore w:val="0"/>
        <w:widowControl/>
        <w:suppressLineNumbers w:val="0"/>
        <w:kinsoku/>
        <w:wordWrap/>
        <w:overflowPunct/>
        <w:topLinePunct w:val="0"/>
        <w:autoSpaceDE/>
        <w:autoSpaceDN/>
        <w:bidi w:val="0"/>
        <w:adjustRightInd/>
        <w:snapToGrid/>
        <w:spacing w:before="0" w:beforeLines="25" w:after="0" w:afterLines="25" w:line="30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position w:val="-6"/>
          <w:sz w:val="24"/>
          <w:szCs w:val="24"/>
          <w:highlight w:val="none"/>
          <w:lang w:val="en-US" w:eastAsia="zh-CN" w:bidi="ar"/>
        </w:rPr>
        <w:t xml:space="preserve">（6）中华人民共和国交通部颁《公路钢筋混凝土及预应力混凝土桥涵设计规范》 </w:t>
      </w:r>
    </w:p>
    <w:p w14:paraId="69C74096">
      <w:pPr>
        <w:keepNext w:val="0"/>
        <w:keepLines w:val="0"/>
        <w:pageBreakBefore w:val="0"/>
        <w:widowControl/>
        <w:suppressLineNumbers w:val="0"/>
        <w:kinsoku/>
        <w:wordWrap/>
        <w:overflowPunct/>
        <w:topLinePunct w:val="0"/>
        <w:autoSpaceDE/>
        <w:autoSpaceDN/>
        <w:bidi w:val="0"/>
        <w:adjustRightInd/>
        <w:snapToGrid/>
        <w:spacing w:before="0" w:beforeLines="25" w:after="0" w:afterLines="25" w:line="30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position w:val="-6"/>
          <w:sz w:val="24"/>
          <w:szCs w:val="24"/>
          <w:highlight w:val="none"/>
          <w:lang w:val="en-US" w:eastAsia="zh-CN" w:bidi="ar"/>
        </w:rPr>
        <w:t xml:space="preserve">（7）中华人民共和国行业推荐性标准《公路桥梁技术状况评定标准》 </w:t>
      </w:r>
    </w:p>
    <w:p w14:paraId="05E71287">
      <w:pPr>
        <w:keepNext w:val="0"/>
        <w:keepLines w:val="0"/>
        <w:pageBreakBefore w:val="0"/>
        <w:widowControl/>
        <w:suppressLineNumbers w:val="0"/>
        <w:kinsoku/>
        <w:wordWrap/>
        <w:overflowPunct/>
        <w:topLinePunct w:val="0"/>
        <w:autoSpaceDE/>
        <w:autoSpaceDN/>
        <w:bidi w:val="0"/>
        <w:adjustRightInd/>
        <w:snapToGrid/>
        <w:spacing w:before="0" w:beforeLines="25" w:after="0" w:afterLines="25" w:line="30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position w:val="-6"/>
          <w:sz w:val="24"/>
          <w:szCs w:val="24"/>
          <w:highlight w:val="none"/>
          <w:lang w:val="en-US" w:eastAsia="zh-CN" w:bidi="ar"/>
        </w:rPr>
        <w:t xml:space="preserve">（8）中华人民共和国行业推荐性标准《公路工程质量检验评定标准》 </w:t>
      </w:r>
    </w:p>
    <w:p w14:paraId="323DD141">
      <w:pPr>
        <w:keepNext w:val="0"/>
        <w:keepLines w:val="0"/>
        <w:pageBreakBefore w:val="0"/>
        <w:widowControl/>
        <w:suppressLineNumbers w:val="0"/>
        <w:kinsoku/>
        <w:wordWrap/>
        <w:overflowPunct/>
        <w:topLinePunct w:val="0"/>
        <w:autoSpaceDE/>
        <w:autoSpaceDN/>
        <w:bidi w:val="0"/>
        <w:adjustRightInd/>
        <w:snapToGrid/>
        <w:spacing w:before="0" w:beforeLines="25" w:after="0" w:afterLines="25" w:line="300" w:lineRule="auto"/>
        <w:ind w:firstLine="480" w:firstLineChars="200"/>
        <w:jc w:val="left"/>
        <w:textAlignment w:val="auto"/>
        <w:rPr>
          <w:rFonts w:hint="eastAsia" w:asciiTheme="minorEastAsia" w:hAnsiTheme="minorEastAsia" w:eastAsiaTheme="minorEastAsia" w:cstheme="minorEastAsia"/>
          <w:color w:val="auto"/>
          <w:kern w:val="0"/>
          <w:position w:val="-6"/>
          <w:sz w:val="24"/>
          <w:szCs w:val="24"/>
          <w:highlight w:val="none"/>
          <w:lang w:val="en-US" w:eastAsia="zh-CN" w:bidi="ar"/>
        </w:rPr>
      </w:pPr>
      <w:r>
        <w:rPr>
          <w:rFonts w:hint="eastAsia" w:asciiTheme="minorEastAsia" w:hAnsiTheme="minorEastAsia" w:eastAsiaTheme="minorEastAsia" w:cstheme="minorEastAsia"/>
          <w:color w:val="auto"/>
          <w:kern w:val="0"/>
          <w:position w:val="-6"/>
          <w:sz w:val="24"/>
          <w:szCs w:val="24"/>
          <w:highlight w:val="none"/>
          <w:lang w:val="en-US" w:eastAsia="zh-CN" w:bidi="ar"/>
        </w:rPr>
        <w:t>（9）</w:t>
      </w:r>
      <w:r>
        <w:rPr>
          <w:rFonts w:hint="eastAsia" w:asciiTheme="minorEastAsia" w:hAnsiTheme="minorEastAsia" w:eastAsiaTheme="minorEastAsia" w:cstheme="minorEastAsia"/>
          <w:color w:val="auto"/>
          <w:kern w:val="0"/>
          <w:position w:val="-6"/>
          <w:sz w:val="24"/>
          <w:highlight w:val="none"/>
          <w:lang w:bidi="ar"/>
        </w:rPr>
        <w:t>《公路桥涵施工技术规范》</w:t>
      </w:r>
    </w:p>
    <w:p w14:paraId="2E639B00">
      <w:pPr>
        <w:keepNext w:val="0"/>
        <w:keepLines w:val="0"/>
        <w:pageBreakBefore w:val="0"/>
        <w:widowControl/>
        <w:suppressLineNumbers w:val="0"/>
        <w:kinsoku/>
        <w:wordWrap/>
        <w:overflowPunct/>
        <w:topLinePunct w:val="0"/>
        <w:autoSpaceDE/>
        <w:autoSpaceDN/>
        <w:bidi w:val="0"/>
        <w:adjustRightInd/>
        <w:snapToGrid/>
        <w:spacing w:before="0" w:beforeLines="25" w:after="0" w:afterLines="25" w:line="30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position w:val="-6"/>
          <w:sz w:val="24"/>
          <w:szCs w:val="24"/>
          <w:highlight w:val="none"/>
          <w:lang w:val="en-US" w:eastAsia="zh-CN" w:bidi="ar"/>
        </w:rPr>
        <w:t xml:space="preserve">（10）《钢结构设计规范》 </w:t>
      </w:r>
    </w:p>
    <w:p w14:paraId="501AF703">
      <w:pPr>
        <w:keepNext w:val="0"/>
        <w:keepLines w:val="0"/>
        <w:pageBreakBefore w:val="0"/>
        <w:widowControl/>
        <w:suppressLineNumbers w:val="0"/>
        <w:kinsoku/>
        <w:wordWrap/>
        <w:overflowPunct/>
        <w:topLinePunct w:val="0"/>
        <w:autoSpaceDE/>
        <w:autoSpaceDN/>
        <w:bidi w:val="0"/>
        <w:adjustRightInd/>
        <w:snapToGrid/>
        <w:spacing w:before="0" w:beforeLines="25" w:after="0" w:afterLines="25" w:line="30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position w:val="-6"/>
          <w:sz w:val="24"/>
          <w:szCs w:val="24"/>
          <w:highlight w:val="none"/>
          <w:lang w:val="en-US" w:eastAsia="zh-CN" w:bidi="ar"/>
        </w:rPr>
        <w:t>（11）《钢结构焊接规范》</w:t>
      </w:r>
    </w:p>
    <w:p w14:paraId="7C845CD8">
      <w:pPr>
        <w:keepNext w:val="0"/>
        <w:keepLines w:val="0"/>
        <w:pageBreakBefore w:val="0"/>
        <w:widowControl/>
        <w:suppressLineNumbers w:val="0"/>
        <w:kinsoku/>
        <w:wordWrap/>
        <w:overflowPunct/>
        <w:topLinePunct w:val="0"/>
        <w:autoSpaceDE/>
        <w:autoSpaceDN/>
        <w:bidi w:val="0"/>
        <w:adjustRightInd/>
        <w:snapToGrid/>
        <w:spacing w:before="0" w:beforeLines="25" w:after="0" w:afterLines="25" w:line="30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position w:val="-6"/>
          <w:sz w:val="24"/>
          <w:szCs w:val="24"/>
          <w:highlight w:val="none"/>
          <w:lang w:val="en-US" w:eastAsia="zh-CN" w:bidi="ar"/>
        </w:rPr>
        <w:t xml:space="preserve">（12）《钢结构工程施工质量验收规范》 </w:t>
      </w:r>
    </w:p>
    <w:p w14:paraId="65F0818F">
      <w:pPr>
        <w:keepNext w:val="0"/>
        <w:keepLines w:val="0"/>
        <w:pageBreakBefore w:val="0"/>
        <w:widowControl/>
        <w:suppressLineNumbers w:val="0"/>
        <w:kinsoku/>
        <w:wordWrap/>
        <w:overflowPunct/>
        <w:topLinePunct w:val="0"/>
        <w:autoSpaceDE/>
        <w:autoSpaceDN/>
        <w:bidi w:val="0"/>
        <w:adjustRightInd/>
        <w:snapToGrid/>
        <w:spacing w:before="0" w:beforeLines="25" w:after="0" w:afterLines="25" w:line="30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position w:val="-6"/>
          <w:sz w:val="24"/>
          <w:szCs w:val="24"/>
          <w:highlight w:val="none"/>
          <w:lang w:val="en-US" w:eastAsia="zh-CN" w:bidi="ar"/>
        </w:rPr>
        <w:t xml:space="preserve">（13）《焊缝无损检测超声检测技术、检测等级和评定》 </w:t>
      </w:r>
    </w:p>
    <w:p w14:paraId="4AD872AB">
      <w:pPr>
        <w:keepNext w:val="0"/>
        <w:keepLines w:val="0"/>
        <w:pageBreakBefore w:val="0"/>
        <w:widowControl/>
        <w:suppressLineNumbers w:val="0"/>
        <w:kinsoku/>
        <w:wordWrap/>
        <w:overflowPunct/>
        <w:topLinePunct w:val="0"/>
        <w:autoSpaceDE/>
        <w:autoSpaceDN/>
        <w:bidi w:val="0"/>
        <w:adjustRightInd/>
        <w:snapToGrid/>
        <w:spacing w:before="0" w:beforeLines="25" w:after="0" w:afterLines="25" w:line="30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position w:val="-6"/>
          <w:sz w:val="24"/>
          <w:szCs w:val="24"/>
          <w:highlight w:val="none"/>
          <w:lang w:val="en-US" w:eastAsia="zh-CN" w:bidi="ar"/>
        </w:rPr>
        <w:t xml:space="preserve">（14）《回弹法检测混凝土抗压强度技术规范》 </w:t>
      </w:r>
    </w:p>
    <w:p w14:paraId="4186424F">
      <w:pPr>
        <w:keepNext w:val="0"/>
        <w:keepLines w:val="0"/>
        <w:pageBreakBefore w:val="0"/>
        <w:widowControl/>
        <w:suppressLineNumbers w:val="0"/>
        <w:kinsoku/>
        <w:wordWrap/>
        <w:overflowPunct/>
        <w:topLinePunct w:val="0"/>
        <w:autoSpaceDE/>
        <w:autoSpaceDN/>
        <w:bidi w:val="0"/>
        <w:adjustRightInd/>
        <w:snapToGrid/>
        <w:spacing w:before="0" w:beforeLines="25" w:after="0" w:afterLines="25" w:line="30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position w:val="-6"/>
          <w:sz w:val="24"/>
          <w:szCs w:val="24"/>
          <w:highlight w:val="none"/>
          <w:lang w:val="en-US" w:eastAsia="zh-CN" w:bidi="ar"/>
        </w:rPr>
        <w:t xml:space="preserve">（15）《回弹法检测山砂混凝土抗压强度技术规程》 </w:t>
      </w:r>
    </w:p>
    <w:p w14:paraId="4163790D">
      <w:pPr>
        <w:keepNext w:val="0"/>
        <w:keepLines w:val="0"/>
        <w:pageBreakBefore w:val="0"/>
        <w:widowControl/>
        <w:suppressLineNumbers w:val="0"/>
        <w:kinsoku/>
        <w:wordWrap/>
        <w:overflowPunct/>
        <w:topLinePunct w:val="0"/>
        <w:autoSpaceDE/>
        <w:autoSpaceDN/>
        <w:bidi w:val="0"/>
        <w:adjustRightInd/>
        <w:snapToGrid/>
        <w:spacing w:before="0" w:beforeLines="25" w:after="0" w:afterLines="25" w:line="30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position w:val="-6"/>
          <w:sz w:val="24"/>
          <w:szCs w:val="24"/>
          <w:highlight w:val="none"/>
          <w:lang w:val="en-US" w:eastAsia="zh-CN" w:bidi="ar"/>
        </w:rPr>
        <w:t xml:space="preserve">（16）《超声回弹综合法检测混凝土强度技术规程》 </w:t>
      </w:r>
    </w:p>
    <w:p w14:paraId="2A05CE74">
      <w:pPr>
        <w:keepNext w:val="0"/>
        <w:keepLines w:val="0"/>
        <w:pageBreakBefore w:val="0"/>
        <w:widowControl/>
        <w:suppressLineNumbers w:val="0"/>
        <w:kinsoku/>
        <w:wordWrap/>
        <w:overflowPunct/>
        <w:topLinePunct w:val="0"/>
        <w:autoSpaceDE/>
        <w:autoSpaceDN/>
        <w:bidi w:val="0"/>
        <w:adjustRightInd/>
        <w:snapToGrid/>
        <w:spacing w:before="0" w:beforeLines="25" w:after="0" w:afterLines="25" w:line="30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position w:val="-6"/>
          <w:sz w:val="24"/>
          <w:szCs w:val="24"/>
          <w:highlight w:val="none"/>
          <w:lang w:val="en-US" w:eastAsia="zh-CN" w:bidi="ar"/>
        </w:rPr>
        <w:t xml:space="preserve">（17）《混凝土中钢筋检测技术规程》 </w:t>
      </w:r>
    </w:p>
    <w:p w14:paraId="63C9AD89">
      <w:pPr>
        <w:keepNext w:val="0"/>
        <w:keepLines w:val="0"/>
        <w:pageBreakBefore w:val="0"/>
        <w:widowControl/>
        <w:suppressLineNumbers w:val="0"/>
        <w:kinsoku/>
        <w:wordWrap/>
        <w:overflowPunct/>
        <w:topLinePunct w:val="0"/>
        <w:autoSpaceDE/>
        <w:autoSpaceDN/>
        <w:bidi w:val="0"/>
        <w:adjustRightInd/>
        <w:snapToGrid/>
        <w:spacing w:before="0" w:beforeLines="25" w:after="0" w:afterLines="25" w:line="300" w:lineRule="auto"/>
        <w:ind w:firstLine="480" w:firstLineChars="200"/>
        <w:jc w:val="left"/>
        <w:textAlignment w:val="auto"/>
        <w:rPr>
          <w:rFonts w:hint="eastAsia" w:asciiTheme="minorEastAsia" w:hAnsiTheme="minorEastAsia" w:eastAsiaTheme="minorEastAsia" w:cstheme="minorEastAsia"/>
          <w:color w:val="auto"/>
          <w:kern w:val="0"/>
          <w:position w:val="-6"/>
          <w:sz w:val="24"/>
          <w:szCs w:val="24"/>
          <w:highlight w:val="none"/>
          <w:lang w:val="en-US" w:eastAsia="zh-CN" w:bidi="ar"/>
        </w:rPr>
      </w:pPr>
      <w:r>
        <w:rPr>
          <w:rFonts w:hint="eastAsia" w:asciiTheme="minorEastAsia" w:hAnsiTheme="minorEastAsia" w:eastAsiaTheme="minorEastAsia" w:cstheme="minorEastAsia"/>
          <w:color w:val="auto"/>
          <w:kern w:val="0"/>
          <w:position w:val="-6"/>
          <w:sz w:val="24"/>
          <w:szCs w:val="24"/>
          <w:highlight w:val="none"/>
          <w:lang w:val="en-US" w:eastAsia="zh-CN" w:bidi="ar"/>
        </w:rPr>
        <w:t>（18）《公路工程基桩检测技术规程》</w:t>
      </w:r>
    </w:p>
    <w:p w14:paraId="13A2C2F0">
      <w:pPr>
        <w:keepNext w:val="0"/>
        <w:keepLines w:val="0"/>
        <w:pageBreakBefore w:val="0"/>
        <w:widowControl/>
        <w:suppressLineNumbers w:val="0"/>
        <w:kinsoku/>
        <w:wordWrap/>
        <w:overflowPunct/>
        <w:topLinePunct w:val="0"/>
        <w:autoSpaceDE/>
        <w:autoSpaceDN/>
        <w:bidi w:val="0"/>
        <w:adjustRightInd/>
        <w:snapToGrid/>
        <w:spacing w:before="0" w:beforeLines="25" w:after="0" w:afterLines="25" w:line="300" w:lineRule="auto"/>
        <w:ind w:firstLine="480" w:firstLineChars="200"/>
        <w:jc w:val="left"/>
        <w:textAlignment w:val="auto"/>
        <w:rPr>
          <w:rFonts w:hint="eastAsia" w:asciiTheme="minorEastAsia" w:hAnsiTheme="minorEastAsia" w:eastAsiaTheme="minorEastAsia" w:cstheme="minorEastAsia"/>
          <w:color w:val="auto"/>
          <w:kern w:val="0"/>
          <w:position w:val="-6"/>
          <w:sz w:val="24"/>
          <w:szCs w:val="24"/>
          <w:highlight w:val="none"/>
          <w:lang w:val="en-US" w:eastAsia="zh-CN" w:bidi="ar"/>
        </w:rPr>
      </w:pPr>
      <w:r>
        <w:rPr>
          <w:rFonts w:hint="eastAsia" w:asciiTheme="minorEastAsia" w:hAnsiTheme="minorEastAsia" w:eastAsiaTheme="minorEastAsia" w:cstheme="minorEastAsia"/>
          <w:color w:val="auto"/>
          <w:kern w:val="0"/>
          <w:position w:val="-6"/>
          <w:sz w:val="24"/>
          <w:szCs w:val="24"/>
          <w:highlight w:val="none"/>
          <w:lang w:val="en-US" w:eastAsia="zh-CN" w:bidi="ar"/>
        </w:rPr>
        <w:t>（19）《公路桥梁锚下有效预应力检测技术规程》</w:t>
      </w:r>
    </w:p>
    <w:p w14:paraId="1D5BCA98">
      <w:pPr>
        <w:keepNext w:val="0"/>
        <w:keepLines w:val="0"/>
        <w:pageBreakBefore w:val="0"/>
        <w:widowControl/>
        <w:suppressLineNumbers w:val="0"/>
        <w:kinsoku/>
        <w:wordWrap/>
        <w:overflowPunct/>
        <w:topLinePunct w:val="0"/>
        <w:autoSpaceDE/>
        <w:autoSpaceDN/>
        <w:bidi w:val="0"/>
        <w:adjustRightInd/>
        <w:snapToGrid/>
        <w:spacing w:before="0" w:beforeLines="25" w:after="0" w:afterLines="25" w:line="300" w:lineRule="auto"/>
        <w:ind w:firstLine="480" w:firstLineChars="200"/>
        <w:jc w:val="left"/>
        <w:textAlignment w:val="auto"/>
        <w:rPr>
          <w:rFonts w:hint="eastAsia" w:asciiTheme="minorEastAsia" w:hAnsiTheme="minorEastAsia" w:eastAsiaTheme="minorEastAsia" w:cstheme="minorEastAsia"/>
          <w:color w:val="auto"/>
          <w:kern w:val="0"/>
          <w:position w:val="-6"/>
          <w:sz w:val="24"/>
          <w:szCs w:val="24"/>
          <w:highlight w:val="none"/>
          <w:lang w:val="en-US" w:eastAsia="zh-CN" w:bidi="ar"/>
        </w:rPr>
      </w:pPr>
      <w:r>
        <w:rPr>
          <w:rFonts w:hint="eastAsia" w:asciiTheme="minorEastAsia" w:hAnsiTheme="minorEastAsia" w:eastAsiaTheme="minorEastAsia" w:cstheme="minorEastAsia"/>
          <w:color w:val="auto"/>
          <w:kern w:val="0"/>
          <w:position w:val="-6"/>
          <w:sz w:val="24"/>
          <w:szCs w:val="24"/>
          <w:highlight w:val="none"/>
          <w:lang w:val="en-US" w:eastAsia="zh-CN" w:bidi="ar"/>
        </w:rPr>
        <w:t>（20）《公路桥梁预应力施工质量检测评定技术规程》</w:t>
      </w:r>
    </w:p>
    <w:p w14:paraId="4F614333">
      <w:pPr>
        <w:keepNext w:val="0"/>
        <w:keepLines w:val="0"/>
        <w:pageBreakBefore w:val="0"/>
        <w:widowControl/>
        <w:suppressLineNumbers w:val="0"/>
        <w:kinsoku/>
        <w:wordWrap/>
        <w:overflowPunct/>
        <w:topLinePunct w:val="0"/>
        <w:autoSpaceDE/>
        <w:autoSpaceDN/>
        <w:bidi w:val="0"/>
        <w:adjustRightInd/>
        <w:snapToGrid/>
        <w:spacing w:before="0" w:beforeLines="25" w:after="0" w:afterLines="25" w:line="300" w:lineRule="auto"/>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kern w:val="0"/>
          <w:position w:val="-6"/>
          <w:sz w:val="24"/>
          <w:szCs w:val="24"/>
          <w:highlight w:val="none"/>
          <w:lang w:val="en-US" w:eastAsia="zh-CN" w:bidi="ar"/>
        </w:rPr>
        <w:t>（21）国家现行的其他公路、隧道、桥涵工程试验检测标准、规范、规程其它与本项目检测相关的现行国家标准和行业规范，当有新颁布实施的规范、规程时，以新颁布的为准。</w:t>
      </w:r>
    </w:p>
    <w:p w14:paraId="6E382F23">
      <w:pPr>
        <w:keepNext w:val="0"/>
        <w:keepLines w:val="0"/>
        <w:pageBreakBefore w:val="0"/>
        <w:widowControl/>
        <w:suppressLineNumbers w:val="0"/>
        <w:kinsoku/>
        <w:wordWrap/>
        <w:overflowPunct/>
        <w:topLinePunct w:val="0"/>
        <w:autoSpaceDE/>
        <w:autoSpaceDN/>
        <w:bidi w:val="0"/>
        <w:adjustRightInd/>
        <w:snapToGrid/>
        <w:spacing w:before="0" w:beforeLines="25" w:after="0" w:afterLines="25" w:line="300" w:lineRule="auto"/>
        <w:jc w:val="left"/>
        <w:textAlignment w:val="auto"/>
        <w:outlineLvl w:val="1"/>
        <w:rPr>
          <w:rFonts w:hint="eastAsia" w:ascii="黑体" w:hAnsi="黑体" w:eastAsiaTheme="majorEastAsia" w:cstheme="majorBidi"/>
          <w:b/>
          <w:bCs/>
          <w:color w:val="000000" w:themeColor="text1"/>
          <w:kern w:val="2"/>
          <w:sz w:val="28"/>
          <w:szCs w:val="28"/>
          <w:highlight w:val="none"/>
          <w:lang w:val="en-US" w:eastAsia="zh-CN" w:bidi="ar-SA"/>
          <w14:textFill>
            <w14:solidFill>
              <w14:schemeClr w14:val="tx1"/>
            </w14:solidFill>
          </w14:textFill>
        </w:rPr>
      </w:pPr>
      <w:r>
        <w:rPr>
          <w:rFonts w:hint="eastAsia" w:ascii="黑体" w:hAnsi="黑体" w:eastAsiaTheme="majorEastAsia" w:cstheme="majorBidi"/>
          <w:b/>
          <w:bCs/>
          <w:color w:val="000000" w:themeColor="text1"/>
          <w:kern w:val="2"/>
          <w:sz w:val="28"/>
          <w:szCs w:val="28"/>
          <w:highlight w:val="none"/>
          <w:lang w:val="en-US" w:eastAsia="zh-CN" w:bidi="ar-SA"/>
          <w14:textFill>
            <w14:solidFill>
              <w14:schemeClr w14:val="tx1"/>
            </w14:solidFill>
          </w14:textFill>
        </w:rPr>
        <w:t>四、 主要检测设备最低要求</w:t>
      </w:r>
    </w:p>
    <w:p w14:paraId="02D1A201">
      <w:pPr>
        <w:keepNext/>
        <w:keepLines w:val="0"/>
        <w:pageBreakBefore w:val="0"/>
        <w:widowControl w:val="0"/>
        <w:kinsoku/>
        <w:wordWrap/>
        <w:overflowPunct/>
        <w:topLinePunct w:val="0"/>
        <w:autoSpaceDE/>
        <w:autoSpaceDN/>
        <w:bidi w:val="0"/>
        <w:adjustRightInd/>
        <w:snapToGrid/>
        <w:spacing w:before="0" w:beforeLines="25" w:after="0" w:afterLines="25" w:line="300" w:lineRule="auto"/>
        <w:ind w:firstLine="480" w:firstLineChars="200"/>
        <w:jc w:val="left"/>
        <w:textAlignment w:val="auto"/>
        <w:outlineLvl w:val="2"/>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 w:val="0"/>
          <w:bCs/>
          <w:color w:val="auto"/>
          <w:kern w:val="2"/>
          <w:sz w:val="24"/>
          <w:szCs w:val="24"/>
          <w:highlight w:val="none"/>
          <w:lang w:val="en-US" w:eastAsia="zh-CN" w:bidi="ar-SA"/>
        </w:rPr>
        <w:t>主要仪器、检测设备及办公设备最低要求：</w:t>
      </w:r>
    </w:p>
    <w:tbl>
      <w:tblPr>
        <w:tblStyle w:val="8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0"/>
        <w:gridCol w:w="2406"/>
        <w:gridCol w:w="1778"/>
        <w:gridCol w:w="1778"/>
        <w:gridCol w:w="1779"/>
      </w:tblGrid>
      <w:tr w14:paraId="75B83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dxa"/>
            <w:vAlign w:val="center"/>
          </w:tcPr>
          <w:p w14:paraId="29040433">
            <w:pPr>
              <w:widowControl w:val="0"/>
              <w:spacing w:line="360" w:lineRule="auto"/>
              <w:jc w:val="both"/>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　序号</w:t>
            </w:r>
          </w:p>
        </w:tc>
        <w:tc>
          <w:tcPr>
            <w:tcW w:w="2406" w:type="dxa"/>
            <w:vAlign w:val="center"/>
          </w:tcPr>
          <w:p w14:paraId="40AB5DF4">
            <w:pPr>
              <w:widowControl w:val="0"/>
              <w:spacing w:line="360" w:lineRule="auto"/>
              <w:jc w:val="both"/>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　仪器设备名称</w:t>
            </w:r>
          </w:p>
        </w:tc>
        <w:tc>
          <w:tcPr>
            <w:tcW w:w="1778" w:type="dxa"/>
            <w:vAlign w:val="center"/>
          </w:tcPr>
          <w:p w14:paraId="0E6BD5C8">
            <w:pPr>
              <w:widowControl w:val="0"/>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数量</w:t>
            </w:r>
          </w:p>
        </w:tc>
        <w:tc>
          <w:tcPr>
            <w:tcW w:w="1778" w:type="dxa"/>
            <w:vAlign w:val="center"/>
          </w:tcPr>
          <w:p w14:paraId="79D68EDE">
            <w:pPr>
              <w:widowControl w:val="0"/>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单位</w:t>
            </w:r>
          </w:p>
        </w:tc>
        <w:tc>
          <w:tcPr>
            <w:tcW w:w="1779" w:type="dxa"/>
            <w:vAlign w:val="top"/>
          </w:tcPr>
          <w:p w14:paraId="4C4DCC49">
            <w:pPr>
              <w:widowControl w:val="0"/>
              <w:spacing w:before="87" w:line="222" w:lineRule="auto"/>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pacing w:val="-2"/>
                <w:sz w:val="24"/>
                <w:szCs w:val="24"/>
                <w:highlight w:val="none"/>
              </w:rPr>
              <w:t>备注</w:t>
            </w:r>
          </w:p>
        </w:tc>
      </w:tr>
      <w:tr w14:paraId="7D5C8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dxa"/>
            <w:vAlign w:val="center"/>
          </w:tcPr>
          <w:p w14:paraId="0B365B65">
            <w:pPr>
              <w:widowControl w:val="0"/>
              <w:spacing w:line="360" w:lineRule="exact"/>
              <w:jc w:val="center"/>
              <w:rPr>
                <w:rFonts w:hint="eastAsia" w:asciiTheme="minorEastAsia" w:hAnsiTheme="minorEastAsia" w:eastAsiaTheme="minorEastAsia" w:cstheme="minorEastAsia"/>
                <w:color w:val="auto"/>
                <w:kern w:val="2"/>
                <w:sz w:val="24"/>
                <w:szCs w:val="24"/>
                <w:highlight w:val="none"/>
                <w:vertAlign w:val="baseline"/>
                <w:lang w:val="en-US" w:eastAsia="zh-CN" w:bidi="ar-SA"/>
              </w:rPr>
            </w:pPr>
            <w:r>
              <w:rPr>
                <w:rFonts w:hint="eastAsia" w:asciiTheme="minorEastAsia" w:hAnsiTheme="minorEastAsia" w:eastAsiaTheme="minorEastAsia" w:cstheme="minorEastAsia"/>
                <w:color w:val="auto"/>
                <w:sz w:val="24"/>
                <w:szCs w:val="24"/>
                <w:highlight w:val="none"/>
                <w:vertAlign w:val="baseline"/>
                <w:lang w:val="en-US" w:eastAsia="zh-CN"/>
              </w:rPr>
              <w:t>1</w:t>
            </w:r>
          </w:p>
        </w:tc>
        <w:tc>
          <w:tcPr>
            <w:tcW w:w="2406" w:type="dxa"/>
            <w:vAlign w:val="center"/>
          </w:tcPr>
          <w:p w14:paraId="1D14D371">
            <w:pPr>
              <w:widowControl w:val="0"/>
              <w:spacing w:line="360" w:lineRule="exact"/>
              <w:jc w:val="both"/>
              <w:rPr>
                <w:rFonts w:hint="eastAsia" w:asciiTheme="minorEastAsia" w:hAnsiTheme="minorEastAsia" w:eastAsiaTheme="minorEastAsia" w:cstheme="minorEastAsia"/>
                <w:color w:val="auto"/>
                <w:kern w:val="2"/>
                <w:sz w:val="24"/>
                <w:szCs w:val="24"/>
                <w:highlight w:val="none"/>
                <w:vertAlign w:val="baseline"/>
                <w:lang w:val="en-US" w:eastAsia="zh-CN" w:bidi="ar-SA"/>
              </w:rPr>
            </w:pPr>
            <w:r>
              <w:rPr>
                <w:rFonts w:hint="eastAsia" w:asciiTheme="minorEastAsia" w:hAnsiTheme="minorEastAsia" w:eastAsiaTheme="minorEastAsia" w:cstheme="minorEastAsia"/>
                <w:color w:val="auto"/>
                <w:sz w:val="24"/>
                <w:szCs w:val="24"/>
                <w:highlight w:val="none"/>
                <w:vertAlign w:val="baseline"/>
                <w:lang w:val="en-US" w:eastAsia="zh-CN"/>
              </w:rPr>
              <w:t>四驱皮卡或越野车</w:t>
            </w:r>
          </w:p>
        </w:tc>
        <w:tc>
          <w:tcPr>
            <w:tcW w:w="1778" w:type="dxa"/>
            <w:vAlign w:val="center"/>
          </w:tcPr>
          <w:p w14:paraId="58ABC861">
            <w:pPr>
              <w:widowControl w:val="0"/>
              <w:spacing w:line="360" w:lineRule="exact"/>
              <w:jc w:val="center"/>
              <w:rPr>
                <w:rFonts w:hint="eastAsia" w:asciiTheme="minorEastAsia" w:hAnsiTheme="minorEastAsia" w:eastAsiaTheme="minorEastAsia" w:cstheme="minorEastAsia"/>
                <w:color w:val="auto"/>
                <w:kern w:val="2"/>
                <w:sz w:val="24"/>
                <w:szCs w:val="24"/>
                <w:highlight w:val="none"/>
                <w:vertAlign w:val="baseline"/>
                <w:lang w:val="en-US" w:eastAsia="zh-CN" w:bidi="ar-SA"/>
              </w:rPr>
            </w:pPr>
            <w:r>
              <w:rPr>
                <w:rFonts w:hint="eastAsia" w:asciiTheme="minorEastAsia" w:hAnsiTheme="minorEastAsia" w:eastAsiaTheme="minorEastAsia" w:cstheme="minorEastAsia"/>
                <w:color w:val="auto"/>
                <w:sz w:val="24"/>
                <w:szCs w:val="24"/>
                <w:highlight w:val="none"/>
                <w:vertAlign w:val="baseline"/>
                <w:lang w:val="en-US" w:eastAsia="zh-CN"/>
              </w:rPr>
              <w:t>1</w:t>
            </w:r>
          </w:p>
        </w:tc>
        <w:tc>
          <w:tcPr>
            <w:tcW w:w="1778" w:type="dxa"/>
            <w:vAlign w:val="bottom"/>
          </w:tcPr>
          <w:p w14:paraId="7EB655C2">
            <w:pPr>
              <w:widowControl w:val="0"/>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台</w:t>
            </w:r>
          </w:p>
        </w:tc>
        <w:tc>
          <w:tcPr>
            <w:tcW w:w="1779" w:type="dxa"/>
            <w:vMerge w:val="restart"/>
          </w:tcPr>
          <w:p w14:paraId="0F3D02A1">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Theme="minorEastAsia" w:hAnsiTheme="minorEastAsia" w:eastAsiaTheme="minorEastAsia" w:cstheme="minorEastAsia"/>
                <w:color w:val="auto"/>
                <w:kern w:val="2"/>
                <w:sz w:val="24"/>
                <w:szCs w:val="24"/>
                <w:highlight w:val="none"/>
                <w:vertAlign w:val="baseline"/>
                <w:lang w:val="en-US" w:eastAsia="zh-CN" w:bidi="ar-SA"/>
              </w:rPr>
            </w:pPr>
          </w:p>
        </w:tc>
      </w:tr>
      <w:tr w14:paraId="20F9A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dxa"/>
            <w:vAlign w:val="center"/>
          </w:tcPr>
          <w:p w14:paraId="1D7D199D">
            <w:pPr>
              <w:widowControl w:val="0"/>
              <w:spacing w:line="360" w:lineRule="exact"/>
              <w:jc w:val="center"/>
              <w:rPr>
                <w:rFonts w:hint="eastAsia" w:asciiTheme="minorEastAsia" w:hAnsiTheme="minorEastAsia" w:eastAsiaTheme="minorEastAsia" w:cstheme="minorEastAsia"/>
                <w:color w:val="auto"/>
                <w:kern w:val="2"/>
                <w:sz w:val="24"/>
                <w:szCs w:val="24"/>
                <w:highlight w:val="none"/>
                <w:vertAlign w:val="baseline"/>
                <w:lang w:val="en-US" w:eastAsia="zh-CN" w:bidi="ar-SA"/>
              </w:rPr>
            </w:pPr>
            <w:r>
              <w:rPr>
                <w:rFonts w:hint="eastAsia" w:asciiTheme="minorEastAsia" w:hAnsiTheme="minorEastAsia" w:eastAsiaTheme="minorEastAsia" w:cstheme="minorEastAsia"/>
                <w:color w:val="auto"/>
                <w:sz w:val="24"/>
                <w:szCs w:val="24"/>
                <w:highlight w:val="none"/>
                <w:vertAlign w:val="baseline"/>
                <w:lang w:val="en-US" w:eastAsia="zh-CN"/>
              </w:rPr>
              <w:t>2</w:t>
            </w:r>
          </w:p>
        </w:tc>
        <w:tc>
          <w:tcPr>
            <w:tcW w:w="2406" w:type="dxa"/>
            <w:vAlign w:val="center"/>
          </w:tcPr>
          <w:p w14:paraId="5468964B">
            <w:pPr>
              <w:widowControl w:val="0"/>
              <w:spacing w:line="360" w:lineRule="exact"/>
              <w:jc w:val="both"/>
              <w:rPr>
                <w:rFonts w:hint="eastAsia" w:asciiTheme="minorEastAsia" w:hAnsiTheme="minorEastAsia" w:eastAsiaTheme="minorEastAsia" w:cstheme="minorEastAsia"/>
                <w:color w:val="auto"/>
                <w:kern w:val="2"/>
                <w:sz w:val="24"/>
                <w:szCs w:val="24"/>
                <w:highlight w:val="none"/>
                <w:vertAlign w:val="baseline"/>
                <w:lang w:val="en-US" w:eastAsia="zh-CN" w:bidi="ar-SA"/>
              </w:rPr>
            </w:pPr>
            <w:r>
              <w:rPr>
                <w:color w:val="000000"/>
                <w:kern w:val="0"/>
                <w:sz w:val="21"/>
                <w:szCs w:val="21"/>
                <w:highlight w:val="none"/>
              </w:rPr>
              <w:t>精密水准仪</w:t>
            </w:r>
          </w:p>
        </w:tc>
        <w:tc>
          <w:tcPr>
            <w:tcW w:w="1778" w:type="dxa"/>
            <w:vAlign w:val="center"/>
          </w:tcPr>
          <w:p w14:paraId="15E64FD6">
            <w:pPr>
              <w:widowControl w:val="0"/>
              <w:spacing w:line="360" w:lineRule="exact"/>
              <w:jc w:val="center"/>
              <w:rPr>
                <w:rFonts w:hint="eastAsia" w:asciiTheme="minorEastAsia" w:hAnsiTheme="minorEastAsia" w:eastAsiaTheme="minorEastAsia" w:cstheme="minorEastAsia"/>
                <w:color w:val="auto"/>
                <w:kern w:val="2"/>
                <w:sz w:val="24"/>
                <w:szCs w:val="24"/>
                <w:highlight w:val="none"/>
                <w:vertAlign w:val="baseline"/>
                <w:lang w:val="en-US" w:eastAsia="zh-CN" w:bidi="ar-SA"/>
              </w:rPr>
            </w:pPr>
            <w:r>
              <w:rPr>
                <w:rFonts w:hint="eastAsia" w:asciiTheme="minorEastAsia" w:hAnsiTheme="minorEastAsia" w:eastAsiaTheme="minorEastAsia" w:cstheme="minorEastAsia"/>
                <w:color w:val="auto"/>
                <w:sz w:val="24"/>
                <w:szCs w:val="24"/>
                <w:highlight w:val="none"/>
                <w:vertAlign w:val="baseline"/>
                <w:lang w:val="en-US" w:eastAsia="zh-CN"/>
              </w:rPr>
              <w:t>2</w:t>
            </w:r>
          </w:p>
        </w:tc>
        <w:tc>
          <w:tcPr>
            <w:tcW w:w="1778" w:type="dxa"/>
            <w:vAlign w:val="bottom"/>
          </w:tcPr>
          <w:p w14:paraId="79A4037F">
            <w:pPr>
              <w:widowControl w:val="0"/>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台</w:t>
            </w:r>
          </w:p>
        </w:tc>
        <w:tc>
          <w:tcPr>
            <w:tcW w:w="1779" w:type="dxa"/>
            <w:vMerge w:val="continue"/>
          </w:tcPr>
          <w:p w14:paraId="04307D75">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Theme="minorEastAsia" w:hAnsiTheme="minorEastAsia" w:eastAsiaTheme="minorEastAsia" w:cstheme="minorEastAsia"/>
                <w:color w:val="auto"/>
                <w:kern w:val="2"/>
                <w:sz w:val="24"/>
                <w:szCs w:val="24"/>
                <w:highlight w:val="none"/>
                <w:vertAlign w:val="baseline"/>
                <w:lang w:val="en-US" w:eastAsia="zh-CN" w:bidi="ar-SA"/>
              </w:rPr>
            </w:pPr>
          </w:p>
        </w:tc>
      </w:tr>
      <w:tr w14:paraId="1B0A0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dxa"/>
            <w:vAlign w:val="center"/>
          </w:tcPr>
          <w:p w14:paraId="4E29FC63">
            <w:pPr>
              <w:widowControl w:val="0"/>
              <w:spacing w:line="360" w:lineRule="exact"/>
              <w:jc w:val="center"/>
              <w:rPr>
                <w:rFonts w:hint="eastAsia" w:asciiTheme="minorEastAsia" w:hAnsiTheme="minorEastAsia" w:eastAsiaTheme="minorEastAsia" w:cstheme="minorEastAsia"/>
                <w:color w:val="auto"/>
                <w:kern w:val="2"/>
                <w:sz w:val="24"/>
                <w:szCs w:val="24"/>
                <w:highlight w:val="none"/>
                <w:vertAlign w:val="baseline"/>
                <w:lang w:val="en-US" w:eastAsia="zh-CN" w:bidi="ar-SA"/>
              </w:rPr>
            </w:pPr>
            <w:r>
              <w:rPr>
                <w:rFonts w:hint="eastAsia" w:asciiTheme="minorEastAsia" w:hAnsiTheme="minorEastAsia" w:eastAsiaTheme="minorEastAsia" w:cstheme="minorEastAsia"/>
                <w:color w:val="auto"/>
                <w:sz w:val="24"/>
                <w:szCs w:val="24"/>
                <w:highlight w:val="none"/>
                <w:vertAlign w:val="baseline"/>
                <w:lang w:val="en-US" w:eastAsia="zh-CN"/>
              </w:rPr>
              <w:t>3</w:t>
            </w:r>
          </w:p>
        </w:tc>
        <w:tc>
          <w:tcPr>
            <w:tcW w:w="2406" w:type="dxa"/>
            <w:vAlign w:val="center"/>
          </w:tcPr>
          <w:p w14:paraId="0B19CA4F">
            <w:pPr>
              <w:widowControl w:val="0"/>
              <w:spacing w:line="360" w:lineRule="exact"/>
              <w:jc w:val="both"/>
              <w:rPr>
                <w:rFonts w:hint="eastAsia" w:asciiTheme="minorEastAsia" w:hAnsiTheme="minorEastAsia" w:eastAsiaTheme="minorEastAsia" w:cstheme="minorEastAsia"/>
                <w:color w:val="auto"/>
                <w:kern w:val="2"/>
                <w:sz w:val="24"/>
                <w:szCs w:val="24"/>
                <w:highlight w:val="none"/>
                <w:vertAlign w:val="baseline"/>
                <w:lang w:val="en-US" w:eastAsia="zh-CN" w:bidi="ar-SA"/>
              </w:rPr>
            </w:pPr>
            <w:r>
              <w:rPr>
                <w:color w:val="000000"/>
                <w:kern w:val="0"/>
                <w:sz w:val="21"/>
                <w:szCs w:val="21"/>
                <w:highlight w:val="none"/>
              </w:rPr>
              <w:t>全站仪</w:t>
            </w:r>
          </w:p>
        </w:tc>
        <w:tc>
          <w:tcPr>
            <w:tcW w:w="1778" w:type="dxa"/>
            <w:vAlign w:val="center"/>
          </w:tcPr>
          <w:p w14:paraId="64403BC8">
            <w:pPr>
              <w:widowControl w:val="0"/>
              <w:spacing w:line="360" w:lineRule="exact"/>
              <w:jc w:val="center"/>
              <w:rPr>
                <w:rFonts w:hint="eastAsia" w:asciiTheme="minorEastAsia" w:hAnsiTheme="minorEastAsia" w:eastAsiaTheme="minorEastAsia" w:cstheme="minorEastAsia"/>
                <w:color w:val="auto"/>
                <w:kern w:val="2"/>
                <w:sz w:val="24"/>
                <w:szCs w:val="24"/>
                <w:highlight w:val="none"/>
                <w:vertAlign w:val="baseline"/>
                <w:lang w:val="en-US" w:eastAsia="zh-CN" w:bidi="ar-SA"/>
              </w:rPr>
            </w:pPr>
            <w:r>
              <w:rPr>
                <w:rFonts w:hint="eastAsia" w:asciiTheme="minorEastAsia" w:hAnsiTheme="minorEastAsia" w:eastAsiaTheme="minorEastAsia" w:cstheme="minorEastAsia"/>
                <w:color w:val="auto"/>
                <w:sz w:val="24"/>
                <w:szCs w:val="24"/>
                <w:highlight w:val="none"/>
                <w:vertAlign w:val="baseline"/>
                <w:lang w:val="en-US" w:eastAsia="zh-CN"/>
              </w:rPr>
              <w:t>1</w:t>
            </w:r>
          </w:p>
        </w:tc>
        <w:tc>
          <w:tcPr>
            <w:tcW w:w="1778" w:type="dxa"/>
            <w:vAlign w:val="bottom"/>
          </w:tcPr>
          <w:p w14:paraId="4523F48B">
            <w:pPr>
              <w:widowControl w:val="0"/>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套</w:t>
            </w:r>
          </w:p>
        </w:tc>
        <w:tc>
          <w:tcPr>
            <w:tcW w:w="1779" w:type="dxa"/>
            <w:vMerge w:val="continue"/>
          </w:tcPr>
          <w:p w14:paraId="54C10D60">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Theme="minorEastAsia" w:hAnsiTheme="minorEastAsia" w:eastAsiaTheme="minorEastAsia" w:cstheme="minorEastAsia"/>
                <w:color w:val="auto"/>
                <w:kern w:val="2"/>
                <w:sz w:val="24"/>
                <w:szCs w:val="24"/>
                <w:highlight w:val="none"/>
                <w:vertAlign w:val="baseline"/>
                <w:lang w:val="en-US" w:eastAsia="zh-CN" w:bidi="ar-SA"/>
              </w:rPr>
            </w:pPr>
          </w:p>
        </w:tc>
      </w:tr>
      <w:tr w14:paraId="39B20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dxa"/>
          </w:tcPr>
          <w:p w14:paraId="49874E2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color w:val="auto"/>
                <w:kern w:val="2"/>
                <w:sz w:val="24"/>
                <w:szCs w:val="24"/>
                <w:highlight w:val="none"/>
                <w:vertAlign w:val="baseline"/>
                <w:lang w:val="en-US" w:eastAsia="zh-CN" w:bidi="ar-SA"/>
              </w:rPr>
            </w:pPr>
            <w:r>
              <w:rPr>
                <w:rFonts w:hint="eastAsia" w:asciiTheme="minorEastAsia" w:hAnsiTheme="minorEastAsia" w:eastAsiaTheme="minorEastAsia" w:cstheme="minorEastAsia"/>
                <w:color w:val="auto"/>
                <w:kern w:val="2"/>
                <w:sz w:val="24"/>
                <w:szCs w:val="24"/>
                <w:highlight w:val="none"/>
                <w:vertAlign w:val="baseline"/>
                <w:lang w:val="en-US" w:eastAsia="zh-CN" w:bidi="ar-SA"/>
              </w:rPr>
              <w:t>4</w:t>
            </w:r>
          </w:p>
        </w:tc>
        <w:tc>
          <w:tcPr>
            <w:tcW w:w="2406" w:type="dxa"/>
          </w:tcPr>
          <w:p w14:paraId="7B327E6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Theme="minorEastAsia" w:hAnsiTheme="minorEastAsia" w:eastAsiaTheme="minorEastAsia" w:cstheme="minorEastAsia"/>
                <w:color w:val="auto"/>
                <w:kern w:val="2"/>
                <w:sz w:val="24"/>
                <w:szCs w:val="24"/>
                <w:highlight w:val="none"/>
                <w:vertAlign w:val="baseline"/>
                <w:lang w:val="en-US" w:eastAsia="zh-CN" w:bidi="ar-SA"/>
              </w:rPr>
            </w:pPr>
            <w:r>
              <w:rPr>
                <w:color w:val="000000"/>
                <w:kern w:val="0"/>
                <w:sz w:val="21"/>
                <w:szCs w:val="21"/>
                <w:highlight w:val="none"/>
              </w:rPr>
              <w:t>综合测试仪</w:t>
            </w:r>
          </w:p>
        </w:tc>
        <w:tc>
          <w:tcPr>
            <w:tcW w:w="1778" w:type="dxa"/>
          </w:tcPr>
          <w:p w14:paraId="73D5D98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color w:val="auto"/>
                <w:kern w:val="2"/>
                <w:sz w:val="24"/>
                <w:szCs w:val="24"/>
                <w:highlight w:val="none"/>
                <w:vertAlign w:val="baseline"/>
                <w:lang w:val="en-US" w:eastAsia="zh-CN" w:bidi="ar-SA"/>
              </w:rPr>
            </w:pPr>
            <w:r>
              <w:rPr>
                <w:rFonts w:hint="eastAsia" w:asciiTheme="minorEastAsia" w:hAnsiTheme="minorEastAsia" w:eastAsiaTheme="minorEastAsia" w:cstheme="minorEastAsia"/>
                <w:color w:val="auto"/>
                <w:kern w:val="2"/>
                <w:sz w:val="24"/>
                <w:szCs w:val="24"/>
                <w:highlight w:val="none"/>
                <w:vertAlign w:val="baseline"/>
                <w:lang w:val="en-US" w:eastAsia="zh-CN" w:bidi="ar-SA"/>
              </w:rPr>
              <w:t>1</w:t>
            </w:r>
          </w:p>
        </w:tc>
        <w:tc>
          <w:tcPr>
            <w:tcW w:w="1778" w:type="dxa"/>
          </w:tcPr>
          <w:p w14:paraId="043628A1">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Theme="minorEastAsia" w:hAnsiTheme="minorEastAsia" w:eastAsiaTheme="minorEastAsia" w:cstheme="minorEastAsia"/>
                <w:color w:val="auto"/>
                <w:kern w:val="2"/>
                <w:sz w:val="24"/>
                <w:szCs w:val="24"/>
                <w:highlight w:val="none"/>
                <w:vertAlign w:val="baseli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　　套</w:t>
            </w:r>
          </w:p>
        </w:tc>
        <w:tc>
          <w:tcPr>
            <w:tcW w:w="1779" w:type="dxa"/>
            <w:vMerge w:val="continue"/>
          </w:tcPr>
          <w:p w14:paraId="090DC287">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Theme="minorEastAsia" w:hAnsiTheme="minorEastAsia" w:eastAsiaTheme="minorEastAsia" w:cstheme="minorEastAsia"/>
                <w:color w:val="auto"/>
                <w:kern w:val="2"/>
                <w:sz w:val="24"/>
                <w:szCs w:val="24"/>
                <w:highlight w:val="none"/>
                <w:vertAlign w:val="baseline"/>
                <w:lang w:val="en-US" w:eastAsia="zh-CN" w:bidi="ar-SA"/>
              </w:rPr>
            </w:pPr>
          </w:p>
        </w:tc>
      </w:tr>
      <w:tr w14:paraId="25469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dxa"/>
          </w:tcPr>
          <w:p w14:paraId="36A483E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heme="minorEastAsia" w:hAnsiTheme="minorEastAsia" w:eastAsiaTheme="minorEastAsia" w:cstheme="minorEastAsia"/>
                <w:color w:val="auto"/>
                <w:kern w:val="2"/>
                <w:sz w:val="24"/>
                <w:szCs w:val="24"/>
                <w:highlight w:val="none"/>
                <w:vertAlign w:val="baseline"/>
                <w:lang w:val="en-US" w:eastAsia="zh-CN" w:bidi="ar-SA"/>
              </w:rPr>
            </w:pPr>
            <w:r>
              <w:rPr>
                <w:rFonts w:hint="eastAsia" w:asciiTheme="minorEastAsia" w:hAnsiTheme="minorEastAsia" w:eastAsiaTheme="minorEastAsia" w:cstheme="minorEastAsia"/>
                <w:color w:val="auto"/>
                <w:kern w:val="2"/>
                <w:sz w:val="24"/>
                <w:szCs w:val="24"/>
                <w:highlight w:val="none"/>
                <w:vertAlign w:val="baseline"/>
                <w:lang w:val="en-US" w:eastAsia="zh-CN" w:bidi="ar-SA"/>
              </w:rPr>
              <w:t>5</w:t>
            </w:r>
          </w:p>
        </w:tc>
        <w:tc>
          <w:tcPr>
            <w:tcW w:w="2406" w:type="dxa"/>
          </w:tcPr>
          <w:p w14:paraId="3A174D1C">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Theme="minorEastAsia" w:hAnsiTheme="minorEastAsia" w:eastAsiaTheme="minorEastAsia" w:cstheme="minorEastAsia"/>
                <w:color w:val="auto"/>
                <w:kern w:val="2"/>
                <w:sz w:val="24"/>
                <w:szCs w:val="24"/>
                <w:highlight w:val="none"/>
                <w:vertAlign w:val="baseline"/>
                <w:lang w:val="en-US" w:eastAsia="zh-CN" w:bidi="ar-SA"/>
              </w:rPr>
            </w:pPr>
            <w:r>
              <w:rPr>
                <w:color w:val="000000"/>
                <w:kern w:val="0"/>
                <w:sz w:val="21"/>
                <w:szCs w:val="21"/>
                <w:highlight w:val="none"/>
              </w:rPr>
              <w:t>索力动测试仪</w:t>
            </w:r>
          </w:p>
        </w:tc>
        <w:tc>
          <w:tcPr>
            <w:tcW w:w="1778" w:type="dxa"/>
          </w:tcPr>
          <w:p w14:paraId="6C065AC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heme="minorEastAsia" w:hAnsiTheme="minorEastAsia" w:eastAsiaTheme="minorEastAsia" w:cstheme="minorEastAsia"/>
                <w:color w:val="auto"/>
                <w:kern w:val="2"/>
                <w:sz w:val="24"/>
                <w:szCs w:val="24"/>
                <w:highlight w:val="none"/>
                <w:vertAlign w:val="baseline"/>
                <w:lang w:val="en-US" w:eastAsia="zh-CN" w:bidi="ar-SA"/>
              </w:rPr>
            </w:pPr>
            <w:r>
              <w:rPr>
                <w:rFonts w:hint="eastAsia" w:asciiTheme="minorEastAsia" w:hAnsiTheme="minorEastAsia" w:eastAsiaTheme="minorEastAsia" w:cstheme="minorEastAsia"/>
                <w:color w:val="auto"/>
                <w:kern w:val="2"/>
                <w:sz w:val="24"/>
                <w:szCs w:val="24"/>
                <w:highlight w:val="none"/>
                <w:vertAlign w:val="baseline"/>
                <w:lang w:val="en-US" w:eastAsia="zh-CN" w:bidi="ar-SA"/>
              </w:rPr>
              <w:t>1</w:t>
            </w:r>
          </w:p>
        </w:tc>
        <w:tc>
          <w:tcPr>
            <w:tcW w:w="1778" w:type="dxa"/>
          </w:tcPr>
          <w:p w14:paraId="3AC7646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台</w:t>
            </w:r>
          </w:p>
        </w:tc>
        <w:tc>
          <w:tcPr>
            <w:tcW w:w="1779" w:type="dxa"/>
          </w:tcPr>
          <w:p w14:paraId="371C34EC">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Theme="minorEastAsia" w:hAnsiTheme="minorEastAsia" w:eastAsiaTheme="minorEastAsia" w:cstheme="minorEastAsia"/>
                <w:color w:val="auto"/>
                <w:kern w:val="2"/>
                <w:sz w:val="24"/>
                <w:szCs w:val="24"/>
                <w:highlight w:val="none"/>
                <w:vertAlign w:val="baseline"/>
                <w:lang w:val="en-US" w:eastAsia="zh-CN" w:bidi="ar-SA"/>
              </w:rPr>
            </w:pPr>
          </w:p>
        </w:tc>
      </w:tr>
      <w:tr w14:paraId="2B393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dxa"/>
          </w:tcPr>
          <w:p w14:paraId="127D940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heme="minorEastAsia" w:hAnsiTheme="minorEastAsia" w:eastAsiaTheme="minorEastAsia" w:cstheme="minorEastAsia"/>
                <w:color w:val="auto"/>
                <w:kern w:val="2"/>
                <w:sz w:val="24"/>
                <w:szCs w:val="24"/>
                <w:highlight w:val="none"/>
                <w:vertAlign w:val="baseline"/>
                <w:lang w:val="en-US" w:eastAsia="zh-CN" w:bidi="ar-SA"/>
              </w:rPr>
            </w:pPr>
            <w:r>
              <w:rPr>
                <w:rFonts w:hint="eastAsia" w:asciiTheme="minorEastAsia" w:hAnsiTheme="minorEastAsia" w:eastAsiaTheme="minorEastAsia" w:cstheme="minorEastAsia"/>
                <w:color w:val="auto"/>
                <w:kern w:val="2"/>
                <w:sz w:val="24"/>
                <w:szCs w:val="24"/>
                <w:highlight w:val="none"/>
                <w:vertAlign w:val="baseline"/>
                <w:lang w:val="en-US" w:eastAsia="zh-CN" w:bidi="ar-SA"/>
              </w:rPr>
              <w:t>6</w:t>
            </w:r>
          </w:p>
        </w:tc>
        <w:tc>
          <w:tcPr>
            <w:tcW w:w="2406" w:type="dxa"/>
          </w:tcPr>
          <w:p w14:paraId="7053684F">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Theme="minorEastAsia" w:hAnsiTheme="minorEastAsia" w:eastAsiaTheme="minorEastAsia" w:cstheme="minorEastAsia"/>
                <w:color w:val="auto"/>
                <w:kern w:val="2"/>
                <w:sz w:val="24"/>
                <w:szCs w:val="24"/>
                <w:highlight w:val="none"/>
                <w:vertAlign w:val="baseline"/>
                <w:lang w:val="en-US" w:eastAsia="zh-CN" w:bidi="ar-SA"/>
              </w:rPr>
            </w:pPr>
            <w:r>
              <w:rPr>
                <w:color w:val="000000"/>
                <w:kern w:val="0"/>
                <w:sz w:val="21"/>
                <w:szCs w:val="21"/>
                <w:highlight w:val="none"/>
              </w:rPr>
              <w:t>温度测试仪</w:t>
            </w:r>
          </w:p>
        </w:tc>
        <w:tc>
          <w:tcPr>
            <w:tcW w:w="1778" w:type="dxa"/>
          </w:tcPr>
          <w:p w14:paraId="625BA67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heme="minorEastAsia" w:hAnsiTheme="minorEastAsia" w:eastAsiaTheme="minorEastAsia" w:cstheme="minorEastAsia"/>
                <w:color w:val="auto"/>
                <w:kern w:val="2"/>
                <w:sz w:val="24"/>
                <w:szCs w:val="24"/>
                <w:highlight w:val="none"/>
                <w:vertAlign w:val="baseline"/>
                <w:lang w:val="en-US" w:eastAsia="zh-CN" w:bidi="ar-SA"/>
              </w:rPr>
            </w:pPr>
            <w:r>
              <w:rPr>
                <w:rFonts w:hint="eastAsia" w:asciiTheme="minorEastAsia" w:hAnsiTheme="minorEastAsia" w:eastAsiaTheme="minorEastAsia" w:cstheme="minorEastAsia"/>
                <w:color w:val="auto"/>
                <w:kern w:val="2"/>
                <w:sz w:val="24"/>
                <w:szCs w:val="24"/>
                <w:highlight w:val="none"/>
                <w:vertAlign w:val="baseline"/>
                <w:lang w:val="en-US" w:eastAsia="zh-CN" w:bidi="ar-SA"/>
              </w:rPr>
              <w:t>1</w:t>
            </w:r>
          </w:p>
        </w:tc>
        <w:tc>
          <w:tcPr>
            <w:tcW w:w="1778" w:type="dxa"/>
          </w:tcPr>
          <w:p w14:paraId="7CD4AC4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台</w:t>
            </w:r>
          </w:p>
        </w:tc>
        <w:tc>
          <w:tcPr>
            <w:tcW w:w="1779" w:type="dxa"/>
          </w:tcPr>
          <w:p w14:paraId="1618F275">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Theme="minorEastAsia" w:hAnsiTheme="minorEastAsia" w:eastAsiaTheme="minorEastAsia" w:cstheme="minorEastAsia"/>
                <w:color w:val="auto"/>
                <w:kern w:val="2"/>
                <w:sz w:val="24"/>
                <w:szCs w:val="24"/>
                <w:highlight w:val="none"/>
                <w:vertAlign w:val="baseline"/>
                <w:lang w:val="en-US" w:eastAsia="zh-CN" w:bidi="ar-SA"/>
              </w:rPr>
            </w:pPr>
          </w:p>
        </w:tc>
      </w:tr>
      <w:tr w14:paraId="14FE1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dxa"/>
          </w:tcPr>
          <w:p w14:paraId="149F505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heme="minorEastAsia" w:hAnsiTheme="minorEastAsia" w:eastAsiaTheme="minorEastAsia" w:cstheme="minorEastAsia"/>
                <w:color w:val="auto"/>
                <w:kern w:val="2"/>
                <w:sz w:val="24"/>
                <w:szCs w:val="24"/>
                <w:highlight w:val="none"/>
                <w:vertAlign w:val="baseline"/>
                <w:lang w:val="en-US" w:eastAsia="zh-CN" w:bidi="ar-SA"/>
              </w:rPr>
            </w:pPr>
            <w:r>
              <w:rPr>
                <w:rFonts w:hint="eastAsia" w:asciiTheme="minorEastAsia" w:hAnsiTheme="minorEastAsia" w:eastAsiaTheme="minorEastAsia" w:cstheme="minorEastAsia"/>
                <w:color w:val="auto"/>
                <w:kern w:val="2"/>
                <w:sz w:val="24"/>
                <w:szCs w:val="24"/>
                <w:highlight w:val="none"/>
                <w:vertAlign w:val="baseline"/>
                <w:lang w:val="en-US" w:eastAsia="zh-CN" w:bidi="ar-SA"/>
              </w:rPr>
              <w:t>7</w:t>
            </w:r>
          </w:p>
        </w:tc>
        <w:tc>
          <w:tcPr>
            <w:tcW w:w="2406" w:type="dxa"/>
          </w:tcPr>
          <w:p w14:paraId="1DAC888C">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Theme="minorEastAsia" w:hAnsiTheme="minorEastAsia" w:eastAsiaTheme="minorEastAsia" w:cstheme="minorEastAsia"/>
                <w:color w:val="auto"/>
                <w:kern w:val="2"/>
                <w:sz w:val="24"/>
                <w:szCs w:val="24"/>
                <w:highlight w:val="none"/>
                <w:vertAlign w:val="baseline"/>
                <w:lang w:val="en-US" w:eastAsia="zh-CN" w:bidi="ar-SA"/>
              </w:rPr>
            </w:pPr>
            <w:r>
              <w:rPr>
                <w:color w:val="000000"/>
                <w:kern w:val="0"/>
                <w:sz w:val="21"/>
                <w:szCs w:val="21"/>
                <w:highlight w:val="none"/>
              </w:rPr>
              <w:t>钢弦式应变计</w:t>
            </w:r>
          </w:p>
        </w:tc>
        <w:tc>
          <w:tcPr>
            <w:tcW w:w="1778" w:type="dxa"/>
          </w:tcPr>
          <w:p w14:paraId="0DB5721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heme="minorEastAsia" w:hAnsiTheme="minorEastAsia" w:eastAsiaTheme="minorEastAsia" w:cstheme="minorEastAsia"/>
                <w:color w:val="auto"/>
                <w:kern w:val="2"/>
                <w:sz w:val="24"/>
                <w:szCs w:val="24"/>
                <w:highlight w:val="none"/>
                <w:vertAlign w:val="baseline"/>
                <w:lang w:val="en-US" w:eastAsia="zh-CN" w:bidi="ar-SA"/>
              </w:rPr>
            </w:pPr>
            <w:r>
              <w:rPr>
                <w:rFonts w:hint="eastAsia" w:asciiTheme="minorEastAsia" w:hAnsiTheme="minorEastAsia" w:eastAsiaTheme="minorEastAsia" w:cstheme="minorEastAsia"/>
                <w:color w:val="auto"/>
                <w:kern w:val="2"/>
                <w:sz w:val="24"/>
                <w:szCs w:val="24"/>
                <w:highlight w:val="none"/>
                <w:vertAlign w:val="baseline"/>
                <w:lang w:val="en-US" w:eastAsia="zh-CN" w:bidi="ar-SA"/>
              </w:rPr>
              <w:t>1</w:t>
            </w:r>
          </w:p>
        </w:tc>
        <w:tc>
          <w:tcPr>
            <w:tcW w:w="1778" w:type="dxa"/>
          </w:tcPr>
          <w:p w14:paraId="3477E60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个</w:t>
            </w:r>
          </w:p>
        </w:tc>
        <w:tc>
          <w:tcPr>
            <w:tcW w:w="1779" w:type="dxa"/>
          </w:tcPr>
          <w:p w14:paraId="28E710D1">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Theme="minorEastAsia" w:hAnsiTheme="minorEastAsia" w:eastAsiaTheme="minorEastAsia" w:cstheme="minorEastAsia"/>
                <w:color w:val="auto"/>
                <w:kern w:val="2"/>
                <w:sz w:val="24"/>
                <w:szCs w:val="24"/>
                <w:highlight w:val="none"/>
                <w:vertAlign w:val="baseline"/>
                <w:lang w:val="en-US" w:eastAsia="zh-CN" w:bidi="ar-SA"/>
              </w:rPr>
            </w:pPr>
          </w:p>
        </w:tc>
      </w:tr>
      <w:tr w14:paraId="65BC2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dxa"/>
          </w:tcPr>
          <w:p w14:paraId="0D33C66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heme="minorEastAsia" w:hAnsiTheme="minorEastAsia" w:eastAsiaTheme="minorEastAsia" w:cstheme="minorEastAsia"/>
                <w:color w:val="auto"/>
                <w:kern w:val="2"/>
                <w:sz w:val="24"/>
                <w:szCs w:val="24"/>
                <w:highlight w:val="none"/>
                <w:vertAlign w:val="baseline"/>
                <w:lang w:val="en-US" w:eastAsia="zh-CN" w:bidi="ar-SA"/>
              </w:rPr>
            </w:pPr>
            <w:r>
              <w:rPr>
                <w:rFonts w:hint="eastAsia" w:asciiTheme="minorEastAsia" w:hAnsiTheme="minorEastAsia" w:eastAsiaTheme="minorEastAsia" w:cstheme="minorEastAsia"/>
                <w:color w:val="auto"/>
                <w:kern w:val="2"/>
                <w:sz w:val="24"/>
                <w:szCs w:val="24"/>
                <w:highlight w:val="none"/>
                <w:vertAlign w:val="baseline"/>
                <w:lang w:val="en-US" w:eastAsia="zh-CN" w:bidi="ar-SA"/>
              </w:rPr>
              <w:t>8</w:t>
            </w:r>
          </w:p>
        </w:tc>
        <w:tc>
          <w:tcPr>
            <w:tcW w:w="2406" w:type="dxa"/>
          </w:tcPr>
          <w:p w14:paraId="4FA1A4B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Theme="minorEastAsia" w:hAnsiTheme="minorEastAsia" w:eastAsiaTheme="minorEastAsia" w:cstheme="minorEastAsia"/>
                <w:color w:val="auto"/>
                <w:kern w:val="2"/>
                <w:sz w:val="24"/>
                <w:szCs w:val="24"/>
                <w:highlight w:val="none"/>
                <w:vertAlign w:val="baseline"/>
                <w:lang w:val="en-US" w:eastAsia="zh-CN" w:bidi="ar-SA"/>
              </w:rPr>
            </w:pPr>
            <w:r>
              <w:rPr>
                <w:color w:val="000000"/>
                <w:kern w:val="0"/>
                <w:sz w:val="21"/>
                <w:szCs w:val="21"/>
                <w:highlight w:val="none"/>
              </w:rPr>
              <w:t>锚索计</w:t>
            </w:r>
          </w:p>
        </w:tc>
        <w:tc>
          <w:tcPr>
            <w:tcW w:w="1778" w:type="dxa"/>
          </w:tcPr>
          <w:p w14:paraId="3401645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heme="minorEastAsia" w:hAnsiTheme="minorEastAsia" w:eastAsiaTheme="minorEastAsia" w:cstheme="minorEastAsia"/>
                <w:color w:val="auto"/>
                <w:kern w:val="2"/>
                <w:sz w:val="24"/>
                <w:szCs w:val="24"/>
                <w:highlight w:val="none"/>
                <w:vertAlign w:val="baseline"/>
                <w:lang w:val="en-US" w:eastAsia="zh-CN" w:bidi="ar-SA"/>
              </w:rPr>
            </w:pPr>
            <w:r>
              <w:rPr>
                <w:rFonts w:hint="eastAsia" w:asciiTheme="minorEastAsia" w:hAnsiTheme="minorEastAsia" w:eastAsiaTheme="minorEastAsia" w:cstheme="minorEastAsia"/>
                <w:color w:val="auto"/>
                <w:kern w:val="2"/>
                <w:sz w:val="24"/>
                <w:szCs w:val="24"/>
                <w:highlight w:val="none"/>
                <w:vertAlign w:val="baseline"/>
                <w:lang w:val="en-US" w:eastAsia="zh-CN" w:bidi="ar-SA"/>
              </w:rPr>
              <w:t>6</w:t>
            </w:r>
          </w:p>
        </w:tc>
        <w:tc>
          <w:tcPr>
            <w:tcW w:w="1778" w:type="dxa"/>
          </w:tcPr>
          <w:p w14:paraId="552D2A4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个</w:t>
            </w:r>
          </w:p>
        </w:tc>
        <w:tc>
          <w:tcPr>
            <w:tcW w:w="1779" w:type="dxa"/>
          </w:tcPr>
          <w:p w14:paraId="6732235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Theme="minorEastAsia" w:hAnsiTheme="minorEastAsia" w:eastAsiaTheme="minorEastAsia" w:cstheme="minorEastAsia"/>
                <w:color w:val="auto"/>
                <w:kern w:val="2"/>
                <w:sz w:val="24"/>
                <w:szCs w:val="24"/>
                <w:highlight w:val="none"/>
                <w:vertAlign w:val="baseline"/>
                <w:lang w:val="en-US" w:eastAsia="zh-CN" w:bidi="ar-SA"/>
              </w:rPr>
            </w:pPr>
          </w:p>
        </w:tc>
      </w:tr>
      <w:tr w14:paraId="1320B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dxa"/>
          </w:tcPr>
          <w:p w14:paraId="4AD22F0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heme="minorEastAsia" w:hAnsiTheme="minorEastAsia" w:eastAsiaTheme="minorEastAsia" w:cstheme="minorEastAsia"/>
                <w:color w:val="auto"/>
                <w:kern w:val="2"/>
                <w:sz w:val="24"/>
                <w:szCs w:val="24"/>
                <w:highlight w:val="none"/>
                <w:vertAlign w:val="baseline"/>
                <w:lang w:val="en-US" w:eastAsia="zh-CN" w:bidi="ar-SA"/>
              </w:rPr>
            </w:pPr>
            <w:r>
              <w:rPr>
                <w:rFonts w:hint="eastAsia" w:asciiTheme="minorEastAsia" w:hAnsiTheme="minorEastAsia" w:eastAsiaTheme="minorEastAsia" w:cstheme="minorEastAsia"/>
                <w:color w:val="auto"/>
                <w:kern w:val="2"/>
                <w:sz w:val="24"/>
                <w:szCs w:val="24"/>
                <w:highlight w:val="none"/>
                <w:vertAlign w:val="baseline"/>
                <w:lang w:val="en-US" w:eastAsia="zh-CN" w:bidi="ar-SA"/>
              </w:rPr>
              <w:t>9</w:t>
            </w:r>
          </w:p>
        </w:tc>
        <w:tc>
          <w:tcPr>
            <w:tcW w:w="2406" w:type="dxa"/>
          </w:tcPr>
          <w:p w14:paraId="2B46B67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Theme="minorEastAsia" w:hAnsiTheme="minorEastAsia" w:eastAsiaTheme="minorEastAsia" w:cstheme="minorEastAsia"/>
                <w:color w:val="auto"/>
                <w:kern w:val="2"/>
                <w:sz w:val="24"/>
                <w:szCs w:val="24"/>
                <w:highlight w:val="none"/>
                <w:vertAlign w:val="baseline"/>
                <w:lang w:val="en-US" w:eastAsia="zh-CN" w:bidi="ar-SA"/>
              </w:rPr>
            </w:pPr>
            <w:r>
              <w:rPr>
                <w:color w:val="000000"/>
                <w:kern w:val="0"/>
                <w:sz w:val="21"/>
                <w:szCs w:val="21"/>
                <w:highlight w:val="none"/>
              </w:rPr>
              <w:t>温度传感器</w:t>
            </w:r>
          </w:p>
        </w:tc>
        <w:tc>
          <w:tcPr>
            <w:tcW w:w="1778" w:type="dxa"/>
          </w:tcPr>
          <w:p w14:paraId="78F37AB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heme="minorEastAsia" w:hAnsiTheme="minorEastAsia" w:eastAsiaTheme="minorEastAsia" w:cstheme="minorEastAsia"/>
                <w:color w:val="auto"/>
                <w:kern w:val="2"/>
                <w:sz w:val="24"/>
                <w:szCs w:val="24"/>
                <w:highlight w:val="none"/>
                <w:vertAlign w:val="baseline"/>
                <w:lang w:val="en-US" w:eastAsia="zh-CN" w:bidi="ar-SA"/>
              </w:rPr>
            </w:pPr>
            <w:r>
              <w:rPr>
                <w:rFonts w:hint="eastAsia" w:asciiTheme="minorEastAsia" w:hAnsiTheme="minorEastAsia" w:eastAsiaTheme="minorEastAsia" w:cstheme="minorEastAsia"/>
                <w:color w:val="auto"/>
                <w:kern w:val="2"/>
                <w:sz w:val="24"/>
                <w:szCs w:val="24"/>
                <w:highlight w:val="none"/>
                <w:vertAlign w:val="baseline"/>
                <w:lang w:val="en-US" w:eastAsia="zh-CN" w:bidi="ar-SA"/>
              </w:rPr>
              <w:t>50</w:t>
            </w:r>
          </w:p>
        </w:tc>
        <w:tc>
          <w:tcPr>
            <w:tcW w:w="1778" w:type="dxa"/>
          </w:tcPr>
          <w:p w14:paraId="590CCE8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个</w:t>
            </w:r>
          </w:p>
        </w:tc>
        <w:tc>
          <w:tcPr>
            <w:tcW w:w="1779" w:type="dxa"/>
          </w:tcPr>
          <w:p w14:paraId="20BB68F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Theme="minorEastAsia" w:hAnsiTheme="minorEastAsia" w:eastAsiaTheme="minorEastAsia" w:cstheme="minorEastAsia"/>
                <w:color w:val="auto"/>
                <w:kern w:val="2"/>
                <w:sz w:val="24"/>
                <w:szCs w:val="24"/>
                <w:highlight w:val="none"/>
                <w:vertAlign w:val="baseline"/>
                <w:lang w:val="en-US" w:eastAsia="zh-CN" w:bidi="ar-SA"/>
              </w:rPr>
            </w:pPr>
          </w:p>
        </w:tc>
      </w:tr>
    </w:tbl>
    <w:p w14:paraId="2C4D52F2">
      <w:pPr>
        <w:widowControl/>
        <w:spacing w:line="360" w:lineRule="exact"/>
        <w:jc w:val="left"/>
        <w:rPr>
          <w:rFonts w:hint="eastAsia" w:asciiTheme="minorEastAsia" w:hAnsiTheme="minorEastAsia" w:eastAsiaTheme="minorEastAsia" w:cstheme="minorEastAsia"/>
          <w:color w:val="auto"/>
          <w:sz w:val="24"/>
          <w:szCs w:val="24"/>
          <w:highlight w:val="none"/>
          <w:lang w:val="en-US" w:eastAsia="zh-CN"/>
        </w:rPr>
      </w:pPr>
    </w:p>
    <w:p w14:paraId="36FC49CC">
      <w:pPr>
        <w:widowControl/>
        <w:spacing w:line="360" w:lineRule="auto"/>
        <w:ind w:firstLine="480" w:firstLineChars="20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注：</w:t>
      </w:r>
    </w:p>
    <w:p w14:paraId="79C9D497">
      <w:pPr>
        <w:widowControl/>
        <w:spacing w:line="360" w:lineRule="auto"/>
        <w:ind w:firstLine="480" w:firstLineChars="20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1、本表所列设备为最低要求， 有经验的受托人可依据本项目的实际情况，在合同履约中适当增加必要的监控设备，以充分满足监控工作的需要。</w:t>
      </w:r>
    </w:p>
    <w:p w14:paraId="341A70D3">
      <w:pPr>
        <w:widowControl/>
        <w:spacing w:line="360" w:lineRule="auto"/>
        <w:ind w:firstLine="480" w:firstLineChars="20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2、受托人的检测能力、仪器设备、人员配置应满足湖南省交通运输工程质量监督管理机构的有关规定。</w:t>
      </w:r>
    </w:p>
    <w:p w14:paraId="2E78AABF">
      <w:pPr>
        <w:spacing w:line="360" w:lineRule="auto"/>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3、上述监控设备为最低要求(部分特殊监控项目报招标人同意后， 可委托有相应资质的单位实施，这部分监控项目所需设备经招标人同意后可不予进场)，委托人有权要求受托人根据实际监控需要增加检测设备的投入，招标人不因此增加任何投入。</w:t>
      </w:r>
    </w:p>
    <w:p w14:paraId="5F03042E">
      <w:pPr>
        <w:rPr>
          <w:color w:val="000000" w:themeColor="text1"/>
          <w:highlight w:val="none"/>
          <w14:textFill>
            <w14:solidFill>
              <w14:schemeClr w14:val="tx1"/>
            </w14:solidFill>
          </w14:textFill>
        </w:rPr>
      </w:pPr>
    </w:p>
    <w:p w14:paraId="530E1D08">
      <w:pPr>
        <w:pStyle w:val="72"/>
        <w:ind w:left="840" w:hanging="420"/>
        <w:rPr>
          <w:color w:val="000000" w:themeColor="text1"/>
          <w:highlight w:val="none"/>
          <w14:textFill>
            <w14:solidFill>
              <w14:schemeClr w14:val="tx1"/>
            </w14:solidFill>
          </w14:textFill>
        </w:rPr>
      </w:pPr>
    </w:p>
    <w:p w14:paraId="0711166C">
      <w:pPr>
        <w:rPr>
          <w:color w:val="000000" w:themeColor="text1"/>
          <w:highlight w:val="none"/>
          <w14:textFill>
            <w14:solidFill>
              <w14:schemeClr w14:val="tx1"/>
            </w14:solidFill>
          </w14:textFill>
        </w:rPr>
      </w:pPr>
    </w:p>
    <w:p w14:paraId="550E3316">
      <w:pPr>
        <w:rPr>
          <w:color w:val="000000" w:themeColor="text1"/>
          <w:highlight w:val="none"/>
          <w14:textFill>
            <w14:solidFill>
              <w14:schemeClr w14:val="tx1"/>
            </w14:solidFill>
          </w14:textFill>
        </w:rPr>
      </w:pPr>
    </w:p>
    <w:p w14:paraId="4BA53E32">
      <w:pPr>
        <w:pStyle w:val="72"/>
        <w:ind w:left="840" w:hanging="420"/>
        <w:rPr>
          <w:color w:val="000000" w:themeColor="text1"/>
          <w:highlight w:val="none"/>
          <w14:textFill>
            <w14:solidFill>
              <w14:schemeClr w14:val="tx1"/>
            </w14:solidFill>
          </w14:textFill>
        </w:rPr>
      </w:pPr>
    </w:p>
    <w:p w14:paraId="19841E52">
      <w:pPr>
        <w:rPr>
          <w:color w:val="000000" w:themeColor="text1"/>
          <w:highlight w:val="none"/>
          <w14:textFill>
            <w14:solidFill>
              <w14:schemeClr w14:val="tx1"/>
            </w14:solidFill>
          </w14:textFill>
        </w:rPr>
      </w:pPr>
    </w:p>
    <w:p w14:paraId="1D39498B">
      <w:pPr>
        <w:rPr>
          <w:color w:val="000000" w:themeColor="text1"/>
          <w:highlight w:val="none"/>
          <w14:textFill>
            <w14:solidFill>
              <w14:schemeClr w14:val="tx1"/>
            </w14:solidFill>
          </w14:textFill>
        </w:rPr>
      </w:pPr>
    </w:p>
    <w:p w14:paraId="625EF8AA">
      <w:pPr>
        <w:rPr>
          <w:color w:val="000000" w:themeColor="text1"/>
          <w:highlight w:val="none"/>
          <w14:textFill>
            <w14:solidFill>
              <w14:schemeClr w14:val="tx1"/>
            </w14:solidFill>
          </w14:textFill>
        </w:rPr>
      </w:pPr>
    </w:p>
    <w:p w14:paraId="73370EE1">
      <w:pPr>
        <w:pStyle w:val="72"/>
        <w:rPr>
          <w:rFonts w:hint="eastAsia"/>
          <w:color w:val="000000" w:themeColor="text1"/>
          <w:highlight w:val="none"/>
          <w:lang w:eastAsia="zh-CN"/>
          <w14:textFill>
            <w14:solidFill>
              <w14:schemeClr w14:val="tx1"/>
            </w14:solidFill>
          </w14:textFill>
        </w:rPr>
      </w:pPr>
    </w:p>
    <w:p w14:paraId="2C94F13C">
      <w:pPr>
        <w:spacing w:line="600" w:lineRule="exact"/>
        <w:jc w:val="center"/>
        <w:rPr>
          <w:rFonts w:hint="eastAsia" w:ascii="黑体" w:hAnsi="黑体" w:eastAsia="黑体" w:cs="仿宋"/>
          <w:b/>
          <w:color w:val="000000" w:themeColor="text1"/>
          <w:sz w:val="44"/>
          <w:szCs w:val="44"/>
          <w:highlight w:val="none"/>
          <w14:textFill>
            <w14:solidFill>
              <w14:schemeClr w14:val="tx1"/>
            </w14:solidFill>
          </w14:textFill>
        </w:rPr>
      </w:pPr>
    </w:p>
    <w:p w14:paraId="6CF1969D">
      <w:pPr>
        <w:spacing w:line="600" w:lineRule="exact"/>
        <w:jc w:val="center"/>
        <w:rPr>
          <w:rFonts w:hint="eastAsia" w:ascii="黑体" w:hAnsi="黑体" w:eastAsia="黑体" w:cs="仿宋"/>
          <w:b/>
          <w:color w:val="000000" w:themeColor="text1"/>
          <w:sz w:val="44"/>
          <w:szCs w:val="44"/>
          <w:highlight w:val="none"/>
          <w14:textFill>
            <w14:solidFill>
              <w14:schemeClr w14:val="tx1"/>
            </w14:solidFill>
          </w14:textFill>
        </w:rPr>
      </w:pPr>
    </w:p>
    <w:p w14:paraId="1D9B18EB">
      <w:pPr>
        <w:spacing w:line="360" w:lineRule="auto"/>
        <w:jc w:val="center"/>
        <w:rPr>
          <w:rFonts w:hint="eastAsia" w:ascii="宋体" w:hAnsi="宋体" w:cs="宋体"/>
          <w:b/>
          <w:color w:val="000000" w:themeColor="text1"/>
          <w:sz w:val="44"/>
          <w:szCs w:val="44"/>
          <w:highlight w:val="none"/>
          <w14:textFill>
            <w14:solidFill>
              <w14:schemeClr w14:val="tx1"/>
            </w14:solidFill>
          </w14:textFill>
        </w:rPr>
      </w:pPr>
    </w:p>
    <w:p w14:paraId="552B3B6A">
      <w:pPr>
        <w:spacing w:line="360" w:lineRule="auto"/>
        <w:jc w:val="center"/>
        <w:rPr>
          <w:rFonts w:hint="eastAsia" w:ascii="宋体" w:hAnsi="宋体" w:cs="宋体"/>
          <w:b/>
          <w:color w:val="000000" w:themeColor="text1"/>
          <w:sz w:val="44"/>
          <w:szCs w:val="44"/>
          <w:highlight w:val="none"/>
          <w14:textFill>
            <w14:solidFill>
              <w14:schemeClr w14:val="tx1"/>
            </w14:solidFill>
          </w14:textFill>
        </w:rPr>
      </w:pPr>
    </w:p>
    <w:p w14:paraId="1392625A">
      <w:pPr>
        <w:spacing w:line="360" w:lineRule="auto"/>
        <w:jc w:val="center"/>
        <w:rPr>
          <w:rFonts w:hint="eastAsia" w:ascii="宋体" w:hAnsi="宋体" w:cs="宋体"/>
          <w:b/>
          <w:color w:val="000000" w:themeColor="text1"/>
          <w:sz w:val="44"/>
          <w:szCs w:val="44"/>
          <w:highlight w:val="none"/>
          <w14:textFill>
            <w14:solidFill>
              <w14:schemeClr w14:val="tx1"/>
            </w14:solidFill>
          </w14:textFill>
        </w:rPr>
      </w:pPr>
    </w:p>
    <w:p w14:paraId="6CF767D8">
      <w:pPr>
        <w:spacing w:line="360" w:lineRule="auto"/>
        <w:jc w:val="center"/>
        <w:rPr>
          <w:rFonts w:hint="eastAsia" w:ascii="宋体" w:hAnsi="宋体" w:cs="宋体"/>
          <w:b/>
          <w:color w:val="000000" w:themeColor="text1"/>
          <w:sz w:val="44"/>
          <w:szCs w:val="44"/>
          <w:highlight w:val="none"/>
          <w14:textFill>
            <w14:solidFill>
              <w14:schemeClr w14:val="tx1"/>
            </w14:solidFill>
          </w14:textFill>
        </w:rPr>
      </w:pPr>
    </w:p>
    <w:p w14:paraId="39A5FCA1">
      <w:pPr>
        <w:spacing w:line="360" w:lineRule="auto"/>
        <w:jc w:val="center"/>
        <w:rPr>
          <w:rFonts w:hint="eastAsia" w:ascii="宋体" w:hAnsi="宋体" w:cs="宋体"/>
          <w:b/>
          <w:color w:val="000000" w:themeColor="text1"/>
          <w:sz w:val="44"/>
          <w:szCs w:val="44"/>
          <w:highlight w:val="none"/>
          <w14:textFill>
            <w14:solidFill>
              <w14:schemeClr w14:val="tx1"/>
            </w14:solidFill>
          </w14:textFill>
        </w:rPr>
      </w:pPr>
      <w:r>
        <w:rPr>
          <w:rFonts w:hint="eastAsia" w:ascii="宋体" w:hAnsi="宋体" w:cs="宋体"/>
          <w:b/>
          <w:color w:val="000000" w:themeColor="text1"/>
          <w:sz w:val="44"/>
          <w:szCs w:val="44"/>
          <w:highlight w:val="none"/>
          <w14:textFill>
            <w14:solidFill>
              <w14:schemeClr w14:val="tx1"/>
            </w14:solidFill>
          </w14:textFill>
        </w:rPr>
        <w:t>第六章  图纸和资料</w:t>
      </w:r>
    </w:p>
    <w:p w14:paraId="2481AECF">
      <w:pPr>
        <w:ind w:firstLine="480" w:firstLineChars="200"/>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以采购人提供的为准</w:t>
      </w:r>
    </w:p>
    <w:p w14:paraId="2CDABD18">
      <w:pPr>
        <w:pStyle w:val="85"/>
        <w:ind w:firstLine="480"/>
        <w:rPr>
          <w:rFonts w:hint="eastAsia" w:ascii="仿宋" w:hAnsi="仿宋" w:eastAsia="仿宋" w:cs="仿宋"/>
          <w:color w:val="000000" w:themeColor="text1"/>
          <w:sz w:val="24"/>
          <w:highlight w:val="none"/>
          <w14:textFill>
            <w14:solidFill>
              <w14:schemeClr w14:val="tx1"/>
            </w14:solidFill>
          </w14:textFill>
        </w:rPr>
      </w:pPr>
    </w:p>
    <w:p w14:paraId="6756AB46">
      <w:pPr>
        <w:autoSpaceDE w:val="0"/>
        <w:autoSpaceDN w:val="0"/>
        <w:adjustRightInd w:val="0"/>
        <w:rPr>
          <w:rFonts w:hint="eastAsia" w:ascii="仿宋" w:hAnsi="仿宋" w:eastAsia="仿宋" w:cs="仿宋"/>
          <w:color w:val="000000" w:themeColor="text1"/>
          <w:sz w:val="24"/>
          <w:highlight w:val="none"/>
          <w14:textFill>
            <w14:solidFill>
              <w14:schemeClr w14:val="tx1"/>
            </w14:solidFill>
          </w14:textFill>
        </w:rPr>
      </w:pPr>
    </w:p>
    <w:p w14:paraId="21F78A6A">
      <w:pPr>
        <w:spacing w:line="240" w:lineRule="auto"/>
        <w:jc w:val="center"/>
        <w:rPr>
          <w:rFonts w:hint="eastAsia" w:ascii="仿宋" w:hAnsi="仿宋" w:eastAsia="仿宋" w:cs="仿宋"/>
          <w:color w:val="000000" w:themeColor="text1"/>
          <w:sz w:val="30"/>
          <w:szCs w:val="30"/>
          <w:highlight w:val="none"/>
          <w14:textFill>
            <w14:solidFill>
              <w14:schemeClr w14:val="tx1"/>
            </w14:solidFill>
          </w14:textFill>
        </w:rPr>
      </w:pPr>
    </w:p>
    <w:p w14:paraId="05C189DF">
      <w:pPr>
        <w:rPr>
          <w:rFonts w:hint="eastAsia" w:ascii="仿宋" w:hAnsi="仿宋" w:eastAsia="仿宋" w:cs="仿宋"/>
          <w:color w:val="000000" w:themeColor="text1"/>
          <w:sz w:val="30"/>
          <w:szCs w:val="30"/>
          <w:highlight w:val="none"/>
          <w14:textFill>
            <w14:solidFill>
              <w14:schemeClr w14:val="tx1"/>
            </w14:solidFill>
          </w14:textFill>
        </w:rPr>
      </w:pPr>
      <w:r>
        <w:rPr>
          <w:rFonts w:ascii="仿宋" w:hAnsi="仿宋" w:eastAsia="仿宋" w:cs="仿宋"/>
          <w:color w:val="000000" w:themeColor="text1"/>
          <w:sz w:val="30"/>
          <w:szCs w:val="30"/>
          <w:highlight w:val="none"/>
          <w14:textFill>
            <w14:solidFill>
              <w14:schemeClr w14:val="tx1"/>
            </w14:solidFill>
          </w14:textFill>
        </w:rPr>
        <w:br w:type="page"/>
      </w:r>
    </w:p>
    <w:p w14:paraId="59D1893E">
      <w:pPr>
        <w:spacing w:line="240" w:lineRule="auto"/>
        <w:jc w:val="center"/>
        <w:rPr>
          <w:rFonts w:hint="eastAsia" w:ascii="仿宋" w:hAnsi="仿宋" w:eastAsia="仿宋" w:cs="仿宋"/>
          <w:color w:val="000000" w:themeColor="text1"/>
          <w:sz w:val="30"/>
          <w:szCs w:val="30"/>
          <w:highlight w:val="none"/>
          <w14:textFill>
            <w14:solidFill>
              <w14:schemeClr w14:val="tx1"/>
            </w14:solidFill>
          </w14:textFill>
        </w:rPr>
      </w:pPr>
    </w:p>
    <w:p w14:paraId="620B9B52">
      <w:pPr>
        <w:spacing w:line="240" w:lineRule="auto"/>
        <w:jc w:val="center"/>
        <w:rPr>
          <w:rFonts w:hint="eastAsia" w:ascii="仿宋" w:hAnsi="仿宋" w:eastAsia="仿宋" w:cs="仿宋"/>
          <w:color w:val="000000" w:themeColor="text1"/>
          <w:sz w:val="30"/>
          <w:szCs w:val="30"/>
          <w:highlight w:val="none"/>
          <w14:textFill>
            <w14:solidFill>
              <w14:schemeClr w14:val="tx1"/>
            </w14:solidFill>
          </w14:textFill>
        </w:rPr>
      </w:pPr>
    </w:p>
    <w:p w14:paraId="7AB00FA4">
      <w:pPr>
        <w:spacing w:line="240" w:lineRule="auto"/>
        <w:jc w:val="center"/>
        <w:rPr>
          <w:rFonts w:hint="eastAsia" w:ascii="仿宋" w:hAnsi="仿宋" w:eastAsia="仿宋" w:cs="仿宋"/>
          <w:color w:val="000000" w:themeColor="text1"/>
          <w:sz w:val="30"/>
          <w:szCs w:val="30"/>
          <w:highlight w:val="none"/>
          <w14:textFill>
            <w14:solidFill>
              <w14:schemeClr w14:val="tx1"/>
            </w14:solidFill>
          </w14:textFill>
        </w:rPr>
      </w:pPr>
    </w:p>
    <w:p w14:paraId="1BACF377">
      <w:pPr>
        <w:spacing w:line="240" w:lineRule="auto"/>
        <w:jc w:val="center"/>
        <w:rPr>
          <w:rFonts w:hint="eastAsia" w:ascii="仿宋" w:hAnsi="仿宋" w:eastAsia="仿宋" w:cs="仿宋"/>
          <w:color w:val="000000" w:themeColor="text1"/>
          <w:sz w:val="30"/>
          <w:szCs w:val="30"/>
          <w:highlight w:val="none"/>
          <w14:textFill>
            <w14:solidFill>
              <w14:schemeClr w14:val="tx1"/>
            </w14:solidFill>
          </w14:textFill>
        </w:rPr>
      </w:pPr>
    </w:p>
    <w:p w14:paraId="3F6B1314">
      <w:pPr>
        <w:spacing w:line="240" w:lineRule="auto"/>
        <w:jc w:val="center"/>
        <w:rPr>
          <w:rFonts w:hint="eastAsia" w:ascii="仿宋" w:hAnsi="仿宋" w:eastAsia="仿宋" w:cs="仿宋"/>
          <w:color w:val="000000" w:themeColor="text1"/>
          <w:sz w:val="30"/>
          <w:szCs w:val="30"/>
          <w:highlight w:val="none"/>
          <w14:textFill>
            <w14:solidFill>
              <w14:schemeClr w14:val="tx1"/>
            </w14:solidFill>
          </w14:textFill>
        </w:rPr>
      </w:pPr>
    </w:p>
    <w:p w14:paraId="7FC382C1">
      <w:pPr>
        <w:spacing w:line="240" w:lineRule="auto"/>
        <w:jc w:val="center"/>
        <w:rPr>
          <w:rFonts w:hint="eastAsia" w:ascii="仿宋" w:hAnsi="仿宋" w:eastAsia="仿宋" w:cs="仿宋"/>
          <w:color w:val="000000" w:themeColor="text1"/>
          <w:sz w:val="30"/>
          <w:szCs w:val="30"/>
          <w:highlight w:val="none"/>
          <w14:textFill>
            <w14:solidFill>
              <w14:schemeClr w14:val="tx1"/>
            </w14:solidFill>
          </w14:textFill>
        </w:rPr>
      </w:pPr>
    </w:p>
    <w:p w14:paraId="01D0232A">
      <w:pPr>
        <w:spacing w:line="240" w:lineRule="auto"/>
        <w:jc w:val="center"/>
        <w:rPr>
          <w:rFonts w:hint="eastAsia" w:ascii="仿宋" w:hAnsi="仿宋" w:eastAsia="仿宋" w:cs="仿宋"/>
          <w:color w:val="000000" w:themeColor="text1"/>
          <w:sz w:val="30"/>
          <w:szCs w:val="30"/>
          <w:highlight w:val="none"/>
          <w14:textFill>
            <w14:solidFill>
              <w14:schemeClr w14:val="tx1"/>
            </w14:solidFill>
          </w14:textFill>
        </w:rPr>
      </w:pPr>
    </w:p>
    <w:p w14:paraId="791EDF49">
      <w:pPr>
        <w:spacing w:line="240" w:lineRule="auto"/>
        <w:jc w:val="center"/>
        <w:rPr>
          <w:rFonts w:hint="eastAsia" w:ascii="黑体" w:hAnsi="黑体" w:eastAsia="黑体" w:cs="仿宋"/>
          <w:b/>
          <w:color w:val="000000" w:themeColor="text1"/>
          <w:sz w:val="44"/>
          <w:szCs w:val="44"/>
          <w:highlight w:val="none"/>
          <w14:textFill>
            <w14:solidFill>
              <w14:schemeClr w14:val="tx1"/>
            </w14:solidFill>
          </w14:textFill>
        </w:rPr>
      </w:pPr>
    </w:p>
    <w:p w14:paraId="669326A2">
      <w:pPr>
        <w:spacing w:line="240" w:lineRule="auto"/>
        <w:jc w:val="center"/>
        <w:rPr>
          <w:rFonts w:hint="eastAsia" w:ascii="黑体" w:hAnsi="黑体" w:eastAsia="黑体" w:cs="仿宋"/>
          <w:b/>
          <w:color w:val="000000" w:themeColor="text1"/>
          <w:sz w:val="44"/>
          <w:szCs w:val="44"/>
          <w:highlight w:val="none"/>
          <w14:textFill>
            <w14:solidFill>
              <w14:schemeClr w14:val="tx1"/>
            </w14:solidFill>
          </w14:textFill>
        </w:rPr>
      </w:pPr>
    </w:p>
    <w:p w14:paraId="647DA138">
      <w:pPr>
        <w:spacing w:line="240" w:lineRule="auto"/>
        <w:jc w:val="center"/>
        <w:rPr>
          <w:rFonts w:hint="eastAsia" w:ascii="黑体" w:hAnsi="黑体" w:eastAsia="黑体" w:cs="仿宋"/>
          <w:b/>
          <w:color w:val="000000" w:themeColor="text1"/>
          <w:sz w:val="44"/>
          <w:szCs w:val="44"/>
          <w:highlight w:val="none"/>
          <w14:textFill>
            <w14:solidFill>
              <w14:schemeClr w14:val="tx1"/>
            </w14:solidFill>
          </w14:textFill>
        </w:rPr>
      </w:pPr>
    </w:p>
    <w:p w14:paraId="3B0F9880">
      <w:pPr>
        <w:spacing w:line="240" w:lineRule="auto"/>
        <w:jc w:val="center"/>
        <w:rPr>
          <w:rFonts w:hint="eastAsia" w:ascii="黑体" w:hAnsi="黑体" w:eastAsia="黑体" w:cs="仿宋"/>
          <w:b/>
          <w:color w:val="000000" w:themeColor="text1"/>
          <w:sz w:val="44"/>
          <w:szCs w:val="44"/>
          <w:highlight w:val="none"/>
          <w14:textFill>
            <w14:solidFill>
              <w14:schemeClr w14:val="tx1"/>
            </w14:solidFill>
          </w14:textFill>
        </w:rPr>
      </w:pPr>
      <w:r>
        <w:rPr>
          <w:rFonts w:hint="eastAsia" w:ascii="黑体" w:hAnsi="黑体" w:eastAsia="黑体" w:cs="仿宋"/>
          <w:b/>
          <w:color w:val="000000" w:themeColor="text1"/>
          <w:sz w:val="44"/>
          <w:szCs w:val="44"/>
          <w:highlight w:val="none"/>
          <w14:textFill>
            <w14:solidFill>
              <w14:schemeClr w14:val="tx1"/>
            </w14:solidFill>
          </w14:textFill>
        </w:rPr>
        <w:t>第七章  响应文件格式</w:t>
      </w:r>
    </w:p>
    <w:p w14:paraId="6BCE61DC">
      <w:pPr>
        <w:spacing w:line="240" w:lineRule="auto"/>
        <w:rPr>
          <w:rFonts w:hint="eastAsia" w:ascii="仿宋" w:hAnsi="仿宋" w:eastAsia="仿宋" w:cs="仿宋"/>
          <w:color w:val="000000" w:themeColor="text1"/>
          <w:sz w:val="30"/>
          <w:szCs w:val="30"/>
          <w:highlight w:val="none"/>
          <w14:textFill>
            <w14:solidFill>
              <w14:schemeClr w14:val="tx1"/>
            </w14:solidFill>
          </w14:textFill>
        </w:rPr>
      </w:pPr>
      <w:r>
        <w:rPr>
          <w:rFonts w:ascii="仿宋" w:hAnsi="仿宋" w:eastAsia="仿宋" w:cs="仿宋"/>
          <w:color w:val="000000" w:themeColor="text1"/>
          <w:sz w:val="30"/>
          <w:szCs w:val="30"/>
          <w:highlight w:val="none"/>
          <w14:textFill>
            <w14:solidFill>
              <w14:schemeClr w14:val="tx1"/>
            </w14:solidFill>
          </w14:textFill>
        </w:rPr>
        <w:br w:type="page"/>
      </w:r>
    </w:p>
    <w:p w14:paraId="544A4694">
      <w:pPr>
        <w:adjustRightInd w:val="0"/>
        <w:snapToGrid w:val="0"/>
        <w:spacing w:line="600" w:lineRule="exact"/>
        <w:ind w:firstLine="600" w:firstLineChars="200"/>
        <w:jc w:val="center"/>
        <w:rPr>
          <w:rFonts w:hint="eastAsia" w:ascii="仿宋" w:hAnsi="仿宋" w:eastAsia="仿宋" w:cs="仿宋"/>
          <w:color w:val="000000" w:themeColor="text1"/>
          <w:sz w:val="30"/>
          <w:szCs w:val="30"/>
          <w:highlight w:val="none"/>
          <w14:textFill>
            <w14:solidFill>
              <w14:schemeClr w14:val="tx1"/>
            </w14:solidFill>
          </w14:textFill>
        </w:rPr>
      </w:pPr>
    </w:p>
    <w:p w14:paraId="6BA8E726">
      <w:pPr>
        <w:adjustRightInd w:val="0"/>
        <w:snapToGrid w:val="0"/>
        <w:spacing w:line="600" w:lineRule="exact"/>
        <w:ind w:firstLine="600" w:firstLineChars="200"/>
        <w:jc w:val="center"/>
        <w:rPr>
          <w:rFonts w:hint="eastAsia" w:ascii="仿宋" w:hAnsi="仿宋" w:eastAsia="仿宋" w:cs="仿宋"/>
          <w:color w:val="000000" w:themeColor="text1"/>
          <w:sz w:val="30"/>
          <w:szCs w:val="30"/>
          <w:highlight w:val="none"/>
          <w14:textFill>
            <w14:solidFill>
              <w14:schemeClr w14:val="tx1"/>
            </w14:solidFill>
          </w14:textFill>
        </w:rPr>
      </w:pPr>
    </w:p>
    <w:p w14:paraId="3B96043D">
      <w:pPr>
        <w:adjustRightInd w:val="0"/>
        <w:snapToGrid w:val="0"/>
        <w:spacing w:line="600" w:lineRule="exact"/>
        <w:ind w:firstLine="960" w:firstLineChars="200"/>
        <w:jc w:val="center"/>
        <w:rPr>
          <w:rFonts w:hint="eastAsia" w:ascii="宋体" w:hAnsi="宋体" w:cs="宋体"/>
          <w:color w:val="000000" w:themeColor="text1"/>
          <w:sz w:val="48"/>
          <w:szCs w:val="30"/>
          <w:highlight w:val="none"/>
          <w14:textFill>
            <w14:solidFill>
              <w14:schemeClr w14:val="tx1"/>
            </w14:solidFill>
          </w14:textFill>
        </w:rPr>
      </w:pPr>
      <w:r>
        <w:rPr>
          <w:rFonts w:hint="eastAsia" w:ascii="宋体" w:hAnsi="宋体" w:cs="宋体"/>
          <w:color w:val="000000" w:themeColor="text1"/>
          <w:sz w:val="48"/>
          <w:szCs w:val="30"/>
          <w:highlight w:val="none"/>
          <w:lang w:val="en-US" w:eastAsia="zh-CN"/>
          <w14:textFill>
            <w14:solidFill>
              <w14:schemeClr w14:val="tx1"/>
            </w14:solidFill>
          </w14:textFill>
        </w:rPr>
        <w:t>G59呼北高速张家界至官庄段第二标段镰刀湾特大桥施工监控技术咨询服务</w:t>
      </w:r>
    </w:p>
    <w:p w14:paraId="0354E277">
      <w:pPr>
        <w:adjustRightInd w:val="0"/>
        <w:snapToGrid w:val="0"/>
        <w:spacing w:line="600" w:lineRule="exact"/>
        <w:ind w:firstLine="960" w:firstLineChars="200"/>
        <w:jc w:val="center"/>
        <w:rPr>
          <w:rFonts w:hint="eastAsia" w:ascii="宋体" w:hAnsi="宋体" w:cs="宋体"/>
          <w:color w:val="000000" w:themeColor="text1"/>
          <w:sz w:val="48"/>
          <w:szCs w:val="30"/>
          <w:highlight w:val="none"/>
          <w14:textFill>
            <w14:solidFill>
              <w14:schemeClr w14:val="tx1"/>
            </w14:solidFill>
          </w14:textFill>
        </w:rPr>
      </w:pPr>
    </w:p>
    <w:p w14:paraId="27EE932C">
      <w:pPr>
        <w:adjustRightInd w:val="0"/>
        <w:snapToGrid w:val="0"/>
        <w:spacing w:line="600" w:lineRule="exact"/>
        <w:ind w:firstLine="960" w:firstLineChars="200"/>
        <w:jc w:val="center"/>
        <w:rPr>
          <w:rFonts w:hint="eastAsia" w:ascii="宋体" w:hAnsi="宋体" w:cs="宋体"/>
          <w:color w:val="000000" w:themeColor="text1"/>
          <w:sz w:val="48"/>
          <w:szCs w:val="30"/>
          <w:highlight w:val="none"/>
          <w14:textFill>
            <w14:solidFill>
              <w14:schemeClr w14:val="tx1"/>
            </w14:solidFill>
          </w14:textFill>
        </w:rPr>
      </w:pPr>
    </w:p>
    <w:p w14:paraId="672E2C56">
      <w:pPr>
        <w:adjustRightInd w:val="0"/>
        <w:snapToGrid w:val="0"/>
        <w:spacing w:line="600" w:lineRule="exact"/>
        <w:ind w:firstLine="960" w:firstLineChars="200"/>
        <w:jc w:val="center"/>
        <w:rPr>
          <w:rFonts w:hint="eastAsia" w:ascii="宋体" w:hAnsi="宋体" w:cs="宋体"/>
          <w:color w:val="000000" w:themeColor="text1"/>
          <w:sz w:val="48"/>
          <w:szCs w:val="30"/>
          <w:highlight w:val="none"/>
          <w14:textFill>
            <w14:solidFill>
              <w14:schemeClr w14:val="tx1"/>
            </w14:solidFill>
          </w14:textFill>
        </w:rPr>
      </w:pPr>
    </w:p>
    <w:p w14:paraId="395D228F">
      <w:pPr>
        <w:adjustRightInd w:val="0"/>
        <w:snapToGrid w:val="0"/>
        <w:spacing w:line="600" w:lineRule="exact"/>
        <w:ind w:firstLine="960" w:firstLineChars="200"/>
        <w:jc w:val="center"/>
        <w:rPr>
          <w:rFonts w:hint="eastAsia" w:ascii="宋体" w:hAnsi="宋体" w:cs="宋体"/>
          <w:color w:val="000000" w:themeColor="text1"/>
          <w:sz w:val="48"/>
          <w:szCs w:val="30"/>
          <w:highlight w:val="none"/>
          <w14:textFill>
            <w14:solidFill>
              <w14:schemeClr w14:val="tx1"/>
            </w14:solidFill>
          </w14:textFill>
        </w:rPr>
      </w:pPr>
    </w:p>
    <w:p w14:paraId="1754273F">
      <w:pPr>
        <w:adjustRightInd w:val="0"/>
        <w:snapToGrid w:val="0"/>
        <w:spacing w:line="600" w:lineRule="exact"/>
        <w:ind w:firstLine="1124" w:firstLineChars="200"/>
        <w:jc w:val="center"/>
        <w:rPr>
          <w:rFonts w:hint="eastAsia" w:ascii="宋体" w:hAnsi="宋体" w:cs="宋体"/>
          <w:b/>
          <w:bCs/>
          <w:color w:val="000000" w:themeColor="text1"/>
          <w:sz w:val="56"/>
          <w:szCs w:val="36"/>
          <w:highlight w:val="none"/>
          <w14:textFill>
            <w14:solidFill>
              <w14:schemeClr w14:val="tx1"/>
            </w14:solidFill>
          </w14:textFill>
        </w:rPr>
      </w:pPr>
      <w:r>
        <w:rPr>
          <w:rFonts w:hint="eastAsia" w:ascii="宋体" w:hAnsi="宋体" w:cs="宋体"/>
          <w:b/>
          <w:bCs/>
          <w:color w:val="000000" w:themeColor="text1"/>
          <w:sz w:val="56"/>
          <w:szCs w:val="36"/>
          <w:highlight w:val="none"/>
          <w14:textFill>
            <w14:solidFill>
              <w14:schemeClr w14:val="tx1"/>
            </w14:solidFill>
          </w14:textFill>
        </w:rPr>
        <w:t>响应文件</w:t>
      </w:r>
    </w:p>
    <w:p w14:paraId="64E8A55D">
      <w:pPr>
        <w:adjustRightInd w:val="0"/>
        <w:snapToGrid w:val="0"/>
        <w:spacing w:line="600" w:lineRule="exact"/>
        <w:ind w:firstLine="960" w:firstLineChars="200"/>
        <w:jc w:val="center"/>
        <w:rPr>
          <w:rFonts w:hint="eastAsia" w:ascii="宋体" w:hAnsi="宋体" w:cs="宋体"/>
          <w:color w:val="000000" w:themeColor="text1"/>
          <w:sz w:val="48"/>
          <w:szCs w:val="30"/>
          <w:highlight w:val="none"/>
          <w14:textFill>
            <w14:solidFill>
              <w14:schemeClr w14:val="tx1"/>
            </w14:solidFill>
          </w14:textFill>
        </w:rPr>
      </w:pPr>
    </w:p>
    <w:p w14:paraId="08F2BABB">
      <w:pPr>
        <w:adjustRightInd w:val="0"/>
        <w:snapToGrid w:val="0"/>
        <w:spacing w:line="600" w:lineRule="exact"/>
        <w:ind w:firstLine="960" w:firstLineChars="200"/>
        <w:jc w:val="center"/>
        <w:rPr>
          <w:rFonts w:hint="eastAsia" w:ascii="宋体" w:hAnsi="宋体" w:cs="宋体"/>
          <w:color w:val="000000" w:themeColor="text1"/>
          <w:sz w:val="48"/>
          <w:szCs w:val="30"/>
          <w:highlight w:val="none"/>
          <w14:textFill>
            <w14:solidFill>
              <w14:schemeClr w14:val="tx1"/>
            </w14:solidFill>
          </w14:textFill>
        </w:rPr>
      </w:pPr>
    </w:p>
    <w:p w14:paraId="7ACC4059">
      <w:pPr>
        <w:adjustRightInd w:val="0"/>
        <w:snapToGrid w:val="0"/>
        <w:spacing w:line="600" w:lineRule="exact"/>
        <w:ind w:firstLine="960" w:firstLineChars="200"/>
        <w:jc w:val="center"/>
        <w:rPr>
          <w:rFonts w:hint="eastAsia" w:ascii="宋体" w:hAnsi="宋体" w:cs="宋体"/>
          <w:color w:val="000000" w:themeColor="text1"/>
          <w:sz w:val="48"/>
          <w:szCs w:val="30"/>
          <w:highlight w:val="none"/>
          <w14:textFill>
            <w14:solidFill>
              <w14:schemeClr w14:val="tx1"/>
            </w14:solidFill>
          </w14:textFill>
        </w:rPr>
      </w:pPr>
    </w:p>
    <w:p w14:paraId="446A176F">
      <w:pPr>
        <w:adjustRightInd w:val="0"/>
        <w:snapToGrid w:val="0"/>
        <w:spacing w:line="600" w:lineRule="exact"/>
        <w:ind w:firstLine="960" w:firstLineChars="200"/>
        <w:jc w:val="center"/>
        <w:rPr>
          <w:rFonts w:hint="eastAsia" w:ascii="宋体" w:hAnsi="宋体" w:cs="宋体"/>
          <w:color w:val="000000" w:themeColor="text1"/>
          <w:sz w:val="48"/>
          <w:szCs w:val="30"/>
          <w:highlight w:val="none"/>
          <w14:textFill>
            <w14:solidFill>
              <w14:schemeClr w14:val="tx1"/>
            </w14:solidFill>
          </w14:textFill>
        </w:rPr>
      </w:pPr>
    </w:p>
    <w:p w14:paraId="0AA67C85">
      <w:pPr>
        <w:adjustRightInd w:val="0"/>
        <w:snapToGrid w:val="0"/>
        <w:spacing w:line="600" w:lineRule="exact"/>
        <w:ind w:firstLine="960" w:firstLineChars="200"/>
        <w:jc w:val="center"/>
        <w:rPr>
          <w:rFonts w:hint="eastAsia" w:ascii="宋体" w:hAnsi="宋体" w:cs="宋体"/>
          <w:color w:val="000000" w:themeColor="text1"/>
          <w:sz w:val="48"/>
          <w:szCs w:val="30"/>
          <w:highlight w:val="none"/>
          <w14:textFill>
            <w14:solidFill>
              <w14:schemeClr w14:val="tx1"/>
            </w14:solidFill>
          </w14:textFill>
        </w:rPr>
      </w:pPr>
    </w:p>
    <w:p w14:paraId="6F4960DC">
      <w:pPr>
        <w:adjustRightInd w:val="0"/>
        <w:snapToGrid w:val="0"/>
        <w:spacing w:line="600" w:lineRule="exact"/>
        <w:ind w:firstLine="960" w:firstLineChars="200"/>
        <w:jc w:val="center"/>
        <w:rPr>
          <w:rFonts w:hint="eastAsia" w:ascii="宋体" w:hAnsi="宋体" w:cs="宋体"/>
          <w:color w:val="000000" w:themeColor="text1"/>
          <w:sz w:val="48"/>
          <w:szCs w:val="30"/>
          <w:highlight w:val="none"/>
          <w14:textFill>
            <w14:solidFill>
              <w14:schemeClr w14:val="tx1"/>
            </w14:solidFill>
          </w14:textFill>
        </w:rPr>
      </w:pPr>
    </w:p>
    <w:p w14:paraId="76C29D28">
      <w:pPr>
        <w:adjustRightInd w:val="0"/>
        <w:snapToGrid w:val="0"/>
        <w:spacing w:line="600" w:lineRule="exact"/>
        <w:ind w:firstLine="490" w:firstLineChars="175"/>
        <w:jc w:val="center"/>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供应商：</w:t>
      </w:r>
    </w:p>
    <w:p w14:paraId="5B581F68">
      <w:pPr>
        <w:adjustRightInd w:val="0"/>
        <w:snapToGrid w:val="0"/>
        <w:spacing w:line="600" w:lineRule="exact"/>
        <w:ind w:firstLine="560" w:firstLineChars="200"/>
        <w:jc w:val="center"/>
        <w:rPr>
          <w:rFonts w:hint="eastAsia" w:ascii="宋体" w:hAnsi="宋体" w:cs="宋体"/>
          <w:color w:val="000000" w:themeColor="text1"/>
          <w:sz w:val="28"/>
          <w:szCs w:val="28"/>
          <w:highlight w:val="none"/>
          <w14:textFill>
            <w14:solidFill>
              <w14:schemeClr w14:val="tx1"/>
            </w14:solidFill>
          </w14:textFill>
        </w:rPr>
      </w:pPr>
    </w:p>
    <w:p w14:paraId="0ADE86B1">
      <w:pPr>
        <w:adjustRightInd w:val="0"/>
        <w:snapToGrid w:val="0"/>
        <w:spacing w:line="600" w:lineRule="exact"/>
        <w:ind w:firstLine="560" w:firstLineChars="200"/>
        <w:jc w:val="center"/>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年  月  日</w:t>
      </w:r>
    </w:p>
    <w:p w14:paraId="55A54B2F">
      <w:pPr>
        <w:spacing w:line="600" w:lineRule="exac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br w:type="page"/>
      </w:r>
    </w:p>
    <w:p w14:paraId="183506A9">
      <w:pPr>
        <w:adjustRightInd w:val="0"/>
        <w:snapToGrid w:val="0"/>
        <w:spacing w:line="600" w:lineRule="exact"/>
        <w:ind w:firstLine="643" w:firstLineChars="200"/>
        <w:jc w:val="center"/>
        <w:rPr>
          <w:rFonts w:hint="eastAsia" w:ascii="宋体" w:hAnsi="宋体" w:cs="宋体"/>
          <w:b/>
          <w:bCs/>
          <w:color w:val="000000" w:themeColor="text1"/>
          <w:sz w:val="32"/>
          <w:szCs w:val="32"/>
          <w:highlight w:val="none"/>
          <w14:textFill>
            <w14:solidFill>
              <w14:schemeClr w14:val="tx1"/>
            </w14:solidFill>
          </w14:textFill>
        </w:rPr>
      </w:pPr>
      <w:r>
        <w:rPr>
          <w:rFonts w:hint="eastAsia" w:ascii="宋体" w:hAnsi="宋体" w:cs="宋体"/>
          <w:b/>
          <w:bCs/>
          <w:color w:val="000000" w:themeColor="text1"/>
          <w:sz w:val="32"/>
          <w:szCs w:val="32"/>
          <w:highlight w:val="none"/>
          <w14:textFill>
            <w14:solidFill>
              <w14:schemeClr w14:val="tx1"/>
            </w14:solidFill>
          </w14:textFill>
        </w:rPr>
        <w:t>目  录</w:t>
      </w:r>
    </w:p>
    <w:p w14:paraId="5951AC27">
      <w:pPr>
        <w:adjustRightInd w:val="0"/>
        <w:snapToGrid w:val="0"/>
        <w:spacing w:line="600" w:lineRule="exact"/>
        <w:ind w:firstLine="1059" w:firstLineChars="353"/>
        <w:rPr>
          <w:rFonts w:hint="eastAsia" w:ascii="仿宋" w:hAnsi="仿宋" w:eastAsia="仿宋" w:cs="仿宋"/>
          <w:color w:val="000000" w:themeColor="text1"/>
          <w:sz w:val="30"/>
          <w:szCs w:val="30"/>
          <w:highlight w:val="none"/>
          <w14:textFill>
            <w14:solidFill>
              <w14:schemeClr w14:val="tx1"/>
            </w14:solidFill>
          </w14:textFill>
        </w:rPr>
      </w:pPr>
    </w:p>
    <w:p w14:paraId="3BAC366A">
      <w:pPr>
        <w:adjustRightInd w:val="0"/>
        <w:snapToGrid w:val="0"/>
        <w:spacing w:line="600" w:lineRule="exact"/>
        <w:ind w:firstLine="988" w:firstLineChars="353"/>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一、响应函</w:t>
      </w:r>
    </w:p>
    <w:p w14:paraId="11A6F8C0">
      <w:pPr>
        <w:adjustRightInd w:val="0"/>
        <w:snapToGrid w:val="0"/>
        <w:spacing w:line="600" w:lineRule="exact"/>
        <w:ind w:firstLine="988" w:firstLineChars="353"/>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二、授权委托书(适用于有委托代理人的情况)</w:t>
      </w:r>
    </w:p>
    <w:p w14:paraId="4F275E02">
      <w:pPr>
        <w:adjustRightInd w:val="0"/>
        <w:snapToGrid w:val="0"/>
        <w:spacing w:line="600" w:lineRule="exact"/>
        <w:ind w:firstLine="988" w:firstLineChars="353"/>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三、联合体协议书(适用于供应商组成联合体的情况)</w:t>
      </w:r>
    </w:p>
    <w:p w14:paraId="56BB93FE">
      <w:pPr>
        <w:adjustRightInd w:val="0"/>
        <w:snapToGrid w:val="0"/>
        <w:spacing w:line="600" w:lineRule="exact"/>
        <w:ind w:firstLine="988" w:firstLineChars="353"/>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四、响应保证金(适用于递交响应保证金的情况)</w:t>
      </w:r>
    </w:p>
    <w:p w14:paraId="09ADEB3C">
      <w:pPr>
        <w:adjustRightInd w:val="0"/>
        <w:snapToGrid w:val="0"/>
        <w:spacing w:line="600" w:lineRule="exact"/>
        <w:ind w:firstLine="988" w:firstLineChars="353"/>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五、商务和技术偏差表</w:t>
      </w:r>
    </w:p>
    <w:p w14:paraId="19554361">
      <w:pPr>
        <w:adjustRightInd w:val="0"/>
        <w:snapToGrid w:val="0"/>
        <w:spacing w:line="600" w:lineRule="exact"/>
        <w:ind w:firstLine="988" w:firstLineChars="353"/>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六、报价表</w:t>
      </w:r>
    </w:p>
    <w:p w14:paraId="0B29876A">
      <w:pPr>
        <w:adjustRightInd w:val="0"/>
        <w:snapToGrid w:val="0"/>
        <w:spacing w:line="600" w:lineRule="exact"/>
        <w:ind w:firstLine="988" w:firstLineChars="353"/>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七、资格审查资料</w:t>
      </w:r>
    </w:p>
    <w:p w14:paraId="5F0578CF">
      <w:pPr>
        <w:adjustRightInd w:val="0"/>
        <w:snapToGrid w:val="0"/>
        <w:spacing w:line="600" w:lineRule="exact"/>
        <w:ind w:firstLine="988" w:firstLineChars="353"/>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八、响应方案</w:t>
      </w:r>
    </w:p>
    <w:p w14:paraId="24087A54">
      <w:pPr>
        <w:adjustRightInd w:val="0"/>
        <w:snapToGrid w:val="0"/>
        <w:spacing w:line="600" w:lineRule="exact"/>
        <w:ind w:firstLine="988" w:firstLineChars="353"/>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九、其他资料</w:t>
      </w:r>
    </w:p>
    <w:p w14:paraId="590CB29C">
      <w:pPr>
        <w:spacing w:line="600" w:lineRule="exact"/>
        <w:rPr>
          <w:rFonts w:hint="eastAsia" w:ascii="仿宋" w:hAnsi="仿宋" w:eastAsia="仿宋" w:cs="仿宋"/>
          <w:color w:val="000000" w:themeColor="text1"/>
          <w:sz w:val="30"/>
          <w:szCs w:val="30"/>
          <w:highlight w:val="none"/>
          <w14:textFill>
            <w14:solidFill>
              <w14:schemeClr w14:val="tx1"/>
            </w14:solidFill>
          </w14:textFill>
        </w:rPr>
      </w:pPr>
      <w:r>
        <w:rPr>
          <w:rFonts w:hint="eastAsia" w:ascii="仿宋" w:hAnsi="仿宋" w:eastAsia="仿宋" w:cs="仿宋"/>
          <w:color w:val="000000" w:themeColor="text1"/>
          <w:sz w:val="30"/>
          <w:szCs w:val="30"/>
          <w:highlight w:val="none"/>
          <w14:textFill>
            <w14:solidFill>
              <w14:schemeClr w14:val="tx1"/>
            </w14:solidFill>
          </w14:textFill>
        </w:rPr>
        <w:br w:type="page"/>
      </w:r>
    </w:p>
    <w:p w14:paraId="2D6873A8">
      <w:pPr>
        <w:numPr>
          <w:ilvl w:val="0"/>
          <w:numId w:val="21"/>
        </w:numPr>
        <w:adjustRightInd w:val="0"/>
        <w:snapToGrid w:val="0"/>
        <w:spacing w:line="600" w:lineRule="exact"/>
        <w:ind w:firstLine="600" w:firstLineChars="200"/>
        <w:jc w:val="center"/>
        <w:rPr>
          <w:rFonts w:hint="eastAsia" w:ascii="宋体" w:hAnsi="宋体" w:cs="宋体"/>
          <w:color w:val="000000" w:themeColor="text1"/>
          <w:sz w:val="30"/>
          <w:szCs w:val="30"/>
          <w:highlight w:val="none"/>
          <w14:textFill>
            <w14:solidFill>
              <w14:schemeClr w14:val="tx1"/>
            </w14:solidFill>
          </w14:textFill>
        </w:rPr>
      </w:pPr>
      <w:r>
        <w:rPr>
          <w:rFonts w:hint="eastAsia" w:ascii="宋体" w:hAnsi="宋体" w:cs="宋体"/>
          <w:color w:val="000000" w:themeColor="text1"/>
          <w:sz w:val="30"/>
          <w:szCs w:val="30"/>
          <w:highlight w:val="none"/>
          <w14:textFill>
            <w14:solidFill>
              <w14:schemeClr w14:val="tx1"/>
            </w14:solidFill>
          </w14:textFill>
        </w:rPr>
        <w:t>响应函</w:t>
      </w:r>
    </w:p>
    <w:p w14:paraId="3906F7F0">
      <w:pPr>
        <w:adjustRightInd w:val="0"/>
        <w:snapToGri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u w:val="single"/>
          <w14:textFill>
            <w14:solidFill>
              <w14:schemeClr w14:val="tx1"/>
            </w14:solidFill>
          </w14:textFill>
        </w:rPr>
        <w:t xml:space="preserve"> (采购人名称)：</w:t>
      </w:r>
    </w:p>
    <w:p w14:paraId="488DC524">
      <w:pPr>
        <w:adjustRightInd w:val="0"/>
        <w:snapToGri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1.我方已仔细研究了</w:t>
      </w:r>
      <w:r>
        <w:rPr>
          <w:rFonts w:hint="eastAsia" w:ascii="宋体" w:hAnsi="宋体" w:cs="宋体"/>
          <w:color w:val="000000" w:themeColor="text1"/>
          <w:sz w:val="24"/>
          <w:highlight w:val="none"/>
          <w:u w:val="single"/>
          <w:lang w:val="en-US" w:eastAsia="zh-CN"/>
          <w14:textFill>
            <w14:solidFill>
              <w14:schemeClr w14:val="tx1"/>
            </w14:solidFill>
          </w14:textFill>
        </w:rPr>
        <w:t>G59呼北高速张家界至官庄段第二标段镰刀湾特大桥施工监控技术咨询服务</w:t>
      </w:r>
      <w:r>
        <w:rPr>
          <w:rFonts w:hint="eastAsia" w:ascii="宋体" w:hAnsi="宋体" w:cs="宋体"/>
          <w:color w:val="000000" w:themeColor="text1"/>
          <w:sz w:val="24"/>
          <w:highlight w:val="none"/>
          <w14:textFill>
            <w14:solidFill>
              <w14:schemeClr w14:val="tx1"/>
            </w14:solidFill>
          </w14:textFill>
        </w:rPr>
        <w:t>(项目名称)采购文件的全部内容，愿意以</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万元（含税），增值税税率为：</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%提供本项目服务，并按合同约定履行义务。</w:t>
      </w:r>
    </w:p>
    <w:p w14:paraId="5B9D786E">
      <w:pPr>
        <w:adjustRightInd w:val="0"/>
        <w:snapToGri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2.我方的响应文件包括下列内容： </w:t>
      </w:r>
    </w:p>
    <w:p w14:paraId="7A1166A2">
      <w:pPr>
        <w:adjustRightInd w:val="0"/>
        <w:snapToGri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(1)响应函；</w:t>
      </w:r>
    </w:p>
    <w:p w14:paraId="47FE87D4">
      <w:pPr>
        <w:adjustRightInd w:val="0"/>
        <w:snapToGri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(2)授权委托书(如有)；</w:t>
      </w:r>
    </w:p>
    <w:p w14:paraId="2B8BA222">
      <w:pPr>
        <w:adjustRightInd w:val="0"/>
        <w:snapToGri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(3)联合体协议书(如有)；</w:t>
      </w:r>
    </w:p>
    <w:p w14:paraId="696DA38C">
      <w:pPr>
        <w:adjustRightInd w:val="0"/>
        <w:snapToGri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(4)响应保证金(如有)；</w:t>
      </w:r>
    </w:p>
    <w:p w14:paraId="0E66BD55">
      <w:pPr>
        <w:adjustRightInd w:val="0"/>
        <w:snapToGri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(5)商务和技术偏差表；</w:t>
      </w:r>
    </w:p>
    <w:p w14:paraId="1E438481">
      <w:pPr>
        <w:adjustRightInd w:val="0"/>
        <w:snapToGri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(6)报价表；</w:t>
      </w:r>
    </w:p>
    <w:p w14:paraId="50226F97">
      <w:pPr>
        <w:adjustRightInd w:val="0"/>
        <w:snapToGri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(7)资格审查资料；</w:t>
      </w:r>
    </w:p>
    <w:p w14:paraId="7D635D91">
      <w:pPr>
        <w:adjustRightInd w:val="0"/>
        <w:snapToGri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(8)响应方案；</w:t>
      </w:r>
    </w:p>
    <w:p w14:paraId="5AFE6F4E">
      <w:pPr>
        <w:adjustRightInd w:val="0"/>
        <w:snapToGri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响应文件的上述组成部分如存在内容不-致的，以响应函为准。</w:t>
      </w:r>
    </w:p>
    <w:p w14:paraId="7673DC65">
      <w:pPr>
        <w:adjustRightInd w:val="0"/>
        <w:snapToGri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3.我方承诺除商务和技术偏差表列出的偏差外，我方响应采购文件的全部要求。</w:t>
      </w:r>
    </w:p>
    <w:p w14:paraId="7D8FCB60">
      <w:pPr>
        <w:numPr>
          <w:ilvl w:val="0"/>
          <w:numId w:val="22"/>
        </w:numPr>
        <w:adjustRightInd w:val="0"/>
        <w:snapToGri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我方承诺在采购文件规定的响应文件有效期内不撤销响应文件。</w:t>
      </w:r>
    </w:p>
    <w:p w14:paraId="2C45D498">
      <w:pPr>
        <w:numPr>
          <w:ilvl w:val="0"/>
          <w:numId w:val="22"/>
        </w:numPr>
        <w:adjustRightInd w:val="0"/>
        <w:snapToGri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如我方成交，我方承诺：</w:t>
      </w:r>
    </w:p>
    <w:p w14:paraId="7283086C">
      <w:pPr>
        <w:tabs>
          <w:tab w:val="left" w:pos="312"/>
        </w:tabs>
        <w:adjustRightInd w:val="0"/>
        <w:snapToGri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(1)在收到成交通知书后，在成交通知书规定的期限内与你方签订合同；</w:t>
      </w:r>
    </w:p>
    <w:p w14:paraId="26649334">
      <w:pPr>
        <w:adjustRightInd w:val="0"/>
        <w:snapToGri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(2)在签订合同时不向你方提出附加条件；</w:t>
      </w:r>
    </w:p>
    <w:p w14:paraId="7B41D7AF">
      <w:pPr>
        <w:adjustRightInd w:val="0"/>
        <w:snapToGri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(3)按照采购文件要求递交履约保证金；</w:t>
      </w:r>
    </w:p>
    <w:p w14:paraId="406C6D52">
      <w:pPr>
        <w:adjustRightInd w:val="0"/>
        <w:snapToGri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(4)在合同约定的期限内完成合同规定的全部义务。</w:t>
      </w:r>
    </w:p>
    <w:p w14:paraId="479A18CE">
      <w:pPr>
        <w:adjustRightInd w:val="0"/>
        <w:snapToGri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6.我方在此声明，所递交的响应文件及有关资料内容完整、真实和准确，且不</w:t>
      </w:r>
      <w:r>
        <w:rPr>
          <w:rFonts w:hint="eastAsia" w:ascii="宋体" w:hAnsi="宋体" w:cs="宋体"/>
          <w:color w:val="000000" w:themeColor="text1"/>
          <w:sz w:val="24"/>
          <w:highlight w:val="none"/>
          <w:lang w:val="en-US" w:eastAsia="zh-CN"/>
          <w14:textFill>
            <w14:solidFill>
              <w14:schemeClr w14:val="tx1"/>
            </w14:solidFill>
          </w14:textFill>
        </w:rPr>
        <w:t>存</w:t>
      </w:r>
      <w:r>
        <w:rPr>
          <w:rFonts w:hint="eastAsia" w:ascii="宋体" w:hAnsi="宋体" w:cs="宋体"/>
          <w:color w:val="000000" w:themeColor="text1"/>
          <w:sz w:val="24"/>
          <w:highlight w:val="none"/>
          <w14:textFill>
            <w14:solidFill>
              <w14:schemeClr w14:val="tx1"/>
            </w14:solidFill>
          </w14:textFill>
        </w:rPr>
        <w:t>在第一章“采购公告”中规定的供应商不得存在的情形。</w:t>
      </w:r>
    </w:p>
    <w:p w14:paraId="34C84FB7">
      <w:pPr>
        <w:adjustRightInd w:val="0"/>
        <w:snapToGri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7.(其他补充说明)。</w:t>
      </w:r>
    </w:p>
    <w:p w14:paraId="2C96A4E8">
      <w:pPr>
        <w:adjustRightInd w:val="0"/>
        <w:snapToGri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p>
    <w:p w14:paraId="125D08B5">
      <w:pPr>
        <w:adjustRightInd w:val="0"/>
        <w:snapToGri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供应商：________________________(盖单位章)</w:t>
      </w:r>
    </w:p>
    <w:p w14:paraId="282E0415">
      <w:pPr>
        <w:adjustRightInd w:val="0"/>
        <w:snapToGri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法定代表人(单位负责人)或其授权的代理人：(签字) </w:t>
      </w:r>
    </w:p>
    <w:p w14:paraId="1D9606FB">
      <w:pPr>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地址：____________________________________________</w:t>
      </w:r>
    </w:p>
    <w:p w14:paraId="2A37EA1F">
      <w:pPr>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电子邮箱：_______________________________________</w:t>
      </w:r>
    </w:p>
    <w:p w14:paraId="53C54405">
      <w:pPr>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电话：____________________________________________</w:t>
      </w:r>
    </w:p>
    <w:p w14:paraId="2D1B628E">
      <w:pPr>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传真：____________________________________________</w:t>
      </w:r>
    </w:p>
    <w:p w14:paraId="3D9A67C6">
      <w:pPr>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邮政编码：_______________________________________</w:t>
      </w:r>
    </w:p>
    <w:p w14:paraId="3B3E9ED8">
      <w:pPr>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p>
    <w:p w14:paraId="4B8850D3">
      <w:pPr>
        <w:spacing w:line="360" w:lineRule="auto"/>
        <w:ind w:firstLine="480" w:firstLineChars="200"/>
        <w:jc w:val="righ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年    月    日</w:t>
      </w:r>
    </w:p>
    <w:p w14:paraId="26A33BAB">
      <w:pPr>
        <w:spacing w:line="240" w:lineRule="auto"/>
        <w:rPr>
          <w:rFonts w:hint="eastAsia" w:ascii="宋体" w:hAnsi="宋体" w:cs="宋体"/>
          <w:color w:val="000000" w:themeColor="text1"/>
          <w:sz w:val="30"/>
          <w:szCs w:val="30"/>
          <w:highlight w:val="none"/>
          <w14:textFill>
            <w14:solidFill>
              <w14:schemeClr w14:val="tx1"/>
            </w14:solidFill>
          </w14:textFill>
        </w:rPr>
      </w:pPr>
      <w:r>
        <w:rPr>
          <w:rFonts w:hint="eastAsia" w:ascii="宋体" w:hAnsi="宋体" w:cs="宋体"/>
          <w:color w:val="000000" w:themeColor="text1"/>
          <w:sz w:val="30"/>
          <w:szCs w:val="30"/>
          <w:highlight w:val="none"/>
          <w14:textFill>
            <w14:solidFill>
              <w14:schemeClr w14:val="tx1"/>
            </w14:solidFill>
          </w14:textFill>
        </w:rPr>
        <w:br w:type="page"/>
      </w:r>
    </w:p>
    <w:p w14:paraId="73150723">
      <w:pPr>
        <w:spacing w:line="400" w:lineRule="exact"/>
        <w:jc w:val="center"/>
        <w:rPr>
          <w:rFonts w:hint="eastAsia" w:ascii="宋体" w:hAnsi="宋体" w:cs="宋体"/>
          <w:b/>
          <w:color w:val="000000" w:themeColor="text1"/>
          <w:kern w:val="0"/>
          <w:sz w:val="28"/>
          <w:szCs w:val="28"/>
          <w:highlight w:val="none"/>
          <w14:textFill>
            <w14:solidFill>
              <w14:schemeClr w14:val="tx1"/>
            </w14:solidFill>
          </w14:textFill>
        </w:rPr>
      </w:pPr>
      <w:r>
        <w:rPr>
          <w:rFonts w:hint="eastAsia" w:ascii="宋体" w:hAnsi="宋体" w:cs="宋体"/>
          <w:b/>
          <w:color w:val="000000" w:themeColor="text1"/>
          <w:kern w:val="0"/>
          <w:sz w:val="28"/>
          <w:szCs w:val="28"/>
          <w:highlight w:val="none"/>
          <w14:textFill>
            <w14:solidFill>
              <w14:schemeClr w14:val="tx1"/>
            </w14:solidFill>
          </w14:textFill>
        </w:rPr>
        <w:t>附：守法诚信承诺书</w:t>
      </w:r>
    </w:p>
    <w:p w14:paraId="06F546E6">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p>
    <w:p w14:paraId="5917FB4B">
      <w:pPr>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××公司：</w:t>
      </w:r>
    </w:p>
    <w:p w14:paraId="6902B567">
      <w:pPr>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为维护社会的公平正义，我司郑重承诺，与贵公司不存在有可能影响采购公正的利害关系。</w:t>
      </w:r>
    </w:p>
    <w:p w14:paraId="3C02160A">
      <w:pPr>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1、我司已仔细阅读《××单位××文件》（编号××）（以下简称采购文件），包括采购文件的澄清或修改说明，完全支持并响应，不存在误解或不明。</w:t>
      </w:r>
    </w:p>
    <w:p w14:paraId="1C2BBA5E">
      <w:pPr>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2、遵纪守法，不触底线，公平公正参与竞争。我司提供的《响应文件》及其资料真实合法有效。 </w:t>
      </w:r>
    </w:p>
    <w:p w14:paraId="29842AD7">
      <w:pPr>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3、响应期间没有因质量或服务问题被采购人或采购人上级机构通报且在整改期内。</w:t>
      </w:r>
    </w:p>
    <w:p w14:paraId="017C91DB">
      <w:pPr>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4、响应单位法定代表人为同一个人或者存在控股关系，管理关系的不同单位，没有在本项目中同时报价。</w:t>
      </w:r>
    </w:p>
    <w:p w14:paraId="6F50D606">
      <w:pPr>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5、无联合体另外报价。</w:t>
      </w:r>
    </w:p>
    <w:p w14:paraId="5A2BE942">
      <w:pPr>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6、单位、法定代表人（单位负责人）、委托代理人（授权代表）无暂停或取消投标资格、骗取中标、行贿等不良记录以及其他违法犯罪记录；无围标串标、恶意投诉、买卖资质等违法违规行为。</w:t>
      </w:r>
    </w:p>
    <w:p w14:paraId="15208D9B">
      <w:pPr>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7、诚实守信，优质高效履行合同。一旦中选，我司将严格遵守采购文件的约定，不附加条件，及时商谈、签约、履约。</w:t>
      </w:r>
    </w:p>
    <w:p w14:paraId="6BBEB237">
      <w:pPr>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8、自我管理，知行合一，主动承担社会责任。坚持“五大发展理念”，始终为用户着想，维护同业形象，自觉接受监管，维护和谐稳定。</w:t>
      </w:r>
    </w:p>
    <w:p w14:paraId="379108D5">
      <w:pPr>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9、如发现我司有违上述条款，任何时候我司都愿意承担相应的法律责任，自愿放弃成交资格，接受任何处罚，并承担没收履约保证金或按合同违约责任的顶格处罚；贵公司可单方终止合同并且有权通过媒体公开上述行为，拒绝我司参加贵公司今后任何采购活动。</w:t>
      </w:r>
    </w:p>
    <w:p w14:paraId="699D2268">
      <w:pPr>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p>
    <w:p w14:paraId="044AD3E6">
      <w:pPr>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专此承诺。</w:t>
      </w:r>
    </w:p>
    <w:p w14:paraId="10294C1A">
      <w:pPr>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p>
    <w:p w14:paraId="549C82DE">
      <w:pPr>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p>
    <w:p w14:paraId="3E2E8E83">
      <w:pPr>
        <w:spacing w:line="360" w:lineRule="auto"/>
        <w:ind w:firstLine="2160" w:firstLineChars="9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承诺单位（印刷体全称+单位公章）：</w:t>
      </w:r>
    </w:p>
    <w:p w14:paraId="09F6225D">
      <w:pPr>
        <w:spacing w:line="360" w:lineRule="auto"/>
        <w:ind w:firstLine="2160" w:firstLineChars="9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承诺单位法定代表人或其委托代理人（印刷体+签字）：</w:t>
      </w:r>
    </w:p>
    <w:p w14:paraId="3E4D1BE3">
      <w:pPr>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年  月   日</w:t>
      </w:r>
    </w:p>
    <w:p w14:paraId="5D1237AD">
      <w:pPr>
        <w:spacing w:line="600" w:lineRule="exact"/>
        <w:jc w:val="right"/>
        <w:rPr>
          <w:rFonts w:hint="eastAsia" w:ascii="宋体" w:hAnsi="宋体" w:cs="宋体"/>
          <w:color w:val="000000" w:themeColor="text1"/>
          <w:sz w:val="30"/>
          <w:szCs w:val="30"/>
          <w:highlight w:val="none"/>
          <w14:textFill>
            <w14:solidFill>
              <w14:schemeClr w14:val="tx1"/>
            </w14:solidFill>
          </w14:textFill>
        </w:rPr>
      </w:pPr>
      <w:r>
        <w:rPr>
          <w:rFonts w:hint="eastAsia" w:ascii="宋体" w:hAnsi="宋体" w:cs="宋体"/>
          <w:color w:val="000000" w:themeColor="text1"/>
          <w:sz w:val="30"/>
          <w:szCs w:val="30"/>
          <w:highlight w:val="none"/>
          <w14:textFill>
            <w14:solidFill>
              <w14:schemeClr w14:val="tx1"/>
            </w14:solidFill>
          </w14:textFill>
        </w:rPr>
        <w:br w:type="page"/>
      </w:r>
    </w:p>
    <w:p w14:paraId="1114C58D">
      <w:pPr>
        <w:numPr>
          <w:ilvl w:val="0"/>
          <w:numId w:val="21"/>
        </w:numPr>
        <w:adjustRightInd w:val="0"/>
        <w:snapToGrid w:val="0"/>
        <w:spacing w:line="600" w:lineRule="exact"/>
        <w:ind w:firstLine="600" w:firstLineChars="200"/>
        <w:jc w:val="center"/>
        <w:rPr>
          <w:rFonts w:hint="eastAsia" w:ascii="宋体" w:hAnsi="宋体" w:cs="宋体"/>
          <w:color w:val="000000" w:themeColor="text1"/>
          <w:sz w:val="30"/>
          <w:szCs w:val="30"/>
          <w:highlight w:val="none"/>
          <w14:textFill>
            <w14:solidFill>
              <w14:schemeClr w14:val="tx1"/>
            </w14:solidFill>
          </w14:textFill>
        </w:rPr>
      </w:pPr>
      <w:r>
        <w:rPr>
          <w:rFonts w:hint="eastAsia" w:ascii="宋体" w:hAnsi="宋体" w:cs="宋体"/>
          <w:color w:val="000000" w:themeColor="text1"/>
          <w:sz w:val="30"/>
          <w:szCs w:val="30"/>
          <w:highlight w:val="none"/>
          <w14:textFill>
            <w14:solidFill>
              <w14:schemeClr w14:val="tx1"/>
            </w14:solidFill>
          </w14:textFill>
        </w:rPr>
        <w:t>授权委托书</w:t>
      </w:r>
    </w:p>
    <w:p w14:paraId="441EC79E">
      <w:pPr>
        <w:adjustRightInd w:val="0"/>
        <w:snapToGrid w:val="0"/>
        <w:spacing w:line="600" w:lineRule="exact"/>
        <w:ind w:left="420" w:leftChars="200"/>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(适用于有委托代理人的情况)</w:t>
      </w:r>
    </w:p>
    <w:p w14:paraId="763BA376">
      <w:pPr>
        <w:adjustRightInd w:val="0"/>
        <w:snapToGrid w:val="0"/>
        <w:spacing w:line="360" w:lineRule="auto"/>
        <w:ind w:left="420" w:leftChars="200" w:firstLine="480" w:firstLineChars="200"/>
        <w:jc w:val="both"/>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本人（姓名）系（供应商名称）的法定代表人(单位负责人)，现委托___ (姓名) 为我方代理人。代理人根据授权，以我方名义签署、澄清确认、递交、撤回、修改采购项目响应文件，签订合同和处理有关事宜，其法律后果由我方承担。</w:t>
      </w:r>
    </w:p>
    <w:p w14:paraId="44F1F5A3">
      <w:pPr>
        <w:adjustRightInd w:val="0"/>
        <w:snapToGrid w:val="0"/>
        <w:spacing w:line="360" w:lineRule="auto"/>
        <w:ind w:left="420" w:leftChars="200" w:firstLine="480" w:firstLineChars="200"/>
        <w:jc w:val="both"/>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委托期限：自本委托书签署之日起至</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采购项目签订采购合同之日止。</w:t>
      </w:r>
    </w:p>
    <w:p w14:paraId="6E89F96F">
      <w:pPr>
        <w:adjustRightInd w:val="0"/>
        <w:snapToGrid w:val="0"/>
        <w:spacing w:line="360" w:lineRule="auto"/>
        <w:ind w:left="420" w:leftChars="200" w:firstLine="480" w:firstLineChars="200"/>
        <w:jc w:val="both"/>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代理人无转委托权。</w:t>
      </w:r>
    </w:p>
    <w:p w14:paraId="53C20EB8">
      <w:pPr>
        <w:adjustRightInd w:val="0"/>
        <w:snapToGrid w:val="0"/>
        <w:spacing w:line="360" w:lineRule="auto"/>
        <w:ind w:left="420" w:leftChars="200" w:firstLine="480" w:firstLineChars="200"/>
        <w:jc w:val="both"/>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附：法定代表人(单位负责人)身份证复印件及委托代理人身份证复印件。</w:t>
      </w:r>
    </w:p>
    <w:p w14:paraId="338A64E6">
      <w:pPr>
        <w:adjustRightInd w:val="0"/>
        <w:snapToGrid w:val="0"/>
        <w:spacing w:line="360" w:lineRule="auto"/>
        <w:ind w:left="420" w:leftChars="200" w:firstLine="480" w:firstLineChars="200"/>
        <w:jc w:val="both"/>
        <w:rPr>
          <w:rFonts w:hint="eastAsia" w:ascii="宋体" w:hAnsi="宋体" w:cs="宋体"/>
          <w:color w:val="000000" w:themeColor="text1"/>
          <w:sz w:val="24"/>
          <w:highlight w:val="none"/>
          <w14:textFill>
            <w14:solidFill>
              <w14:schemeClr w14:val="tx1"/>
            </w14:solidFill>
          </w14:textFill>
        </w:rPr>
      </w:pPr>
    </w:p>
    <w:p w14:paraId="50C36A5F">
      <w:pPr>
        <w:adjustRightInd w:val="0"/>
        <w:snapToGrid w:val="0"/>
        <w:spacing w:line="360" w:lineRule="auto"/>
        <w:ind w:left="420" w:leftChars="200" w:firstLine="480" w:firstLineChars="200"/>
        <w:jc w:val="both"/>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供应商：(盖单位章)</w:t>
      </w:r>
    </w:p>
    <w:p w14:paraId="7FC40FFD">
      <w:pPr>
        <w:adjustRightInd w:val="0"/>
        <w:snapToGrid w:val="0"/>
        <w:spacing w:line="360" w:lineRule="auto"/>
        <w:ind w:left="420" w:leftChars="200" w:firstLine="480" w:firstLineChars="200"/>
        <w:jc w:val="both"/>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法定代表人(单位负责人)： (签字)</w:t>
      </w:r>
    </w:p>
    <w:p w14:paraId="15342461">
      <w:pPr>
        <w:adjustRightInd w:val="0"/>
        <w:snapToGrid w:val="0"/>
        <w:spacing w:line="360" w:lineRule="auto"/>
        <w:ind w:left="420" w:leftChars="200" w:firstLine="480" w:firstLineChars="200"/>
        <w:jc w:val="both"/>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身份证号码： </w:t>
      </w:r>
    </w:p>
    <w:p w14:paraId="4483595B">
      <w:pPr>
        <w:adjustRightInd w:val="0"/>
        <w:snapToGrid w:val="0"/>
        <w:spacing w:line="360" w:lineRule="auto"/>
        <w:ind w:left="420" w:leftChars="200" w:firstLine="480" w:firstLineChars="200"/>
        <w:jc w:val="both"/>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委托代理人：(签字) </w:t>
      </w:r>
    </w:p>
    <w:p w14:paraId="04925F25">
      <w:pPr>
        <w:adjustRightInd w:val="0"/>
        <w:snapToGrid w:val="0"/>
        <w:spacing w:line="360" w:lineRule="auto"/>
        <w:ind w:left="420" w:leftChars="200" w:firstLine="480" w:firstLineChars="200"/>
        <w:jc w:val="both"/>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身份证号码：</w:t>
      </w:r>
    </w:p>
    <w:p w14:paraId="45974F14">
      <w:pPr>
        <w:adjustRightInd w:val="0"/>
        <w:snapToGrid w:val="0"/>
        <w:spacing w:line="360" w:lineRule="auto"/>
        <w:ind w:left="420" w:leftChars="200" w:firstLine="480" w:firstLineChars="200"/>
        <w:jc w:val="both"/>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年  月  日</w:t>
      </w:r>
    </w:p>
    <w:p w14:paraId="5CB4C041">
      <w:pPr>
        <w:rPr>
          <w:rFonts w:hint="eastAsia" w:ascii="宋体" w:hAnsi="宋体" w:cs="宋体"/>
          <w:color w:val="000000" w:themeColor="text1"/>
          <w:sz w:val="30"/>
          <w:szCs w:val="30"/>
          <w:highlight w:val="none"/>
          <w14:textFill>
            <w14:solidFill>
              <w14:schemeClr w14:val="tx1"/>
            </w14:solidFill>
          </w14:textFill>
        </w:rPr>
      </w:pPr>
      <w:r>
        <w:rPr>
          <w:rFonts w:hint="eastAsia" w:ascii="宋体" w:hAnsi="宋体" w:cs="宋体"/>
          <w:color w:val="000000" w:themeColor="text1"/>
          <w:sz w:val="30"/>
          <w:szCs w:val="30"/>
          <w:highlight w:val="none"/>
          <w14:textFill>
            <w14:solidFill>
              <w14:schemeClr w14:val="tx1"/>
            </w14:solidFill>
          </w14:textFill>
        </w:rPr>
        <w:br w:type="page"/>
      </w:r>
    </w:p>
    <w:p w14:paraId="74127C6A">
      <w:pPr>
        <w:numPr>
          <w:ilvl w:val="0"/>
          <w:numId w:val="21"/>
        </w:numPr>
        <w:adjustRightInd w:val="0"/>
        <w:snapToGrid w:val="0"/>
        <w:spacing w:line="600" w:lineRule="exact"/>
        <w:ind w:firstLine="600" w:firstLineChars="200"/>
        <w:jc w:val="center"/>
        <w:rPr>
          <w:rFonts w:hint="eastAsia" w:ascii="宋体" w:hAnsi="宋体" w:cs="宋体"/>
          <w:color w:val="000000" w:themeColor="text1"/>
          <w:sz w:val="30"/>
          <w:szCs w:val="30"/>
          <w:highlight w:val="none"/>
          <w14:textFill>
            <w14:solidFill>
              <w14:schemeClr w14:val="tx1"/>
            </w14:solidFill>
          </w14:textFill>
        </w:rPr>
      </w:pPr>
      <w:r>
        <w:rPr>
          <w:rFonts w:hint="eastAsia" w:ascii="宋体" w:hAnsi="宋体" w:cs="宋体"/>
          <w:color w:val="000000" w:themeColor="text1"/>
          <w:sz w:val="30"/>
          <w:szCs w:val="30"/>
          <w:highlight w:val="none"/>
          <w14:textFill>
            <w14:solidFill>
              <w14:schemeClr w14:val="tx1"/>
            </w14:solidFill>
          </w14:textFill>
        </w:rPr>
        <w:t>联合体协议书</w:t>
      </w:r>
    </w:p>
    <w:p w14:paraId="7611E656">
      <w:pPr>
        <w:adjustRightInd w:val="0"/>
        <w:snapToGrid w:val="0"/>
        <w:spacing w:line="600" w:lineRule="exact"/>
        <w:jc w:val="center"/>
        <w:rPr>
          <w:rFonts w:hint="eastAsia" w:ascii="宋体" w:hAnsi="宋体" w:cs="宋体"/>
          <w:color w:val="000000" w:themeColor="text1"/>
          <w:sz w:val="30"/>
          <w:szCs w:val="30"/>
          <w:highlight w:val="none"/>
          <w14:textFill>
            <w14:solidFill>
              <w14:schemeClr w14:val="tx1"/>
            </w14:solidFill>
          </w14:textFill>
        </w:rPr>
      </w:pPr>
      <w:r>
        <w:rPr>
          <w:rFonts w:hint="eastAsia" w:ascii="宋体" w:hAnsi="宋体" w:cs="宋体"/>
          <w:color w:val="000000" w:themeColor="text1"/>
          <w:sz w:val="30"/>
          <w:szCs w:val="30"/>
          <w:highlight w:val="none"/>
          <w14:textFill>
            <w14:solidFill>
              <w14:schemeClr w14:val="tx1"/>
            </w14:solidFill>
          </w14:textFill>
        </w:rPr>
        <w:t>(本项目不适用)</w:t>
      </w:r>
    </w:p>
    <w:p w14:paraId="2935DEA4">
      <w:pPr>
        <w:adjustRightInd w:val="0"/>
        <w:snapToGrid w:val="0"/>
        <w:spacing w:line="600" w:lineRule="exact"/>
        <w:rPr>
          <w:rFonts w:hint="eastAsia" w:ascii="宋体" w:hAnsi="宋体" w:cs="宋体"/>
          <w:color w:val="000000" w:themeColor="text1"/>
          <w:sz w:val="30"/>
          <w:szCs w:val="30"/>
          <w:highlight w:val="none"/>
          <w14:textFill>
            <w14:solidFill>
              <w14:schemeClr w14:val="tx1"/>
            </w14:solidFill>
          </w14:textFill>
        </w:rPr>
      </w:pPr>
      <w:r>
        <w:rPr>
          <w:rFonts w:hint="eastAsia" w:ascii="宋体" w:hAnsi="宋体" w:cs="宋体"/>
          <w:color w:val="000000" w:themeColor="text1"/>
          <w:sz w:val="30"/>
          <w:szCs w:val="30"/>
          <w:highlight w:val="none"/>
          <w14:textFill>
            <w14:solidFill>
              <w14:schemeClr w14:val="tx1"/>
            </w14:solidFill>
          </w14:textFill>
        </w:rPr>
        <w:t xml:space="preserve"> </w:t>
      </w:r>
      <w:r>
        <w:rPr>
          <w:rFonts w:hint="eastAsia" w:ascii="宋体" w:hAnsi="宋体" w:cs="宋体"/>
          <w:color w:val="000000" w:themeColor="text1"/>
          <w:sz w:val="30"/>
          <w:szCs w:val="30"/>
          <w:highlight w:val="none"/>
          <w14:textFill>
            <w14:solidFill>
              <w14:schemeClr w14:val="tx1"/>
            </w14:solidFill>
          </w14:textFill>
        </w:rPr>
        <w:br w:type="page"/>
      </w:r>
    </w:p>
    <w:p w14:paraId="5C174DEB">
      <w:pPr>
        <w:adjustRightInd w:val="0"/>
        <w:snapToGrid w:val="0"/>
        <w:spacing w:line="600" w:lineRule="exact"/>
        <w:jc w:val="center"/>
        <w:rPr>
          <w:rFonts w:hint="eastAsia" w:ascii="宋体" w:hAnsi="宋体" w:cs="宋体"/>
          <w:color w:val="000000" w:themeColor="text1"/>
          <w:sz w:val="30"/>
          <w:szCs w:val="30"/>
          <w:highlight w:val="none"/>
          <w14:textFill>
            <w14:solidFill>
              <w14:schemeClr w14:val="tx1"/>
            </w14:solidFill>
          </w14:textFill>
        </w:rPr>
      </w:pPr>
      <w:r>
        <w:rPr>
          <w:rFonts w:hint="eastAsia" w:ascii="宋体" w:hAnsi="宋体" w:cs="宋体"/>
          <w:color w:val="000000" w:themeColor="text1"/>
          <w:sz w:val="30"/>
          <w:szCs w:val="30"/>
          <w:highlight w:val="none"/>
          <w14:textFill>
            <w14:solidFill>
              <w14:schemeClr w14:val="tx1"/>
            </w14:solidFill>
          </w14:textFill>
        </w:rPr>
        <w:t>四、响应保证金</w:t>
      </w:r>
    </w:p>
    <w:p w14:paraId="359DA969">
      <w:pPr>
        <w:adjustRightInd w:val="0"/>
        <w:snapToGrid w:val="0"/>
        <w:spacing w:line="600" w:lineRule="exact"/>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(适用于递交响应保证金的情况)</w:t>
      </w:r>
    </w:p>
    <w:p w14:paraId="0F90F07A">
      <w:pPr>
        <w:numPr>
          <w:ilvl w:val="0"/>
          <w:numId w:val="23"/>
        </w:numPr>
        <w:adjustRightInd w:val="0"/>
        <w:snapToGrid w:val="0"/>
        <w:spacing w:line="360" w:lineRule="auto"/>
        <w:ind w:firstLine="420" w:firstLineChars="175"/>
        <w:jc w:val="both"/>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采用转账方式的，供应商应在此提供转账凭证复印件。</w:t>
      </w:r>
    </w:p>
    <w:p w14:paraId="135F4026">
      <w:pPr>
        <w:numPr>
          <w:ilvl w:val="0"/>
          <w:numId w:val="23"/>
        </w:numPr>
        <w:adjustRightInd w:val="0"/>
        <w:snapToGrid w:val="0"/>
        <w:spacing w:line="360" w:lineRule="auto"/>
        <w:ind w:firstLine="420" w:firstLineChars="175"/>
        <w:jc w:val="both"/>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采用支票、汇票等方式的，供应商应在此提供支票、汇票等的复印件，原件应单独递交。</w:t>
      </w:r>
    </w:p>
    <w:p w14:paraId="7B516226">
      <w:pPr>
        <w:numPr>
          <w:ilvl w:val="0"/>
          <w:numId w:val="23"/>
        </w:numPr>
        <w:adjustRightInd w:val="0"/>
        <w:snapToGrid w:val="0"/>
        <w:spacing w:line="360" w:lineRule="auto"/>
        <w:ind w:firstLine="480" w:firstLineChars="200"/>
        <w:jc w:val="both"/>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采用银行或担保机构担保函方式的，格式如下：</w:t>
      </w:r>
    </w:p>
    <w:p w14:paraId="015EFB94">
      <w:pPr>
        <w:numPr>
          <w:ilvl w:val="0"/>
          <w:numId w:val="23"/>
        </w:numPr>
        <w:adjustRightInd w:val="0"/>
        <w:snapToGrid w:val="0"/>
        <w:spacing w:line="360" w:lineRule="auto"/>
        <w:ind w:firstLine="480" w:firstLineChars="200"/>
        <w:jc w:val="both"/>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(采购人名称)：</w:t>
      </w:r>
    </w:p>
    <w:p w14:paraId="712B0C30">
      <w:pPr>
        <w:pStyle w:val="72"/>
        <w:ind w:left="840" w:hanging="420"/>
        <w:rPr>
          <w:color w:val="000000" w:themeColor="text1"/>
          <w:highlight w:val="none"/>
          <w14:textFill>
            <w14:solidFill>
              <w14:schemeClr w14:val="tx1"/>
            </w14:solidFill>
          </w14:textFill>
        </w:rPr>
      </w:pPr>
    </w:p>
    <w:p w14:paraId="23DCAD8B">
      <w:pPr>
        <w:numPr>
          <w:ilvl w:val="0"/>
          <w:numId w:val="23"/>
        </w:numPr>
        <w:adjustRightInd w:val="0"/>
        <w:snapToGrid w:val="0"/>
        <w:spacing w:line="360" w:lineRule="auto"/>
        <w:ind w:firstLine="480" w:firstLineChars="200"/>
        <w:jc w:val="both"/>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鉴于(供应商名称) (以下称“供应商")于年月日参加(项目名称)采购活动，</w:t>
      </w:r>
    </w:p>
    <w:p w14:paraId="7B99B199">
      <w:pPr>
        <w:numPr>
          <w:ilvl w:val="0"/>
          <w:numId w:val="23"/>
        </w:numPr>
        <w:adjustRightInd w:val="0"/>
        <w:snapToGrid w:val="0"/>
        <w:spacing w:line="360" w:lineRule="auto"/>
        <w:ind w:firstLine="480" w:firstLineChars="200"/>
        <w:jc w:val="both"/>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(担保人名称) (以下称“我方”)无条件地、不可撤销地保证：若供应商在响应文件有效期内撤销响应文件，或成交后无正当理由不与采购人订立合同，或在签订合同时向采购人提出附加条件，或不按照采购文件要求递交履约保证金，或者发生采购文件明确规定不予退还响应保证金的其他情形，我方承担保证责任。收到你方书面通知后，我方在7日内向你方无条件支付人民币(大写)。</w:t>
      </w:r>
    </w:p>
    <w:p w14:paraId="5A4A2E95">
      <w:pPr>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本保函在响应文件有效期内保持有效。要求我方承担保证责任的通知应在响应文件有效期内送达我方。</w:t>
      </w:r>
    </w:p>
    <w:p w14:paraId="147E5CC9">
      <w:pPr>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p>
    <w:p w14:paraId="6EAD258E">
      <w:pPr>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担保人名称：(盖单位章)</w:t>
      </w:r>
    </w:p>
    <w:p w14:paraId="78AAF14C">
      <w:pPr>
        <w:spacing w:line="360" w:lineRule="auto"/>
        <w:ind w:firstLine="480" w:firstLineChars="200"/>
        <w:rPr>
          <w:rFonts w:hint="eastAsia"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地 址：</w:t>
      </w:r>
      <w:r>
        <w:rPr>
          <w:rFonts w:hint="eastAsia" w:ascii="宋体" w:hAnsi="宋体" w:cs="宋体"/>
          <w:color w:val="000000" w:themeColor="text1"/>
          <w:sz w:val="24"/>
          <w:highlight w:val="none"/>
          <w:u w:val="single"/>
          <w14:textFill>
            <w14:solidFill>
              <w14:schemeClr w14:val="tx1"/>
            </w14:solidFill>
          </w14:textFill>
        </w:rPr>
        <w:t xml:space="preserve">                       </w:t>
      </w:r>
    </w:p>
    <w:p w14:paraId="4A9EE383">
      <w:pPr>
        <w:spacing w:line="360" w:lineRule="auto"/>
        <w:ind w:firstLine="480" w:firstLineChars="200"/>
        <w:rPr>
          <w:rFonts w:hint="eastAsia"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邮政编码：</w:t>
      </w:r>
      <w:r>
        <w:rPr>
          <w:rFonts w:hint="eastAsia" w:ascii="宋体" w:hAnsi="宋体" w:cs="宋体"/>
          <w:color w:val="000000" w:themeColor="text1"/>
          <w:sz w:val="24"/>
          <w:highlight w:val="none"/>
          <w:u w:val="single"/>
          <w14:textFill>
            <w14:solidFill>
              <w14:schemeClr w14:val="tx1"/>
            </w14:solidFill>
          </w14:textFill>
        </w:rPr>
        <w:t xml:space="preserve">                       </w:t>
      </w:r>
    </w:p>
    <w:p w14:paraId="01F2D4D0">
      <w:pPr>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电话：</w:t>
      </w:r>
      <w:r>
        <w:rPr>
          <w:rFonts w:hint="eastAsia" w:ascii="宋体" w:hAnsi="宋体" w:cs="宋体"/>
          <w:color w:val="000000" w:themeColor="text1"/>
          <w:sz w:val="24"/>
          <w:highlight w:val="none"/>
          <w:u w:val="single"/>
          <w14:textFill>
            <w14:solidFill>
              <w14:schemeClr w14:val="tx1"/>
            </w14:solidFill>
          </w14:textFill>
        </w:rPr>
        <w:t xml:space="preserve">                       </w:t>
      </w:r>
    </w:p>
    <w:p w14:paraId="7D9E9625">
      <w:pPr>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br w:type="page"/>
      </w:r>
    </w:p>
    <w:p w14:paraId="376839D9">
      <w:pPr>
        <w:spacing w:line="600" w:lineRule="exact"/>
        <w:ind w:left="420" w:leftChars="200"/>
        <w:jc w:val="center"/>
        <w:rPr>
          <w:rFonts w:hint="eastAsia" w:ascii="宋体" w:hAnsi="宋体" w:cs="宋体"/>
          <w:color w:val="000000" w:themeColor="text1"/>
          <w:sz w:val="30"/>
          <w:szCs w:val="30"/>
          <w:highlight w:val="none"/>
          <w14:textFill>
            <w14:solidFill>
              <w14:schemeClr w14:val="tx1"/>
            </w14:solidFill>
          </w14:textFill>
        </w:rPr>
      </w:pPr>
      <w:r>
        <w:rPr>
          <w:rFonts w:hint="eastAsia" w:ascii="宋体" w:hAnsi="宋体" w:cs="宋体"/>
          <w:color w:val="000000" w:themeColor="text1"/>
          <w:sz w:val="30"/>
          <w:szCs w:val="30"/>
          <w:highlight w:val="none"/>
          <w14:textFill>
            <w14:solidFill>
              <w14:schemeClr w14:val="tx1"/>
            </w14:solidFill>
          </w14:textFill>
        </w:rPr>
        <w:t>五、商务和技术偏差表</w:t>
      </w:r>
    </w:p>
    <w:p w14:paraId="7317D721">
      <w:pPr>
        <w:spacing w:line="600" w:lineRule="exact"/>
        <w:ind w:left="420" w:leftChars="200"/>
        <w:jc w:val="center"/>
        <w:rPr>
          <w:rFonts w:hint="eastAsia" w:ascii="宋体" w:hAnsi="宋体" w:cs="宋体"/>
          <w:color w:val="000000" w:themeColor="text1"/>
          <w:sz w:val="30"/>
          <w:szCs w:val="30"/>
          <w:highlight w:val="none"/>
          <w14:textFill>
            <w14:solidFill>
              <w14:schemeClr w14:val="tx1"/>
            </w14:solidFill>
          </w14:textFill>
        </w:rPr>
      </w:pPr>
    </w:p>
    <w:tbl>
      <w:tblPr>
        <w:tblStyle w:val="87"/>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4"/>
        <w:gridCol w:w="2784"/>
        <w:gridCol w:w="3240"/>
        <w:gridCol w:w="1836"/>
      </w:tblGrid>
      <w:tr w14:paraId="4F849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4" w:type="dxa"/>
          </w:tcPr>
          <w:p w14:paraId="5C52D8A5">
            <w:pPr>
              <w:widowControl/>
              <w:spacing w:line="600" w:lineRule="exact"/>
              <w:jc w:val="both"/>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序号</w:t>
            </w:r>
          </w:p>
        </w:tc>
        <w:tc>
          <w:tcPr>
            <w:tcW w:w="2784" w:type="dxa"/>
          </w:tcPr>
          <w:p w14:paraId="0990F6D0">
            <w:pPr>
              <w:widowControl/>
              <w:spacing w:line="600" w:lineRule="exact"/>
              <w:jc w:val="both"/>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采购文件章节及条款号</w:t>
            </w:r>
          </w:p>
        </w:tc>
        <w:tc>
          <w:tcPr>
            <w:tcW w:w="3240" w:type="dxa"/>
          </w:tcPr>
          <w:p w14:paraId="75FE5DFF">
            <w:pPr>
              <w:widowControl/>
              <w:spacing w:line="600" w:lineRule="exact"/>
              <w:jc w:val="both"/>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响应文件章节及条款号</w:t>
            </w:r>
          </w:p>
        </w:tc>
        <w:tc>
          <w:tcPr>
            <w:tcW w:w="1836" w:type="dxa"/>
          </w:tcPr>
          <w:p w14:paraId="12534DEB">
            <w:pPr>
              <w:widowControl/>
              <w:spacing w:line="600" w:lineRule="exact"/>
              <w:jc w:val="both"/>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偏差说明</w:t>
            </w:r>
          </w:p>
        </w:tc>
      </w:tr>
      <w:tr w14:paraId="74BA2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4" w:type="dxa"/>
          </w:tcPr>
          <w:p w14:paraId="1F225110">
            <w:pPr>
              <w:widowControl/>
              <w:spacing w:line="600" w:lineRule="exact"/>
              <w:jc w:val="both"/>
              <w:rPr>
                <w:rFonts w:hint="eastAsia" w:ascii="宋体" w:hAnsi="宋体" w:cs="宋体"/>
                <w:color w:val="000000" w:themeColor="text1"/>
                <w:sz w:val="30"/>
                <w:szCs w:val="30"/>
                <w:highlight w:val="none"/>
                <w14:textFill>
                  <w14:solidFill>
                    <w14:schemeClr w14:val="tx1"/>
                  </w14:solidFill>
                </w14:textFill>
              </w:rPr>
            </w:pPr>
          </w:p>
        </w:tc>
        <w:tc>
          <w:tcPr>
            <w:tcW w:w="2784" w:type="dxa"/>
          </w:tcPr>
          <w:p w14:paraId="3F7F10F7">
            <w:pPr>
              <w:widowControl/>
              <w:spacing w:line="600" w:lineRule="exact"/>
              <w:jc w:val="both"/>
              <w:rPr>
                <w:rFonts w:hint="eastAsia" w:ascii="宋体" w:hAnsi="宋体" w:cs="宋体"/>
                <w:color w:val="000000" w:themeColor="text1"/>
                <w:sz w:val="30"/>
                <w:szCs w:val="30"/>
                <w:highlight w:val="none"/>
                <w14:textFill>
                  <w14:solidFill>
                    <w14:schemeClr w14:val="tx1"/>
                  </w14:solidFill>
                </w14:textFill>
              </w:rPr>
            </w:pPr>
          </w:p>
        </w:tc>
        <w:tc>
          <w:tcPr>
            <w:tcW w:w="3240" w:type="dxa"/>
          </w:tcPr>
          <w:p w14:paraId="60ADF43E">
            <w:pPr>
              <w:widowControl/>
              <w:spacing w:line="600" w:lineRule="exact"/>
              <w:jc w:val="both"/>
              <w:rPr>
                <w:rFonts w:hint="eastAsia" w:ascii="宋体" w:hAnsi="宋体" w:cs="宋体"/>
                <w:color w:val="000000" w:themeColor="text1"/>
                <w:sz w:val="30"/>
                <w:szCs w:val="30"/>
                <w:highlight w:val="none"/>
                <w14:textFill>
                  <w14:solidFill>
                    <w14:schemeClr w14:val="tx1"/>
                  </w14:solidFill>
                </w14:textFill>
              </w:rPr>
            </w:pPr>
          </w:p>
        </w:tc>
        <w:tc>
          <w:tcPr>
            <w:tcW w:w="1836" w:type="dxa"/>
          </w:tcPr>
          <w:p w14:paraId="6D76DDD7">
            <w:pPr>
              <w:widowControl/>
              <w:spacing w:line="600" w:lineRule="exact"/>
              <w:jc w:val="both"/>
              <w:rPr>
                <w:rFonts w:hint="eastAsia" w:ascii="宋体" w:hAnsi="宋体" w:cs="宋体"/>
                <w:color w:val="000000" w:themeColor="text1"/>
                <w:sz w:val="30"/>
                <w:szCs w:val="30"/>
                <w:highlight w:val="none"/>
                <w14:textFill>
                  <w14:solidFill>
                    <w14:schemeClr w14:val="tx1"/>
                  </w14:solidFill>
                </w14:textFill>
              </w:rPr>
            </w:pPr>
          </w:p>
        </w:tc>
      </w:tr>
      <w:tr w14:paraId="0B541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4" w:type="dxa"/>
          </w:tcPr>
          <w:p w14:paraId="46420876">
            <w:pPr>
              <w:widowControl/>
              <w:spacing w:line="600" w:lineRule="exact"/>
              <w:jc w:val="both"/>
              <w:rPr>
                <w:rFonts w:hint="eastAsia" w:ascii="宋体" w:hAnsi="宋体" w:cs="宋体"/>
                <w:color w:val="000000" w:themeColor="text1"/>
                <w:sz w:val="30"/>
                <w:szCs w:val="30"/>
                <w:highlight w:val="none"/>
                <w14:textFill>
                  <w14:solidFill>
                    <w14:schemeClr w14:val="tx1"/>
                  </w14:solidFill>
                </w14:textFill>
              </w:rPr>
            </w:pPr>
          </w:p>
        </w:tc>
        <w:tc>
          <w:tcPr>
            <w:tcW w:w="2784" w:type="dxa"/>
          </w:tcPr>
          <w:p w14:paraId="2A130095">
            <w:pPr>
              <w:widowControl/>
              <w:spacing w:line="600" w:lineRule="exact"/>
              <w:jc w:val="both"/>
              <w:rPr>
                <w:rFonts w:hint="eastAsia" w:ascii="宋体" w:hAnsi="宋体" w:cs="宋体"/>
                <w:color w:val="000000" w:themeColor="text1"/>
                <w:sz w:val="30"/>
                <w:szCs w:val="30"/>
                <w:highlight w:val="none"/>
                <w14:textFill>
                  <w14:solidFill>
                    <w14:schemeClr w14:val="tx1"/>
                  </w14:solidFill>
                </w14:textFill>
              </w:rPr>
            </w:pPr>
          </w:p>
        </w:tc>
        <w:tc>
          <w:tcPr>
            <w:tcW w:w="3240" w:type="dxa"/>
          </w:tcPr>
          <w:p w14:paraId="4ED7D23D">
            <w:pPr>
              <w:widowControl/>
              <w:spacing w:line="600" w:lineRule="exact"/>
              <w:jc w:val="both"/>
              <w:rPr>
                <w:rFonts w:hint="eastAsia" w:ascii="宋体" w:hAnsi="宋体" w:cs="宋体"/>
                <w:color w:val="000000" w:themeColor="text1"/>
                <w:sz w:val="30"/>
                <w:szCs w:val="30"/>
                <w:highlight w:val="none"/>
                <w14:textFill>
                  <w14:solidFill>
                    <w14:schemeClr w14:val="tx1"/>
                  </w14:solidFill>
                </w14:textFill>
              </w:rPr>
            </w:pPr>
          </w:p>
        </w:tc>
        <w:tc>
          <w:tcPr>
            <w:tcW w:w="1836" w:type="dxa"/>
          </w:tcPr>
          <w:p w14:paraId="2684B335">
            <w:pPr>
              <w:widowControl/>
              <w:spacing w:line="600" w:lineRule="exact"/>
              <w:jc w:val="both"/>
              <w:rPr>
                <w:rFonts w:hint="eastAsia" w:ascii="宋体" w:hAnsi="宋体" w:cs="宋体"/>
                <w:color w:val="000000" w:themeColor="text1"/>
                <w:sz w:val="30"/>
                <w:szCs w:val="30"/>
                <w:highlight w:val="none"/>
                <w14:textFill>
                  <w14:solidFill>
                    <w14:schemeClr w14:val="tx1"/>
                  </w14:solidFill>
                </w14:textFill>
              </w:rPr>
            </w:pPr>
          </w:p>
        </w:tc>
      </w:tr>
      <w:tr w14:paraId="6593B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4" w:type="dxa"/>
          </w:tcPr>
          <w:p w14:paraId="2F62F4A8">
            <w:pPr>
              <w:widowControl/>
              <w:spacing w:line="600" w:lineRule="exact"/>
              <w:jc w:val="both"/>
              <w:rPr>
                <w:rFonts w:hint="eastAsia" w:ascii="宋体" w:hAnsi="宋体" w:cs="宋体"/>
                <w:color w:val="000000" w:themeColor="text1"/>
                <w:sz w:val="30"/>
                <w:szCs w:val="30"/>
                <w:highlight w:val="none"/>
                <w14:textFill>
                  <w14:solidFill>
                    <w14:schemeClr w14:val="tx1"/>
                  </w14:solidFill>
                </w14:textFill>
              </w:rPr>
            </w:pPr>
          </w:p>
        </w:tc>
        <w:tc>
          <w:tcPr>
            <w:tcW w:w="2784" w:type="dxa"/>
          </w:tcPr>
          <w:p w14:paraId="7D6B5383">
            <w:pPr>
              <w:widowControl/>
              <w:spacing w:line="600" w:lineRule="exact"/>
              <w:jc w:val="both"/>
              <w:rPr>
                <w:rFonts w:hint="eastAsia" w:ascii="宋体" w:hAnsi="宋体" w:cs="宋体"/>
                <w:color w:val="000000" w:themeColor="text1"/>
                <w:sz w:val="30"/>
                <w:szCs w:val="30"/>
                <w:highlight w:val="none"/>
                <w14:textFill>
                  <w14:solidFill>
                    <w14:schemeClr w14:val="tx1"/>
                  </w14:solidFill>
                </w14:textFill>
              </w:rPr>
            </w:pPr>
          </w:p>
        </w:tc>
        <w:tc>
          <w:tcPr>
            <w:tcW w:w="3240" w:type="dxa"/>
          </w:tcPr>
          <w:p w14:paraId="7455FAA4">
            <w:pPr>
              <w:widowControl/>
              <w:spacing w:line="600" w:lineRule="exact"/>
              <w:jc w:val="both"/>
              <w:rPr>
                <w:rFonts w:hint="eastAsia" w:ascii="宋体" w:hAnsi="宋体" w:cs="宋体"/>
                <w:color w:val="000000" w:themeColor="text1"/>
                <w:sz w:val="30"/>
                <w:szCs w:val="30"/>
                <w:highlight w:val="none"/>
                <w14:textFill>
                  <w14:solidFill>
                    <w14:schemeClr w14:val="tx1"/>
                  </w14:solidFill>
                </w14:textFill>
              </w:rPr>
            </w:pPr>
          </w:p>
        </w:tc>
        <w:tc>
          <w:tcPr>
            <w:tcW w:w="1836" w:type="dxa"/>
          </w:tcPr>
          <w:p w14:paraId="6B2474BA">
            <w:pPr>
              <w:widowControl/>
              <w:spacing w:line="600" w:lineRule="exact"/>
              <w:jc w:val="both"/>
              <w:rPr>
                <w:rFonts w:hint="eastAsia" w:ascii="宋体" w:hAnsi="宋体" w:cs="宋体"/>
                <w:color w:val="000000" w:themeColor="text1"/>
                <w:sz w:val="30"/>
                <w:szCs w:val="30"/>
                <w:highlight w:val="none"/>
                <w14:textFill>
                  <w14:solidFill>
                    <w14:schemeClr w14:val="tx1"/>
                  </w14:solidFill>
                </w14:textFill>
              </w:rPr>
            </w:pPr>
          </w:p>
        </w:tc>
      </w:tr>
      <w:tr w14:paraId="6C89F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4" w:type="dxa"/>
          </w:tcPr>
          <w:p w14:paraId="6819068E">
            <w:pPr>
              <w:widowControl/>
              <w:spacing w:line="600" w:lineRule="exact"/>
              <w:jc w:val="both"/>
              <w:rPr>
                <w:rFonts w:hint="eastAsia" w:ascii="宋体" w:hAnsi="宋体" w:cs="宋体"/>
                <w:color w:val="000000" w:themeColor="text1"/>
                <w:sz w:val="30"/>
                <w:szCs w:val="30"/>
                <w:highlight w:val="none"/>
                <w14:textFill>
                  <w14:solidFill>
                    <w14:schemeClr w14:val="tx1"/>
                  </w14:solidFill>
                </w14:textFill>
              </w:rPr>
            </w:pPr>
          </w:p>
        </w:tc>
        <w:tc>
          <w:tcPr>
            <w:tcW w:w="2784" w:type="dxa"/>
          </w:tcPr>
          <w:p w14:paraId="425A1F08">
            <w:pPr>
              <w:widowControl/>
              <w:spacing w:line="600" w:lineRule="exact"/>
              <w:jc w:val="both"/>
              <w:rPr>
                <w:rFonts w:hint="eastAsia" w:ascii="宋体" w:hAnsi="宋体" w:cs="宋体"/>
                <w:color w:val="000000" w:themeColor="text1"/>
                <w:sz w:val="30"/>
                <w:szCs w:val="30"/>
                <w:highlight w:val="none"/>
                <w14:textFill>
                  <w14:solidFill>
                    <w14:schemeClr w14:val="tx1"/>
                  </w14:solidFill>
                </w14:textFill>
              </w:rPr>
            </w:pPr>
          </w:p>
        </w:tc>
        <w:tc>
          <w:tcPr>
            <w:tcW w:w="3240" w:type="dxa"/>
          </w:tcPr>
          <w:p w14:paraId="48174420">
            <w:pPr>
              <w:widowControl/>
              <w:spacing w:line="600" w:lineRule="exact"/>
              <w:jc w:val="both"/>
              <w:rPr>
                <w:rFonts w:hint="eastAsia" w:ascii="宋体" w:hAnsi="宋体" w:cs="宋体"/>
                <w:color w:val="000000" w:themeColor="text1"/>
                <w:sz w:val="30"/>
                <w:szCs w:val="30"/>
                <w:highlight w:val="none"/>
                <w14:textFill>
                  <w14:solidFill>
                    <w14:schemeClr w14:val="tx1"/>
                  </w14:solidFill>
                </w14:textFill>
              </w:rPr>
            </w:pPr>
          </w:p>
        </w:tc>
        <w:tc>
          <w:tcPr>
            <w:tcW w:w="1836" w:type="dxa"/>
          </w:tcPr>
          <w:p w14:paraId="44750E01">
            <w:pPr>
              <w:widowControl/>
              <w:spacing w:line="600" w:lineRule="exact"/>
              <w:jc w:val="both"/>
              <w:rPr>
                <w:rFonts w:hint="eastAsia" w:ascii="宋体" w:hAnsi="宋体" w:cs="宋体"/>
                <w:color w:val="000000" w:themeColor="text1"/>
                <w:sz w:val="30"/>
                <w:szCs w:val="30"/>
                <w:highlight w:val="none"/>
                <w14:textFill>
                  <w14:solidFill>
                    <w14:schemeClr w14:val="tx1"/>
                  </w14:solidFill>
                </w14:textFill>
              </w:rPr>
            </w:pPr>
          </w:p>
        </w:tc>
      </w:tr>
    </w:tbl>
    <w:p w14:paraId="0D91A60F">
      <w:pPr>
        <w:spacing w:line="600" w:lineRule="exact"/>
        <w:ind w:left="420" w:left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供应商保证：除商务和技术偏差表列出的偏差外，供应商响应采购文件的全部要求。</w:t>
      </w:r>
    </w:p>
    <w:p w14:paraId="2C8932A8">
      <w:pPr>
        <w:rPr>
          <w:rFonts w:hint="eastAsia" w:ascii="宋体" w:hAnsi="宋体" w:cs="宋体"/>
          <w:color w:val="000000" w:themeColor="text1"/>
          <w:sz w:val="30"/>
          <w:szCs w:val="30"/>
          <w:highlight w:val="none"/>
          <w14:textFill>
            <w14:solidFill>
              <w14:schemeClr w14:val="tx1"/>
            </w14:solidFill>
          </w14:textFill>
        </w:rPr>
      </w:pPr>
      <w:r>
        <w:rPr>
          <w:rFonts w:hint="eastAsia" w:ascii="宋体" w:hAnsi="宋体" w:cs="宋体"/>
          <w:color w:val="000000" w:themeColor="text1"/>
          <w:sz w:val="30"/>
          <w:szCs w:val="30"/>
          <w:highlight w:val="none"/>
          <w14:textFill>
            <w14:solidFill>
              <w14:schemeClr w14:val="tx1"/>
            </w14:solidFill>
          </w14:textFill>
        </w:rPr>
        <w:br w:type="page"/>
      </w:r>
    </w:p>
    <w:p w14:paraId="499F4AE8">
      <w:pPr>
        <w:spacing w:line="600" w:lineRule="exact"/>
        <w:jc w:val="center"/>
        <w:rPr>
          <w:rFonts w:hint="eastAsia" w:ascii="宋体" w:hAnsi="宋体" w:cs="宋体"/>
          <w:color w:val="000000" w:themeColor="text1"/>
          <w:sz w:val="30"/>
          <w:szCs w:val="30"/>
          <w:highlight w:val="none"/>
          <w14:textFill>
            <w14:solidFill>
              <w14:schemeClr w14:val="tx1"/>
            </w14:solidFill>
          </w14:textFill>
        </w:rPr>
      </w:pPr>
      <w:r>
        <w:rPr>
          <w:rFonts w:hint="eastAsia" w:ascii="宋体" w:hAnsi="宋体" w:cs="宋体"/>
          <w:color w:val="000000" w:themeColor="text1"/>
          <w:sz w:val="30"/>
          <w:szCs w:val="30"/>
          <w:highlight w:val="none"/>
          <w14:textFill>
            <w14:solidFill>
              <w14:schemeClr w14:val="tx1"/>
            </w14:solidFill>
          </w14:textFill>
        </w:rPr>
        <w:t>六、报价表</w:t>
      </w:r>
    </w:p>
    <w:p w14:paraId="2D2FEC1D">
      <w:pPr>
        <w:spacing w:line="600" w:lineRule="exact"/>
        <w:rPr>
          <w:rFonts w:hint="eastAsia" w:ascii="宋体" w:hAnsi="宋体" w:cs="宋体"/>
          <w:color w:val="000000" w:themeColor="text1"/>
          <w:sz w:val="30"/>
          <w:szCs w:val="30"/>
          <w:highlight w:val="none"/>
          <w14:textFill>
            <w14:solidFill>
              <w14:schemeClr w14:val="tx1"/>
            </w14:solidFill>
          </w14:textFill>
        </w:rPr>
      </w:pPr>
      <w:r>
        <w:rPr>
          <w:rFonts w:hint="eastAsia" w:ascii="宋体" w:hAnsi="宋体" w:cs="宋体"/>
          <w:color w:val="000000" w:themeColor="text1"/>
          <w:sz w:val="30"/>
          <w:szCs w:val="30"/>
          <w:highlight w:val="none"/>
          <w14:textFill>
            <w14:solidFill>
              <w14:schemeClr w14:val="tx1"/>
            </w14:solidFill>
          </w14:textFill>
        </w:rPr>
        <w:t>1.报价表说明</w:t>
      </w:r>
    </w:p>
    <w:p w14:paraId="5B838086">
      <w:pPr>
        <w:spacing w:line="600" w:lineRule="exact"/>
        <w:rPr>
          <w:rFonts w:hint="eastAsia" w:ascii="宋体" w:hAnsi="宋体" w:cs="宋体"/>
          <w:color w:val="000000" w:themeColor="text1"/>
          <w:sz w:val="30"/>
          <w:szCs w:val="30"/>
          <w:highlight w:val="none"/>
          <w14:textFill>
            <w14:solidFill>
              <w14:schemeClr w14:val="tx1"/>
            </w14:solidFill>
          </w14:textFill>
        </w:rPr>
      </w:pPr>
      <w:r>
        <w:rPr>
          <w:rFonts w:hint="eastAsia" w:ascii="宋体" w:hAnsi="宋体" w:cs="宋体"/>
          <w:color w:val="000000" w:themeColor="text1"/>
          <w:sz w:val="30"/>
          <w:szCs w:val="30"/>
          <w:highlight w:val="none"/>
          <w14:textFill>
            <w14:solidFill>
              <w14:schemeClr w14:val="tx1"/>
            </w14:solidFill>
          </w14:textFill>
        </w:rPr>
        <w:t>2.报价表</w:t>
      </w:r>
    </w:p>
    <w:tbl>
      <w:tblPr>
        <w:tblStyle w:val="86"/>
        <w:tblW w:w="8838"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324"/>
        <w:gridCol w:w="3125"/>
        <w:gridCol w:w="1588"/>
        <w:gridCol w:w="1801"/>
      </w:tblGrid>
      <w:tr w14:paraId="2A4FAB9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35" w:hRule="atLeast"/>
          <w:jc w:val="center"/>
        </w:trPr>
        <w:tc>
          <w:tcPr>
            <w:tcW w:w="2324" w:type="dxa"/>
            <w:tcBorders>
              <w:top w:val="double" w:color="auto" w:sz="4" w:space="0"/>
              <w:left w:val="double" w:color="auto" w:sz="4" w:space="0"/>
              <w:bottom w:val="single" w:color="auto" w:sz="6" w:space="0"/>
              <w:right w:val="single" w:color="auto" w:sz="6" w:space="0"/>
            </w:tcBorders>
            <w:vAlign w:val="center"/>
          </w:tcPr>
          <w:p w14:paraId="0CB987CC">
            <w:pPr>
              <w:pStyle w:val="80"/>
              <w:adjustRightInd w:val="0"/>
              <w:snapToGrid w:val="0"/>
              <w:spacing w:before="0" w:beforeAutospacing="0" w:after="0" w:afterAutospacing="0" w:line="360" w:lineRule="auto"/>
              <w:ind w:firstLine="480" w:firstLineChars="200"/>
              <w:textAlignment w:val="baseline"/>
              <w:rPr>
                <w:rFonts w:hint="eastAsia"/>
                <w:color w:val="000000" w:themeColor="text1"/>
                <w:kern w:val="2"/>
                <w:highlight w:val="none"/>
                <w14:textFill>
                  <w14:solidFill>
                    <w14:schemeClr w14:val="tx1"/>
                  </w14:solidFill>
                </w14:textFill>
              </w:rPr>
            </w:pPr>
            <w:r>
              <w:rPr>
                <w:rFonts w:hint="eastAsia"/>
                <w:color w:val="000000" w:themeColor="text1"/>
                <w:kern w:val="2"/>
                <w:highlight w:val="none"/>
                <w14:textFill>
                  <w14:solidFill>
                    <w14:schemeClr w14:val="tx1"/>
                  </w14:solidFill>
                </w14:textFill>
              </w:rPr>
              <w:t>项目名称</w:t>
            </w:r>
          </w:p>
        </w:tc>
        <w:tc>
          <w:tcPr>
            <w:tcW w:w="3125" w:type="dxa"/>
            <w:tcBorders>
              <w:top w:val="double" w:color="auto" w:sz="4" w:space="0"/>
              <w:left w:val="single" w:color="auto" w:sz="6" w:space="0"/>
              <w:bottom w:val="single" w:color="auto" w:sz="6" w:space="0"/>
              <w:right w:val="single" w:color="auto" w:sz="6" w:space="0"/>
            </w:tcBorders>
            <w:vAlign w:val="center"/>
          </w:tcPr>
          <w:p w14:paraId="7203BD26">
            <w:pPr>
              <w:pStyle w:val="80"/>
              <w:adjustRightInd w:val="0"/>
              <w:snapToGrid w:val="0"/>
              <w:spacing w:before="0" w:beforeAutospacing="0" w:after="0" w:afterAutospacing="0" w:line="360" w:lineRule="auto"/>
              <w:ind w:firstLine="480" w:firstLineChars="200"/>
              <w:textAlignment w:val="baseline"/>
              <w:rPr>
                <w:rFonts w:hint="eastAsia"/>
                <w:color w:val="000000" w:themeColor="text1"/>
                <w:kern w:val="2"/>
                <w:highlight w:val="none"/>
                <w14:textFill>
                  <w14:solidFill>
                    <w14:schemeClr w14:val="tx1"/>
                  </w14:solidFill>
                </w14:textFill>
              </w:rPr>
            </w:pPr>
          </w:p>
        </w:tc>
        <w:tc>
          <w:tcPr>
            <w:tcW w:w="1588" w:type="dxa"/>
            <w:tcBorders>
              <w:top w:val="double" w:color="auto" w:sz="4" w:space="0"/>
              <w:left w:val="single" w:color="auto" w:sz="6" w:space="0"/>
              <w:bottom w:val="single" w:color="auto" w:sz="6" w:space="0"/>
              <w:right w:val="single" w:color="auto" w:sz="6" w:space="0"/>
            </w:tcBorders>
            <w:vAlign w:val="center"/>
          </w:tcPr>
          <w:p w14:paraId="2F1A12B7">
            <w:pPr>
              <w:pStyle w:val="80"/>
              <w:adjustRightInd w:val="0"/>
              <w:snapToGrid w:val="0"/>
              <w:spacing w:before="0" w:beforeAutospacing="0" w:after="0" w:afterAutospacing="0" w:line="360" w:lineRule="auto"/>
              <w:textAlignment w:val="baseline"/>
              <w:rPr>
                <w:rFonts w:hint="eastAsia"/>
                <w:color w:val="000000" w:themeColor="text1"/>
                <w:kern w:val="2"/>
                <w:highlight w:val="none"/>
                <w14:textFill>
                  <w14:solidFill>
                    <w14:schemeClr w14:val="tx1"/>
                  </w14:solidFill>
                </w14:textFill>
              </w:rPr>
            </w:pPr>
            <w:r>
              <w:rPr>
                <w:rFonts w:hint="eastAsia"/>
                <w:color w:val="000000" w:themeColor="text1"/>
                <w:kern w:val="2"/>
                <w:highlight w:val="none"/>
                <w14:textFill>
                  <w14:solidFill>
                    <w14:schemeClr w14:val="tx1"/>
                  </w14:solidFill>
                </w14:textFill>
              </w:rPr>
              <w:t>采购编号</w:t>
            </w:r>
          </w:p>
        </w:tc>
        <w:tc>
          <w:tcPr>
            <w:tcW w:w="1801" w:type="dxa"/>
            <w:tcBorders>
              <w:top w:val="double" w:color="auto" w:sz="4" w:space="0"/>
              <w:left w:val="single" w:color="auto" w:sz="6" w:space="0"/>
              <w:bottom w:val="single" w:color="auto" w:sz="6" w:space="0"/>
              <w:right w:val="double" w:color="auto" w:sz="4" w:space="0"/>
            </w:tcBorders>
            <w:vAlign w:val="center"/>
          </w:tcPr>
          <w:p w14:paraId="7E4D12EA">
            <w:pPr>
              <w:pStyle w:val="80"/>
              <w:adjustRightInd w:val="0"/>
              <w:snapToGrid w:val="0"/>
              <w:spacing w:before="0" w:beforeAutospacing="0" w:after="0" w:afterAutospacing="0" w:line="360" w:lineRule="auto"/>
              <w:ind w:firstLine="480" w:firstLineChars="200"/>
              <w:textAlignment w:val="baseline"/>
              <w:rPr>
                <w:rFonts w:hint="eastAsia"/>
                <w:color w:val="000000" w:themeColor="text1"/>
                <w:kern w:val="2"/>
                <w:highlight w:val="none"/>
                <w14:textFill>
                  <w14:solidFill>
                    <w14:schemeClr w14:val="tx1"/>
                  </w14:solidFill>
                </w14:textFill>
              </w:rPr>
            </w:pPr>
          </w:p>
        </w:tc>
      </w:tr>
      <w:tr w14:paraId="6A39676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922" w:hRule="atLeast"/>
          <w:jc w:val="center"/>
        </w:trPr>
        <w:tc>
          <w:tcPr>
            <w:tcW w:w="2324" w:type="dxa"/>
            <w:tcBorders>
              <w:top w:val="single" w:color="auto" w:sz="6" w:space="0"/>
              <w:left w:val="double" w:color="auto" w:sz="4" w:space="0"/>
              <w:bottom w:val="single" w:color="auto" w:sz="6" w:space="0"/>
              <w:right w:val="single" w:color="auto" w:sz="6" w:space="0"/>
            </w:tcBorders>
            <w:vAlign w:val="center"/>
          </w:tcPr>
          <w:p w14:paraId="17642107">
            <w:pPr>
              <w:pStyle w:val="80"/>
              <w:adjustRightInd w:val="0"/>
              <w:snapToGrid w:val="0"/>
              <w:spacing w:before="0" w:beforeAutospacing="0" w:after="0" w:afterAutospacing="0" w:line="360" w:lineRule="auto"/>
              <w:ind w:firstLine="720" w:firstLineChars="300"/>
              <w:textAlignment w:val="baseline"/>
              <w:rPr>
                <w:rFonts w:hint="eastAsia"/>
                <w:color w:val="000000" w:themeColor="text1"/>
                <w:kern w:val="2"/>
                <w:highlight w:val="none"/>
                <w14:textFill>
                  <w14:solidFill>
                    <w14:schemeClr w14:val="tx1"/>
                  </w14:solidFill>
                </w14:textFill>
              </w:rPr>
            </w:pPr>
            <w:r>
              <w:rPr>
                <w:rFonts w:hint="eastAsia"/>
                <w:color w:val="000000" w:themeColor="text1"/>
                <w:kern w:val="2"/>
                <w:highlight w:val="none"/>
                <w14:textFill>
                  <w14:solidFill>
                    <w14:schemeClr w14:val="tx1"/>
                  </w14:solidFill>
                </w14:textFill>
              </w:rPr>
              <w:t>总报价</w:t>
            </w:r>
          </w:p>
        </w:tc>
        <w:tc>
          <w:tcPr>
            <w:tcW w:w="6514" w:type="dxa"/>
            <w:gridSpan w:val="3"/>
            <w:tcBorders>
              <w:top w:val="single" w:color="auto" w:sz="6" w:space="0"/>
              <w:left w:val="single" w:color="auto" w:sz="6" w:space="0"/>
              <w:bottom w:val="single" w:color="auto" w:sz="6" w:space="0"/>
              <w:right w:val="double" w:color="auto" w:sz="4" w:space="0"/>
            </w:tcBorders>
            <w:vAlign w:val="center"/>
          </w:tcPr>
          <w:p w14:paraId="02222386">
            <w:pPr>
              <w:pStyle w:val="80"/>
              <w:adjustRightInd w:val="0"/>
              <w:snapToGrid w:val="0"/>
              <w:spacing w:before="0" w:beforeAutospacing="0" w:after="0" w:afterAutospacing="0" w:line="360" w:lineRule="auto"/>
              <w:ind w:firstLine="480" w:firstLineChars="200"/>
              <w:textAlignment w:val="baseline"/>
              <w:rPr>
                <w:rFonts w:hint="eastAsia"/>
                <w:color w:val="000000" w:themeColor="text1"/>
                <w:kern w:val="2"/>
                <w:highlight w:val="none"/>
                <w:u w:val="single"/>
                <w14:textFill>
                  <w14:solidFill>
                    <w14:schemeClr w14:val="tx1"/>
                  </w14:solidFill>
                </w14:textFill>
              </w:rPr>
            </w:pPr>
          </w:p>
        </w:tc>
      </w:tr>
      <w:tr w14:paraId="09798FB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28" w:hRule="atLeast"/>
          <w:jc w:val="center"/>
        </w:trPr>
        <w:tc>
          <w:tcPr>
            <w:tcW w:w="2324" w:type="dxa"/>
            <w:tcBorders>
              <w:top w:val="single" w:color="auto" w:sz="6" w:space="0"/>
              <w:left w:val="double" w:color="auto" w:sz="4" w:space="0"/>
              <w:bottom w:val="single" w:color="auto" w:sz="6" w:space="0"/>
              <w:right w:val="single" w:color="auto" w:sz="6" w:space="0"/>
            </w:tcBorders>
            <w:vAlign w:val="center"/>
          </w:tcPr>
          <w:p w14:paraId="496C3442">
            <w:pPr>
              <w:pStyle w:val="80"/>
              <w:adjustRightInd w:val="0"/>
              <w:snapToGrid w:val="0"/>
              <w:spacing w:before="0" w:beforeAutospacing="0" w:after="0" w:afterAutospacing="0" w:line="360" w:lineRule="auto"/>
              <w:ind w:firstLine="480" w:firstLineChars="200"/>
              <w:textAlignment w:val="baseline"/>
              <w:rPr>
                <w:rFonts w:hint="eastAsia"/>
                <w:color w:val="000000" w:themeColor="text1"/>
                <w:kern w:val="2"/>
                <w:highlight w:val="none"/>
                <w14:textFill>
                  <w14:solidFill>
                    <w14:schemeClr w14:val="tx1"/>
                  </w14:solidFill>
                </w14:textFill>
              </w:rPr>
            </w:pPr>
            <w:r>
              <w:rPr>
                <w:rFonts w:hint="eastAsia"/>
                <w:color w:val="000000" w:themeColor="text1"/>
                <w:kern w:val="2"/>
                <w:highlight w:val="none"/>
                <w14:textFill>
                  <w14:solidFill>
                    <w14:schemeClr w14:val="tx1"/>
                  </w14:solidFill>
                </w14:textFill>
              </w:rPr>
              <w:t>项目负责人</w:t>
            </w:r>
          </w:p>
        </w:tc>
        <w:tc>
          <w:tcPr>
            <w:tcW w:w="6514" w:type="dxa"/>
            <w:gridSpan w:val="3"/>
            <w:tcBorders>
              <w:top w:val="single" w:color="auto" w:sz="6" w:space="0"/>
              <w:left w:val="single" w:color="auto" w:sz="6" w:space="0"/>
              <w:bottom w:val="single" w:color="auto" w:sz="6" w:space="0"/>
              <w:right w:val="double" w:color="auto" w:sz="4" w:space="0"/>
            </w:tcBorders>
            <w:vAlign w:val="center"/>
          </w:tcPr>
          <w:p w14:paraId="4D48790F">
            <w:pPr>
              <w:pStyle w:val="80"/>
              <w:adjustRightInd w:val="0"/>
              <w:snapToGrid w:val="0"/>
              <w:spacing w:before="0" w:beforeAutospacing="0" w:after="0" w:afterAutospacing="0" w:line="360" w:lineRule="auto"/>
              <w:ind w:firstLine="480" w:firstLineChars="200"/>
              <w:textAlignment w:val="baseline"/>
              <w:rPr>
                <w:rFonts w:hint="eastAsia"/>
                <w:color w:val="000000" w:themeColor="text1"/>
                <w:kern w:val="2"/>
                <w:highlight w:val="none"/>
                <w14:textFill>
                  <w14:solidFill>
                    <w14:schemeClr w14:val="tx1"/>
                  </w14:solidFill>
                </w14:textFill>
              </w:rPr>
            </w:pPr>
          </w:p>
        </w:tc>
      </w:tr>
      <w:tr w14:paraId="4D2450F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320" w:hRule="atLeast"/>
          <w:jc w:val="center"/>
        </w:trPr>
        <w:tc>
          <w:tcPr>
            <w:tcW w:w="2324" w:type="dxa"/>
            <w:tcBorders>
              <w:top w:val="single" w:color="auto" w:sz="6" w:space="0"/>
              <w:left w:val="double" w:color="auto" w:sz="4" w:space="0"/>
              <w:bottom w:val="single" w:color="auto" w:sz="6" w:space="0"/>
              <w:right w:val="single" w:color="auto" w:sz="6" w:space="0"/>
            </w:tcBorders>
            <w:vAlign w:val="center"/>
          </w:tcPr>
          <w:p w14:paraId="37AF366B">
            <w:pPr>
              <w:pStyle w:val="80"/>
              <w:adjustRightInd w:val="0"/>
              <w:snapToGrid w:val="0"/>
              <w:spacing w:before="0" w:beforeAutospacing="0" w:after="0" w:afterAutospacing="0" w:line="360" w:lineRule="auto"/>
              <w:ind w:firstLine="480" w:firstLineChars="200"/>
              <w:textAlignment w:val="baseline"/>
              <w:rPr>
                <w:rFonts w:hint="eastAsia"/>
                <w:color w:val="000000" w:themeColor="text1"/>
                <w:kern w:val="2"/>
                <w:highlight w:val="none"/>
                <w14:textFill>
                  <w14:solidFill>
                    <w14:schemeClr w14:val="tx1"/>
                  </w14:solidFill>
                </w14:textFill>
              </w:rPr>
            </w:pPr>
            <w:r>
              <w:rPr>
                <w:rFonts w:hint="eastAsia"/>
                <w:color w:val="000000" w:themeColor="text1"/>
                <w:kern w:val="2"/>
                <w:highlight w:val="none"/>
                <w14:textFill>
                  <w14:solidFill>
                    <w14:schemeClr w14:val="tx1"/>
                  </w14:solidFill>
                </w14:textFill>
              </w:rPr>
              <w:t>服务期限</w:t>
            </w:r>
          </w:p>
        </w:tc>
        <w:tc>
          <w:tcPr>
            <w:tcW w:w="6514" w:type="dxa"/>
            <w:gridSpan w:val="3"/>
            <w:tcBorders>
              <w:top w:val="single" w:color="auto" w:sz="6" w:space="0"/>
              <w:left w:val="single" w:color="auto" w:sz="6" w:space="0"/>
              <w:bottom w:val="single" w:color="auto" w:sz="6" w:space="0"/>
              <w:right w:val="double" w:color="auto" w:sz="4" w:space="0"/>
            </w:tcBorders>
            <w:vAlign w:val="center"/>
          </w:tcPr>
          <w:p w14:paraId="56BDC036">
            <w:pPr>
              <w:autoSpaceDE w:val="0"/>
              <w:spacing w:line="400" w:lineRule="exact"/>
              <w:rPr>
                <w:rFonts w:hint="eastAsia" w:ascii="宋体" w:hAnsi="宋体" w:cs="宋体"/>
                <w:color w:val="000000" w:themeColor="text1"/>
                <w:sz w:val="24"/>
                <w:highlight w:val="none"/>
                <w14:textFill>
                  <w14:solidFill>
                    <w14:schemeClr w14:val="tx1"/>
                  </w14:solidFill>
                </w14:textFill>
              </w:rPr>
            </w:pPr>
          </w:p>
        </w:tc>
      </w:tr>
      <w:tr w14:paraId="293B572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526" w:hRule="atLeast"/>
          <w:jc w:val="center"/>
        </w:trPr>
        <w:tc>
          <w:tcPr>
            <w:tcW w:w="2324" w:type="dxa"/>
            <w:tcBorders>
              <w:top w:val="single" w:color="auto" w:sz="6" w:space="0"/>
              <w:left w:val="double" w:color="auto" w:sz="4" w:space="0"/>
              <w:bottom w:val="single" w:color="auto" w:sz="6" w:space="0"/>
              <w:right w:val="single" w:color="auto" w:sz="6" w:space="0"/>
            </w:tcBorders>
            <w:vAlign w:val="center"/>
          </w:tcPr>
          <w:p w14:paraId="50917898">
            <w:pPr>
              <w:pStyle w:val="80"/>
              <w:adjustRightInd w:val="0"/>
              <w:snapToGrid w:val="0"/>
              <w:spacing w:before="0" w:beforeAutospacing="0" w:after="0" w:afterAutospacing="0" w:line="360" w:lineRule="auto"/>
              <w:textAlignment w:val="baseline"/>
              <w:rPr>
                <w:rFonts w:hint="eastAsia"/>
                <w:color w:val="000000" w:themeColor="text1"/>
                <w:kern w:val="2"/>
                <w:highlight w:val="none"/>
                <w14:textFill>
                  <w14:solidFill>
                    <w14:schemeClr w14:val="tx1"/>
                  </w14:solidFill>
                </w14:textFill>
              </w:rPr>
            </w:pPr>
            <w:r>
              <w:rPr>
                <w:rFonts w:hint="eastAsia"/>
                <w:color w:val="000000" w:themeColor="text1"/>
                <w:kern w:val="2"/>
                <w:highlight w:val="none"/>
                <w14:textFill>
                  <w14:solidFill>
                    <w14:schemeClr w14:val="tx1"/>
                  </w14:solidFill>
                </w14:textFill>
              </w:rPr>
              <w:t>质量要求或服务标准</w:t>
            </w:r>
          </w:p>
        </w:tc>
        <w:tc>
          <w:tcPr>
            <w:tcW w:w="6514" w:type="dxa"/>
            <w:gridSpan w:val="3"/>
            <w:tcBorders>
              <w:top w:val="single" w:color="auto" w:sz="6" w:space="0"/>
              <w:left w:val="single" w:color="auto" w:sz="6" w:space="0"/>
              <w:bottom w:val="single" w:color="auto" w:sz="6" w:space="0"/>
              <w:right w:val="double" w:color="auto" w:sz="4" w:space="0"/>
            </w:tcBorders>
            <w:vAlign w:val="center"/>
          </w:tcPr>
          <w:p w14:paraId="49331F12">
            <w:pPr>
              <w:autoSpaceDE w:val="0"/>
              <w:spacing w:line="400" w:lineRule="exact"/>
              <w:rPr>
                <w:rFonts w:hint="eastAsia" w:ascii="宋体" w:hAnsi="宋体" w:cs="宋体"/>
                <w:color w:val="000000" w:themeColor="text1"/>
                <w:sz w:val="24"/>
                <w:highlight w:val="none"/>
                <w14:textFill>
                  <w14:solidFill>
                    <w14:schemeClr w14:val="tx1"/>
                  </w14:solidFill>
                </w14:textFill>
              </w:rPr>
            </w:pPr>
          </w:p>
        </w:tc>
      </w:tr>
      <w:tr w14:paraId="5748955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830" w:hRule="atLeast"/>
          <w:jc w:val="center"/>
        </w:trPr>
        <w:tc>
          <w:tcPr>
            <w:tcW w:w="2324" w:type="dxa"/>
            <w:tcBorders>
              <w:top w:val="single" w:color="auto" w:sz="6" w:space="0"/>
              <w:left w:val="double" w:color="auto" w:sz="4" w:space="0"/>
              <w:bottom w:val="double" w:color="auto" w:sz="4" w:space="0"/>
              <w:right w:val="single" w:color="auto" w:sz="6" w:space="0"/>
            </w:tcBorders>
            <w:vAlign w:val="center"/>
          </w:tcPr>
          <w:p w14:paraId="3B748ECD">
            <w:pPr>
              <w:pStyle w:val="80"/>
              <w:adjustRightInd w:val="0"/>
              <w:snapToGrid w:val="0"/>
              <w:spacing w:before="0" w:beforeAutospacing="0" w:after="0" w:afterAutospacing="0" w:line="360" w:lineRule="auto"/>
              <w:ind w:firstLine="480" w:firstLineChars="200"/>
              <w:textAlignment w:val="baseline"/>
              <w:rPr>
                <w:rFonts w:hint="eastAsia"/>
                <w:color w:val="000000" w:themeColor="text1"/>
                <w:kern w:val="2"/>
                <w:highlight w:val="none"/>
                <w14:textFill>
                  <w14:solidFill>
                    <w14:schemeClr w14:val="tx1"/>
                  </w14:solidFill>
                </w14:textFill>
              </w:rPr>
            </w:pPr>
            <w:r>
              <w:rPr>
                <w:rFonts w:hint="eastAsia"/>
                <w:color w:val="000000" w:themeColor="text1"/>
                <w:kern w:val="2"/>
                <w:highlight w:val="none"/>
                <w14:textFill>
                  <w14:solidFill>
                    <w14:schemeClr w14:val="tx1"/>
                  </w14:solidFill>
                </w14:textFill>
              </w:rPr>
              <w:t>备  注</w:t>
            </w:r>
          </w:p>
        </w:tc>
        <w:tc>
          <w:tcPr>
            <w:tcW w:w="6514" w:type="dxa"/>
            <w:gridSpan w:val="3"/>
            <w:tcBorders>
              <w:top w:val="single" w:color="auto" w:sz="6" w:space="0"/>
              <w:left w:val="single" w:color="auto" w:sz="6" w:space="0"/>
              <w:bottom w:val="double" w:color="auto" w:sz="4" w:space="0"/>
              <w:right w:val="double" w:color="auto" w:sz="4" w:space="0"/>
            </w:tcBorders>
            <w:vAlign w:val="center"/>
          </w:tcPr>
          <w:p w14:paraId="40C2223F">
            <w:pPr>
              <w:jc w:val="center"/>
              <w:rPr>
                <w:rFonts w:hint="eastAsia" w:ascii="宋体" w:hAnsi="宋体" w:cs="宋体"/>
                <w:color w:val="000000" w:themeColor="text1"/>
                <w:sz w:val="28"/>
                <w:szCs w:val="28"/>
                <w:highlight w:val="none"/>
                <w14:textFill>
                  <w14:solidFill>
                    <w14:schemeClr w14:val="tx1"/>
                  </w14:solidFill>
                </w14:textFill>
              </w:rPr>
            </w:pPr>
          </w:p>
        </w:tc>
      </w:tr>
    </w:tbl>
    <w:p w14:paraId="484BDBA5">
      <w:pPr>
        <w:spacing w:line="600" w:lineRule="exact"/>
        <w:ind w:left="420" w:leftChars="200"/>
        <w:rPr>
          <w:rFonts w:hint="eastAsia" w:ascii="宋体" w:hAnsi="宋体" w:cs="宋体"/>
          <w:color w:val="000000" w:themeColor="text1"/>
          <w:sz w:val="24"/>
          <w:highlight w:val="none"/>
          <w14:textFill>
            <w14:solidFill>
              <w14:schemeClr w14:val="tx1"/>
            </w14:solidFill>
          </w14:textFill>
        </w:rPr>
      </w:pPr>
    </w:p>
    <w:p w14:paraId="29C3632F">
      <w:pPr>
        <w:spacing w:line="600" w:lineRule="exact"/>
        <w:ind w:left="420" w:left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注：1、若分项费用的计算依据、过程和公式不便在表中表述，可单独另附表格或描述进行说明。</w:t>
      </w:r>
    </w:p>
    <w:p w14:paraId="186F9BE7">
      <w:pPr>
        <w:rPr>
          <w:rFonts w:hint="eastAsia" w:ascii="宋体" w:hAnsi="宋体" w:cs="宋体"/>
          <w:color w:val="000000" w:themeColor="text1"/>
          <w:sz w:val="30"/>
          <w:szCs w:val="30"/>
          <w:highlight w:val="none"/>
          <w14:textFill>
            <w14:solidFill>
              <w14:schemeClr w14:val="tx1"/>
            </w14:solidFill>
          </w14:textFill>
        </w:rPr>
      </w:pPr>
      <w:r>
        <w:rPr>
          <w:rFonts w:hint="eastAsia" w:ascii="宋体" w:hAnsi="宋体" w:cs="宋体"/>
          <w:color w:val="000000" w:themeColor="text1"/>
          <w:sz w:val="30"/>
          <w:szCs w:val="30"/>
          <w:highlight w:val="none"/>
          <w14:textFill>
            <w14:solidFill>
              <w14:schemeClr w14:val="tx1"/>
            </w14:solidFill>
          </w14:textFill>
        </w:rPr>
        <w:br w:type="page"/>
      </w:r>
    </w:p>
    <w:p w14:paraId="6A63B37A">
      <w:pPr>
        <w:rPr>
          <w:rFonts w:ascii="Arial" w:hAnsi="Arial" w:eastAsia="Arial" w:cs="Arial"/>
          <w:color w:val="000000" w:themeColor="text1"/>
          <w:sz w:val="21"/>
          <w:szCs w:val="21"/>
          <w:highlight w:val="none"/>
          <w14:textFill>
            <w14:solidFill>
              <w14:schemeClr w14:val="tx1"/>
            </w14:solidFill>
          </w14:textFill>
        </w:rPr>
        <w:sectPr>
          <w:pgSz w:w="11905" w:h="16837"/>
          <w:pgMar w:top="1431" w:right="1227" w:bottom="0" w:left="1070" w:header="0" w:footer="0" w:gutter="0"/>
          <w:cols w:space="720" w:num="1"/>
        </w:sectPr>
      </w:pPr>
    </w:p>
    <w:p w14:paraId="74D0F899">
      <w:pPr>
        <w:spacing w:line="600" w:lineRule="exact"/>
        <w:jc w:val="center"/>
        <w:rPr>
          <w:rFonts w:hint="eastAsia" w:ascii="宋体" w:hAnsi="宋体" w:cs="宋体"/>
          <w:color w:val="000000" w:themeColor="text1"/>
          <w:sz w:val="30"/>
          <w:szCs w:val="30"/>
          <w:highlight w:val="none"/>
          <w14:textFill>
            <w14:solidFill>
              <w14:schemeClr w14:val="tx1"/>
            </w14:solidFill>
          </w14:textFill>
        </w:rPr>
      </w:pPr>
      <w:r>
        <w:rPr>
          <w:rFonts w:hint="eastAsia" w:ascii="宋体" w:hAnsi="宋体" w:cs="宋体"/>
          <w:color w:val="000000" w:themeColor="text1"/>
          <w:sz w:val="30"/>
          <w:szCs w:val="30"/>
          <w:highlight w:val="none"/>
          <w14:textFill>
            <w14:solidFill>
              <w14:schemeClr w14:val="tx1"/>
            </w14:solidFill>
          </w14:textFill>
        </w:rPr>
        <w:t>七、资格审查资料</w:t>
      </w:r>
    </w:p>
    <w:p w14:paraId="4B67460F">
      <w:pPr>
        <w:spacing w:line="600" w:lineRule="exact"/>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（一）基本情况</w:t>
      </w:r>
    </w:p>
    <w:p w14:paraId="6AFAE38B">
      <w:pPr>
        <w:spacing w:line="600" w:lineRule="exac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供应商应根据供应商须知前附表第3.5（1）项和第3.5（2）项的要求提供主体资格证明及相关资质证明资料。</w:t>
      </w:r>
    </w:p>
    <w:p w14:paraId="6A32E69D">
      <w:pPr>
        <w:spacing w:line="600" w:lineRule="exac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供应商还应根据供应商须知前</w:t>
      </w:r>
      <w:r>
        <w:rPr>
          <w:rFonts w:hint="eastAsia" w:ascii="宋体" w:hAnsi="宋体" w:cs="宋体"/>
          <w:color w:val="000000" w:themeColor="text1"/>
          <w:sz w:val="24"/>
          <w:highlight w:val="none"/>
          <w:lang w:val="en-US" w:eastAsia="zh-CN"/>
          <w14:textFill>
            <w14:solidFill>
              <w14:schemeClr w14:val="tx1"/>
            </w14:solidFill>
          </w14:textFill>
        </w:rPr>
        <w:t>附</w:t>
      </w:r>
      <w:r>
        <w:rPr>
          <w:rFonts w:hint="eastAsia" w:ascii="宋体" w:hAnsi="宋体" w:cs="宋体"/>
          <w:color w:val="000000" w:themeColor="text1"/>
          <w:sz w:val="24"/>
          <w:highlight w:val="none"/>
          <w14:textFill>
            <w14:solidFill>
              <w14:schemeClr w14:val="tx1"/>
            </w14:solidFill>
          </w14:textFill>
        </w:rPr>
        <w:t>表第3.5（5）项、第3.5（7）项和第3.5（8）项的要求提供其他相关证明材料。</w:t>
      </w:r>
    </w:p>
    <w:p w14:paraId="5801D381">
      <w:pPr>
        <w:spacing w:line="600" w:lineRule="exact"/>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（二）近年财务状况</w:t>
      </w:r>
    </w:p>
    <w:p w14:paraId="73F89EA2">
      <w:pPr>
        <w:spacing w:line="600" w:lineRule="exac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供应商应根据供应商须知前附表第3.5（3）项的要求提供近年财务会计报表复印件。</w:t>
      </w:r>
    </w:p>
    <w:p w14:paraId="35585FFA">
      <w:pPr>
        <w:spacing w:line="600" w:lineRule="exact"/>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（三）近年的类似项目情况表</w:t>
      </w:r>
    </w:p>
    <w:tbl>
      <w:tblPr>
        <w:tblStyle w:val="87"/>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3"/>
        <w:gridCol w:w="1098"/>
        <w:gridCol w:w="1971"/>
        <w:gridCol w:w="1971"/>
        <w:gridCol w:w="1971"/>
      </w:tblGrid>
      <w:tr w14:paraId="7A89A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3" w:type="dxa"/>
          </w:tcPr>
          <w:p w14:paraId="01714E71">
            <w:pPr>
              <w:widowControl/>
              <w:spacing w:line="600" w:lineRule="exact"/>
              <w:jc w:val="both"/>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项目名称</w:t>
            </w:r>
          </w:p>
        </w:tc>
        <w:tc>
          <w:tcPr>
            <w:tcW w:w="1098" w:type="dxa"/>
          </w:tcPr>
          <w:p w14:paraId="5B3CD054">
            <w:pPr>
              <w:widowControl/>
              <w:spacing w:line="600" w:lineRule="exact"/>
              <w:jc w:val="both"/>
              <w:rPr>
                <w:rFonts w:hint="eastAsia" w:ascii="宋体" w:hAnsi="宋体" w:cs="宋体"/>
                <w:color w:val="000000" w:themeColor="text1"/>
                <w:sz w:val="24"/>
                <w:highlight w:val="none"/>
                <w14:textFill>
                  <w14:solidFill>
                    <w14:schemeClr w14:val="tx1"/>
                  </w14:solidFill>
                </w14:textFill>
              </w:rPr>
            </w:pPr>
          </w:p>
        </w:tc>
        <w:tc>
          <w:tcPr>
            <w:tcW w:w="1971" w:type="dxa"/>
          </w:tcPr>
          <w:p w14:paraId="0D5E6A3A">
            <w:pPr>
              <w:widowControl/>
              <w:spacing w:line="600" w:lineRule="exact"/>
              <w:jc w:val="both"/>
              <w:rPr>
                <w:rFonts w:hint="eastAsia" w:ascii="宋体" w:hAnsi="宋体" w:cs="宋体"/>
                <w:color w:val="000000" w:themeColor="text1"/>
                <w:sz w:val="24"/>
                <w:highlight w:val="none"/>
                <w14:textFill>
                  <w14:solidFill>
                    <w14:schemeClr w14:val="tx1"/>
                  </w14:solidFill>
                </w14:textFill>
              </w:rPr>
            </w:pPr>
          </w:p>
        </w:tc>
        <w:tc>
          <w:tcPr>
            <w:tcW w:w="1971" w:type="dxa"/>
          </w:tcPr>
          <w:p w14:paraId="03557488">
            <w:pPr>
              <w:widowControl/>
              <w:spacing w:line="600" w:lineRule="exact"/>
              <w:jc w:val="both"/>
              <w:rPr>
                <w:rFonts w:hint="eastAsia" w:ascii="宋体" w:hAnsi="宋体" w:cs="宋体"/>
                <w:color w:val="000000" w:themeColor="text1"/>
                <w:sz w:val="24"/>
                <w:highlight w:val="none"/>
                <w14:textFill>
                  <w14:solidFill>
                    <w14:schemeClr w14:val="tx1"/>
                  </w14:solidFill>
                </w14:textFill>
              </w:rPr>
            </w:pPr>
          </w:p>
        </w:tc>
        <w:tc>
          <w:tcPr>
            <w:tcW w:w="1971" w:type="dxa"/>
          </w:tcPr>
          <w:p w14:paraId="09529670">
            <w:pPr>
              <w:widowControl/>
              <w:spacing w:line="600" w:lineRule="exact"/>
              <w:jc w:val="both"/>
              <w:rPr>
                <w:rFonts w:hint="eastAsia" w:ascii="宋体" w:hAnsi="宋体" w:cs="宋体"/>
                <w:color w:val="000000" w:themeColor="text1"/>
                <w:sz w:val="24"/>
                <w:highlight w:val="none"/>
                <w14:textFill>
                  <w14:solidFill>
                    <w14:schemeClr w14:val="tx1"/>
                  </w14:solidFill>
                </w14:textFill>
              </w:rPr>
            </w:pPr>
          </w:p>
        </w:tc>
      </w:tr>
      <w:tr w14:paraId="5E9C6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3" w:type="dxa"/>
          </w:tcPr>
          <w:p w14:paraId="2E597868">
            <w:pPr>
              <w:widowControl/>
              <w:spacing w:line="600" w:lineRule="exact"/>
              <w:jc w:val="both"/>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服务内容</w:t>
            </w:r>
          </w:p>
        </w:tc>
        <w:tc>
          <w:tcPr>
            <w:tcW w:w="1098" w:type="dxa"/>
          </w:tcPr>
          <w:p w14:paraId="2CDE60E1">
            <w:pPr>
              <w:widowControl/>
              <w:spacing w:line="600" w:lineRule="exact"/>
              <w:jc w:val="both"/>
              <w:rPr>
                <w:rFonts w:hint="eastAsia" w:ascii="宋体" w:hAnsi="宋体" w:cs="宋体"/>
                <w:color w:val="000000" w:themeColor="text1"/>
                <w:sz w:val="24"/>
                <w:highlight w:val="none"/>
                <w14:textFill>
                  <w14:solidFill>
                    <w14:schemeClr w14:val="tx1"/>
                  </w14:solidFill>
                </w14:textFill>
              </w:rPr>
            </w:pPr>
          </w:p>
        </w:tc>
        <w:tc>
          <w:tcPr>
            <w:tcW w:w="1971" w:type="dxa"/>
          </w:tcPr>
          <w:p w14:paraId="18DD5AAB">
            <w:pPr>
              <w:widowControl/>
              <w:spacing w:line="600" w:lineRule="exact"/>
              <w:jc w:val="both"/>
              <w:rPr>
                <w:rFonts w:hint="eastAsia" w:ascii="宋体" w:hAnsi="宋体" w:cs="宋体"/>
                <w:color w:val="000000" w:themeColor="text1"/>
                <w:sz w:val="24"/>
                <w:highlight w:val="none"/>
                <w14:textFill>
                  <w14:solidFill>
                    <w14:schemeClr w14:val="tx1"/>
                  </w14:solidFill>
                </w14:textFill>
              </w:rPr>
            </w:pPr>
          </w:p>
        </w:tc>
        <w:tc>
          <w:tcPr>
            <w:tcW w:w="1971" w:type="dxa"/>
          </w:tcPr>
          <w:p w14:paraId="49513F0E">
            <w:pPr>
              <w:widowControl/>
              <w:spacing w:line="600" w:lineRule="exact"/>
              <w:jc w:val="both"/>
              <w:rPr>
                <w:rFonts w:hint="eastAsia" w:ascii="宋体" w:hAnsi="宋体" w:cs="宋体"/>
                <w:color w:val="000000" w:themeColor="text1"/>
                <w:sz w:val="24"/>
                <w:highlight w:val="none"/>
                <w14:textFill>
                  <w14:solidFill>
                    <w14:schemeClr w14:val="tx1"/>
                  </w14:solidFill>
                </w14:textFill>
              </w:rPr>
            </w:pPr>
          </w:p>
        </w:tc>
        <w:tc>
          <w:tcPr>
            <w:tcW w:w="1971" w:type="dxa"/>
          </w:tcPr>
          <w:p w14:paraId="3D03E0B9">
            <w:pPr>
              <w:widowControl/>
              <w:spacing w:line="600" w:lineRule="exact"/>
              <w:jc w:val="both"/>
              <w:rPr>
                <w:rFonts w:hint="eastAsia" w:ascii="宋体" w:hAnsi="宋体" w:cs="宋体"/>
                <w:color w:val="000000" w:themeColor="text1"/>
                <w:sz w:val="24"/>
                <w:highlight w:val="none"/>
                <w14:textFill>
                  <w14:solidFill>
                    <w14:schemeClr w14:val="tx1"/>
                  </w14:solidFill>
                </w14:textFill>
              </w:rPr>
            </w:pPr>
          </w:p>
        </w:tc>
      </w:tr>
      <w:tr w14:paraId="217BD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3" w:type="dxa"/>
          </w:tcPr>
          <w:p w14:paraId="4D52FB7E">
            <w:pPr>
              <w:widowControl/>
              <w:spacing w:line="600" w:lineRule="exact"/>
              <w:jc w:val="both"/>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委托人/发包人名称</w:t>
            </w:r>
          </w:p>
        </w:tc>
        <w:tc>
          <w:tcPr>
            <w:tcW w:w="1098" w:type="dxa"/>
          </w:tcPr>
          <w:p w14:paraId="5F42BA5F">
            <w:pPr>
              <w:widowControl/>
              <w:spacing w:line="600" w:lineRule="exact"/>
              <w:jc w:val="both"/>
              <w:rPr>
                <w:rFonts w:hint="eastAsia" w:ascii="宋体" w:hAnsi="宋体" w:cs="宋体"/>
                <w:color w:val="000000" w:themeColor="text1"/>
                <w:sz w:val="24"/>
                <w:highlight w:val="none"/>
                <w14:textFill>
                  <w14:solidFill>
                    <w14:schemeClr w14:val="tx1"/>
                  </w14:solidFill>
                </w14:textFill>
              </w:rPr>
            </w:pPr>
          </w:p>
        </w:tc>
        <w:tc>
          <w:tcPr>
            <w:tcW w:w="1971" w:type="dxa"/>
          </w:tcPr>
          <w:p w14:paraId="678A79DF">
            <w:pPr>
              <w:widowControl/>
              <w:spacing w:line="600" w:lineRule="exact"/>
              <w:jc w:val="both"/>
              <w:rPr>
                <w:rFonts w:hint="eastAsia" w:ascii="宋体" w:hAnsi="宋体" w:cs="宋体"/>
                <w:color w:val="000000" w:themeColor="text1"/>
                <w:sz w:val="24"/>
                <w:highlight w:val="none"/>
                <w14:textFill>
                  <w14:solidFill>
                    <w14:schemeClr w14:val="tx1"/>
                  </w14:solidFill>
                </w14:textFill>
              </w:rPr>
            </w:pPr>
          </w:p>
        </w:tc>
        <w:tc>
          <w:tcPr>
            <w:tcW w:w="1971" w:type="dxa"/>
          </w:tcPr>
          <w:p w14:paraId="167B254E">
            <w:pPr>
              <w:widowControl/>
              <w:spacing w:line="600" w:lineRule="exact"/>
              <w:jc w:val="both"/>
              <w:rPr>
                <w:rFonts w:hint="eastAsia" w:ascii="宋体" w:hAnsi="宋体" w:cs="宋体"/>
                <w:color w:val="000000" w:themeColor="text1"/>
                <w:sz w:val="24"/>
                <w:highlight w:val="none"/>
                <w14:textFill>
                  <w14:solidFill>
                    <w14:schemeClr w14:val="tx1"/>
                  </w14:solidFill>
                </w14:textFill>
              </w:rPr>
            </w:pPr>
          </w:p>
        </w:tc>
        <w:tc>
          <w:tcPr>
            <w:tcW w:w="1971" w:type="dxa"/>
          </w:tcPr>
          <w:p w14:paraId="59D92B90">
            <w:pPr>
              <w:widowControl/>
              <w:spacing w:line="600" w:lineRule="exact"/>
              <w:jc w:val="both"/>
              <w:rPr>
                <w:rFonts w:hint="eastAsia" w:ascii="宋体" w:hAnsi="宋体" w:cs="宋体"/>
                <w:color w:val="000000" w:themeColor="text1"/>
                <w:sz w:val="24"/>
                <w:highlight w:val="none"/>
                <w14:textFill>
                  <w14:solidFill>
                    <w14:schemeClr w14:val="tx1"/>
                  </w14:solidFill>
                </w14:textFill>
              </w:rPr>
            </w:pPr>
          </w:p>
        </w:tc>
      </w:tr>
      <w:tr w14:paraId="6C945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3" w:type="dxa"/>
          </w:tcPr>
          <w:p w14:paraId="37485CE5">
            <w:pPr>
              <w:widowControl/>
              <w:spacing w:line="600" w:lineRule="exact"/>
              <w:jc w:val="both"/>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委托人/发包人联系人及电话</w:t>
            </w:r>
          </w:p>
        </w:tc>
        <w:tc>
          <w:tcPr>
            <w:tcW w:w="1098" w:type="dxa"/>
          </w:tcPr>
          <w:p w14:paraId="5FE2CD9B">
            <w:pPr>
              <w:widowControl/>
              <w:spacing w:line="600" w:lineRule="exact"/>
              <w:jc w:val="both"/>
              <w:rPr>
                <w:rFonts w:hint="eastAsia" w:ascii="宋体" w:hAnsi="宋体" w:cs="宋体"/>
                <w:color w:val="000000" w:themeColor="text1"/>
                <w:sz w:val="24"/>
                <w:highlight w:val="none"/>
                <w14:textFill>
                  <w14:solidFill>
                    <w14:schemeClr w14:val="tx1"/>
                  </w14:solidFill>
                </w14:textFill>
              </w:rPr>
            </w:pPr>
          </w:p>
        </w:tc>
        <w:tc>
          <w:tcPr>
            <w:tcW w:w="1971" w:type="dxa"/>
          </w:tcPr>
          <w:p w14:paraId="02FC3E0F">
            <w:pPr>
              <w:widowControl/>
              <w:spacing w:line="600" w:lineRule="exact"/>
              <w:jc w:val="both"/>
              <w:rPr>
                <w:rFonts w:hint="eastAsia" w:ascii="宋体" w:hAnsi="宋体" w:cs="宋体"/>
                <w:color w:val="000000" w:themeColor="text1"/>
                <w:sz w:val="24"/>
                <w:highlight w:val="none"/>
                <w14:textFill>
                  <w14:solidFill>
                    <w14:schemeClr w14:val="tx1"/>
                  </w14:solidFill>
                </w14:textFill>
              </w:rPr>
            </w:pPr>
          </w:p>
        </w:tc>
        <w:tc>
          <w:tcPr>
            <w:tcW w:w="1971" w:type="dxa"/>
          </w:tcPr>
          <w:p w14:paraId="0D66CE3A">
            <w:pPr>
              <w:widowControl/>
              <w:spacing w:line="600" w:lineRule="exact"/>
              <w:jc w:val="both"/>
              <w:rPr>
                <w:rFonts w:hint="eastAsia" w:ascii="宋体" w:hAnsi="宋体" w:cs="宋体"/>
                <w:color w:val="000000" w:themeColor="text1"/>
                <w:sz w:val="24"/>
                <w:highlight w:val="none"/>
                <w14:textFill>
                  <w14:solidFill>
                    <w14:schemeClr w14:val="tx1"/>
                  </w14:solidFill>
                </w14:textFill>
              </w:rPr>
            </w:pPr>
          </w:p>
        </w:tc>
        <w:tc>
          <w:tcPr>
            <w:tcW w:w="1971" w:type="dxa"/>
          </w:tcPr>
          <w:p w14:paraId="0BEDC105">
            <w:pPr>
              <w:widowControl/>
              <w:spacing w:line="600" w:lineRule="exact"/>
              <w:jc w:val="both"/>
              <w:rPr>
                <w:rFonts w:hint="eastAsia" w:ascii="宋体" w:hAnsi="宋体" w:cs="宋体"/>
                <w:color w:val="000000" w:themeColor="text1"/>
                <w:sz w:val="24"/>
                <w:highlight w:val="none"/>
                <w14:textFill>
                  <w14:solidFill>
                    <w14:schemeClr w14:val="tx1"/>
                  </w14:solidFill>
                </w14:textFill>
              </w:rPr>
            </w:pPr>
          </w:p>
        </w:tc>
      </w:tr>
      <w:tr w14:paraId="66672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3" w:type="dxa"/>
          </w:tcPr>
          <w:p w14:paraId="1A7D0FD0">
            <w:pPr>
              <w:widowControl/>
              <w:spacing w:line="600" w:lineRule="exact"/>
              <w:jc w:val="both"/>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合同价格</w:t>
            </w:r>
          </w:p>
        </w:tc>
        <w:tc>
          <w:tcPr>
            <w:tcW w:w="1098" w:type="dxa"/>
          </w:tcPr>
          <w:p w14:paraId="15A0A05C">
            <w:pPr>
              <w:widowControl/>
              <w:spacing w:line="600" w:lineRule="exact"/>
              <w:jc w:val="both"/>
              <w:rPr>
                <w:rFonts w:hint="eastAsia" w:ascii="宋体" w:hAnsi="宋体" w:cs="宋体"/>
                <w:color w:val="000000" w:themeColor="text1"/>
                <w:sz w:val="24"/>
                <w:highlight w:val="none"/>
                <w14:textFill>
                  <w14:solidFill>
                    <w14:schemeClr w14:val="tx1"/>
                  </w14:solidFill>
                </w14:textFill>
              </w:rPr>
            </w:pPr>
          </w:p>
        </w:tc>
        <w:tc>
          <w:tcPr>
            <w:tcW w:w="1971" w:type="dxa"/>
          </w:tcPr>
          <w:p w14:paraId="2B798661">
            <w:pPr>
              <w:widowControl/>
              <w:spacing w:line="600" w:lineRule="exact"/>
              <w:jc w:val="both"/>
              <w:rPr>
                <w:rFonts w:hint="eastAsia" w:ascii="宋体" w:hAnsi="宋体" w:cs="宋体"/>
                <w:color w:val="000000" w:themeColor="text1"/>
                <w:sz w:val="24"/>
                <w:highlight w:val="none"/>
                <w14:textFill>
                  <w14:solidFill>
                    <w14:schemeClr w14:val="tx1"/>
                  </w14:solidFill>
                </w14:textFill>
              </w:rPr>
            </w:pPr>
          </w:p>
        </w:tc>
        <w:tc>
          <w:tcPr>
            <w:tcW w:w="1971" w:type="dxa"/>
          </w:tcPr>
          <w:p w14:paraId="75605A5B">
            <w:pPr>
              <w:widowControl/>
              <w:spacing w:line="600" w:lineRule="exact"/>
              <w:jc w:val="both"/>
              <w:rPr>
                <w:rFonts w:hint="eastAsia" w:ascii="宋体" w:hAnsi="宋体" w:cs="宋体"/>
                <w:color w:val="000000" w:themeColor="text1"/>
                <w:sz w:val="24"/>
                <w:highlight w:val="none"/>
                <w14:textFill>
                  <w14:solidFill>
                    <w14:schemeClr w14:val="tx1"/>
                  </w14:solidFill>
                </w14:textFill>
              </w:rPr>
            </w:pPr>
          </w:p>
        </w:tc>
        <w:tc>
          <w:tcPr>
            <w:tcW w:w="1971" w:type="dxa"/>
          </w:tcPr>
          <w:p w14:paraId="5B2C503A">
            <w:pPr>
              <w:widowControl/>
              <w:spacing w:line="600" w:lineRule="exact"/>
              <w:jc w:val="both"/>
              <w:rPr>
                <w:rFonts w:hint="eastAsia" w:ascii="宋体" w:hAnsi="宋体" w:cs="宋体"/>
                <w:color w:val="000000" w:themeColor="text1"/>
                <w:sz w:val="24"/>
                <w:highlight w:val="none"/>
                <w14:textFill>
                  <w14:solidFill>
                    <w14:schemeClr w14:val="tx1"/>
                  </w14:solidFill>
                </w14:textFill>
              </w:rPr>
            </w:pPr>
          </w:p>
        </w:tc>
      </w:tr>
      <w:tr w14:paraId="44D28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3" w:type="dxa"/>
          </w:tcPr>
          <w:p w14:paraId="5CEE3E49">
            <w:pPr>
              <w:widowControl/>
              <w:spacing w:line="600" w:lineRule="exact"/>
              <w:jc w:val="both"/>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服务是否完成</w:t>
            </w:r>
          </w:p>
        </w:tc>
        <w:tc>
          <w:tcPr>
            <w:tcW w:w="1098" w:type="dxa"/>
          </w:tcPr>
          <w:p w14:paraId="62C0C28C">
            <w:pPr>
              <w:widowControl/>
              <w:spacing w:line="600" w:lineRule="exact"/>
              <w:jc w:val="both"/>
              <w:rPr>
                <w:rFonts w:hint="eastAsia" w:ascii="宋体" w:hAnsi="宋体" w:cs="宋体"/>
                <w:color w:val="000000" w:themeColor="text1"/>
                <w:sz w:val="24"/>
                <w:highlight w:val="none"/>
                <w14:textFill>
                  <w14:solidFill>
                    <w14:schemeClr w14:val="tx1"/>
                  </w14:solidFill>
                </w14:textFill>
              </w:rPr>
            </w:pPr>
          </w:p>
        </w:tc>
        <w:tc>
          <w:tcPr>
            <w:tcW w:w="1971" w:type="dxa"/>
          </w:tcPr>
          <w:p w14:paraId="7933C64C">
            <w:pPr>
              <w:widowControl/>
              <w:spacing w:line="600" w:lineRule="exact"/>
              <w:jc w:val="both"/>
              <w:rPr>
                <w:rFonts w:hint="eastAsia" w:ascii="宋体" w:hAnsi="宋体" w:cs="宋体"/>
                <w:color w:val="000000" w:themeColor="text1"/>
                <w:sz w:val="24"/>
                <w:highlight w:val="none"/>
                <w14:textFill>
                  <w14:solidFill>
                    <w14:schemeClr w14:val="tx1"/>
                  </w14:solidFill>
                </w14:textFill>
              </w:rPr>
            </w:pPr>
          </w:p>
        </w:tc>
        <w:tc>
          <w:tcPr>
            <w:tcW w:w="1971" w:type="dxa"/>
          </w:tcPr>
          <w:p w14:paraId="44812E9A">
            <w:pPr>
              <w:widowControl/>
              <w:spacing w:line="600" w:lineRule="exact"/>
              <w:jc w:val="both"/>
              <w:rPr>
                <w:rFonts w:hint="eastAsia" w:ascii="宋体" w:hAnsi="宋体" w:cs="宋体"/>
                <w:color w:val="000000" w:themeColor="text1"/>
                <w:sz w:val="24"/>
                <w:highlight w:val="none"/>
                <w14:textFill>
                  <w14:solidFill>
                    <w14:schemeClr w14:val="tx1"/>
                  </w14:solidFill>
                </w14:textFill>
              </w:rPr>
            </w:pPr>
          </w:p>
        </w:tc>
        <w:tc>
          <w:tcPr>
            <w:tcW w:w="1971" w:type="dxa"/>
          </w:tcPr>
          <w:p w14:paraId="13AD3D0B">
            <w:pPr>
              <w:widowControl/>
              <w:spacing w:line="600" w:lineRule="exact"/>
              <w:jc w:val="both"/>
              <w:rPr>
                <w:rFonts w:hint="eastAsia" w:ascii="宋体" w:hAnsi="宋体" w:cs="宋体"/>
                <w:color w:val="000000" w:themeColor="text1"/>
                <w:sz w:val="24"/>
                <w:highlight w:val="none"/>
                <w14:textFill>
                  <w14:solidFill>
                    <w14:schemeClr w14:val="tx1"/>
                  </w14:solidFill>
                </w14:textFill>
              </w:rPr>
            </w:pPr>
          </w:p>
        </w:tc>
      </w:tr>
      <w:tr w14:paraId="0647F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3" w:type="dxa"/>
          </w:tcPr>
          <w:p w14:paraId="14850242">
            <w:pPr>
              <w:widowControl/>
              <w:spacing w:line="600" w:lineRule="exact"/>
              <w:jc w:val="both"/>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项目负责人（如有）</w:t>
            </w:r>
          </w:p>
        </w:tc>
        <w:tc>
          <w:tcPr>
            <w:tcW w:w="1098" w:type="dxa"/>
          </w:tcPr>
          <w:p w14:paraId="6F43202C">
            <w:pPr>
              <w:widowControl/>
              <w:spacing w:line="600" w:lineRule="exact"/>
              <w:jc w:val="both"/>
              <w:rPr>
                <w:rFonts w:hint="eastAsia" w:ascii="宋体" w:hAnsi="宋体" w:cs="宋体"/>
                <w:color w:val="000000" w:themeColor="text1"/>
                <w:sz w:val="24"/>
                <w:highlight w:val="none"/>
                <w14:textFill>
                  <w14:solidFill>
                    <w14:schemeClr w14:val="tx1"/>
                  </w14:solidFill>
                </w14:textFill>
              </w:rPr>
            </w:pPr>
          </w:p>
        </w:tc>
        <w:tc>
          <w:tcPr>
            <w:tcW w:w="1971" w:type="dxa"/>
          </w:tcPr>
          <w:p w14:paraId="18985903">
            <w:pPr>
              <w:widowControl/>
              <w:spacing w:line="600" w:lineRule="exact"/>
              <w:jc w:val="both"/>
              <w:rPr>
                <w:rFonts w:hint="eastAsia" w:ascii="宋体" w:hAnsi="宋体" w:cs="宋体"/>
                <w:color w:val="000000" w:themeColor="text1"/>
                <w:sz w:val="24"/>
                <w:highlight w:val="none"/>
                <w14:textFill>
                  <w14:solidFill>
                    <w14:schemeClr w14:val="tx1"/>
                  </w14:solidFill>
                </w14:textFill>
              </w:rPr>
            </w:pPr>
          </w:p>
        </w:tc>
        <w:tc>
          <w:tcPr>
            <w:tcW w:w="1971" w:type="dxa"/>
          </w:tcPr>
          <w:p w14:paraId="5914D17E">
            <w:pPr>
              <w:widowControl/>
              <w:spacing w:line="600" w:lineRule="exact"/>
              <w:jc w:val="both"/>
              <w:rPr>
                <w:rFonts w:hint="eastAsia" w:ascii="宋体" w:hAnsi="宋体" w:cs="宋体"/>
                <w:color w:val="000000" w:themeColor="text1"/>
                <w:sz w:val="24"/>
                <w:highlight w:val="none"/>
                <w14:textFill>
                  <w14:solidFill>
                    <w14:schemeClr w14:val="tx1"/>
                  </w14:solidFill>
                </w14:textFill>
              </w:rPr>
            </w:pPr>
          </w:p>
        </w:tc>
        <w:tc>
          <w:tcPr>
            <w:tcW w:w="1971" w:type="dxa"/>
          </w:tcPr>
          <w:p w14:paraId="5D1CEDA6">
            <w:pPr>
              <w:widowControl/>
              <w:spacing w:line="600" w:lineRule="exact"/>
              <w:jc w:val="both"/>
              <w:rPr>
                <w:rFonts w:hint="eastAsia" w:ascii="宋体" w:hAnsi="宋体" w:cs="宋体"/>
                <w:color w:val="000000" w:themeColor="text1"/>
                <w:sz w:val="24"/>
                <w:highlight w:val="none"/>
                <w14:textFill>
                  <w14:solidFill>
                    <w14:schemeClr w14:val="tx1"/>
                  </w14:solidFill>
                </w14:textFill>
              </w:rPr>
            </w:pPr>
          </w:p>
        </w:tc>
      </w:tr>
      <w:tr w14:paraId="09D50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3" w:type="dxa"/>
          </w:tcPr>
          <w:p w14:paraId="2EA108EF">
            <w:pPr>
              <w:widowControl/>
              <w:spacing w:line="600" w:lineRule="exact"/>
              <w:jc w:val="both"/>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项目概况及供应商履约情况</w:t>
            </w:r>
          </w:p>
        </w:tc>
        <w:tc>
          <w:tcPr>
            <w:tcW w:w="1098" w:type="dxa"/>
          </w:tcPr>
          <w:p w14:paraId="24F844FC">
            <w:pPr>
              <w:widowControl/>
              <w:spacing w:line="600" w:lineRule="exact"/>
              <w:jc w:val="both"/>
              <w:rPr>
                <w:rFonts w:hint="eastAsia" w:ascii="宋体" w:hAnsi="宋体" w:cs="宋体"/>
                <w:color w:val="000000" w:themeColor="text1"/>
                <w:sz w:val="24"/>
                <w:highlight w:val="none"/>
                <w14:textFill>
                  <w14:solidFill>
                    <w14:schemeClr w14:val="tx1"/>
                  </w14:solidFill>
                </w14:textFill>
              </w:rPr>
            </w:pPr>
          </w:p>
        </w:tc>
        <w:tc>
          <w:tcPr>
            <w:tcW w:w="1971" w:type="dxa"/>
          </w:tcPr>
          <w:p w14:paraId="42DAB0E3">
            <w:pPr>
              <w:widowControl/>
              <w:spacing w:line="600" w:lineRule="exact"/>
              <w:jc w:val="both"/>
              <w:rPr>
                <w:rFonts w:hint="eastAsia" w:ascii="宋体" w:hAnsi="宋体" w:cs="宋体"/>
                <w:color w:val="000000" w:themeColor="text1"/>
                <w:sz w:val="24"/>
                <w:highlight w:val="none"/>
                <w14:textFill>
                  <w14:solidFill>
                    <w14:schemeClr w14:val="tx1"/>
                  </w14:solidFill>
                </w14:textFill>
              </w:rPr>
            </w:pPr>
          </w:p>
        </w:tc>
        <w:tc>
          <w:tcPr>
            <w:tcW w:w="1971" w:type="dxa"/>
          </w:tcPr>
          <w:p w14:paraId="322DA68F">
            <w:pPr>
              <w:widowControl/>
              <w:spacing w:line="600" w:lineRule="exact"/>
              <w:jc w:val="both"/>
              <w:rPr>
                <w:rFonts w:hint="eastAsia" w:ascii="宋体" w:hAnsi="宋体" w:cs="宋体"/>
                <w:color w:val="000000" w:themeColor="text1"/>
                <w:sz w:val="24"/>
                <w:highlight w:val="none"/>
                <w14:textFill>
                  <w14:solidFill>
                    <w14:schemeClr w14:val="tx1"/>
                  </w14:solidFill>
                </w14:textFill>
              </w:rPr>
            </w:pPr>
          </w:p>
        </w:tc>
        <w:tc>
          <w:tcPr>
            <w:tcW w:w="1971" w:type="dxa"/>
          </w:tcPr>
          <w:p w14:paraId="5CC55326">
            <w:pPr>
              <w:widowControl/>
              <w:spacing w:line="600" w:lineRule="exact"/>
              <w:jc w:val="both"/>
              <w:rPr>
                <w:rFonts w:hint="eastAsia" w:ascii="宋体" w:hAnsi="宋体" w:cs="宋体"/>
                <w:color w:val="000000" w:themeColor="text1"/>
                <w:sz w:val="24"/>
                <w:highlight w:val="none"/>
                <w14:textFill>
                  <w14:solidFill>
                    <w14:schemeClr w14:val="tx1"/>
                  </w14:solidFill>
                </w14:textFill>
              </w:rPr>
            </w:pPr>
          </w:p>
        </w:tc>
      </w:tr>
      <w:tr w14:paraId="63622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3" w:type="dxa"/>
          </w:tcPr>
          <w:p w14:paraId="33B33FCB">
            <w:pPr>
              <w:widowControl/>
              <w:spacing w:line="600" w:lineRule="exact"/>
              <w:jc w:val="both"/>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备注</w:t>
            </w:r>
          </w:p>
        </w:tc>
        <w:tc>
          <w:tcPr>
            <w:tcW w:w="1098" w:type="dxa"/>
          </w:tcPr>
          <w:p w14:paraId="1ADC4AB8">
            <w:pPr>
              <w:widowControl/>
              <w:spacing w:line="600" w:lineRule="exact"/>
              <w:jc w:val="both"/>
              <w:rPr>
                <w:rFonts w:hint="eastAsia" w:ascii="宋体" w:hAnsi="宋体" w:cs="宋体"/>
                <w:color w:val="000000" w:themeColor="text1"/>
                <w:sz w:val="24"/>
                <w:highlight w:val="none"/>
                <w14:textFill>
                  <w14:solidFill>
                    <w14:schemeClr w14:val="tx1"/>
                  </w14:solidFill>
                </w14:textFill>
              </w:rPr>
            </w:pPr>
          </w:p>
        </w:tc>
        <w:tc>
          <w:tcPr>
            <w:tcW w:w="1971" w:type="dxa"/>
          </w:tcPr>
          <w:p w14:paraId="4E76906E">
            <w:pPr>
              <w:widowControl/>
              <w:spacing w:line="600" w:lineRule="exact"/>
              <w:jc w:val="both"/>
              <w:rPr>
                <w:rFonts w:hint="eastAsia" w:ascii="宋体" w:hAnsi="宋体" w:cs="宋体"/>
                <w:color w:val="000000" w:themeColor="text1"/>
                <w:sz w:val="24"/>
                <w:highlight w:val="none"/>
                <w14:textFill>
                  <w14:solidFill>
                    <w14:schemeClr w14:val="tx1"/>
                  </w14:solidFill>
                </w14:textFill>
              </w:rPr>
            </w:pPr>
          </w:p>
        </w:tc>
        <w:tc>
          <w:tcPr>
            <w:tcW w:w="1971" w:type="dxa"/>
          </w:tcPr>
          <w:p w14:paraId="3E5903B6">
            <w:pPr>
              <w:widowControl/>
              <w:spacing w:line="600" w:lineRule="exact"/>
              <w:jc w:val="both"/>
              <w:rPr>
                <w:rFonts w:hint="eastAsia" w:ascii="宋体" w:hAnsi="宋体" w:cs="宋体"/>
                <w:color w:val="000000" w:themeColor="text1"/>
                <w:sz w:val="24"/>
                <w:highlight w:val="none"/>
                <w14:textFill>
                  <w14:solidFill>
                    <w14:schemeClr w14:val="tx1"/>
                  </w14:solidFill>
                </w14:textFill>
              </w:rPr>
            </w:pPr>
          </w:p>
        </w:tc>
        <w:tc>
          <w:tcPr>
            <w:tcW w:w="1971" w:type="dxa"/>
          </w:tcPr>
          <w:p w14:paraId="50A1980C">
            <w:pPr>
              <w:widowControl/>
              <w:spacing w:line="600" w:lineRule="exact"/>
              <w:jc w:val="both"/>
              <w:rPr>
                <w:rFonts w:hint="eastAsia" w:ascii="宋体" w:hAnsi="宋体" w:cs="宋体"/>
                <w:color w:val="000000" w:themeColor="text1"/>
                <w:sz w:val="24"/>
                <w:highlight w:val="none"/>
                <w14:textFill>
                  <w14:solidFill>
                    <w14:schemeClr w14:val="tx1"/>
                  </w14:solidFill>
                </w14:textFill>
              </w:rPr>
            </w:pPr>
          </w:p>
        </w:tc>
      </w:tr>
    </w:tbl>
    <w:p w14:paraId="1EB2A1A9">
      <w:pPr>
        <w:spacing w:line="600" w:lineRule="exac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注：供应商应根据供应商须知前附表第3.5（4）项的要求在本表后附相关证明材料。</w:t>
      </w:r>
    </w:p>
    <w:p w14:paraId="11FE36D3">
      <w:pPr>
        <w:rPr>
          <w:rFonts w:hint="eastAsia" w:ascii="宋体" w:hAnsi="宋体" w:cs="宋体"/>
          <w:color w:val="000000" w:themeColor="text1"/>
          <w:sz w:val="30"/>
          <w:szCs w:val="30"/>
          <w:highlight w:val="none"/>
          <w14:textFill>
            <w14:solidFill>
              <w14:schemeClr w14:val="tx1"/>
            </w14:solidFill>
          </w14:textFill>
        </w:rPr>
      </w:pPr>
      <w:r>
        <w:rPr>
          <w:rFonts w:hint="eastAsia" w:ascii="宋体" w:hAnsi="宋体" w:cs="宋体"/>
          <w:color w:val="000000" w:themeColor="text1"/>
          <w:sz w:val="30"/>
          <w:szCs w:val="30"/>
          <w:highlight w:val="none"/>
          <w14:textFill>
            <w14:solidFill>
              <w14:schemeClr w14:val="tx1"/>
            </w14:solidFill>
          </w14:textFill>
        </w:rPr>
        <w:br w:type="page"/>
      </w:r>
    </w:p>
    <w:p w14:paraId="44BD9127">
      <w:pPr>
        <w:spacing w:line="600" w:lineRule="exact"/>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（四）拟委任的主要人员汇总表</w:t>
      </w:r>
    </w:p>
    <w:p w14:paraId="509D7E2F">
      <w:pPr>
        <w:spacing w:line="600" w:lineRule="exact"/>
        <w:jc w:val="center"/>
        <w:rPr>
          <w:rFonts w:hint="eastAsia" w:ascii="宋体" w:hAnsi="宋体" w:cs="宋体"/>
          <w:color w:val="000000" w:themeColor="text1"/>
          <w:sz w:val="24"/>
          <w:highlight w:val="none"/>
          <w14:textFill>
            <w14:solidFill>
              <w14:schemeClr w14:val="tx1"/>
            </w14:solidFill>
          </w14:textFill>
        </w:rPr>
      </w:pPr>
    </w:p>
    <w:tbl>
      <w:tblPr>
        <w:tblStyle w:val="87"/>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4"/>
        <w:gridCol w:w="1095"/>
        <w:gridCol w:w="1095"/>
        <w:gridCol w:w="1095"/>
        <w:gridCol w:w="1095"/>
        <w:gridCol w:w="1095"/>
        <w:gridCol w:w="1095"/>
        <w:gridCol w:w="1095"/>
        <w:gridCol w:w="1095"/>
      </w:tblGrid>
      <w:tr w14:paraId="79749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vMerge w:val="restart"/>
          </w:tcPr>
          <w:p w14:paraId="2FB188B7">
            <w:pPr>
              <w:widowControl/>
              <w:spacing w:line="360" w:lineRule="auto"/>
              <w:jc w:val="both"/>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序号</w:t>
            </w:r>
          </w:p>
        </w:tc>
        <w:tc>
          <w:tcPr>
            <w:tcW w:w="1095" w:type="dxa"/>
            <w:vMerge w:val="restart"/>
          </w:tcPr>
          <w:p w14:paraId="32B4E19B">
            <w:pPr>
              <w:widowControl/>
              <w:spacing w:line="360" w:lineRule="auto"/>
              <w:jc w:val="both"/>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本项目任职</w:t>
            </w:r>
          </w:p>
        </w:tc>
        <w:tc>
          <w:tcPr>
            <w:tcW w:w="1095" w:type="dxa"/>
            <w:vMerge w:val="restart"/>
          </w:tcPr>
          <w:p w14:paraId="3D6C2941">
            <w:pPr>
              <w:widowControl/>
              <w:spacing w:line="360" w:lineRule="auto"/>
              <w:jc w:val="both"/>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姓名</w:t>
            </w:r>
          </w:p>
        </w:tc>
        <w:tc>
          <w:tcPr>
            <w:tcW w:w="1095" w:type="dxa"/>
            <w:vMerge w:val="restart"/>
          </w:tcPr>
          <w:p w14:paraId="40124F1E">
            <w:pPr>
              <w:widowControl/>
              <w:spacing w:line="360" w:lineRule="auto"/>
              <w:jc w:val="both"/>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职称</w:t>
            </w:r>
          </w:p>
        </w:tc>
        <w:tc>
          <w:tcPr>
            <w:tcW w:w="1095" w:type="dxa"/>
            <w:vMerge w:val="restart"/>
          </w:tcPr>
          <w:p w14:paraId="2F775B5C">
            <w:pPr>
              <w:widowControl/>
              <w:spacing w:line="360" w:lineRule="auto"/>
              <w:jc w:val="both"/>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专业</w:t>
            </w:r>
          </w:p>
        </w:tc>
        <w:tc>
          <w:tcPr>
            <w:tcW w:w="3285" w:type="dxa"/>
            <w:gridSpan w:val="3"/>
          </w:tcPr>
          <w:p w14:paraId="33AE67CC">
            <w:pPr>
              <w:widowControl/>
              <w:spacing w:line="360" w:lineRule="auto"/>
              <w:jc w:val="both"/>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执业或职业资格证明</w:t>
            </w:r>
          </w:p>
        </w:tc>
        <w:tc>
          <w:tcPr>
            <w:tcW w:w="1095" w:type="dxa"/>
          </w:tcPr>
          <w:p w14:paraId="5B43009A">
            <w:pPr>
              <w:widowControl/>
              <w:spacing w:line="360" w:lineRule="auto"/>
              <w:jc w:val="both"/>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备注</w:t>
            </w:r>
          </w:p>
        </w:tc>
      </w:tr>
      <w:tr w14:paraId="38BDA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vMerge w:val="continue"/>
          </w:tcPr>
          <w:p w14:paraId="23A09A33">
            <w:pPr>
              <w:widowControl/>
              <w:spacing w:line="360" w:lineRule="auto"/>
              <w:jc w:val="both"/>
              <w:rPr>
                <w:rFonts w:hint="eastAsia" w:ascii="宋体" w:hAnsi="宋体" w:cs="宋体"/>
                <w:color w:val="000000" w:themeColor="text1"/>
                <w:sz w:val="24"/>
                <w:highlight w:val="none"/>
                <w14:textFill>
                  <w14:solidFill>
                    <w14:schemeClr w14:val="tx1"/>
                  </w14:solidFill>
                </w14:textFill>
              </w:rPr>
            </w:pPr>
          </w:p>
        </w:tc>
        <w:tc>
          <w:tcPr>
            <w:tcW w:w="1095" w:type="dxa"/>
            <w:vMerge w:val="continue"/>
          </w:tcPr>
          <w:p w14:paraId="6BE60196">
            <w:pPr>
              <w:widowControl/>
              <w:spacing w:line="360" w:lineRule="auto"/>
              <w:jc w:val="both"/>
              <w:rPr>
                <w:rFonts w:hint="eastAsia" w:ascii="宋体" w:hAnsi="宋体" w:cs="宋体"/>
                <w:color w:val="000000" w:themeColor="text1"/>
                <w:sz w:val="24"/>
                <w:highlight w:val="none"/>
                <w14:textFill>
                  <w14:solidFill>
                    <w14:schemeClr w14:val="tx1"/>
                  </w14:solidFill>
                </w14:textFill>
              </w:rPr>
            </w:pPr>
          </w:p>
        </w:tc>
        <w:tc>
          <w:tcPr>
            <w:tcW w:w="1095" w:type="dxa"/>
            <w:vMerge w:val="continue"/>
          </w:tcPr>
          <w:p w14:paraId="68CAC706">
            <w:pPr>
              <w:widowControl/>
              <w:spacing w:line="360" w:lineRule="auto"/>
              <w:jc w:val="both"/>
              <w:rPr>
                <w:rFonts w:hint="eastAsia" w:ascii="宋体" w:hAnsi="宋体" w:cs="宋体"/>
                <w:color w:val="000000" w:themeColor="text1"/>
                <w:sz w:val="24"/>
                <w:highlight w:val="none"/>
                <w14:textFill>
                  <w14:solidFill>
                    <w14:schemeClr w14:val="tx1"/>
                  </w14:solidFill>
                </w14:textFill>
              </w:rPr>
            </w:pPr>
          </w:p>
        </w:tc>
        <w:tc>
          <w:tcPr>
            <w:tcW w:w="1095" w:type="dxa"/>
            <w:vMerge w:val="continue"/>
          </w:tcPr>
          <w:p w14:paraId="6F0530DE">
            <w:pPr>
              <w:widowControl/>
              <w:spacing w:line="360" w:lineRule="auto"/>
              <w:jc w:val="both"/>
              <w:rPr>
                <w:rFonts w:hint="eastAsia" w:ascii="宋体" w:hAnsi="宋体" w:cs="宋体"/>
                <w:color w:val="000000" w:themeColor="text1"/>
                <w:sz w:val="24"/>
                <w:highlight w:val="none"/>
                <w14:textFill>
                  <w14:solidFill>
                    <w14:schemeClr w14:val="tx1"/>
                  </w14:solidFill>
                </w14:textFill>
              </w:rPr>
            </w:pPr>
          </w:p>
        </w:tc>
        <w:tc>
          <w:tcPr>
            <w:tcW w:w="1095" w:type="dxa"/>
            <w:vMerge w:val="continue"/>
          </w:tcPr>
          <w:p w14:paraId="7BAB9927">
            <w:pPr>
              <w:widowControl/>
              <w:spacing w:line="360" w:lineRule="auto"/>
              <w:jc w:val="both"/>
              <w:rPr>
                <w:rFonts w:hint="eastAsia" w:ascii="宋体" w:hAnsi="宋体" w:cs="宋体"/>
                <w:color w:val="000000" w:themeColor="text1"/>
                <w:sz w:val="24"/>
                <w:highlight w:val="none"/>
                <w14:textFill>
                  <w14:solidFill>
                    <w14:schemeClr w14:val="tx1"/>
                  </w14:solidFill>
                </w14:textFill>
              </w:rPr>
            </w:pPr>
          </w:p>
        </w:tc>
        <w:tc>
          <w:tcPr>
            <w:tcW w:w="1095" w:type="dxa"/>
          </w:tcPr>
          <w:p w14:paraId="51F25BAD">
            <w:pPr>
              <w:widowControl/>
              <w:spacing w:line="360" w:lineRule="auto"/>
              <w:jc w:val="both"/>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证书名称</w:t>
            </w:r>
          </w:p>
        </w:tc>
        <w:tc>
          <w:tcPr>
            <w:tcW w:w="1095" w:type="dxa"/>
          </w:tcPr>
          <w:p w14:paraId="3B5AB537">
            <w:pPr>
              <w:widowControl/>
              <w:spacing w:line="360" w:lineRule="auto"/>
              <w:jc w:val="both"/>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级别</w:t>
            </w:r>
          </w:p>
        </w:tc>
        <w:tc>
          <w:tcPr>
            <w:tcW w:w="1095" w:type="dxa"/>
          </w:tcPr>
          <w:p w14:paraId="1296A92F">
            <w:pPr>
              <w:widowControl/>
              <w:spacing w:line="360" w:lineRule="auto"/>
              <w:jc w:val="both"/>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证号</w:t>
            </w:r>
          </w:p>
        </w:tc>
        <w:tc>
          <w:tcPr>
            <w:tcW w:w="1095" w:type="dxa"/>
          </w:tcPr>
          <w:p w14:paraId="4E40A625">
            <w:pPr>
              <w:widowControl/>
              <w:spacing w:line="360" w:lineRule="auto"/>
              <w:jc w:val="both"/>
              <w:rPr>
                <w:rFonts w:hint="eastAsia" w:ascii="宋体" w:hAnsi="宋体" w:cs="宋体"/>
                <w:color w:val="000000" w:themeColor="text1"/>
                <w:sz w:val="24"/>
                <w:highlight w:val="none"/>
                <w14:textFill>
                  <w14:solidFill>
                    <w14:schemeClr w14:val="tx1"/>
                  </w14:solidFill>
                </w14:textFill>
              </w:rPr>
            </w:pPr>
          </w:p>
        </w:tc>
      </w:tr>
      <w:tr w14:paraId="5DFB0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tcPr>
          <w:p w14:paraId="7AFD5137">
            <w:pPr>
              <w:widowControl/>
              <w:spacing w:line="600" w:lineRule="exact"/>
              <w:jc w:val="both"/>
              <w:rPr>
                <w:rFonts w:hint="eastAsia" w:ascii="宋体" w:hAnsi="宋体" w:cs="宋体"/>
                <w:color w:val="000000" w:themeColor="text1"/>
                <w:sz w:val="24"/>
                <w:highlight w:val="none"/>
                <w14:textFill>
                  <w14:solidFill>
                    <w14:schemeClr w14:val="tx1"/>
                  </w14:solidFill>
                </w14:textFill>
              </w:rPr>
            </w:pPr>
          </w:p>
        </w:tc>
        <w:tc>
          <w:tcPr>
            <w:tcW w:w="1095" w:type="dxa"/>
          </w:tcPr>
          <w:p w14:paraId="13B1EF94">
            <w:pPr>
              <w:widowControl/>
              <w:spacing w:line="600" w:lineRule="exact"/>
              <w:jc w:val="both"/>
              <w:rPr>
                <w:rFonts w:hint="eastAsia" w:ascii="宋体" w:hAnsi="宋体" w:cs="宋体"/>
                <w:color w:val="000000" w:themeColor="text1"/>
                <w:sz w:val="24"/>
                <w:highlight w:val="none"/>
                <w14:textFill>
                  <w14:solidFill>
                    <w14:schemeClr w14:val="tx1"/>
                  </w14:solidFill>
                </w14:textFill>
              </w:rPr>
            </w:pPr>
          </w:p>
        </w:tc>
        <w:tc>
          <w:tcPr>
            <w:tcW w:w="1095" w:type="dxa"/>
          </w:tcPr>
          <w:p w14:paraId="1472FB6F">
            <w:pPr>
              <w:widowControl/>
              <w:spacing w:line="600" w:lineRule="exact"/>
              <w:jc w:val="both"/>
              <w:rPr>
                <w:rFonts w:hint="eastAsia" w:ascii="宋体" w:hAnsi="宋体" w:cs="宋体"/>
                <w:color w:val="000000" w:themeColor="text1"/>
                <w:sz w:val="24"/>
                <w:highlight w:val="none"/>
                <w14:textFill>
                  <w14:solidFill>
                    <w14:schemeClr w14:val="tx1"/>
                  </w14:solidFill>
                </w14:textFill>
              </w:rPr>
            </w:pPr>
          </w:p>
        </w:tc>
        <w:tc>
          <w:tcPr>
            <w:tcW w:w="1095" w:type="dxa"/>
          </w:tcPr>
          <w:p w14:paraId="25CC6CAD">
            <w:pPr>
              <w:widowControl/>
              <w:spacing w:line="600" w:lineRule="exact"/>
              <w:jc w:val="both"/>
              <w:rPr>
                <w:rFonts w:hint="eastAsia" w:ascii="宋体" w:hAnsi="宋体" w:cs="宋体"/>
                <w:color w:val="000000" w:themeColor="text1"/>
                <w:sz w:val="24"/>
                <w:highlight w:val="none"/>
                <w14:textFill>
                  <w14:solidFill>
                    <w14:schemeClr w14:val="tx1"/>
                  </w14:solidFill>
                </w14:textFill>
              </w:rPr>
            </w:pPr>
          </w:p>
        </w:tc>
        <w:tc>
          <w:tcPr>
            <w:tcW w:w="1095" w:type="dxa"/>
          </w:tcPr>
          <w:p w14:paraId="5911408A">
            <w:pPr>
              <w:widowControl/>
              <w:spacing w:line="600" w:lineRule="exact"/>
              <w:jc w:val="both"/>
              <w:rPr>
                <w:rFonts w:hint="eastAsia" w:ascii="宋体" w:hAnsi="宋体" w:cs="宋体"/>
                <w:color w:val="000000" w:themeColor="text1"/>
                <w:sz w:val="24"/>
                <w:highlight w:val="none"/>
                <w14:textFill>
                  <w14:solidFill>
                    <w14:schemeClr w14:val="tx1"/>
                  </w14:solidFill>
                </w14:textFill>
              </w:rPr>
            </w:pPr>
          </w:p>
        </w:tc>
        <w:tc>
          <w:tcPr>
            <w:tcW w:w="1095" w:type="dxa"/>
          </w:tcPr>
          <w:p w14:paraId="449D0669">
            <w:pPr>
              <w:widowControl/>
              <w:spacing w:line="600" w:lineRule="exact"/>
              <w:jc w:val="both"/>
              <w:rPr>
                <w:rFonts w:hint="eastAsia" w:ascii="宋体" w:hAnsi="宋体" w:cs="宋体"/>
                <w:color w:val="000000" w:themeColor="text1"/>
                <w:sz w:val="24"/>
                <w:highlight w:val="none"/>
                <w14:textFill>
                  <w14:solidFill>
                    <w14:schemeClr w14:val="tx1"/>
                  </w14:solidFill>
                </w14:textFill>
              </w:rPr>
            </w:pPr>
          </w:p>
        </w:tc>
        <w:tc>
          <w:tcPr>
            <w:tcW w:w="1095" w:type="dxa"/>
          </w:tcPr>
          <w:p w14:paraId="696CEEE9">
            <w:pPr>
              <w:widowControl/>
              <w:spacing w:line="600" w:lineRule="exact"/>
              <w:jc w:val="both"/>
              <w:rPr>
                <w:rFonts w:hint="eastAsia" w:ascii="宋体" w:hAnsi="宋体" w:cs="宋体"/>
                <w:color w:val="000000" w:themeColor="text1"/>
                <w:sz w:val="24"/>
                <w:highlight w:val="none"/>
                <w14:textFill>
                  <w14:solidFill>
                    <w14:schemeClr w14:val="tx1"/>
                  </w14:solidFill>
                </w14:textFill>
              </w:rPr>
            </w:pPr>
          </w:p>
        </w:tc>
        <w:tc>
          <w:tcPr>
            <w:tcW w:w="1095" w:type="dxa"/>
          </w:tcPr>
          <w:p w14:paraId="5E71702B">
            <w:pPr>
              <w:widowControl/>
              <w:spacing w:line="600" w:lineRule="exact"/>
              <w:jc w:val="both"/>
              <w:rPr>
                <w:rFonts w:hint="eastAsia" w:ascii="宋体" w:hAnsi="宋体" w:cs="宋体"/>
                <w:color w:val="000000" w:themeColor="text1"/>
                <w:sz w:val="24"/>
                <w:highlight w:val="none"/>
                <w14:textFill>
                  <w14:solidFill>
                    <w14:schemeClr w14:val="tx1"/>
                  </w14:solidFill>
                </w14:textFill>
              </w:rPr>
            </w:pPr>
          </w:p>
        </w:tc>
        <w:tc>
          <w:tcPr>
            <w:tcW w:w="1095" w:type="dxa"/>
          </w:tcPr>
          <w:p w14:paraId="4F5F2A43">
            <w:pPr>
              <w:widowControl/>
              <w:spacing w:line="600" w:lineRule="exact"/>
              <w:jc w:val="both"/>
              <w:rPr>
                <w:rFonts w:hint="eastAsia" w:ascii="宋体" w:hAnsi="宋体" w:cs="宋体"/>
                <w:color w:val="000000" w:themeColor="text1"/>
                <w:sz w:val="24"/>
                <w:highlight w:val="none"/>
                <w14:textFill>
                  <w14:solidFill>
                    <w14:schemeClr w14:val="tx1"/>
                  </w14:solidFill>
                </w14:textFill>
              </w:rPr>
            </w:pPr>
          </w:p>
        </w:tc>
      </w:tr>
      <w:tr w14:paraId="19DE0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tcPr>
          <w:p w14:paraId="5485A036">
            <w:pPr>
              <w:widowControl/>
              <w:spacing w:line="600" w:lineRule="exact"/>
              <w:jc w:val="both"/>
              <w:rPr>
                <w:rFonts w:hint="eastAsia" w:ascii="宋体" w:hAnsi="宋体" w:cs="宋体"/>
                <w:color w:val="000000" w:themeColor="text1"/>
                <w:sz w:val="24"/>
                <w:highlight w:val="none"/>
                <w14:textFill>
                  <w14:solidFill>
                    <w14:schemeClr w14:val="tx1"/>
                  </w14:solidFill>
                </w14:textFill>
              </w:rPr>
            </w:pPr>
          </w:p>
        </w:tc>
        <w:tc>
          <w:tcPr>
            <w:tcW w:w="1095" w:type="dxa"/>
          </w:tcPr>
          <w:p w14:paraId="44B1B048">
            <w:pPr>
              <w:widowControl/>
              <w:spacing w:line="600" w:lineRule="exact"/>
              <w:jc w:val="both"/>
              <w:rPr>
                <w:rFonts w:hint="eastAsia" w:ascii="宋体" w:hAnsi="宋体" w:cs="宋体"/>
                <w:color w:val="000000" w:themeColor="text1"/>
                <w:sz w:val="24"/>
                <w:highlight w:val="none"/>
                <w14:textFill>
                  <w14:solidFill>
                    <w14:schemeClr w14:val="tx1"/>
                  </w14:solidFill>
                </w14:textFill>
              </w:rPr>
            </w:pPr>
          </w:p>
        </w:tc>
        <w:tc>
          <w:tcPr>
            <w:tcW w:w="1095" w:type="dxa"/>
          </w:tcPr>
          <w:p w14:paraId="3F0D548A">
            <w:pPr>
              <w:widowControl/>
              <w:spacing w:line="600" w:lineRule="exact"/>
              <w:jc w:val="both"/>
              <w:rPr>
                <w:rFonts w:hint="eastAsia" w:ascii="宋体" w:hAnsi="宋体" w:cs="宋体"/>
                <w:color w:val="000000" w:themeColor="text1"/>
                <w:sz w:val="24"/>
                <w:highlight w:val="none"/>
                <w14:textFill>
                  <w14:solidFill>
                    <w14:schemeClr w14:val="tx1"/>
                  </w14:solidFill>
                </w14:textFill>
              </w:rPr>
            </w:pPr>
          </w:p>
        </w:tc>
        <w:tc>
          <w:tcPr>
            <w:tcW w:w="1095" w:type="dxa"/>
          </w:tcPr>
          <w:p w14:paraId="7EB9BC27">
            <w:pPr>
              <w:widowControl/>
              <w:spacing w:line="600" w:lineRule="exact"/>
              <w:jc w:val="both"/>
              <w:rPr>
                <w:rFonts w:hint="eastAsia" w:ascii="宋体" w:hAnsi="宋体" w:cs="宋体"/>
                <w:color w:val="000000" w:themeColor="text1"/>
                <w:sz w:val="24"/>
                <w:highlight w:val="none"/>
                <w14:textFill>
                  <w14:solidFill>
                    <w14:schemeClr w14:val="tx1"/>
                  </w14:solidFill>
                </w14:textFill>
              </w:rPr>
            </w:pPr>
          </w:p>
        </w:tc>
        <w:tc>
          <w:tcPr>
            <w:tcW w:w="1095" w:type="dxa"/>
          </w:tcPr>
          <w:p w14:paraId="4C817C6B">
            <w:pPr>
              <w:widowControl/>
              <w:spacing w:line="600" w:lineRule="exact"/>
              <w:jc w:val="both"/>
              <w:rPr>
                <w:rFonts w:hint="eastAsia" w:ascii="宋体" w:hAnsi="宋体" w:cs="宋体"/>
                <w:color w:val="000000" w:themeColor="text1"/>
                <w:sz w:val="24"/>
                <w:highlight w:val="none"/>
                <w14:textFill>
                  <w14:solidFill>
                    <w14:schemeClr w14:val="tx1"/>
                  </w14:solidFill>
                </w14:textFill>
              </w:rPr>
            </w:pPr>
          </w:p>
        </w:tc>
        <w:tc>
          <w:tcPr>
            <w:tcW w:w="1095" w:type="dxa"/>
          </w:tcPr>
          <w:p w14:paraId="6DFD9B87">
            <w:pPr>
              <w:widowControl/>
              <w:spacing w:line="600" w:lineRule="exact"/>
              <w:jc w:val="both"/>
              <w:rPr>
                <w:rFonts w:hint="eastAsia" w:ascii="宋体" w:hAnsi="宋体" w:cs="宋体"/>
                <w:color w:val="000000" w:themeColor="text1"/>
                <w:sz w:val="24"/>
                <w:highlight w:val="none"/>
                <w14:textFill>
                  <w14:solidFill>
                    <w14:schemeClr w14:val="tx1"/>
                  </w14:solidFill>
                </w14:textFill>
              </w:rPr>
            </w:pPr>
          </w:p>
        </w:tc>
        <w:tc>
          <w:tcPr>
            <w:tcW w:w="1095" w:type="dxa"/>
          </w:tcPr>
          <w:p w14:paraId="69C12A75">
            <w:pPr>
              <w:widowControl/>
              <w:spacing w:line="600" w:lineRule="exact"/>
              <w:jc w:val="both"/>
              <w:rPr>
                <w:rFonts w:hint="eastAsia" w:ascii="宋体" w:hAnsi="宋体" w:cs="宋体"/>
                <w:color w:val="000000" w:themeColor="text1"/>
                <w:sz w:val="24"/>
                <w:highlight w:val="none"/>
                <w14:textFill>
                  <w14:solidFill>
                    <w14:schemeClr w14:val="tx1"/>
                  </w14:solidFill>
                </w14:textFill>
              </w:rPr>
            </w:pPr>
          </w:p>
        </w:tc>
        <w:tc>
          <w:tcPr>
            <w:tcW w:w="1095" w:type="dxa"/>
          </w:tcPr>
          <w:p w14:paraId="1CC9A31B">
            <w:pPr>
              <w:widowControl/>
              <w:spacing w:line="600" w:lineRule="exact"/>
              <w:jc w:val="both"/>
              <w:rPr>
                <w:rFonts w:hint="eastAsia" w:ascii="宋体" w:hAnsi="宋体" w:cs="宋体"/>
                <w:color w:val="000000" w:themeColor="text1"/>
                <w:sz w:val="24"/>
                <w:highlight w:val="none"/>
                <w14:textFill>
                  <w14:solidFill>
                    <w14:schemeClr w14:val="tx1"/>
                  </w14:solidFill>
                </w14:textFill>
              </w:rPr>
            </w:pPr>
          </w:p>
        </w:tc>
        <w:tc>
          <w:tcPr>
            <w:tcW w:w="1095" w:type="dxa"/>
          </w:tcPr>
          <w:p w14:paraId="5CCF68E4">
            <w:pPr>
              <w:widowControl/>
              <w:spacing w:line="600" w:lineRule="exact"/>
              <w:jc w:val="both"/>
              <w:rPr>
                <w:rFonts w:hint="eastAsia" w:ascii="宋体" w:hAnsi="宋体" w:cs="宋体"/>
                <w:color w:val="000000" w:themeColor="text1"/>
                <w:sz w:val="24"/>
                <w:highlight w:val="none"/>
                <w14:textFill>
                  <w14:solidFill>
                    <w14:schemeClr w14:val="tx1"/>
                  </w14:solidFill>
                </w14:textFill>
              </w:rPr>
            </w:pPr>
          </w:p>
        </w:tc>
      </w:tr>
      <w:tr w14:paraId="15886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tcPr>
          <w:p w14:paraId="6B37D6F4">
            <w:pPr>
              <w:widowControl/>
              <w:spacing w:line="600" w:lineRule="exact"/>
              <w:jc w:val="both"/>
              <w:rPr>
                <w:rFonts w:hint="eastAsia" w:ascii="宋体" w:hAnsi="宋体" w:cs="宋体"/>
                <w:color w:val="000000" w:themeColor="text1"/>
                <w:sz w:val="24"/>
                <w:highlight w:val="none"/>
                <w14:textFill>
                  <w14:solidFill>
                    <w14:schemeClr w14:val="tx1"/>
                  </w14:solidFill>
                </w14:textFill>
              </w:rPr>
            </w:pPr>
          </w:p>
        </w:tc>
        <w:tc>
          <w:tcPr>
            <w:tcW w:w="1095" w:type="dxa"/>
          </w:tcPr>
          <w:p w14:paraId="7D2A3838">
            <w:pPr>
              <w:widowControl/>
              <w:spacing w:line="600" w:lineRule="exact"/>
              <w:jc w:val="both"/>
              <w:rPr>
                <w:rFonts w:hint="eastAsia" w:ascii="宋体" w:hAnsi="宋体" w:cs="宋体"/>
                <w:color w:val="000000" w:themeColor="text1"/>
                <w:sz w:val="24"/>
                <w:highlight w:val="none"/>
                <w14:textFill>
                  <w14:solidFill>
                    <w14:schemeClr w14:val="tx1"/>
                  </w14:solidFill>
                </w14:textFill>
              </w:rPr>
            </w:pPr>
          </w:p>
        </w:tc>
        <w:tc>
          <w:tcPr>
            <w:tcW w:w="1095" w:type="dxa"/>
          </w:tcPr>
          <w:p w14:paraId="7DC89EE3">
            <w:pPr>
              <w:widowControl/>
              <w:spacing w:line="600" w:lineRule="exact"/>
              <w:jc w:val="both"/>
              <w:rPr>
                <w:rFonts w:hint="eastAsia" w:ascii="宋体" w:hAnsi="宋体" w:cs="宋体"/>
                <w:color w:val="000000" w:themeColor="text1"/>
                <w:sz w:val="24"/>
                <w:highlight w:val="none"/>
                <w14:textFill>
                  <w14:solidFill>
                    <w14:schemeClr w14:val="tx1"/>
                  </w14:solidFill>
                </w14:textFill>
              </w:rPr>
            </w:pPr>
          </w:p>
        </w:tc>
        <w:tc>
          <w:tcPr>
            <w:tcW w:w="1095" w:type="dxa"/>
          </w:tcPr>
          <w:p w14:paraId="36B808F2">
            <w:pPr>
              <w:widowControl/>
              <w:spacing w:line="600" w:lineRule="exact"/>
              <w:jc w:val="both"/>
              <w:rPr>
                <w:rFonts w:hint="eastAsia" w:ascii="宋体" w:hAnsi="宋体" w:cs="宋体"/>
                <w:color w:val="000000" w:themeColor="text1"/>
                <w:sz w:val="24"/>
                <w:highlight w:val="none"/>
                <w14:textFill>
                  <w14:solidFill>
                    <w14:schemeClr w14:val="tx1"/>
                  </w14:solidFill>
                </w14:textFill>
              </w:rPr>
            </w:pPr>
          </w:p>
        </w:tc>
        <w:tc>
          <w:tcPr>
            <w:tcW w:w="1095" w:type="dxa"/>
          </w:tcPr>
          <w:p w14:paraId="4398ECD1">
            <w:pPr>
              <w:widowControl/>
              <w:spacing w:line="600" w:lineRule="exact"/>
              <w:jc w:val="both"/>
              <w:rPr>
                <w:rFonts w:hint="eastAsia" w:ascii="宋体" w:hAnsi="宋体" w:cs="宋体"/>
                <w:color w:val="000000" w:themeColor="text1"/>
                <w:sz w:val="24"/>
                <w:highlight w:val="none"/>
                <w14:textFill>
                  <w14:solidFill>
                    <w14:schemeClr w14:val="tx1"/>
                  </w14:solidFill>
                </w14:textFill>
              </w:rPr>
            </w:pPr>
          </w:p>
        </w:tc>
        <w:tc>
          <w:tcPr>
            <w:tcW w:w="1095" w:type="dxa"/>
          </w:tcPr>
          <w:p w14:paraId="2CDB78B8">
            <w:pPr>
              <w:widowControl/>
              <w:spacing w:line="600" w:lineRule="exact"/>
              <w:jc w:val="both"/>
              <w:rPr>
                <w:rFonts w:hint="eastAsia" w:ascii="宋体" w:hAnsi="宋体" w:cs="宋体"/>
                <w:color w:val="000000" w:themeColor="text1"/>
                <w:sz w:val="24"/>
                <w:highlight w:val="none"/>
                <w14:textFill>
                  <w14:solidFill>
                    <w14:schemeClr w14:val="tx1"/>
                  </w14:solidFill>
                </w14:textFill>
              </w:rPr>
            </w:pPr>
          </w:p>
        </w:tc>
        <w:tc>
          <w:tcPr>
            <w:tcW w:w="1095" w:type="dxa"/>
          </w:tcPr>
          <w:p w14:paraId="5BAEC77B">
            <w:pPr>
              <w:widowControl/>
              <w:spacing w:line="600" w:lineRule="exact"/>
              <w:jc w:val="both"/>
              <w:rPr>
                <w:rFonts w:hint="eastAsia" w:ascii="宋体" w:hAnsi="宋体" w:cs="宋体"/>
                <w:color w:val="000000" w:themeColor="text1"/>
                <w:sz w:val="24"/>
                <w:highlight w:val="none"/>
                <w14:textFill>
                  <w14:solidFill>
                    <w14:schemeClr w14:val="tx1"/>
                  </w14:solidFill>
                </w14:textFill>
              </w:rPr>
            </w:pPr>
          </w:p>
        </w:tc>
        <w:tc>
          <w:tcPr>
            <w:tcW w:w="1095" w:type="dxa"/>
          </w:tcPr>
          <w:p w14:paraId="49B5AA12">
            <w:pPr>
              <w:widowControl/>
              <w:spacing w:line="600" w:lineRule="exact"/>
              <w:jc w:val="both"/>
              <w:rPr>
                <w:rFonts w:hint="eastAsia" w:ascii="宋体" w:hAnsi="宋体" w:cs="宋体"/>
                <w:color w:val="000000" w:themeColor="text1"/>
                <w:sz w:val="24"/>
                <w:highlight w:val="none"/>
                <w14:textFill>
                  <w14:solidFill>
                    <w14:schemeClr w14:val="tx1"/>
                  </w14:solidFill>
                </w14:textFill>
              </w:rPr>
            </w:pPr>
          </w:p>
        </w:tc>
        <w:tc>
          <w:tcPr>
            <w:tcW w:w="1095" w:type="dxa"/>
          </w:tcPr>
          <w:p w14:paraId="0D9B92A1">
            <w:pPr>
              <w:widowControl/>
              <w:spacing w:line="600" w:lineRule="exact"/>
              <w:jc w:val="both"/>
              <w:rPr>
                <w:rFonts w:hint="eastAsia" w:ascii="宋体" w:hAnsi="宋体" w:cs="宋体"/>
                <w:color w:val="000000" w:themeColor="text1"/>
                <w:sz w:val="24"/>
                <w:highlight w:val="none"/>
                <w14:textFill>
                  <w14:solidFill>
                    <w14:schemeClr w14:val="tx1"/>
                  </w14:solidFill>
                </w14:textFill>
              </w:rPr>
            </w:pPr>
          </w:p>
        </w:tc>
      </w:tr>
      <w:tr w14:paraId="156B2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tcPr>
          <w:p w14:paraId="347E778A">
            <w:pPr>
              <w:widowControl/>
              <w:spacing w:line="600" w:lineRule="exact"/>
              <w:jc w:val="both"/>
              <w:rPr>
                <w:rFonts w:hint="eastAsia" w:ascii="宋体" w:hAnsi="宋体" w:cs="宋体"/>
                <w:color w:val="000000" w:themeColor="text1"/>
                <w:sz w:val="24"/>
                <w:highlight w:val="none"/>
                <w14:textFill>
                  <w14:solidFill>
                    <w14:schemeClr w14:val="tx1"/>
                  </w14:solidFill>
                </w14:textFill>
              </w:rPr>
            </w:pPr>
          </w:p>
        </w:tc>
        <w:tc>
          <w:tcPr>
            <w:tcW w:w="1095" w:type="dxa"/>
          </w:tcPr>
          <w:p w14:paraId="0E5CC481">
            <w:pPr>
              <w:widowControl/>
              <w:spacing w:line="600" w:lineRule="exact"/>
              <w:jc w:val="both"/>
              <w:rPr>
                <w:rFonts w:hint="eastAsia" w:ascii="宋体" w:hAnsi="宋体" w:cs="宋体"/>
                <w:color w:val="000000" w:themeColor="text1"/>
                <w:sz w:val="24"/>
                <w:highlight w:val="none"/>
                <w14:textFill>
                  <w14:solidFill>
                    <w14:schemeClr w14:val="tx1"/>
                  </w14:solidFill>
                </w14:textFill>
              </w:rPr>
            </w:pPr>
          </w:p>
        </w:tc>
        <w:tc>
          <w:tcPr>
            <w:tcW w:w="1095" w:type="dxa"/>
          </w:tcPr>
          <w:p w14:paraId="16849EC8">
            <w:pPr>
              <w:widowControl/>
              <w:spacing w:line="600" w:lineRule="exact"/>
              <w:jc w:val="both"/>
              <w:rPr>
                <w:rFonts w:hint="eastAsia" w:ascii="宋体" w:hAnsi="宋体" w:cs="宋体"/>
                <w:color w:val="000000" w:themeColor="text1"/>
                <w:sz w:val="24"/>
                <w:highlight w:val="none"/>
                <w14:textFill>
                  <w14:solidFill>
                    <w14:schemeClr w14:val="tx1"/>
                  </w14:solidFill>
                </w14:textFill>
              </w:rPr>
            </w:pPr>
          </w:p>
        </w:tc>
        <w:tc>
          <w:tcPr>
            <w:tcW w:w="1095" w:type="dxa"/>
          </w:tcPr>
          <w:p w14:paraId="49DFA65B">
            <w:pPr>
              <w:widowControl/>
              <w:spacing w:line="600" w:lineRule="exact"/>
              <w:jc w:val="both"/>
              <w:rPr>
                <w:rFonts w:hint="eastAsia" w:ascii="宋体" w:hAnsi="宋体" w:cs="宋体"/>
                <w:color w:val="000000" w:themeColor="text1"/>
                <w:sz w:val="24"/>
                <w:highlight w:val="none"/>
                <w14:textFill>
                  <w14:solidFill>
                    <w14:schemeClr w14:val="tx1"/>
                  </w14:solidFill>
                </w14:textFill>
              </w:rPr>
            </w:pPr>
          </w:p>
        </w:tc>
        <w:tc>
          <w:tcPr>
            <w:tcW w:w="1095" w:type="dxa"/>
          </w:tcPr>
          <w:p w14:paraId="0BFAB430">
            <w:pPr>
              <w:widowControl/>
              <w:spacing w:line="600" w:lineRule="exact"/>
              <w:jc w:val="both"/>
              <w:rPr>
                <w:rFonts w:hint="eastAsia" w:ascii="宋体" w:hAnsi="宋体" w:cs="宋体"/>
                <w:color w:val="000000" w:themeColor="text1"/>
                <w:sz w:val="24"/>
                <w:highlight w:val="none"/>
                <w14:textFill>
                  <w14:solidFill>
                    <w14:schemeClr w14:val="tx1"/>
                  </w14:solidFill>
                </w14:textFill>
              </w:rPr>
            </w:pPr>
          </w:p>
        </w:tc>
        <w:tc>
          <w:tcPr>
            <w:tcW w:w="1095" w:type="dxa"/>
          </w:tcPr>
          <w:p w14:paraId="195E7020">
            <w:pPr>
              <w:widowControl/>
              <w:spacing w:line="600" w:lineRule="exact"/>
              <w:jc w:val="both"/>
              <w:rPr>
                <w:rFonts w:hint="eastAsia" w:ascii="宋体" w:hAnsi="宋体" w:cs="宋体"/>
                <w:color w:val="000000" w:themeColor="text1"/>
                <w:sz w:val="24"/>
                <w:highlight w:val="none"/>
                <w14:textFill>
                  <w14:solidFill>
                    <w14:schemeClr w14:val="tx1"/>
                  </w14:solidFill>
                </w14:textFill>
              </w:rPr>
            </w:pPr>
          </w:p>
        </w:tc>
        <w:tc>
          <w:tcPr>
            <w:tcW w:w="1095" w:type="dxa"/>
          </w:tcPr>
          <w:p w14:paraId="23B4E22B">
            <w:pPr>
              <w:widowControl/>
              <w:spacing w:line="600" w:lineRule="exact"/>
              <w:jc w:val="both"/>
              <w:rPr>
                <w:rFonts w:hint="eastAsia" w:ascii="宋体" w:hAnsi="宋体" w:cs="宋体"/>
                <w:color w:val="000000" w:themeColor="text1"/>
                <w:sz w:val="24"/>
                <w:highlight w:val="none"/>
                <w14:textFill>
                  <w14:solidFill>
                    <w14:schemeClr w14:val="tx1"/>
                  </w14:solidFill>
                </w14:textFill>
              </w:rPr>
            </w:pPr>
          </w:p>
        </w:tc>
        <w:tc>
          <w:tcPr>
            <w:tcW w:w="1095" w:type="dxa"/>
          </w:tcPr>
          <w:p w14:paraId="7A5D87D1">
            <w:pPr>
              <w:widowControl/>
              <w:spacing w:line="600" w:lineRule="exact"/>
              <w:jc w:val="both"/>
              <w:rPr>
                <w:rFonts w:hint="eastAsia" w:ascii="宋体" w:hAnsi="宋体" w:cs="宋体"/>
                <w:color w:val="000000" w:themeColor="text1"/>
                <w:sz w:val="24"/>
                <w:highlight w:val="none"/>
                <w14:textFill>
                  <w14:solidFill>
                    <w14:schemeClr w14:val="tx1"/>
                  </w14:solidFill>
                </w14:textFill>
              </w:rPr>
            </w:pPr>
          </w:p>
        </w:tc>
        <w:tc>
          <w:tcPr>
            <w:tcW w:w="1095" w:type="dxa"/>
          </w:tcPr>
          <w:p w14:paraId="288B2BE3">
            <w:pPr>
              <w:widowControl/>
              <w:spacing w:line="600" w:lineRule="exact"/>
              <w:jc w:val="both"/>
              <w:rPr>
                <w:rFonts w:hint="eastAsia" w:ascii="宋体" w:hAnsi="宋体" w:cs="宋体"/>
                <w:color w:val="000000" w:themeColor="text1"/>
                <w:sz w:val="24"/>
                <w:highlight w:val="none"/>
                <w14:textFill>
                  <w14:solidFill>
                    <w14:schemeClr w14:val="tx1"/>
                  </w14:solidFill>
                </w14:textFill>
              </w:rPr>
            </w:pPr>
          </w:p>
        </w:tc>
      </w:tr>
      <w:tr w14:paraId="392FC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tcPr>
          <w:p w14:paraId="548FD498">
            <w:pPr>
              <w:widowControl/>
              <w:spacing w:line="600" w:lineRule="exact"/>
              <w:jc w:val="both"/>
              <w:rPr>
                <w:rFonts w:hint="eastAsia" w:ascii="宋体" w:hAnsi="宋体" w:cs="宋体"/>
                <w:color w:val="000000" w:themeColor="text1"/>
                <w:sz w:val="24"/>
                <w:highlight w:val="none"/>
                <w14:textFill>
                  <w14:solidFill>
                    <w14:schemeClr w14:val="tx1"/>
                  </w14:solidFill>
                </w14:textFill>
              </w:rPr>
            </w:pPr>
          </w:p>
        </w:tc>
        <w:tc>
          <w:tcPr>
            <w:tcW w:w="1095" w:type="dxa"/>
          </w:tcPr>
          <w:p w14:paraId="3594B89A">
            <w:pPr>
              <w:widowControl/>
              <w:spacing w:line="600" w:lineRule="exact"/>
              <w:jc w:val="both"/>
              <w:rPr>
                <w:rFonts w:hint="eastAsia" w:ascii="宋体" w:hAnsi="宋体" w:cs="宋体"/>
                <w:color w:val="000000" w:themeColor="text1"/>
                <w:sz w:val="24"/>
                <w:highlight w:val="none"/>
                <w14:textFill>
                  <w14:solidFill>
                    <w14:schemeClr w14:val="tx1"/>
                  </w14:solidFill>
                </w14:textFill>
              </w:rPr>
            </w:pPr>
          </w:p>
        </w:tc>
        <w:tc>
          <w:tcPr>
            <w:tcW w:w="1095" w:type="dxa"/>
          </w:tcPr>
          <w:p w14:paraId="5F614302">
            <w:pPr>
              <w:widowControl/>
              <w:spacing w:line="600" w:lineRule="exact"/>
              <w:jc w:val="both"/>
              <w:rPr>
                <w:rFonts w:hint="eastAsia" w:ascii="宋体" w:hAnsi="宋体" w:cs="宋体"/>
                <w:color w:val="000000" w:themeColor="text1"/>
                <w:sz w:val="24"/>
                <w:highlight w:val="none"/>
                <w14:textFill>
                  <w14:solidFill>
                    <w14:schemeClr w14:val="tx1"/>
                  </w14:solidFill>
                </w14:textFill>
              </w:rPr>
            </w:pPr>
          </w:p>
        </w:tc>
        <w:tc>
          <w:tcPr>
            <w:tcW w:w="1095" w:type="dxa"/>
          </w:tcPr>
          <w:p w14:paraId="072F1F9C">
            <w:pPr>
              <w:widowControl/>
              <w:spacing w:line="600" w:lineRule="exact"/>
              <w:jc w:val="both"/>
              <w:rPr>
                <w:rFonts w:hint="eastAsia" w:ascii="宋体" w:hAnsi="宋体" w:cs="宋体"/>
                <w:color w:val="000000" w:themeColor="text1"/>
                <w:sz w:val="24"/>
                <w:highlight w:val="none"/>
                <w14:textFill>
                  <w14:solidFill>
                    <w14:schemeClr w14:val="tx1"/>
                  </w14:solidFill>
                </w14:textFill>
              </w:rPr>
            </w:pPr>
          </w:p>
        </w:tc>
        <w:tc>
          <w:tcPr>
            <w:tcW w:w="1095" w:type="dxa"/>
          </w:tcPr>
          <w:p w14:paraId="68EF0F64">
            <w:pPr>
              <w:widowControl/>
              <w:spacing w:line="600" w:lineRule="exact"/>
              <w:jc w:val="both"/>
              <w:rPr>
                <w:rFonts w:hint="eastAsia" w:ascii="宋体" w:hAnsi="宋体" w:cs="宋体"/>
                <w:color w:val="000000" w:themeColor="text1"/>
                <w:sz w:val="24"/>
                <w:highlight w:val="none"/>
                <w14:textFill>
                  <w14:solidFill>
                    <w14:schemeClr w14:val="tx1"/>
                  </w14:solidFill>
                </w14:textFill>
              </w:rPr>
            </w:pPr>
          </w:p>
        </w:tc>
        <w:tc>
          <w:tcPr>
            <w:tcW w:w="1095" w:type="dxa"/>
          </w:tcPr>
          <w:p w14:paraId="7DA65B9B">
            <w:pPr>
              <w:widowControl/>
              <w:spacing w:line="600" w:lineRule="exact"/>
              <w:jc w:val="both"/>
              <w:rPr>
                <w:rFonts w:hint="eastAsia" w:ascii="宋体" w:hAnsi="宋体" w:cs="宋体"/>
                <w:color w:val="000000" w:themeColor="text1"/>
                <w:sz w:val="24"/>
                <w:highlight w:val="none"/>
                <w14:textFill>
                  <w14:solidFill>
                    <w14:schemeClr w14:val="tx1"/>
                  </w14:solidFill>
                </w14:textFill>
              </w:rPr>
            </w:pPr>
          </w:p>
        </w:tc>
        <w:tc>
          <w:tcPr>
            <w:tcW w:w="1095" w:type="dxa"/>
          </w:tcPr>
          <w:p w14:paraId="2A73868A">
            <w:pPr>
              <w:widowControl/>
              <w:spacing w:line="600" w:lineRule="exact"/>
              <w:jc w:val="both"/>
              <w:rPr>
                <w:rFonts w:hint="eastAsia" w:ascii="宋体" w:hAnsi="宋体" w:cs="宋体"/>
                <w:color w:val="000000" w:themeColor="text1"/>
                <w:sz w:val="24"/>
                <w:highlight w:val="none"/>
                <w14:textFill>
                  <w14:solidFill>
                    <w14:schemeClr w14:val="tx1"/>
                  </w14:solidFill>
                </w14:textFill>
              </w:rPr>
            </w:pPr>
          </w:p>
        </w:tc>
        <w:tc>
          <w:tcPr>
            <w:tcW w:w="1095" w:type="dxa"/>
          </w:tcPr>
          <w:p w14:paraId="16452318">
            <w:pPr>
              <w:widowControl/>
              <w:spacing w:line="600" w:lineRule="exact"/>
              <w:jc w:val="both"/>
              <w:rPr>
                <w:rFonts w:hint="eastAsia" w:ascii="宋体" w:hAnsi="宋体" w:cs="宋体"/>
                <w:color w:val="000000" w:themeColor="text1"/>
                <w:sz w:val="24"/>
                <w:highlight w:val="none"/>
                <w14:textFill>
                  <w14:solidFill>
                    <w14:schemeClr w14:val="tx1"/>
                  </w14:solidFill>
                </w14:textFill>
              </w:rPr>
            </w:pPr>
          </w:p>
        </w:tc>
        <w:tc>
          <w:tcPr>
            <w:tcW w:w="1095" w:type="dxa"/>
          </w:tcPr>
          <w:p w14:paraId="3CDCC2E7">
            <w:pPr>
              <w:widowControl/>
              <w:spacing w:line="600" w:lineRule="exact"/>
              <w:jc w:val="both"/>
              <w:rPr>
                <w:rFonts w:hint="eastAsia" w:ascii="宋体" w:hAnsi="宋体" w:cs="宋体"/>
                <w:color w:val="000000" w:themeColor="text1"/>
                <w:sz w:val="24"/>
                <w:highlight w:val="none"/>
                <w14:textFill>
                  <w14:solidFill>
                    <w14:schemeClr w14:val="tx1"/>
                  </w14:solidFill>
                </w14:textFill>
              </w:rPr>
            </w:pPr>
          </w:p>
        </w:tc>
      </w:tr>
    </w:tbl>
    <w:p w14:paraId="7D45D40D">
      <w:pP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br w:type="page"/>
      </w:r>
    </w:p>
    <w:p w14:paraId="58A43BBA">
      <w:pPr>
        <w:pStyle w:val="2"/>
        <w:spacing w:before="0" w:after="0" w:line="380" w:lineRule="atLeast"/>
        <w:jc w:val="center"/>
        <w:rPr>
          <w:rFonts w:hint="eastAsia" w:ascii="宋体" w:hAnsi="宋体" w:cs="宋体"/>
          <w:b w:val="0"/>
          <w:color w:val="000000" w:themeColor="text1"/>
          <w:sz w:val="24"/>
          <w:szCs w:val="24"/>
          <w:highlight w:val="none"/>
          <w14:textFill>
            <w14:solidFill>
              <w14:schemeClr w14:val="tx1"/>
            </w14:solidFill>
          </w14:textFill>
        </w:rPr>
      </w:pPr>
      <w:r>
        <w:rPr>
          <w:rFonts w:hint="eastAsia" w:ascii="宋体" w:hAnsi="宋体" w:cs="宋体"/>
          <w:b w:val="0"/>
          <w:color w:val="000000" w:themeColor="text1"/>
          <w:sz w:val="24"/>
          <w:szCs w:val="24"/>
          <w:highlight w:val="none"/>
          <w14:textFill>
            <w14:solidFill>
              <w14:schemeClr w14:val="tx1"/>
            </w14:solidFill>
          </w14:textFill>
        </w:rPr>
        <w:t>（五）主要人员简历表</w:t>
      </w:r>
    </w:p>
    <w:p w14:paraId="5C763EC6">
      <w:pPr>
        <w:autoSpaceDE w:val="0"/>
        <w:autoSpaceDN w:val="0"/>
        <w:spacing w:line="400" w:lineRule="atLeast"/>
        <w:jc w:val="center"/>
        <w:textAlignment w:val="bottom"/>
        <w:rPr>
          <w:rFonts w:hint="eastAsia" w:ascii="宋体" w:hAnsi="宋体" w:cs="宋体"/>
          <w:color w:val="000000" w:themeColor="text1"/>
          <w:highlight w:val="none"/>
          <w14:textFill>
            <w14:solidFill>
              <w14:schemeClr w14:val="tx1"/>
            </w14:solidFill>
          </w14:textFill>
        </w:rPr>
      </w:pPr>
    </w:p>
    <w:tbl>
      <w:tblPr>
        <w:tblStyle w:val="86"/>
        <w:tblW w:w="96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371"/>
        <w:gridCol w:w="56"/>
        <w:gridCol w:w="1615"/>
        <w:gridCol w:w="1177"/>
        <w:gridCol w:w="1534"/>
        <w:gridCol w:w="374"/>
        <w:gridCol w:w="1714"/>
        <w:gridCol w:w="428"/>
        <w:gridCol w:w="1425"/>
      </w:tblGrid>
      <w:tr w14:paraId="352F9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60" w:hRule="atLeast"/>
        </w:trPr>
        <w:tc>
          <w:tcPr>
            <w:tcW w:w="1371" w:type="dxa"/>
            <w:vAlign w:val="center"/>
          </w:tcPr>
          <w:p w14:paraId="343EC399">
            <w:pPr>
              <w:autoSpaceDE w:val="0"/>
              <w:autoSpaceDN w:val="0"/>
              <w:spacing w:before="60" w:beforeLines="25" w:after="60" w:afterLines="25" w:line="400" w:lineRule="atLeast"/>
              <w:jc w:val="center"/>
              <w:textAlignment w:val="bottom"/>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姓    名</w:t>
            </w:r>
          </w:p>
        </w:tc>
        <w:tc>
          <w:tcPr>
            <w:tcW w:w="1671" w:type="dxa"/>
            <w:gridSpan w:val="2"/>
            <w:vAlign w:val="center"/>
          </w:tcPr>
          <w:p w14:paraId="5DD00135">
            <w:pPr>
              <w:autoSpaceDE w:val="0"/>
              <w:autoSpaceDN w:val="0"/>
              <w:spacing w:before="60" w:beforeLines="25" w:after="60" w:afterLines="25" w:line="400" w:lineRule="atLeast"/>
              <w:jc w:val="center"/>
              <w:textAlignment w:val="bottom"/>
              <w:rPr>
                <w:rFonts w:hint="eastAsia" w:ascii="宋体" w:hAnsi="宋体" w:cs="宋体"/>
                <w:color w:val="000000" w:themeColor="text1"/>
                <w:szCs w:val="21"/>
                <w:highlight w:val="none"/>
                <w14:textFill>
                  <w14:solidFill>
                    <w14:schemeClr w14:val="tx1"/>
                  </w14:solidFill>
                </w14:textFill>
              </w:rPr>
            </w:pPr>
          </w:p>
        </w:tc>
        <w:tc>
          <w:tcPr>
            <w:tcW w:w="1177" w:type="dxa"/>
            <w:vAlign w:val="center"/>
          </w:tcPr>
          <w:p w14:paraId="37B3D5D6">
            <w:pPr>
              <w:autoSpaceDE w:val="0"/>
              <w:autoSpaceDN w:val="0"/>
              <w:spacing w:before="60" w:beforeLines="25" w:after="60" w:afterLines="25" w:line="400" w:lineRule="atLeast"/>
              <w:jc w:val="center"/>
              <w:textAlignment w:val="bottom"/>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年    龄</w:t>
            </w:r>
          </w:p>
        </w:tc>
        <w:tc>
          <w:tcPr>
            <w:tcW w:w="1534" w:type="dxa"/>
          </w:tcPr>
          <w:p w14:paraId="77F2A422">
            <w:pPr>
              <w:autoSpaceDE w:val="0"/>
              <w:autoSpaceDN w:val="0"/>
              <w:spacing w:before="60" w:beforeLines="25" w:after="60" w:afterLines="25" w:line="400" w:lineRule="atLeast"/>
              <w:jc w:val="center"/>
              <w:textAlignment w:val="bottom"/>
              <w:rPr>
                <w:rFonts w:hint="eastAsia" w:ascii="宋体" w:hAnsi="宋体" w:cs="宋体"/>
                <w:color w:val="000000" w:themeColor="text1"/>
                <w:szCs w:val="21"/>
                <w:highlight w:val="none"/>
                <w14:textFill>
                  <w14:solidFill>
                    <w14:schemeClr w14:val="tx1"/>
                  </w14:solidFill>
                </w14:textFill>
              </w:rPr>
            </w:pPr>
          </w:p>
        </w:tc>
        <w:tc>
          <w:tcPr>
            <w:tcW w:w="2088" w:type="dxa"/>
            <w:gridSpan w:val="2"/>
          </w:tcPr>
          <w:p w14:paraId="7BAD2D4B">
            <w:pPr>
              <w:autoSpaceDE w:val="0"/>
              <w:autoSpaceDN w:val="0"/>
              <w:spacing w:before="60" w:beforeLines="25" w:after="60" w:afterLines="25" w:line="400" w:lineRule="atLeast"/>
              <w:jc w:val="center"/>
              <w:textAlignment w:val="bottom"/>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执业或职业资格证书名称</w:t>
            </w:r>
          </w:p>
        </w:tc>
        <w:tc>
          <w:tcPr>
            <w:tcW w:w="1853" w:type="dxa"/>
            <w:gridSpan w:val="2"/>
          </w:tcPr>
          <w:p w14:paraId="38C2ED05">
            <w:pPr>
              <w:autoSpaceDE w:val="0"/>
              <w:autoSpaceDN w:val="0"/>
              <w:spacing w:before="60" w:beforeLines="25" w:after="60" w:afterLines="25" w:line="400" w:lineRule="atLeast"/>
              <w:textAlignment w:val="bottom"/>
              <w:rPr>
                <w:rFonts w:hint="eastAsia" w:ascii="宋体" w:hAnsi="宋体" w:cs="宋体"/>
                <w:color w:val="000000" w:themeColor="text1"/>
                <w:szCs w:val="21"/>
                <w:highlight w:val="none"/>
                <w14:textFill>
                  <w14:solidFill>
                    <w14:schemeClr w14:val="tx1"/>
                  </w14:solidFill>
                </w14:textFill>
              </w:rPr>
            </w:pPr>
          </w:p>
        </w:tc>
      </w:tr>
      <w:tr w14:paraId="34F7A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371" w:type="dxa"/>
            <w:vAlign w:val="center"/>
          </w:tcPr>
          <w:p w14:paraId="4B5F0C3D">
            <w:pPr>
              <w:autoSpaceDE w:val="0"/>
              <w:autoSpaceDN w:val="0"/>
              <w:spacing w:before="60" w:beforeLines="25" w:after="60" w:afterLines="25" w:line="400" w:lineRule="atLeast"/>
              <w:jc w:val="center"/>
              <w:textAlignment w:val="bottom"/>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职称</w:t>
            </w:r>
          </w:p>
        </w:tc>
        <w:tc>
          <w:tcPr>
            <w:tcW w:w="1671" w:type="dxa"/>
            <w:gridSpan w:val="2"/>
            <w:vAlign w:val="center"/>
          </w:tcPr>
          <w:p w14:paraId="14E8615A">
            <w:pPr>
              <w:autoSpaceDE w:val="0"/>
              <w:autoSpaceDN w:val="0"/>
              <w:spacing w:before="60" w:beforeLines="25" w:after="60" w:afterLines="25" w:line="400" w:lineRule="atLeast"/>
              <w:jc w:val="center"/>
              <w:textAlignment w:val="bottom"/>
              <w:rPr>
                <w:rFonts w:hint="eastAsia" w:ascii="宋体" w:hAnsi="宋体" w:cs="宋体"/>
                <w:color w:val="000000" w:themeColor="text1"/>
                <w:szCs w:val="21"/>
                <w:highlight w:val="none"/>
                <w14:textFill>
                  <w14:solidFill>
                    <w14:schemeClr w14:val="tx1"/>
                  </w14:solidFill>
                </w14:textFill>
              </w:rPr>
            </w:pPr>
          </w:p>
        </w:tc>
        <w:tc>
          <w:tcPr>
            <w:tcW w:w="1177" w:type="dxa"/>
            <w:vAlign w:val="center"/>
          </w:tcPr>
          <w:p w14:paraId="535FCFDA">
            <w:pPr>
              <w:autoSpaceDE w:val="0"/>
              <w:autoSpaceDN w:val="0"/>
              <w:spacing w:before="60" w:beforeLines="25" w:after="60" w:afterLines="25" w:line="400" w:lineRule="atLeast"/>
              <w:jc w:val="center"/>
              <w:textAlignment w:val="bottom"/>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学    历</w:t>
            </w:r>
          </w:p>
        </w:tc>
        <w:tc>
          <w:tcPr>
            <w:tcW w:w="1534" w:type="dxa"/>
          </w:tcPr>
          <w:p w14:paraId="2429BE68">
            <w:pPr>
              <w:autoSpaceDE w:val="0"/>
              <w:autoSpaceDN w:val="0"/>
              <w:spacing w:before="60" w:beforeLines="25" w:after="60" w:afterLines="25" w:line="400" w:lineRule="atLeast"/>
              <w:jc w:val="center"/>
              <w:textAlignment w:val="bottom"/>
              <w:rPr>
                <w:rFonts w:hint="eastAsia" w:ascii="宋体" w:hAnsi="宋体" w:cs="宋体"/>
                <w:color w:val="000000" w:themeColor="text1"/>
                <w:szCs w:val="21"/>
                <w:highlight w:val="none"/>
                <w14:textFill>
                  <w14:solidFill>
                    <w14:schemeClr w14:val="tx1"/>
                  </w14:solidFill>
                </w14:textFill>
              </w:rPr>
            </w:pPr>
          </w:p>
        </w:tc>
        <w:tc>
          <w:tcPr>
            <w:tcW w:w="2088" w:type="dxa"/>
            <w:gridSpan w:val="2"/>
          </w:tcPr>
          <w:p w14:paraId="27D0795E">
            <w:pPr>
              <w:autoSpaceDE w:val="0"/>
              <w:autoSpaceDN w:val="0"/>
              <w:spacing w:before="60" w:beforeLines="25" w:after="60" w:afterLines="25" w:line="400" w:lineRule="atLeast"/>
              <w:jc w:val="center"/>
              <w:textAlignment w:val="bottom"/>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拟在本项目任职</w:t>
            </w:r>
          </w:p>
        </w:tc>
        <w:tc>
          <w:tcPr>
            <w:tcW w:w="1853" w:type="dxa"/>
            <w:gridSpan w:val="2"/>
          </w:tcPr>
          <w:p w14:paraId="55E5F260">
            <w:pPr>
              <w:autoSpaceDE w:val="0"/>
              <w:autoSpaceDN w:val="0"/>
              <w:spacing w:before="60" w:beforeLines="25" w:after="60" w:afterLines="25" w:line="400" w:lineRule="atLeast"/>
              <w:textAlignment w:val="bottom"/>
              <w:rPr>
                <w:rFonts w:hint="eastAsia" w:ascii="宋体" w:hAnsi="宋体" w:cs="宋体"/>
                <w:color w:val="000000" w:themeColor="text1"/>
                <w:szCs w:val="21"/>
                <w:highlight w:val="none"/>
                <w14:textFill>
                  <w14:solidFill>
                    <w14:schemeClr w14:val="tx1"/>
                  </w14:solidFill>
                </w14:textFill>
              </w:rPr>
            </w:pPr>
          </w:p>
        </w:tc>
      </w:tr>
      <w:tr w14:paraId="70C1F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371" w:type="dxa"/>
            <w:vAlign w:val="center"/>
          </w:tcPr>
          <w:p w14:paraId="43EAC8CB">
            <w:pPr>
              <w:autoSpaceDE w:val="0"/>
              <w:autoSpaceDN w:val="0"/>
              <w:spacing w:before="60" w:beforeLines="25" w:after="60" w:afterLines="25" w:line="400" w:lineRule="atLeast"/>
              <w:jc w:val="center"/>
              <w:textAlignment w:val="bottom"/>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工作年限</w:t>
            </w:r>
          </w:p>
        </w:tc>
        <w:tc>
          <w:tcPr>
            <w:tcW w:w="4382" w:type="dxa"/>
            <w:gridSpan w:val="4"/>
            <w:vAlign w:val="center"/>
          </w:tcPr>
          <w:p w14:paraId="023CF8BE">
            <w:pPr>
              <w:autoSpaceDE w:val="0"/>
              <w:autoSpaceDN w:val="0"/>
              <w:spacing w:before="60" w:beforeLines="25" w:after="60" w:afterLines="25" w:line="400" w:lineRule="atLeast"/>
              <w:jc w:val="center"/>
              <w:textAlignment w:val="bottom"/>
              <w:rPr>
                <w:rFonts w:hint="eastAsia" w:ascii="宋体" w:hAnsi="宋体" w:cs="宋体"/>
                <w:color w:val="000000" w:themeColor="text1"/>
                <w:szCs w:val="21"/>
                <w:highlight w:val="none"/>
                <w14:textFill>
                  <w14:solidFill>
                    <w14:schemeClr w14:val="tx1"/>
                  </w14:solidFill>
                </w14:textFill>
              </w:rPr>
            </w:pPr>
          </w:p>
        </w:tc>
        <w:tc>
          <w:tcPr>
            <w:tcW w:w="2088" w:type="dxa"/>
            <w:gridSpan w:val="2"/>
            <w:vAlign w:val="center"/>
          </w:tcPr>
          <w:p w14:paraId="66181F7C">
            <w:pPr>
              <w:autoSpaceDE w:val="0"/>
              <w:autoSpaceDN w:val="0"/>
              <w:spacing w:before="60" w:beforeLines="25" w:after="60" w:afterLines="25" w:line="400" w:lineRule="atLeast"/>
              <w:jc w:val="center"/>
              <w:textAlignment w:val="bottom"/>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从事类似工作年限</w:t>
            </w:r>
          </w:p>
        </w:tc>
        <w:tc>
          <w:tcPr>
            <w:tcW w:w="1853" w:type="dxa"/>
            <w:gridSpan w:val="2"/>
          </w:tcPr>
          <w:p w14:paraId="39C872A7">
            <w:pPr>
              <w:autoSpaceDE w:val="0"/>
              <w:autoSpaceDN w:val="0"/>
              <w:spacing w:before="60" w:beforeLines="25" w:after="60" w:afterLines="25" w:line="400" w:lineRule="atLeast"/>
              <w:textAlignment w:val="bottom"/>
              <w:rPr>
                <w:rFonts w:hint="eastAsia" w:ascii="宋体" w:hAnsi="宋体" w:cs="宋体"/>
                <w:color w:val="000000" w:themeColor="text1"/>
                <w:szCs w:val="21"/>
                <w:highlight w:val="none"/>
                <w14:textFill>
                  <w14:solidFill>
                    <w14:schemeClr w14:val="tx1"/>
                  </w14:solidFill>
                </w14:textFill>
              </w:rPr>
            </w:pPr>
          </w:p>
        </w:tc>
      </w:tr>
      <w:tr w14:paraId="782A8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03" w:hRule="atLeast"/>
        </w:trPr>
        <w:tc>
          <w:tcPr>
            <w:tcW w:w="1371" w:type="dxa"/>
            <w:vAlign w:val="center"/>
          </w:tcPr>
          <w:p w14:paraId="4CA11B26">
            <w:pPr>
              <w:autoSpaceDE w:val="0"/>
              <w:autoSpaceDN w:val="0"/>
              <w:spacing w:before="60" w:beforeLines="25" w:after="60" w:afterLines="25" w:line="400" w:lineRule="atLeast"/>
              <w:jc w:val="center"/>
              <w:textAlignment w:val="bottom"/>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毕业学校</w:t>
            </w:r>
          </w:p>
        </w:tc>
        <w:tc>
          <w:tcPr>
            <w:tcW w:w="8323" w:type="dxa"/>
            <w:gridSpan w:val="8"/>
            <w:vAlign w:val="center"/>
          </w:tcPr>
          <w:p w14:paraId="3A50ED83">
            <w:pPr>
              <w:autoSpaceDE w:val="0"/>
              <w:autoSpaceDN w:val="0"/>
              <w:spacing w:before="60" w:beforeLines="25" w:after="60" w:afterLines="25" w:line="400" w:lineRule="atLeast"/>
              <w:ind w:left="-187" w:leftChars="-89"/>
              <w:jc w:val="center"/>
              <w:textAlignment w:val="bottom"/>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______年___月毕业于___________________学校___________专业，学制______年</w:t>
            </w:r>
          </w:p>
        </w:tc>
      </w:tr>
      <w:tr w14:paraId="7E80C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9694" w:type="dxa"/>
            <w:gridSpan w:val="9"/>
            <w:vAlign w:val="center"/>
          </w:tcPr>
          <w:p w14:paraId="53AA89B4">
            <w:pPr>
              <w:autoSpaceDE w:val="0"/>
              <w:autoSpaceDN w:val="0"/>
              <w:spacing w:before="60" w:beforeLines="25" w:after="60" w:afterLines="25" w:line="400" w:lineRule="atLeast"/>
              <w:jc w:val="center"/>
              <w:textAlignment w:val="bottom"/>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主要工作经历</w:t>
            </w:r>
          </w:p>
        </w:tc>
      </w:tr>
      <w:tr w14:paraId="218F4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427" w:type="dxa"/>
            <w:gridSpan w:val="2"/>
            <w:vAlign w:val="center"/>
          </w:tcPr>
          <w:p w14:paraId="4C8A41F5">
            <w:pPr>
              <w:autoSpaceDE w:val="0"/>
              <w:autoSpaceDN w:val="0"/>
              <w:spacing w:before="60" w:beforeLines="25" w:after="60" w:afterLines="25" w:line="400" w:lineRule="atLeast"/>
              <w:jc w:val="center"/>
              <w:textAlignment w:val="bottom"/>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时  间</w:t>
            </w:r>
          </w:p>
        </w:tc>
        <w:tc>
          <w:tcPr>
            <w:tcW w:w="4700" w:type="dxa"/>
            <w:gridSpan w:val="4"/>
            <w:vAlign w:val="center"/>
          </w:tcPr>
          <w:p w14:paraId="6F275AB3">
            <w:pPr>
              <w:pStyle w:val="153"/>
              <w:adjustRightInd/>
              <w:snapToGrid/>
              <w:spacing w:before="60" w:beforeLines="25" w:after="60" w:afterLines="25" w:line="400" w:lineRule="atLeast"/>
              <w:textAlignment w:val="bottom"/>
              <w:rPr>
                <w:rFonts w:hint="eastAsia" w:ascii="宋体" w:hAnsi="宋体" w:cs="宋体"/>
                <w:color w:val="000000" w:themeColor="text1"/>
                <w:spacing w:val="0"/>
                <w:kern w:val="2"/>
                <w:szCs w:val="21"/>
                <w:highlight w:val="none"/>
                <w14:textFill>
                  <w14:solidFill>
                    <w14:schemeClr w14:val="tx1"/>
                  </w14:solidFill>
                </w14:textFill>
              </w:rPr>
            </w:pPr>
            <w:r>
              <w:rPr>
                <w:rFonts w:hint="eastAsia" w:ascii="宋体" w:hAnsi="宋体" w:cs="宋体"/>
                <w:color w:val="000000" w:themeColor="text1"/>
                <w:spacing w:val="0"/>
                <w:kern w:val="2"/>
                <w:szCs w:val="21"/>
                <w:highlight w:val="none"/>
                <w14:textFill>
                  <w14:solidFill>
                    <w14:schemeClr w14:val="tx1"/>
                  </w14:solidFill>
                </w14:textFill>
              </w:rPr>
              <w:t>参加过的类似项目</w:t>
            </w:r>
          </w:p>
        </w:tc>
        <w:tc>
          <w:tcPr>
            <w:tcW w:w="2142" w:type="dxa"/>
            <w:gridSpan w:val="2"/>
            <w:vAlign w:val="center"/>
          </w:tcPr>
          <w:p w14:paraId="7054E10B">
            <w:pPr>
              <w:pStyle w:val="153"/>
              <w:adjustRightInd/>
              <w:snapToGrid/>
              <w:spacing w:before="60" w:beforeLines="25" w:after="60" w:afterLines="25" w:line="400" w:lineRule="atLeast"/>
              <w:textAlignment w:val="bottom"/>
              <w:rPr>
                <w:rFonts w:hint="eastAsia" w:ascii="宋体" w:hAnsi="宋体" w:cs="宋体"/>
                <w:color w:val="000000" w:themeColor="text1"/>
                <w:spacing w:val="0"/>
                <w:kern w:val="2"/>
                <w:szCs w:val="21"/>
                <w:highlight w:val="none"/>
                <w14:textFill>
                  <w14:solidFill>
                    <w14:schemeClr w14:val="tx1"/>
                  </w14:solidFill>
                </w14:textFill>
              </w:rPr>
            </w:pPr>
            <w:r>
              <w:rPr>
                <w:rFonts w:hint="eastAsia" w:ascii="宋体" w:hAnsi="宋体" w:cs="宋体"/>
                <w:color w:val="000000" w:themeColor="text1"/>
                <w:spacing w:val="0"/>
                <w:kern w:val="2"/>
                <w:szCs w:val="21"/>
                <w:highlight w:val="none"/>
                <w14:textFill>
                  <w14:solidFill>
                    <w14:schemeClr w14:val="tx1"/>
                  </w14:solidFill>
                </w14:textFill>
              </w:rPr>
              <w:t>担任职务</w:t>
            </w:r>
          </w:p>
        </w:tc>
        <w:tc>
          <w:tcPr>
            <w:tcW w:w="1425" w:type="dxa"/>
            <w:vAlign w:val="center"/>
          </w:tcPr>
          <w:p w14:paraId="44972D3A">
            <w:pPr>
              <w:autoSpaceDE w:val="0"/>
              <w:autoSpaceDN w:val="0"/>
              <w:spacing w:before="60" w:beforeLines="25" w:after="60" w:afterLines="25" w:line="400" w:lineRule="atLeast"/>
              <w:jc w:val="center"/>
              <w:textAlignment w:val="bottom"/>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发包人及联系电话</w:t>
            </w:r>
          </w:p>
        </w:tc>
      </w:tr>
      <w:tr w14:paraId="7CD55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427" w:type="dxa"/>
            <w:gridSpan w:val="2"/>
            <w:vAlign w:val="center"/>
          </w:tcPr>
          <w:p w14:paraId="22B5CB73">
            <w:pPr>
              <w:autoSpaceDE w:val="0"/>
              <w:autoSpaceDN w:val="0"/>
              <w:spacing w:before="60" w:beforeLines="25" w:after="60" w:afterLines="25" w:line="400" w:lineRule="atLeast"/>
              <w:jc w:val="center"/>
              <w:textAlignment w:val="bottom"/>
              <w:rPr>
                <w:rFonts w:hint="eastAsia" w:ascii="宋体" w:hAnsi="宋体" w:cs="宋体"/>
                <w:color w:val="000000" w:themeColor="text1"/>
                <w:szCs w:val="21"/>
                <w:highlight w:val="none"/>
                <w14:textFill>
                  <w14:solidFill>
                    <w14:schemeClr w14:val="tx1"/>
                  </w14:solidFill>
                </w14:textFill>
              </w:rPr>
            </w:pPr>
          </w:p>
        </w:tc>
        <w:tc>
          <w:tcPr>
            <w:tcW w:w="4700" w:type="dxa"/>
            <w:gridSpan w:val="4"/>
            <w:vAlign w:val="center"/>
          </w:tcPr>
          <w:p w14:paraId="5CB3CE95">
            <w:pPr>
              <w:autoSpaceDE w:val="0"/>
              <w:autoSpaceDN w:val="0"/>
              <w:spacing w:before="60" w:beforeLines="25" w:after="60" w:afterLines="25" w:line="400" w:lineRule="atLeast"/>
              <w:jc w:val="center"/>
              <w:textAlignment w:val="bottom"/>
              <w:rPr>
                <w:rFonts w:hint="eastAsia" w:ascii="宋体" w:hAnsi="宋体" w:cs="宋体"/>
                <w:color w:val="000000" w:themeColor="text1"/>
                <w:szCs w:val="21"/>
                <w:highlight w:val="none"/>
                <w14:textFill>
                  <w14:solidFill>
                    <w14:schemeClr w14:val="tx1"/>
                  </w14:solidFill>
                </w14:textFill>
              </w:rPr>
            </w:pPr>
          </w:p>
        </w:tc>
        <w:tc>
          <w:tcPr>
            <w:tcW w:w="2142" w:type="dxa"/>
            <w:gridSpan w:val="2"/>
          </w:tcPr>
          <w:p w14:paraId="3C40157A">
            <w:pPr>
              <w:autoSpaceDE w:val="0"/>
              <w:autoSpaceDN w:val="0"/>
              <w:spacing w:before="60" w:beforeLines="25" w:after="60" w:afterLines="25" w:line="400" w:lineRule="atLeast"/>
              <w:textAlignment w:val="bottom"/>
              <w:rPr>
                <w:rFonts w:hint="eastAsia" w:ascii="宋体" w:hAnsi="宋体" w:cs="宋体"/>
                <w:color w:val="000000" w:themeColor="text1"/>
                <w:szCs w:val="21"/>
                <w:highlight w:val="none"/>
                <w14:textFill>
                  <w14:solidFill>
                    <w14:schemeClr w14:val="tx1"/>
                  </w14:solidFill>
                </w14:textFill>
              </w:rPr>
            </w:pPr>
          </w:p>
        </w:tc>
        <w:tc>
          <w:tcPr>
            <w:tcW w:w="1425" w:type="dxa"/>
          </w:tcPr>
          <w:p w14:paraId="5881BD0C">
            <w:pPr>
              <w:autoSpaceDE w:val="0"/>
              <w:autoSpaceDN w:val="0"/>
              <w:spacing w:before="60" w:beforeLines="25" w:after="60" w:afterLines="25" w:line="400" w:lineRule="atLeast"/>
              <w:textAlignment w:val="bottom"/>
              <w:rPr>
                <w:rFonts w:hint="eastAsia" w:ascii="宋体" w:hAnsi="宋体" w:cs="宋体"/>
                <w:color w:val="000000" w:themeColor="text1"/>
                <w:szCs w:val="21"/>
                <w:highlight w:val="none"/>
                <w14:textFill>
                  <w14:solidFill>
                    <w14:schemeClr w14:val="tx1"/>
                  </w14:solidFill>
                </w14:textFill>
              </w:rPr>
            </w:pPr>
          </w:p>
        </w:tc>
      </w:tr>
      <w:tr w14:paraId="1ACA7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427" w:type="dxa"/>
            <w:gridSpan w:val="2"/>
            <w:vAlign w:val="center"/>
          </w:tcPr>
          <w:p w14:paraId="2E194170">
            <w:pPr>
              <w:autoSpaceDE w:val="0"/>
              <w:autoSpaceDN w:val="0"/>
              <w:spacing w:before="60" w:beforeLines="25" w:after="60" w:afterLines="25" w:line="400" w:lineRule="atLeast"/>
              <w:jc w:val="center"/>
              <w:textAlignment w:val="bottom"/>
              <w:rPr>
                <w:rFonts w:hint="eastAsia" w:ascii="宋体" w:hAnsi="宋体" w:cs="宋体"/>
                <w:color w:val="000000" w:themeColor="text1"/>
                <w:szCs w:val="21"/>
                <w:highlight w:val="none"/>
                <w14:textFill>
                  <w14:solidFill>
                    <w14:schemeClr w14:val="tx1"/>
                  </w14:solidFill>
                </w14:textFill>
              </w:rPr>
            </w:pPr>
          </w:p>
        </w:tc>
        <w:tc>
          <w:tcPr>
            <w:tcW w:w="4700" w:type="dxa"/>
            <w:gridSpan w:val="4"/>
            <w:vAlign w:val="center"/>
          </w:tcPr>
          <w:p w14:paraId="4568A228">
            <w:pPr>
              <w:autoSpaceDE w:val="0"/>
              <w:autoSpaceDN w:val="0"/>
              <w:spacing w:before="60" w:beforeLines="25" w:after="60" w:afterLines="25" w:line="400" w:lineRule="atLeast"/>
              <w:jc w:val="center"/>
              <w:textAlignment w:val="bottom"/>
              <w:rPr>
                <w:rFonts w:hint="eastAsia" w:ascii="宋体" w:hAnsi="宋体" w:cs="宋体"/>
                <w:color w:val="000000" w:themeColor="text1"/>
                <w:szCs w:val="21"/>
                <w:highlight w:val="none"/>
                <w14:textFill>
                  <w14:solidFill>
                    <w14:schemeClr w14:val="tx1"/>
                  </w14:solidFill>
                </w14:textFill>
              </w:rPr>
            </w:pPr>
          </w:p>
        </w:tc>
        <w:tc>
          <w:tcPr>
            <w:tcW w:w="2142" w:type="dxa"/>
            <w:gridSpan w:val="2"/>
          </w:tcPr>
          <w:p w14:paraId="6189E3FD">
            <w:pPr>
              <w:autoSpaceDE w:val="0"/>
              <w:autoSpaceDN w:val="0"/>
              <w:spacing w:before="60" w:beforeLines="25" w:after="60" w:afterLines="25" w:line="400" w:lineRule="atLeast"/>
              <w:textAlignment w:val="bottom"/>
              <w:rPr>
                <w:rFonts w:hint="eastAsia" w:ascii="宋体" w:hAnsi="宋体" w:cs="宋体"/>
                <w:color w:val="000000" w:themeColor="text1"/>
                <w:szCs w:val="21"/>
                <w:highlight w:val="none"/>
                <w14:textFill>
                  <w14:solidFill>
                    <w14:schemeClr w14:val="tx1"/>
                  </w14:solidFill>
                </w14:textFill>
              </w:rPr>
            </w:pPr>
          </w:p>
        </w:tc>
        <w:tc>
          <w:tcPr>
            <w:tcW w:w="1425" w:type="dxa"/>
          </w:tcPr>
          <w:p w14:paraId="64122974">
            <w:pPr>
              <w:autoSpaceDE w:val="0"/>
              <w:autoSpaceDN w:val="0"/>
              <w:spacing w:before="60" w:beforeLines="25" w:after="60" w:afterLines="25" w:line="400" w:lineRule="atLeast"/>
              <w:textAlignment w:val="bottom"/>
              <w:rPr>
                <w:rFonts w:hint="eastAsia" w:ascii="宋体" w:hAnsi="宋体" w:cs="宋体"/>
                <w:color w:val="000000" w:themeColor="text1"/>
                <w:szCs w:val="21"/>
                <w:highlight w:val="none"/>
                <w14:textFill>
                  <w14:solidFill>
                    <w14:schemeClr w14:val="tx1"/>
                  </w14:solidFill>
                </w14:textFill>
              </w:rPr>
            </w:pPr>
          </w:p>
        </w:tc>
      </w:tr>
      <w:tr w14:paraId="136FF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427" w:type="dxa"/>
            <w:gridSpan w:val="2"/>
            <w:vAlign w:val="center"/>
          </w:tcPr>
          <w:p w14:paraId="2E1056A3">
            <w:pPr>
              <w:autoSpaceDE w:val="0"/>
              <w:autoSpaceDN w:val="0"/>
              <w:spacing w:before="60" w:beforeLines="25" w:after="60" w:afterLines="25" w:line="400" w:lineRule="atLeast"/>
              <w:jc w:val="center"/>
              <w:textAlignment w:val="bottom"/>
              <w:rPr>
                <w:rFonts w:hint="eastAsia" w:ascii="宋体" w:hAnsi="宋体" w:cs="宋体"/>
                <w:color w:val="000000" w:themeColor="text1"/>
                <w:szCs w:val="21"/>
                <w:highlight w:val="none"/>
                <w14:textFill>
                  <w14:solidFill>
                    <w14:schemeClr w14:val="tx1"/>
                  </w14:solidFill>
                </w14:textFill>
              </w:rPr>
            </w:pPr>
          </w:p>
        </w:tc>
        <w:tc>
          <w:tcPr>
            <w:tcW w:w="4700" w:type="dxa"/>
            <w:gridSpan w:val="4"/>
            <w:vAlign w:val="center"/>
          </w:tcPr>
          <w:p w14:paraId="2EB4ED85">
            <w:pPr>
              <w:autoSpaceDE w:val="0"/>
              <w:autoSpaceDN w:val="0"/>
              <w:spacing w:before="60" w:beforeLines="25" w:after="60" w:afterLines="25" w:line="400" w:lineRule="atLeast"/>
              <w:jc w:val="center"/>
              <w:textAlignment w:val="bottom"/>
              <w:rPr>
                <w:rFonts w:hint="eastAsia" w:ascii="宋体" w:hAnsi="宋体" w:cs="宋体"/>
                <w:color w:val="000000" w:themeColor="text1"/>
                <w:szCs w:val="21"/>
                <w:highlight w:val="none"/>
                <w14:textFill>
                  <w14:solidFill>
                    <w14:schemeClr w14:val="tx1"/>
                  </w14:solidFill>
                </w14:textFill>
              </w:rPr>
            </w:pPr>
          </w:p>
        </w:tc>
        <w:tc>
          <w:tcPr>
            <w:tcW w:w="2142" w:type="dxa"/>
            <w:gridSpan w:val="2"/>
          </w:tcPr>
          <w:p w14:paraId="34715071">
            <w:pPr>
              <w:autoSpaceDE w:val="0"/>
              <w:autoSpaceDN w:val="0"/>
              <w:spacing w:before="60" w:beforeLines="25" w:after="60" w:afterLines="25" w:line="400" w:lineRule="atLeast"/>
              <w:textAlignment w:val="bottom"/>
              <w:rPr>
                <w:rFonts w:hint="eastAsia" w:ascii="宋体" w:hAnsi="宋体" w:cs="宋体"/>
                <w:color w:val="000000" w:themeColor="text1"/>
                <w:szCs w:val="21"/>
                <w:highlight w:val="none"/>
                <w14:textFill>
                  <w14:solidFill>
                    <w14:schemeClr w14:val="tx1"/>
                  </w14:solidFill>
                </w14:textFill>
              </w:rPr>
            </w:pPr>
          </w:p>
        </w:tc>
        <w:tc>
          <w:tcPr>
            <w:tcW w:w="1425" w:type="dxa"/>
          </w:tcPr>
          <w:p w14:paraId="4A6CD584">
            <w:pPr>
              <w:autoSpaceDE w:val="0"/>
              <w:autoSpaceDN w:val="0"/>
              <w:spacing w:before="60" w:beforeLines="25" w:after="60" w:afterLines="25" w:line="400" w:lineRule="atLeast"/>
              <w:textAlignment w:val="bottom"/>
              <w:rPr>
                <w:rFonts w:hint="eastAsia" w:ascii="宋体" w:hAnsi="宋体" w:cs="宋体"/>
                <w:color w:val="000000" w:themeColor="text1"/>
                <w:szCs w:val="21"/>
                <w:highlight w:val="none"/>
                <w14:textFill>
                  <w14:solidFill>
                    <w14:schemeClr w14:val="tx1"/>
                  </w14:solidFill>
                </w14:textFill>
              </w:rPr>
            </w:pPr>
          </w:p>
        </w:tc>
      </w:tr>
      <w:tr w14:paraId="4DD5F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427" w:type="dxa"/>
            <w:gridSpan w:val="2"/>
            <w:vAlign w:val="center"/>
          </w:tcPr>
          <w:p w14:paraId="4BD1D610">
            <w:pPr>
              <w:autoSpaceDE w:val="0"/>
              <w:autoSpaceDN w:val="0"/>
              <w:spacing w:before="60" w:beforeLines="25" w:after="60" w:afterLines="25" w:line="400" w:lineRule="atLeast"/>
              <w:jc w:val="center"/>
              <w:textAlignment w:val="bottom"/>
              <w:rPr>
                <w:rFonts w:hint="eastAsia" w:ascii="宋体" w:hAnsi="宋体" w:cs="宋体"/>
                <w:color w:val="000000" w:themeColor="text1"/>
                <w:szCs w:val="21"/>
                <w:highlight w:val="none"/>
                <w14:textFill>
                  <w14:solidFill>
                    <w14:schemeClr w14:val="tx1"/>
                  </w14:solidFill>
                </w14:textFill>
              </w:rPr>
            </w:pPr>
          </w:p>
        </w:tc>
        <w:tc>
          <w:tcPr>
            <w:tcW w:w="4700" w:type="dxa"/>
            <w:gridSpan w:val="4"/>
            <w:vAlign w:val="center"/>
          </w:tcPr>
          <w:p w14:paraId="18788B6B">
            <w:pPr>
              <w:autoSpaceDE w:val="0"/>
              <w:autoSpaceDN w:val="0"/>
              <w:spacing w:before="60" w:beforeLines="25" w:after="60" w:afterLines="25" w:line="400" w:lineRule="atLeast"/>
              <w:jc w:val="center"/>
              <w:textAlignment w:val="bottom"/>
              <w:rPr>
                <w:rFonts w:hint="eastAsia" w:ascii="宋体" w:hAnsi="宋体" w:cs="宋体"/>
                <w:color w:val="000000" w:themeColor="text1"/>
                <w:szCs w:val="21"/>
                <w:highlight w:val="none"/>
                <w14:textFill>
                  <w14:solidFill>
                    <w14:schemeClr w14:val="tx1"/>
                  </w14:solidFill>
                </w14:textFill>
              </w:rPr>
            </w:pPr>
          </w:p>
        </w:tc>
        <w:tc>
          <w:tcPr>
            <w:tcW w:w="2142" w:type="dxa"/>
            <w:gridSpan w:val="2"/>
          </w:tcPr>
          <w:p w14:paraId="01232F3A">
            <w:pPr>
              <w:autoSpaceDE w:val="0"/>
              <w:autoSpaceDN w:val="0"/>
              <w:spacing w:before="60" w:beforeLines="25" w:after="60" w:afterLines="25" w:line="400" w:lineRule="atLeast"/>
              <w:textAlignment w:val="bottom"/>
              <w:rPr>
                <w:rFonts w:hint="eastAsia" w:ascii="宋体" w:hAnsi="宋体" w:cs="宋体"/>
                <w:color w:val="000000" w:themeColor="text1"/>
                <w:szCs w:val="21"/>
                <w:highlight w:val="none"/>
                <w14:textFill>
                  <w14:solidFill>
                    <w14:schemeClr w14:val="tx1"/>
                  </w14:solidFill>
                </w14:textFill>
              </w:rPr>
            </w:pPr>
          </w:p>
        </w:tc>
        <w:tc>
          <w:tcPr>
            <w:tcW w:w="1425" w:type="dxa"/>
          </w:tcPr>
          <w:p w14:paraId="786D8717">
            <w:pPr>
              <w:autoSpaceDE w:val="0"/>
              <w:autoSpaceDN w:val="0"/>
              <w:spacing w:before="60" w:beforeLines="25" w:after="60" w:afterLines="25" w:line="400" w:lineRule="atLeast"/>
              <w:textAlignment w:val="bottom"/>
              <w:rPr>
                <w:rFonts w:hint="eastAsia" w:ascii="宋体" w:hAnsi="宋体" w:cs="宋体"/>
                <w:color w:val="000000" w:themeColor="text1"/>
                <w:szCs w:val="21"/>
                <w:highlight w:val="none"/>
                <w14:textFill>
                  <w14:solidFill>
                    <w14:schemeClr w14:val="tx1"/>
                  </w14:solidFill>
                </w14:textFill>
              </w:rPr>
            </w:pPr>
          </w:p>
        </w:tc>
      </w:tr>
      <w:tr w14:paraId="669DA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427" w:type="dxa"/>
            <w:gridSpan w:val="2"/>
            <w:vAlign w:val="center"/>
          </w:tcPr>
          <w:p w14:paraId="549449F8">
            <w:pPr>
              <w:autoSpaceDE w:val="0"/>
              <w:autoSpaceDN w:val="0"/>
              <w:spacing w:before="60" w:beforeLines="25" w:after="60" w:afterLines="25" w:line="400" w:lineRule="atLeast"/>
              <w:jc w:val="center"/>
              <w:textAlignment w:val="bottom"/>
              <w:rPr>
                <w:rFonts w:hint="eastAsia" w:ascii="宋体" w:hAnsi="宋体" w:cs="宋体"/>
                <w:color w:val="000000" w:themeColor="text1"/>
                <w:szCs w:val="21"/>
                <w:highlight w:val="none"/>
                <w14:textFill>
                  <w14:solidFill>
                    <w14:schemeClr w14:val="tx1"/>
                  </w14:solidFill>
                </w14:textFill>
              </w:rPr>
            </w:pPr>
          </w:p>
        </w:tc>
        <w:tc>
          <w:tcPr>
            <w:tcW w:w="4700" w:type="dxa"/>
            <w:gridSpan w:val="4"/>
            <w:vAlign w:val="center"/>
          </w:tcPr>
          <w:p w14:paraId="043628B6">
            <w:pPr>
              <w:autoSpaceDE w:val="0"/>
              <w:autoSpaceDN w:val="0"/>
              <w:spacing w:before="60" w:beforeLines="25" w:after="60" w:afterLines="25" w:line="400" w:lineRule="atLeast"/>
              <w:jc w:val="center"/>
              <w:textAlignment w:val="bottom"/>
              <w:rPr>
                <w:rFonts w:hint="eastAsia" w:ascii="宋体" w:hAnsi="宋体" w:cs="宋体"/>
                <w:color w:val="000000" w:themeColor="text1"/>
                <w:szCs w:val="21"/>
                <w:highlight w:val="none"/>
                <w14:textFill>
                  <w14:solidFill>
                    <w14:schemeClr w14:val="tx1"/>
                  </w14:solidFill>
                </w14:textFill>
              </w:rPr>
            </w:pPr>
          </w:p>
        </w:tc>
        <w:tc>
          <w:tcPr>
            <w:tcW w:w="2142" w:type="dxa"/>
            <w:gridSpan w:val="2"/>
          </w:tcPr>
          <w:p w14:paraId="5E01E50E">
            <w:pPr>
              <w:autoSpaceDE w:val="0"/>
              <w:autoSpaceDN w:val="0"/>
              <w:spacing w:before="60" w:beforeLines="25" w:after="60" w:afterLines="25" w:line="400" w:lineRule="atLeast"/>
              <w:textAlignment w:val="bottom"/>
              <w:rPr>
                <w:rFonts w:hint="eastAsia" w:ascii="宋体" w:hAnsi="宋体" w:cs="宋体"/>
                <w:color w:val="000000" w:themeColor="text1"/>
                <w:szCs w:val="21"/>
                <w:highlight w:val="none"/>
                <w14:textFill>
                  <w14:solidFill>
                    <w14:schemeClr w14:val="tx1"/>
                  </w14:solidFill>
                </w14:textFill>
              </w:rPr>
            </w:pPr>
          </w:p>
        </w:tc>
        <w:tc>
          <w:tcPr>
            <w:tcW w:w="1425" w:type="dxa"/>
          </w:tcPr>
          <w:p w14:paraId="00C22652">
            <w:pPr>
              <w:autoSpaceDE w:val="0"/>
              <w:autoSpaceDN w:val="0"/>
              <w:spacing w:before="60" w:beforeLines="25" w:after="60" w:afterLines="25" w:line="400" w:lineRule="atLeast"/>
              <w:textAlignment w:val="bottom"/>
              <w:rPr>
                <w:rFonts w:hint="eastAsia" w:ascii="宋体" w:hAnsi="宋体" w:cs="宋体"/>
                <w:color w:val="000000" w:themeColor="text1"/>
                <w:szCs w:val="21"/>
                <w:highlight w:val="none"/>
                <w14:textFill>
                  <w14:solidFill>
                    <w14:schemeClr w14:val="tx1"/>
                  </w14:solidFill>
                </w14:textFill>
              </w:rPr>
            </w:pPr>
          </w:p>
        </w:tc>
      </w:tr>
      <w:tr w14:paraId="19BCF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427" w:type="dxa"/>
            <w:gridSpan w:val="2"/>
            <w:vAlign w:val="center"/>
          </w:tcPr>
          <w:p w14:paraId="699EC602">
            <w:pPr>
              <w:autoSpaceDE w:val="0"/>
              <w:autoSpaceDN w:val="0"/>
              <w:spacing w:before="60" w:beforeLines="25" w:after="60" w:afterLines="25" w:line="400" w:lineRule="atLeast"/>
              <w:jc w:val="center"/>
              <w:textAlignment w:val="bottom"/>
              <w:rPr>
                <w:rFonts w:hint="eastAsia" w:ascii="宋体" w:hAnsi="宋体" w:cs="宋体"/>
                <w:color w:val="000000" w:themeColor="text1"/>
                <w:szCs w:val="21"/>
                <w:highlight w:val="none"/>
                <w14:textFill>
                  <w14:solidFill>
                    <w14:schemeClr w14:val="tx1"/>
                  </w14:solidFill>
                </w14:textFill>
              </w:rPr>
            </w:pPr>
          </w:p>
        </w:tc>
        <w:tc>
          <w:tcPr>
            <w:tcW w:w="4700" w:type="dxa"/>
            <w:gridSpan w:val="4"/>
            <w:vAlign w:val="center"/>
          </w:tcPr>
          <w:p w14:paraId="23DD996C">
            <w:pPr>
              <w:autoSpaceDE w:val="0"/>
              <w:autoSpaceDN w:val="0"/>
              <w:spacing w:before="60" w:beforeLines="25" w:after="60" w:afterLines="25" w:line="400" w:lineRule="atLeast"/>
              <w:jc w:val="center"/>
              <w:textAlignment w:val="bottom"/>
              <w:rPr>
                <w:rFonts w:hint="eastAsia" w:ascii="宋体" w:hAnsi="宋体" w:cs="宋体"/>
                <w:color w:val="000000" w:themeColor="text1"/>
                <w:szCs w:val="21"/>
                <w:highlight w:val="none"/>
                <w14:textFill>
                  <w14:solidFill>
                    <w14:schemeClr w14:val="tx1"/>
                  </w14:solidFill>
                </w14:textFill>
              </w:rPr>
            </w:pPr>
          </w:p>
        </w:tc>
        <w:tc>
          <w:tcPr>
            <w:tcW w:w="2142" w:type="dxa"/>
            <w:gridSpan w:val="2"/>
          </w:tcPr>
          <w:p w14:paraId="78AB775D">
            <w:pPr>
              <w:autoSpaceDE w:val="0"/>
              <w:autoSpaceDN w:val="0"/>
              <w:spacing w:before="60" w:beforeLines="25" w:after="60" w:afterLines="25" w:line="400" w:lineRule="atLeast"/>
              <w:textAlignment w:val="bottom"/>
              <w:rPr>
                <w:rFonts w:hint="eastAsia" w:ascii="宋体" w:hAnsi="宋体" w:cs="宋体"/>
                <w:color w:val="000000" w:themeColor="text1"/>
                <w:szCs w:val="21"/>
                <w:highlight w:val="none"/>
                <w14:textFill>
                  <w14:solidFill>
                    <w14:schemeClr w14:val="tx1"/>
                  </w14:solidFill>
                </w14:textFill>
              </w:rPr>
            </w:pPr>
          </w:p>
        </w:tc>
        <w:tc>
          <w:tcPr>
            <w:tcW w:w="1425" w:type="dxa"/>
          </w:tcPr>
          <w:p w14:paraId="129EC736">
            <w:pPr>
              <w:autoSpaceDE w:val="0"/>
              <w:autoSpaceDN w:val="0"/>
              <w:spacing w:before="60" w:beforeLines="25" w:after="60" w:afterLines="25" w:line="400" w:lineRule="atLeast"/>
              <w:textAlignment w:val="bottom"/>
              <w:rPr>
                <w:rFonts w:hint="eastAsia" w:ascii="宋体" w:hAnsi="宋体" w:cs="宋体"/>
                <w:color w:val="000000" w:themeColor="text1"/>
                <w:szCs w:val="21"/>
                <w:highlight w:val="none"/>
                <w14:textFill>
                  <w14:solidFill>
                    <w14:schemeClr w14:val="tx1"/>
                  </w14:solidFill>
                </w14:textFill>
              </w:rPr>
            </w:pPr>
          </w:p>
        </w:tc>
      </w:tr>
      <w:tr w14:paraId="77650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427" w:type="dxa"/>
            <w:gridSpan w:val="2"/>
            <w:vAlign w:val="center"/>
          </w:tcPr>
          <w:p w14:paraId="111C31A4">
            <w:pPr>
              <w:autoSpaceDE w:val="0"/>
              <w:autoSpaceDN w:val="0"/>
              <w:spacing w:before="60" w:beforeLines="25" w:after="60" w:afterLines="25" w:line="400" w:lineRule="atLeast"/>
              <w:jc w:val="center"/>
              <w:textAlignment w:val="bottom"/>
              <w:rPr>
                <w:rFonts w:hint="eastAsia" w:ascii="宋体" w:hAnsi="宋体" w:cs="宋体"/>
                <w:color w:val="000000" w:themeColor="text1"/>
                <w:szCs w:val="21"/>
                <w:highlight w:val="none"/>
                <w14:textFill>
                  <w14:solidFill>
                    <w14:schemeClr w14:val="tx1"/>
                  </w14:solidFill>
                </w14:textFill>
              </w:rPr>
            </w:pPr>
          </w:p>
        </w:tc>
        <w:tc>
          <w:tcPr>
            <w:tcW w:w="4700" w:type="dxa"/>
            <w:gridSpan w:val="4"/>
            <w:vAlign w:val="center"/>
          </w:tcPr>
          <w:p w14:paraId="70C9D43B">
            <w:pPr>
              <w:autoSpaceDE w:val="0"/>
              <w:autoSpaceDN w:val="0"/>
              <w:spacing w:before="60" w:beforeLines="25" w:after="60" w:afterLines="25" w:line="400" w:lineRule="atLeast"/>
              <w:jc w:val="center"/>
              <w:textAlignment w:val="bottom"/>
              <w:rPr>
                <w:rFonts w:hint="eastAsia" w:ascii="宋体" w:hAnsi="宋体" w:cs="宋体"/>
                <w:color w:val="000000" w:themeColor="text1"/>
                <w:szCs w:val="21"/>
                <w:highlight w:val="none"/>
                <w14:textFill>
                  <w14:solidFill>
                    <w14:schemeClr w14:val="tx1"/>
                  </w14:solidFill>
                </w14:textFill>
              </w:rPr>
            </w:pPr>
          </w:p>
        </w:tc>
        <w:tc>
          <w:tcPr>
            <w:tcW w:w="2142" w:type="dxa"/>
            <w:gridSpan w:val="2"/>
          </w:tcPr>
          <w:p w14:paraId="7680DF5C">
            <w:pPr>
              <w:autoSpaceDE w:val="0"/>
              <w:autoSpaceDN w:val="0"/>
              <w:spacing w:before="60" w:beforeLines="25" w:after="60" w:afterLines="25" w:line="400" w:lineRule="atLeast"/>
              <w:textAlignment w:val="bottom"/>
              <w:rPr>
                <w:rFonts w:hint="eastAsia" w:ascii="宋体" w:hAnsi="宋体" w:cs="宋体"/>
                <w:color w:val="000000" w:themeColor="text1"/>
                <w:szCs w:val="21"/>
                <w:highlight w:val="none"/>
                <w14:textFill>
                  <w14:solidFill>
                    <w14:schemeClr w14:val="tx1"/>
                  </w14:solidFill>
                </w14:textFill>
              </w:rPr>
            </w:pPr>
          </w:p>
        </w:tc>
        <w:tc>
          <w:tcPr>
            <w:tcW w:w="1425" w:type="dxa"/>
          </w:tcPr>
          <w:p w14:paraId="78DD9D2E">
            <w:pPr>
              <w:autoSpaceDE w:val="0"/>
              <w:autoSpaceDN w:val="0"/>
              <w:spacing w:before="60" w:beforeLines="25" w:after="60" w:afterLines="25" w:line="400" w:lineRule="atLeast"/>
              <w:textAlignment w:val="bottom"/>
              <w:rPr>
                <w:rFonts w:hint="eastAsia" w:ascii="宋体" w:hAnsi="宋体" w:cs="宋体"/>
                <w:color w:val="000000" w:themeColor="text1"/>
                <w:szCs w:val="21"/>
                <w:highlight w:val="none"/>
                <w14:textFill>
                  <w14:solidFill>
                    <w14:schemeClr w14:val="tx1"/>
                  </w14:solidFill>
                </w14:textFill>
              </w:rPr>
            </w:pPr>
          </w:p>
        </w:tc>
      </w:tr>
    </w:tbl>
    <w:p w14:paraId="5C07CA3E">
      <w:pPr>
        <w:spacing w:line="600" w:lineRule="exac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注：供应商应根据供应商须知前附表第3.5（6）项的要求在本表后附相关证明材料。</w:t>
      </w:r>
    </w:p>
    <w:p w14:paraId="3C6A1D01">
      <w:pPr>
        <w:rPr>
          <w:rFonts w:hint="eastAsia" w:ascii="宋体" w:hAnsi="宋体" w:cs="宋体"/>
          <w:color w:val="000000" w:themeColor="text1"/>
          <w:sz w:val="30"/>
          <w:szCs w:val="30"/>
          <w:highlight w:val="none"/>
          <w14:textFill>
            <w14:solidFill>
              <w14:schemeClr w14:val="tx1"/>
            </w14:solidFill>
          </w14:textFill>
        </w:rPr>
      </w:pPr>
      <w:r>
        <w:rPr>
          <w:rFonts w:hint="eastAsia" w:ascii="宋体" w:hAnsi="宋体" w:cs="宋体"/>
          <w:color w:val="000000" w:themeColor="text1"/>
          <w:sz w:val="30"/>
          <w:szCs w:val="30"/>
          <w:highlight w:val="none"/>
          <w14:textFill>
            <w14:solidFill>
              <w14:schemeClr w14:val="tx1"/>
            </w14:solidFill>
          </w14:textFill>
        </w:rPr>
        <w:br w:type="page"/>
      </w:r>
    </w:p>
    <w:p w14:paraId="0CFE39F5">
      <w:pPr>
        <w:adjustRightInd w:val="0"/>
        <w:snapToGrid w:val="0"/>
        <w:spacing w:line="600" w:lineRule="exact"/>
        <w:ind w:firstLine="600" w:firstLineChars="200"/>
        <w:rPr>
          <w:rFonts w:hint="eastAsia" w:ascii="宋体" w:hAnsi="宋体" w:cs="宋体"/>
          <w:color w:val="000000" w:themeColor="text1"/>
          <w:sz w:val="30"/>
          <w:szCs w:val="30"/>
          <w:highlight w:val="none"/>
          <w14:textFill>
            <w14:solidFill>
              <w14:schemeClr w14:val="tx1"/>
            </w14:solidFill>
          </w14:textFill>
        </w:rPr>
      </w:pPr>
      <w:r>
        <w:rPr>
          <w:rFonts w:hint="eastAsia" w:ascii="宋体" w:hAnsi="宋体" w:cs="宋体"/>
          <w:color w:val="000000" w:themeColor="text1"/>
          <w:sz w:val="30"/>
          <w:szCs w:val="30"/>
          <w:highlight w:val="none"/>
          <w14:textFill>
            <w14:solidFill>
              <w14:schemeClr w14:val="tx1"/>
            </w14:solidFill>
          </w14:textFill>
        </w:rPr>
        <w:t>八、响应方案</w:t>
      </w:r>
    </w:p>
    <w:p w14:paraId="2350927D">
      <w:pPr>
        <w:pStyle w:val="72"/>
        <w:ind w:left="840" w:hanging="420"/>
        <w:rPr>
          <w:color w:val="000000" w:themeColor="text1"/>
          <w:highlight w:val="none"/>
          <w14:textFill>
            <w14:solidFill>
              <w14:schemeClr w14:val="tx1"/>
            </w14:solidFill>
          </w14:textFill>
        </w:rPr>
      </w:pPr>
    </w:p>
    <w:p w14:paraId="0E77AFB1">
      <w:pPr>
        <w:adjustRightInd w:val="0"/>
        <w:snapToGrid w:val="0"/>
        <w:spacing w:line="60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响应方案一般包括(但不限于)下列内容：</w:t>
      </w:r>
    </w:p>
    <w:p w14:paraId="3DF6F4A5">
      <w:pPr>
        <w:widowControl/>
        <w:numPr>
          <w:ilvl w:val="0"/>
          <w:numId w:val="24"/>
        </w:numPr>
        <w:tabs>
          <w:tab w:val="left" w:pos="312"/>
        </w:tabs>
        <w:spacing w:after="200" w:line="600" w:lineRule="exact"/>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 xml:space="preserve">项目实施方案; </w:t>
      </w:r>
    </w:p>
    <w:p w14:paraId="2C9E541A">
      <w:pPr>
        <w:widowControl/>
        <w:numPr>
          <w:ilvl w:val="0"/>
          <w:numId w:val="24"/>
        </w:numPr>
        <w:tabs>
          <w:tab w:val="left" w:pos="312"/>
        </w:tabs>
        <w:spacing w:after="200" w:line="600" w:lineRule="exact"/>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 xml:space="preserve">对本服务项目工作步骤和程序的理解； </w:t>
      </w:r>
    </w:p>
    <w:p w14:paraId="18E921A2">
      <w:pPr>
        <w:widowControl/>
        <w:numPr>
          <w:ilvl w:val="0"/>
          <w:numId w:val="24"/>
        </w:numPr>
        <w:tabs>
          <w:tab w:val="left" w:pos="312"/>
        </w:tabs>
        <w:spacing w:after="200" w:line="600" w:lineRule="exact"/>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对本项目重点难点分析；</w:t>
      </w:r>
    </w:p>
    <w:p w14:paraId="1A9AA739">
      <w:pPr>
        <w:widowControl/>
        <w:numPr>
          <w:ilvl w:val="0"/>
          <w:numId w:val="24"/>
        </w:numPr>
        <w:tabs>
          <w:tab w:val="left" w:pos="312"/>
        </w:tabs>
        <w:spacing w:after="200" w:line="600" w:lineRule="exact"/>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质量保证措施、进度保证措施。</w:t>
      </w:r>
    </w:p>
    <w:p w14:paraId="65A295A1">
      <w:pPr>
        <w:rPr>
          <w:rFonts w:hint="eastAsia" w:ascii="宋体" w:hAnsi="宋体" w:cs="宋体"/>
          <w:color w:val="000000" w:themeColor="text1"/>
          <w:sz w:val="30"/>
          <w:szCs w:val="30"/>
          <w:highlight w:val="none"/>
          <w14:textFill>
            <w14:solidFill>
              <w14:schemeClr w14:val="tx1"/>
            </w14:solidFill>
          </w14:textFill>
        </w:rPr>
      </w:pPr>
      <w:r>
        <w:rPr>
          <w:rFonts w:hint="eastAsia" w:ascii="宋体" w:hAnsi="宋体" w:cs="宋体"/>
          <w:color w:val="000000" w:themeColor="text1"/>
          <w:sz w:val="30"/>
          <w:szCs w:val="30"/>
          <w:highlight w:val="none"/>
          <w14:textFill>
            <w14:solidFill>
              <w14:schemeClr w14:val="tx1"/>
            </w14:solidFill>
          </w14:textFill>
        </w:rPr>
        <w:br w:type="page"/>
      </w:r>
    </w:p>
    <w:p w14:paraId="08007581">
      <w:pPr>
        <w:adjustRightInd w:val="0"/>
        <w:snapToGrid w:val="0"/>
        <w:spacing w:line="600" w:lineRule="exact"/>
        <w:ind w:left="420" w:leftChars="200"/>
        <w:rPr>
          <w:rFonts w:hint="eastAsia" w:ascii="宋体" w:hAnsi="宋体" w:cs="宋体"/>
          <w:color w:val="000000" w:themeColor="text1"/>
          <w:sz w:val="30"/>
          <w:szCs w:val="30"/>
          <w:highlight w:val="none"/>
          <w14:textFill>
            <w14:solidFill>
              <w14:schemeClr w14:val="tx1"/>
            </w14:solidFill>
          </w14:textFill>
        </w:rPr>
      </w:pPr>
      <w:r>
        <w:rPr>
          <w:rFonts w:hint="eastAsia" w:ascii="宋体" w:hAnsi="宋体" w:cs="宋体"/>
          <w:color w:val="000000" w:themeColor="text1"/>
          <w:sz w:val="30"/>
          <w:szCs w:val="30"/>
          <w:highlight w:val="none"/>
          <w14:textFill>
            <w14:solidFill>
              <w14:schemeClr w14:val="tx1"/>
            </w14:solidFill>
          </w14:textFill>
        </w:rPr>
        <w:t>九、其他资料</w:t>
      </w:r>
    </w:p>
    <w:p w14:paraId="75F00DF1">
      <w:pPr>
        <w:adjustRightInd w:val="0"/>
        <w:snapToGrid w:val="0"/>
        <w:spacing w:line="600" w:lineRule="exact"/>
        <w:ind w:left="420" w:leftChars="200"/>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供应商需提交的其他资料。</w:t>
      </w:r>
    </w:p>
    <w:p w14:paraId="0D9C4017">
      <w:pPr>
        <w:spacing w:line="240" w:lineRule="auto"/>
        <w:rPr>
          <w:rFonts w:hint="eastAsia" w:ascii="宋体" w:hAnsi="宋体" w:cs="宋体"/>
          <w:color w:val="000000" w:themeColor="text1"/>
          <w:sz w:val="30"/>
          <w:szCs w:val="30"/>
          <w:highlight w:val="none"/>
          <w14:textFill>
            <w14:solidFill>
              <w14:schemeClr w14:val="tx1"/>
            </w14:solidFill>
          </w14:textFill>
        </w:rPr>
      </w:pPr>
      <w:r>
        <w:rPr>
          <w:rFonts w:hint="eastAsia" w:ascii="宋体" w:hAnsi="宋体" w:cs="宋体"/>
          <w:color w:val="000000" w:themeColor="text1"/>
          <w:sz w:val="30"/>
          <w:szCs w:val="30"/>
          <w:highlight w:val="none"/>
          <w14:textFill>
            <w14:solidFill>
              <w14:schemeClr w14:val="tx1"/>
            </w14:solidFill>
          </w14:textFill>
        </w:rPr>
        <w:br w:type="page"/>
      </w:r>
    </w:p>
    <w:p w14:paraId="50799AC7">
      <w:pPr>
        <w:pStyle w:val="2"/>
        <w:spacing w:line="240" w:lineRule="auto"/>
        <w:rPr>
          <w:rFonts w:hint="eastAsia" w:ascii="宋体" w:hAnsi="宋体" w:cs="宋体"/>
          <w:b w:val="0"/>
          <w:bCs w:val="0"/>
          <w:color w:val="000000" w:themeColor="text1"/>
          <w:kern w:val="0"/>
          <w:sz w:val="33"/>
          <w:szCs w:val="21"/>
          <w:highlight w:val="none"/>
          <w:lang w:bidi="zh-CN"/>
          <w14:textFill>
            <w14:solidFill>
              <w14:schemeClr w14:val="tx1"/>
            </w14:solidFill>
          </w14:textFill>
        </w:rPr>
      </w:pPr>
      <w:r>
        <w:rPr>
          <w:rFonts w:hint="eastAsia" w:ascii="宋体" w:hAnsi="宋体" w:cs="宋体"/>
          <w:b w:val="0"/>
          <w:bCs w:val="0"/>
          <w:color w:val="000000" w:themeColor="text1"/>
          <w:kern w:val="0"/>
          <w:sz w:val="33"/>
          <w:szCs w:val="21"/>
          <w:highlight w:val="none"/>
          <w:lang w:bidi="zh-CN"/>
          <w14:textFill>
            <w14:solidFill>
              <w14:schemeClr w14:val="tx1"/>
            </w14:solidFill>
          </w14:textFill>
        </w:rPr>
        <w:t>附录：</w:t>
      </w:r>
    </w:p>
    <w:p w14:paraId="5A5085DA">
      <w:pPr>
        <w:pStyle w:val="2"/>
        <w:spacing w:line="240" w:lineRule="auto"/>
        <w:jc w:val="center"/>
        <w:rPr>
          <w:rFonts w:hint="eastAsia" w:ascii="宋体" w:hAnsi="宋体" w:cs="宋体"/>
          <w:b w:val="0"/>
          <w:color w:val="000000" w:themeColor="text1"/>
          <w:sz w:val="2"/>
          <w:highlight w:val="none"/>
          <w14:textFill>
            <w14:solidFill>
              <w14:schemeClr w14:val="tx1"/>
            </w14:solidFill>
          </w14:textFill>
        </w:rPr>
      </w:pPr>
      <w:r>
        <w:rPr>
          <w:rFonts w:hint="eastAsia" w:ascii="宋体" w:hAnsi="宋体" w:cs="宋体"/>
          <w:color w:val="000000" w:themeColor="text1"/>
          <w:sz w:val="36"/>
          <w:highlight w:val="none"/>
          <w14:textFill>
            <w14:solidFill>
              <w14:schemeClr w14:val="tx1"/>
            </w14:solidFill>
          </w14:textFill>
        </w:rPr>
        <w:t>采购比价表（有抵税需求的采购项目）</w:t>
      </w:r>
    </w:p>
    <w:tbl>
      <w:tblPr>
        <w:tblStyle w:val="86"/>
        <w:tblW w:w="9039" w:type="dxa"/>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90"/>
        <w:gridCol w:w="1560"/>
        <w:gridCol w:w="1842"/>
        <w:gridCol w:w="4047"/>
      </w:tblGrid>
      <w:tr w14:paraId="192998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5" w:hRule="atLeast"/>
        </w:trPr>
        <w:tc>
          <w:tcPr>
            <w:tcW w:w="1590" w:type="dxa"/>
            <w:vAlign w:val="center"/>
          </w:tcPr>
          <w:p w14:paraId="5D9086A0">
            <w:pPr>
              <w:jc w:val="center"/>
              <w:rPr>
                <w:rFonts w:hint="eastAsia"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一般纳税人   抵扣率</w:t>
            </w:r>
          </w:p>
        </w:tc>
        <w:tc>
          <w:tcPr>
            <w:tcW w:w="1560" w:type="dxa"/>
            <w:vAlign w:val="center"/>
          </w:tcPr>
          <w:p w14:paraId="014A0B0E">
            <w:pPr>
              <w:jc w:val="center"/>
              <w:rPr>
                <w:rFonts w:hint="eastAsia"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小规模纳税人  抵扣率</w:t>
            </w:r>
          </w:p>
        </w:tc>
        <w:tc>
          <w:tcPr>
            <w:tcW w:w="1842" w:type="dxa"/>
            <w:vAlign w:val="center"/>
          </w:tcPr>
          <w:p w14:paraId="6D8D1903">
            <w:pPr>
              <w:jc w:val="center"/>
              <w:rPr>
                <w:rFonts w:hint="eastAsia"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含税价格          临界点</w:t>
            </w:r>
          </w:p>
        </w:tc>
        <w:tc>
          <w:tcPr>
            <w:tcW w:w="4047" w:type="dxa"/>
            <w:vAlign w:val="center"/>
          </w:tcPr>
          <w:p w14:paraId="650446E6">
            <w:pPr>
              <w:jc w:val="center"/>
              <w:rPr>
                <w:rFonts w:hint="eastAsia"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同等需求下供应商选择原则</w:t>
            </w:r>
          </w:p>
        </w:tc>
      </w:tr>
      <w:tr w14:paraId="7E2C67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7" w:hRule="atLeast"/>
        </w:trPr>
        <w:tc>
          <w:tcPr>
            <w:tcW w:w="1590" w:type="dxa"/>
            <w:vAlign w:val="center"/>
          </w:tcPr>
          <w:p w14:paraId="175BE8BA">
            <w:pPr>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13%</w:t>
            </w:r>
          </w:p>
        </w:tc>
        <w:tc>
          <w:tcPr>
            <w:tcW w:w="1560" w:type="dxa"/>
            <w:vAlign w:val="center"/>
          </w:tcPr>
          <w:p w14:paraId="69F89099">
            <w:pPr>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w:t>
            </w:r>
          </w:p>
        </w:tc>
        <w:tc>
          <w:tcPr>
            <w:tcW w:w="1842" w:type="dxa"/>
            <w:vAlign w:val="center"/>
          </w:tcPr>
          <w:p w14:paraId="71B7227D">
            <w:pPr>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90.05269%</w:t>
            </w:r>
          </w:p>
        </w:tc>
        <w:tc>
          <w:tcPr>
            <w:tcW w:w="4047" w:type="dxa"/>
            <w:vAlign w:val="center"/>
          </w:tcPr>
          <w:p w14:paraId="3B39AF40">
            <w:pPr>
              <w:pStyle w:val="154"/>
              <w:spacing w:before="79" w:line="244" w:lineRule="auto"/>
              <w:ind w:left="108" w:right="95"/>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小规模供应商的含税价格小于一般纳税</w:t>
            </w:r>
            <w:r>
              <w:rPr>
                <w:rFonts w:hint="eastAsia" w:ascii="宋体" w:hAnsi="宋体" w:eastAsia="宋体" w:cs="宋体"/>
                <w:color w:val="000000" w:themeColor="text1"/>
                <w:spacing w:val="-9"/>
                <w:sz w:val="21"/>
                <w:szCs w:val="21"/>
                <w:highlight w:val="none"/>
                <w14:textFill>
                  <w14:solidFill>
                    <w14:schemeClr w14:val="tx1"/>
                  </w14:solidFill>
                </w14:textFill>
              </w:rPr>
              <w:t xml:space="preserve">人含税价格的 </w:t>
            </w:r>
            <w:r>
              <w:rPr>
                <w:rFonts w:hint="eastAsia" w:ascii="宋体" w:hAnsi="宋体" w:eastAsia="宋体" w:cs="宋体"/>
                <w:color w:val="000000" w:themeColor="text1"/>
                <w:sz w:val="21"/>
                <w:szCs w:val="21"/>
                <w:highlight w:val="none"/>
                <w14:textFill>
                  <w14:solidFill>
                    <w14:schemeClr w14:val="tx1"/>
                  </w14:solidFill>
                </w14:textFill>
              </w:rPr>
              <w:t>90.052</w:t>
            </w:r>
            <w:r>
              <w:rPr>
                <w:rFonts w:hint="eastAsia" w:ascii="宋体" w:hAnsi="宋体" w:eastAsia="宋体" w:cs="宋体"/>
                <w:color w:val="000000" w:themeColor="text1"/>
                <w:sz w:val="21"/>
                <w:szCs w:val="21"/>
                <w:highlight w:val="none"/>
                <w:lang w:val="en-US"/>
                <w14:textFill>
                  <w14:solidFill>
                    <w14:schemeClr w14:val="tx1"/>
                  </w14:solidFill>
                </w14:textFill>
              </w:rPr>
              <w:t>69</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pacing w:val="-5"/>
                <w:sz w:val="21"/>
                <w:szCs w:val="21"/>
                <w:highlight w:val="none"/>
                <w14:textFill>
                  <w14:solidFill>
                    <w14:schemeClr w14:val="tx1"/>
                  </w14:solidFill>
                </w14:textFill>
              </w:rPr>
              <w:t>时，可选择小规</w:t>
            </w:r>
            <w:r>
              <w:rPr>
                <w:rFonts w:hint="eastAsia" w:ascii="宋体" w:hAnsi="宋体" w:eastAsia="宋体" w:cs="宋体"/>
                <w:color w:val="000000" w:themeColor="text1"/>
                <w:sz w:val="21"/>
                <w:szCs w:val="21"/>
                <w:highlight w:val="none"/>
                <w14:textFill>
                  <w14:solidFill>
                    <w14:schemeClr w14:val="tx1"/>
                  </w14:solidFill>
                </w14:textFill>
              </w:rPr>
              <w:t>模纳税人。否则，选一般纳税人。</w:t>
            </w:r>
          </w:p>
        </w:tc>
      </w:tr>
      <w:tr w14:paraId="13A012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7" w:hRule="atLeast"/>
        </w:trPr>
        <w:tc>
          <w:tcPr>
            <w:tcW w:w="1590" w:type="dxa"/>
            <w:vAlign w:val="center"/>
          </w:tcPr>
          <w:p w14:paraId="10E0D068">
            <w:pPr>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13%</w:t>
            </w:r>
          </w:p>
        </w:tc>
        <w:tc>
          <w:tcPr>
            <w:tcW w:w="1560" w:type="dxa"/>
            <w:vAlign w:val="center"/>
          </w:tcPr>
          <w:p w14:paraId="2A29AC8B">
            <w:pPr>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w:t>
            </w:r>
          </w:p>
        </w:tc>
        <w:tc>
          <w:tcPr>
            <w:tcW w:w="1842" w:type="dxa"/>
            <w:vAlign w:val="center"/>
          </w:tcPr>
          <w:p w14:paraId="6CF05503">
            <w:pPr>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88.09190%</w:t>
            </w:r>
          </w:p>
        </w:tc>
        <w:tc>
          <w:tcPr>
            <w:tcW w:w="4047" w:type="dxa"/>
            <w:vAlign w:val="center"/>
          </w:tcPr>
          <w:p w14:paraId="62C6CD93">
            <w:pPr>
              <w:pStyle w:val="154"/>
              <w:spacing w:before="81" w:line="244" w:lineRule="auto"/>
              <w:ind w:left="108" w:right="95"/>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小规模供应商的含税价格小于一般纳税</w:t>
            </w:r>
            <w:r>
              <w:rPr>
                <w:rFonts w:hint="eastAsia" w:ascii="宋体" w:hAnsi="宋体" w:eastAsia="宋体" w:cs="宋体"/>
                <w:color w:val="000000" w:themeColor="text1"/>
                <w:spacing w:val="-9"/>
                <w:sz w:val="21"/>
                <w:szCs w:val="21"/>
                <w:highlight w:val="none"/>
                <w14:textFill>
                  <w14:solidFill>
                    <w14:schemeClr w14:val="tx1"/>
                  </w14:solidFill>
                </w14:textFill>
              </w:rPr>
              <w:t xml:space="preserve">人含税价格的 </w:t>
            </w:r>
            <w:r>
              <w:rPr>
                <w:rFonts w:hint="eastAsia" w:ascii="宋体" w:hAnsi="宋体" w:eastAsia="宋体" w:cs="宋体"/>
                <w:color w:val="000000" w:themeColor="text1"/>
                <w:sz w:val="21"/>
                <w:szCs w:val="21"/>
                <w:highlight w:val="none"/>
                <w:lang w:val="en-US"/>
                <w14:textFill>
                  <w14:solidFill>
                    <w14:schemeClr w14:val="tx1"/>
                  </w14:solidFill>
                </w14:textFill>
              </w:rPr>
              <w:t>88.09190</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pacing w:val="-5"/>
                <w:sz w:val="21"/>
                <w:szCs w:val="21"/>
                <w:highlight w:val="none"/>
                <w14:textFill>
                  <w14:solidFill>
                    <w14:schemeClr w14:val="tx1"/>
                  </w14:solidFill>
                </w14:textFill>
              </w:rPr>
              <w:t>时，可选择小规</w:t>
            </w:r>
            <w:r>
              <w:rPr>
                <w:rFonts w:hint="eastAsia" w:ascii="宋体" w:hAnsi="宋体" w:eastAsia="宋体" w:cs="宋体"/>
                <w:color w:val="000000" w:themeColor="text1"/>
                <w:sz w:val="21"/>
                <w:szCs w:val="21"/>
                <w:highlight w:val="none"/>
                <w14:textFill>
                  <w14:solidFill>
                    <w14:schemeClr w14:val="tx1"/>
                  </w14:solidFill>
                </w14:textFill>
              </w:rPr>
              <w:t>模纳税人。否则，选一般纳税人。</w:t>
            </w:r>
          </w:p>
        </w:tc>
      </w:tr>
      <w:tr w14:paraId="011E9D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7" w:hRule="atLeast"/>
        </w:trPr>
        <w:tc>
          <w:tcPr>
            <w:tcW w:w="1590" w:type="dxa"/>
            <w:vAlign w:val="center"/>
          </w:tcPr>
          <w:p w14:paraId="2A28ED32">
            <w:pPr>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13%</w:t>
            </w:r>
          </w:p>
        </w:tc>
        <w:tc>
          <w:tcPr>
            <w:tcW w:w="1560" w:type="dxa"/>
            <w:vAlign w:val="center"/>
          </w:tcPr>
          <w:p w14:paraId="0700AD7D">
            <w:pPr>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0%</w:t>
            </w:r>
          </w:p>
        </w:tc>
        <w:tc>
          <w:tcPr>
            <w:tcW w:w="1842" w:type="dxa"/>
            <w:vAlign w:val="center"/>
          </w:tcPr>
          <w:p w14:paraId="10A2BC8E">
            <w:pPr>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87.11504%</w:t>
            </w:r>
          </w:p>
        </w:tc>
        <w:tc>
          <w:tcPr>
            <w:tcW w:w="4047" w:type="dxa"/>
            <w:vAlign w:val="center"/>
          </w:tcPr>
          <w:p w14:paraId="3D49F613">
            <w:pPr>
              <w:pStyle w:val="154"/>
              <w:spacing w:before="79" w:line="242" w:lineRule="auto"/>
              <w:ind w:left="108" w:right="95"/>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小规模供应商的含税价格小于一般纳税</w:t>
            </w:r>
            <w:r>
              <w:rPr>
                <w:rFonts w:hint="eastAsia" w:ascii="宋体" w:hAnsi="宋体" w:eastAsia="宋体" w:cs="宋体"/>
                <w:color w:val="000000" w:themeColor="text1"/>
                <w:spacing w:val="-9"/>
                <w:sz w:val="21"/>
                <w:szCs w:val="21"/>
                <w:highlight w:val="none"/>
                <w14:textFill>
                  <w14:solidFill>
                    <w14:schemeClr w14:val="tx1"/>
                  </w14:solidFill>
                </w14:textFill>
              </w:rPr>
              <w:t xml:space="preserve">人含税价格的 </w:t>
            </w:r>
            <w:r>
              <w:rPr>
                <w:rFonts w:hint="eastAsia" w:ascii="宋体" w:hAnsi="宋体" w:eastAsia="宋体" w:cs="宋体"/>
                <w:color w:val="000000" w:themeColor="text1"/>
                <w:sz w:val="21"/>
                <w:szCs w:val="21"/>
                <w:highlight w:val="none"/>
                <w:lang w:val="en-US"/>
                <w14:textFill>
                  <w14:solidFill>
                    <w14:schemeClr w14:val="tx1"/>
                  </w14:solidFill>
                </w14:textFill>
              </w:rPr>
              <w:t>87.11504</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pacing w:val="-5"/>
                <w:sz w:val="21"/>
                <w:szCs w:val="21"/>
                <w:highlight w:val="none"/>
                <w14:textFill>
                  <w14:solidFill>
                    <w14:schemeClr w14:val="tx1"/>
                  </w14:solidFill>
                </w14:textFill>
              </w:rPr>
              <w:t>时，可选择小规</w:t>
            </w:r>
            <w:r>
              <w:rPr>
                <w:rFonts w:hint="eastAsia" w:ascii="宋体" w:hAnsi="宋体" w:eastAsia="宋体" w:cs="宋体"/>
                <w:color w:val="000000" w:themeColor="text1"/>
                <w:sz w:val="21"/>
                <w:szCs w:val="21"/>
                <w:highlight w:val="none"/>
                <w14:textFill>
                  <w14:solidFill>
                    <w14:schemeClr w14:val="tx1"/>
                  </w14:solidFill>
                </w14:textFill>
              </w:rPr>
              <w:t>模纳税人。否则，选一般纳税人。</w:t>
            </w:r>
          </w:p>
        </w:tc>
      </w:tr>
      <w:tr w14:paraId="2B69BA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7" w:hRule="atLeast"/>
        </w:trPr>
        <w:tc>
          <w:tcPr>
            <w:tcW w:w="1590" w:type="dxa"/>
            <w:vAlign w:val="center"/>
          </w:tcPr>
          <w:p w14:paraId="1CF0C87C">
            <w:pPr>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9%</w:t>
            </w:r>
          </w:p>
        </w:tc>
        <w:tc>
          <w:tcPr>
            <w:tcW w:w="1560" w:type="dxa"/>
            <w:vAlign w:val="center"/>
          </w:tcPr>
          <w:p w14:paraId="23AA82A2">
            <w:pPr>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w:t>
            </w:r>
          </w:p>
        </w:tc>
        <w:tc>
          <w:tcPr>
            <w:tcW w:w="1842" w:type="dxa"/>
            <w:vAlign w:val="center"/>
          </w:tcPr>
          <w:p w14:paraId="1581D875">
            <w:pPr>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93.81259%</w:t>
            </w:r>
          </w:p>
        </w:tc>
        <w:tc>
          <w:tcPr>
            <w:tcW w:w="4047" w:type="dxa"/>
            <w:vAlign w:val="center"/>
          </w:tcPr>
          <w:p w14:paraId="3C55FEAB">
            <w:pPr>
              <w:pStyle w:val="154"/>
              <w:spacing w:before="79" w:line="242" w:lineRule="auto"/>
              <w:ind w:left="108" w:right="95"/>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小规模供应商的含税价格小于一般纳税</w:t>
            </w:r>
            <w:r>
              <w:rPr>
                <w:rFonts w:hint="eastAsia" w:ascii="宋体" w:hAnsi="宋体" w:eastAsia="宋体" w:cs="宋体"/>
                <w:color w:val="000000" w:themeColor="text1"/>
                <w:spacing w:val="-9"/>
                <w:sz w:val="21"/>
                <w:szCs w:val="21"/>
                <w:highlight w:val="none"/>
                <w14:textFill>
                  <w14:solidFill>
                    <w14:schemeClr w14:val="tx1"/>
                  </w14:solidFill>
                </w14:textFill>
              </w:rPr>
              <w:t xml:space="preserve">人含税价格的 </w:t>
            </w:r>
            <w:r>
              <w:rPr>
                <w:rFonts w:hint="eastAsia" w:ascii="宋体" w:hAnsi="宋体" w:eastAsia="宋体" w:cs="宋体"/>
                <w:color w:val="000000" w:themeColor="text1"/>
                <w:sz w:val="21"/>
                <w:szCs w:val="21"/>
                <w:highlight w:val="none"/>
                <w:lang w:val="en-US"/>
                <w14:textFill>
                  <w14:solidFill>
                    <w14:schemeClr w14:val="tx1"/>
                  </w14:solidFill>
                </w14:textFill>
              </w:rPr>
              <w:t>93.81259</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pacing w:val="-5"/>
                <w:sz w:val="21"/>
                <w:szCs w:val="21"/>
                <w:highlight w:val="none"/>
                <w14:textFill>
                  <w14:solidFill>
                    <w14:schemeClr w14:val="tx1"/>
                  </w14:solidFill>
                </w14:textFill>
              </w:rPr>
              <w:t>时，可选择小规</w:t>
            </w:r>
            <w:r>
              <w:rPr>
                <w:rFonts w:hint="eastAsia" w:ascii="宋体" w:hAnsi="宋体" w:eastAsia="宋体" w:cs="宋体"/>
                <w:color w:val="000000" w:themeColor="text1"/>
                <w:sz w:val="21"/>
                <w:szCs w:val="21"/>
                <w:highlight w:val="none"/>
                <w14:textFill>
                  <w14:solidFill>
                    <w14:schemeClr w14:val="tx1"/>
                  </w14:solidFill>
                </w14:textFill>
              </w:rPr>
              <w:t>模纳税人。否则，选一般纳税人。</w:t>
            </w:r>
          </w:p>
        </w:tc>
      </w:tr>
      <w:tr w14:paraId="63952B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7" w:hRule="atLeast"/>
        </w:trPr>
        <w:tc>
          <w:tcPr>
            <w:tcW w:w="1590" w:type="dxa"/>
            <w:vAlign w:val="center"/>
          </w:tcPr>
          <w:p w14:paraId="1B4E0A4A">
            <w:pPr>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9%</w:t>
            </w:r>
          </w:p>
        </w:tc>
        <w:tc>
          <w:tcPr>
            <w:tcW w:w="1560" w:type="dxa"/>
            <w:vAlign w:val="center"/>
          </w:tcPr>
          <w:p w14:paraId="2F297354">
            <w:pPr>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w:t>
            </w:r>
          </w:p>
        </w:tc>
        <w:tc>
          <w:tcPr>
            <w:tcW w:w="1842" w:type="dxa"/>
            <w:vAlign w:val="center"/>
          </w:tcPr>
          <w:p w14:paraId="25F5283D">
            <w:pPr>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91.76994%</w:t>
            </w:r>
          </w:p>
        </w:tc>
        <w:tc>
          <w:tcPr>
            <w:tcW w:w="4047" w:type="dxa"/>
            <w:vAlign w:val="center"/>
          </w:tcPr>
          <w:p w14:paraId="712EC792">
            <w:pPr>
              <w:pStyle w:val="154"/>
              <w:spacing w:before="79" w:line="242" w:lineRule="auto"/>
              <w:ind w:left="108" w:right="95"/>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小规模供应商的含税价格小于一般纳税</w:t>
            </w:r>
            <w:r>
              <w:rPr>
                <w:rFonts w:hint="eastAsia" w:ascii="宋体" w:hAnsi="宋体" w:eastAsia="宋体" w:cs="宋体"/>
                <w:color w:val="000000" w:themeColor="text1"/>
                <w:spacing w:val="-9"/>
                <w:sz w:val="21"/>
                <w:szCs w:val="21"/>
                <w:highlight w:val="none"/>
                <w14:textFill>
                  <w14:solidFill>
                    <w14:schemeClr w14:val="tx1"/>
                  </w14:solidFill>
                </w14:textFill>
              </w:rPr>
              <w:t xml:space="preserve">人含税价格的 </w:t>
            </w:r>
            <w:r>
              <w:rPr>
                <w:rFonts w:hint="eastAsia" w:ascii="宋体" w:hAnsi="宋体" w:eastAsia="宋体" w:cs="宋体"/>
                <w:color w:val="000000" w:themeColor="text1"/>
                <w:sz w:val="21"/>
                <w:szCs w:val="21"/>
                <w:highlight w:val="none"/>
                <w14:textFill>
                  <w14:solidFill>
                    <w14:schemeClr w14:val="tx1"/>
                  </w14:solidFill>
                </w14:textFill>
              </w:rPr>
              <w:t>88.9009%</w:t>
            </w:r>
            <w:r>
              <w:rPr>
                <w:rFonts w:hint="eastAsia" w:ascii="宋体" w:hAnsi="宋体" w:eastAsia="宋体" w:cs="宋体"/>
                <w:color w:val="000000" w:themeColor="text1"/>
                <w:spacing w:val="-5"/>
                <w:sz w:val="21"/>
                <w:szCs w:val="21"/>
                <w:highlight w:val="none"/>
                <w14:textFill>
                  <w14:solidFill>
                    <w14:schemeClr w14:val="tx1"/>
                  </w14:solidFill>
                </w14:textFill>
              </w:rPr>
              <w:t>时，可选择小规</w:t>
            </w:r>
            <w:r>
              <w:rPr>
                <w:rFonts w:hint="eastAsia" w:ascii="宋体" w:hAnsi="宋体" w:eastAsia="宋体" w:cs="宋体"/>
                <w:color w:val="000000" w:themeColor="text1"/>
                <w:sz w:val="21"/>
                <w:szCs w:val="21"/>
                <w:highlight w:val="none"/>
                <w14:textFill>
                  <w14:solidFill>
                    <w14:schemeClr w14:val="tx1"/>
                  </w14:solidFill>
                </w14:textFill>
              </w:rPr>
              <w:t>模纳税人。否则，选一般纳税人。</w:t>
            </w:r>
          </w:p>
        </w:tc>
      </w:tr>
      <w:tr w14:paraId="4D703C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7" w:hRule="atLeast"/>
        </w:trPr>
        <w:tc>
          <w:tcPr>
            <w:tcW w:w="1590" w:type="dxa"/>
            <w:vAlign w:val="center"/>
          </w:tcPr>
          <w:p w14:paraId="45170851">
            <w:pPr>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9%</w:t>
            </w:r>
          </w:p>
        </w:tc>
        <w:tc>
          <w:tcPr>
            <w:tcW w:w="1560" w:type="dxa"/>
            <w:vAlign w:val="center"/>
          </w:tcPr>
          <w:p w14:paraId="640AB452">
            <w:pPr>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0%</w:t>
            </w:r>
          </w:p>
        </w:tc>
        <w:tc>
          <w:tcPr>
            <w:tcW w:w="1842" w:type="dxa"/>
            <w:vAlign w:val="center"/>
          </w:tcPr>
          <w:p w14:paraId="30376C60">
            <w:pPr>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90.75229%</w:t>
            </w:r>
          </w:p>
        </w:tc>
        <w:tc>
          <w:tcPr>
            <w:tcW w:w="4047" w:type="dxa"/>
            <w:vAlign w:val="center"/>
          </w:tcPr>
          <w:p w14:paraId="05B4CDDC">
            <w:pPr>
              <w:pStyle w:val="154"/>
              <w:spacing w:before="79" w:line="242" w:lineRule="auto"/>
              <w:ind w:left="108" w:right="95"/>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小规模供应商的含税价格小于一般纳税</w:t>
            </w:r>
            <w:r>
              <w:rPr>
                <w:rFonts w:hint="eastAsia" w:ascii="宋体" w:hAnsi="宋体" w:eastAsia="宋体" w:cs="宋体"/>
                <w:color w:val="000000" w:themeColor="text1"/>
                <w:spacing w:val="-9"/>
                <w:sz w:val="21"/>
                <w:szCs w:val="21"/>
                <w:highlight w:val="none"/>
                <w14:textFill>
                  <w14:solidFill>
                    <w14:schemeClr w14:val="tx1"/>
                  </w14:solidFill>
                </w14:textFill>
              </w:rPr>
              <w:t xml:space="preserve">人含税价格的 </w:t>
            </w:r>
            <w:r>
              <w:rPr>
                <w:rFonts w:hint="eastAsia" w:ascii="宋体" w:hAnsi="宋体" w:eastAsia="宋体" w:cs="宋体"/>
                <w:color w:val="000000" w:themeColor="text1"/>
                <w:sz w:val="21"/>
                <w:szCs w:val="21"/>
                <w:highlight w:val="none"/>
                <w:lang w:val="en-US"/>
                <w14:textFill>
                  <w14:solidFill>
                    <w14:schemeClr w14:val="tx1"/>
                  </w14:solidFill>
                </w14:textFill>
              </w:rPr>
              <w:t>90.75229</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pacing w:val="-5"/>
                <w:sz w:val="21"/>
                <w:szCs w:val="21"/>
                <w:highlight w:val="none"/>
                <w14:textFill>
                  <w14:solidFill>
                    <w14:schemeClr w14:val="tx1"/>
                  </w14:solidFill>
                </w14:textFill>
              </w:rPr>
              <w:t>时，可选择小规</w:t>
            </w:r>
            <w:r>
              <w:rPr>
                <w:rFonts w:hint="eastAsia" w:ascii="宋体" w:hAnsi="宋体" w:eastAsia="宋体" w:cs="宋体"/>
                <w:color w:val="000000" w:themeColor="text1"/>
                <w:sz w:val="21"/>
                <w:szCs w:val="21"/>
                <w:highlight w:val="none"/>
                <w14:textFill>
                  <w14:solidFill>
                    <w14:schemeClr w14:val="tx1"/>
                  </w14:solidFill>
                </w14:textFill>
              </w:rPr>
              <w:t>模纳税人。否则，选一般纳税人。</w:t>
            </w:r>
          </w:p>
        </w:tc>
      </w:tr>
      <w:tr w14:paraId="75432C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7" w:hRule="atLeast"/>
        </w:trPr>
        <w:tc>
          <w:tcPr>
            <w:tcW w:w="1590" w:type="dxa"/>
            <w:vAlign w:val="center"/>
          </w:tcPr>
          <w:p w14:paraId="0492E577">
            <w:pPr>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6%</w:t>
            </w:r>
          </w:p>
        </w:tc>
        <w:tc>
          <w:tcPr>
            <w:tcW w:w="1560" w:type="dxa"/>
            <w:vAlign w:val="center"/>
          </w:tcPr>
          <w:p w14:paraId="5D8F8EDD">
            <w:pPr>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w:t>
            </w:r>
          </w:p>
        </w:tc>
        <w:tc>
          <w:tcPr>
            <w:tcW w:w="1842" w:type="dxa"/>
            <w:vAlign w:val="center"/>
          </w:tcPr>
          <w:p w14:paraId="223BA23D">
            <w:pPr>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96.81874%</w:t>
            </w:r>
          </w:p>
        </w:tc>
        <w:tc>
          <w:tcPr>
            <w:tcW w:w="4047" w:type="dxa"/>
            <w:vAlign w:val="center"/>
          </w:tcPr>
          <w:p w14:paraId="565AF71E">
            <w:pPr>
              <w:pStyle w:val="154"/>
              <w:spacing w:before="79" w:line="244" w:lineRule="auto"/>
              <w:ind w:left="108" w:right="95"/>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小规模供应商的含税价格小于一般纳税</w:t>
            </w:r>
            <w:r>
              <w:rPr>
                <w:rFonts w:hint="eastAsia" w:ascii="宋体" w:hAnsi="宋体" w:eastAsia="宋体" w:cs="宋体"/>
                <w:color w:val="000000" w:themeColor="text1"/>
                <w:spacing w:val="-9"/>
                <w:sz w:val="21"/>
                <w:szCs w:val="21"/>
                <w:highlight w:val="none"/>
                <w14:textFill>
                  <w14:solidFill>
                    <w14:schemeClr w14:val="tx1"/>
                  </w14:solidFill>
                </w14:textFill>
              </w:rPr>
              <w:t xml:space="preserve">人含税价格的 </w:t>
            </w:r>
            <w:r>
              <w:rPr>
                <w:rFonts w:hint="eastAsia" w:ascii="宋体" w:hAnsi="宋体" w:eastAsia="宋体" w:cs="宋体"/>
                <w:color w:val="000000" w:themeColor="text1"/>
                <w:sz w:val="21"/>
                <w:szCs w:val="21"/>
                <w:highlight w:val="none"/>
                <w14:textFill>
                  <w14:solidFill>
                    <w14:schemeClr w14:val="tx1"/>
                  </w14:solidFill>
                </w14:textFill>
              </w:rPr>
              <w:t>96.8187</w:t>
            </w:r>
            <w:r>
              <w:rPr>
                <w:rFonts w:hint="eastAsia" w:ascii="宋体" w:hAnsi="宋体" w:eastAsia="宋体" w:cs="宋体"/>
                <w:color w:val="000000" w:themeColor="text1"/>
                <w:sz w:val="21"/>
                <w:szCs w:val="21"/>
                <w:highlight w:val="none"/>
                <w:lang w:val="en-US"/>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pacing w:val="-5"/>
                <w:sz w:val="21"/>
                <w:szCs w:val="21"/>
                <w:highlight w:val="none"/>
                <w14:textFill>
                  <w14:solidFill>
                    <w14:schemeClr w14:val="tx1"/>
                  </w14:solidFill>
                </w14:textFill>
              </w:rPr>
              <w:t>时，可选择小规</w:t>
            </w:r>
            <w:r>
              <w:rPr>
                <w:rFonts w:hint="eastAsia" w:ascii="宋体" w:hAnsi="宋体" w:eastAsia="宋体" w:cs="宋体"/>
                <w:color w:val="000000" w:themeColor="text1"/>
                <w:sz w:val="21"/>
                <w:szCs w:val="21"/>
                <w:highlight w:val="none"/>
                <w14:textFill>
                  <w14:solidFill>
                    <w14:schemeClr w14:val="tx1"/>
                  </w14:solidFill>
                </w14:textFill>
              </w:rPr>
              <w:t>模纳税人。否则，选一般纳税人。</w:t>
            </w:r>
          </w:p>
        </w:tc>
      </w:tr>
      <w:tr w14:paraId="53EB23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7" w:hRule="atLeast"/>
        </w:trPr>
        <w:tc>
          <w:tcPr>
            <w:tcW w:w="1590" w:type="dxa"/>
            <w:vAlign w:val="center"/>
          </w:tcPr>
          <w:p w14:paraId="16526EA9">
            <w:pPr>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6%</w:t>
            </w:r>
          </w:p>
        </w:tc>
        <w:tc>
          <w:tcPr>
            <w:tcW w:w="1560" w:type="dxa"/>
            <w:vAlign w:val="center"/>
          </w:tcPr>
          <w:p w14:paraId="28B03D62">
            <w:pPr>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w:t>
            </w:r>
          </w:p>
        </w:tc>
        <w:tc>
          <w:tcPr>
            <w:tcW w:w="1842" w:type="dxa"/>
            <w:vAlign w:val="center"/>
          </w:tcPr>
          <w:p w14:paraId="738735BC">
            <w:pPr>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94.71063%</w:t>
            </w:r>
          </w:p>
        </w:tc>
        <w:tc>
          <w:tcPr>
            <w:tcW w:w="4047" w:type="dxa"/>
            <w:vAlign w:val="center"/>
          </w:tcPr>
          <w:p w14:paraId="0E772743">
            <w:pPr>
              <w:pStyle w:val="154"/>
              <w:spacing w:before="79" w:line="244" w:lineRule="auto"/>
              <w:ind w:left="108" w:right="95"/>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小规模供应商的含税价格小于一般纳税</w:t>
            </w:r>
            <w:r>
              <w:rPr>
                <w:rFonts w:hint="eastAsia" w:ascii="宋体" w:hAnsi="宋体" w:eastAsia="宋体" w:cs="宋体"/>
                <w:color w:val="000000" w:themeColor="text1"/>
                <w:spacing w:val="-9"/>
                <w:sz w:val="21"/>
                <w:szCs w:val="21"/>
                <w:highlight w:val="none"/>
                <w14:textFill>
                  <w14:solidFill>
                    <w14:schemeClr w14:val="tx1"/>
                  </w14:solidFill>
                </w14:textFill>
              </w:rPr>
              <w:t xml:space="preserve">人含税价格的 </w:t>
            </w:r>
            <w:r>
              <w:rPr>
                <w:rFonts w:hint="eastAsia" w:ascii="宋体" w:hAnsi="宋体" w:eastAsia="宋体" w:cs="宋体"/>
                <w:color w:val="000000" w:themeColor="text1"/>
                <w:sz w:val="21"/>
                <w:szCs w:val="21"/>
                <w:highlight w:val="none"/>
                <w14:textFill>
                  <w14:solidFill>
                    <w14:schemeClr w14:val="tx1"/>
                  </w14:solidFill>
                </w14:textFill>
              </w:rPr>
              <w:t>93.6604%</w:t>
            </w:r>
            <w:r>
              <w:rPr>
                <w:rFonts w:hint="eastAsia" w:ascii="宋体" w:hAnsi="宋体" w:eastAsia="宋体" w:cs="宋体"/>
                <w:color w:val="000000" w:themeColor="text1"/>
                <w:spacing w:val="-5"/>
                <w:sz w:val="21"/>
                <w:szCs w:val="21"/>
                <w:highlight w:val="none"/>
                <w14:textFill>
                  <w14:solidFill>
                    <w14:schemeClr w14:val="tx1"/>
                  </w14:solidFill>
                </w14:textFill>
              </w:rPr>
              <w:t>时，可选择小规</w:t>
            </w:r>
            <w:r>
              <w:rPr>
                <w:rFonts w:hint="eastAsia" w:ascii="宋体" w:hAnsi="宋体" w:eastAsia="宋体" w:cs="宋体"/>
                <w:color w:val="000000" w:themeColor="text1"/>
                <w:sz w:val="21"/>
                <w:szCs w:val="21"/>
                <w:highlight w:val="none"/>
                <w14:textFill>
                  <w14:solidFill>
                    <w14:schemeClr w14:val="tx1"/>
                  </w14:solidFill>
                </w14:textFill>
              </w:rPr>
              <w:t>模纳税人。否则，选一般纳税人。</w:t>
            </w:r>
          </w:p>
        </w:tc>
      </w:tr>
      <w:tr w14:paraId="773E38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7" w:hRule="atLeast"/>
        </w:trPr>
        <w:tc>
          <w:tcPr>
            <w:tcW w:w="1590" w:type="dxa"/>
            <w:vAlign w:val="center"/>
          </w:tcPr>
          <w:p w14:paraId="2352CD01">
            <w:pPr>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6%</w:t>
            </w:r>
          </w:p>
        </w:tc>
        <w:tc>
          <w:tcPr>
            <w:tcW w:w="1560" w:type="dxa"/>
            <w:vAlign w:val="center"/>
          </w:tcPr>
          <w:p w14:paraId="62925AAB">
            <w:pPr>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0%</w:t>
            </w:r>
          </w:p>
        </w:tc>
        <w:tc>
          <w:tcPr>
            <w:tcW w:w="1842" w:type="dxa"/>
            <w:vAlign w:val="center"/>
          </w:tcPr>
          <w:p w14:paraId="2A67B78E">
            <w:pPr>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93.66038%</w:t>
            </w:r>
          </w:p>
        </w:tc>
        <w:tc>
          <w:tcPr>
            <w:tcW w:w="4047" w:type="dxa"/>
            <w:vAlign w:val="center"/>
          </w:tcPr>
          <w:p w14:paraId="2A938A1B">
            <w:pPr>
              <w:pStyle w:val="154"/>
              <w:spacing w:before="79" w:line="244" w:lineRule="auto"/>
              <w:ind w:left="108" w:right="95"/>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小规模供应商的含税价格小于一般纳税</w:t>
            </w:r>
            <w:r>
              <w:rPr>
                <w:rFonts w:hint="eastAsia" w:ascii="宋体" w:hAnsi="宋体" w:eastAsia="宋体" w:cs="宋体"/>
                <w:color w:val="000000" w:themeColor="text1"/>
                <w:spacing w:val="-9"/>
                <w:sz w:val="21"/>
                <w:szCs w:val="21"/>
                <w:highlight w:val="none"/>
                <w14:textFill>
                  <w14:solidFill>
                    <w14:schemeClr w14:val="tx1"/>
                  </w14:solidFill>
                </w14:textFill>
              </w:rPr>
              <w:t xml:space="preserve">人含税价格的 </w:t>
            </w:r>
            <w:r>
              <w:rPr>
                <w:rFonts w:hint="eastAsia" w:ascii="宋体" w:hAnsi="宋体" w:eastAsia="宋体" w:cs="宋体"/>
                <w:color w:val="000000" w:themeColor="text1"/>
                <w:sz w:val="21"/>
                <w:szCs w:val="21"/>
                <w:highlight w:val="none"/>
                <w14:textFill>
                  <w14:solidFill>
                    <w14:schemeClr w14:val="tx1"/>
                  </w14:solidFill>
                </w14:textFill>
              </w:rPr>
              <w:t>93.660</w:t>
            </w:r>
            <w:r>
              <w:rPr>
                <w:rFonts w:hint="eastAsia" w:ascii="宋体" w:hAnsi="宋体" w:eastAsia="宋体" w:cs="宋体"/>
                <w:color w:val="000000" w:themeColor="text1"/>
                <w:sz w:val="21"/>
                <w:szCs w:val="21"/>
                <w:highlight w:val="none"/>
                <w:lang w:val="en-US"/>
                <w14:textFill>
                  <w14:solidFill>
                    <w14:schemeClr w14:val="tx1"/>
                  </w14:solidFill>
                </w14:textFill>
              </w:rPr>
              <w:t>38</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pacing w:val="-5"/>
                <w:sz w:val="21"/>
                <w:szCs w:val="21"/>
                <w:highlight w:val="none"/>
                <w14:textFill>
                  <w14:solidFill>
                    <w14:schemeClr w14:val="tx1"/>
                  </w14:solidFill>
                </w14:textFill>
              </w:rPr>
              <w:t>时，可选择小规</w:t>
            </w:r>
            <w:r>
              <w:rPr>
                <w:rFonts w:hint="eastAsia" w:ascii="宋体" w:hAnsi="宋体" w:eastAsia="宋体" w:cs="宋体"/>
                <w:color w:val="000000" w:themeColor="text1"/>
                <w:sz w:val="21"/>
                <w:szCs w:val="21"/>
                <w:highlight w:val="none"/>
                <w14:textFill>
                  <w14:solidFill>
                    <w14:schemeClr w14:val="tx1"/>
                  </w14:solidFill>
                </w14:textFill>
              </w:rPr>
              <w:t>模纳税人。否则，选一般纳税人。</w:t>
            </w:r>
          </w:p>
        </w:tc>
      </w:tr>
      <w:tr w14:paraId="47C090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7" w:hRule="atLeast"/>
        </w:trPr>
        <w:tc>
          <w:tcPr>
            <w:tcW w:w="1590" w:type="dxa"/>
            <w:vAlign w:val="center"/>
          </w:tcPr>
          <w:p w14:paraId="73319A38">
            <w:pPr>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w:t>
            </w:r>
          </w:p>
        </w:tc>
        <w:tc>
          <w:tcPr>
            <w:tcW w:w="1560" w:type="dxa"/>
            <w:vAlign w:val="center"/>
          </w:tcPr>
          <w:p w14:paraId="3850C3D7">
            <w:pPr>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0%</w:t>
            </w:r>
          </w:p>
        </w:tc>
        <w:tc>
          <w:tcPr>
            <w:tcW w:w="1842" w:type="dxa"/>
            <w:vAlign w:val="center"/>
          </w:tcPr>
          <w:p w14:paraId="38915DA5">
            <w:pPr>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96.7379%</w:t>
            </w:r>
          </w:p>
        </w:tc>
        <w:tc>
          <w:tcPr>
            <w:tcW w:w="4047" w:type="dxa"/>
            <w:vAlign w:val="center"/>
          </w:tcPr>
          <w:p w14:paraId="7082CC9E">
            <w:pPr>
              <w:pStyle w:val="154"/>
              <w:spacing w:before="79" w:line="244" w:lineRule="auto"/>
              <w:ind w:left="108" w:right="95"/>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小规模供应商的含税价格小于一般纳税</w:t>
            </w:r>
            <w:r>
              <w:rPr>
                <w:rFonts w:hint="eastAsia" w:ascii="宋体" w:hAnsi="宋体" w:eastAsia="宋体" w:cs="宋体"/>
                <w:color w:val="000000" w:themeColor="text1"/>
                <w:spacing w:val="-9"/>
                <w:sz w:val="21"/>
                <w:szCs w:val="21"/>
                <w:highlight w:val="none"/>
                <w14:textFill>
                  <w14:solidFill>
                    <w14:schemeClr w14:val="tx1"/>
                  </w14:solidFill>
                </w14:textFill>
              </w:rPr>
              <w:t xml:space="preserve">人含税价格的 </w:t>
            </w:r>
            <w:r>
              <w:rPr>
                <w:rFonts w:hint="eastAsia" w:ascii="宋体" w:hAnsi="宋体" w:eastAsia="宋体" w:cs="宋体"/>
                <w:color w:val="000000" w:themeColor="text1"/>
                <w:sz w:val="21"/>
                <w:szCs w:val="21"/>
                <w:highlight w:val="none"/>
                <w14:textFill>
                  <w14:solidFill>
                    <w14:schemeClr w14:val="tx1"/>
                  </w14:solidFill>
                </w14:textFill>
              </w:rPr>
              <w:t>96.7379%</w:t>
            </w:r>
            <w:r>
              <w:rPr>
                <w:rFonts w:hint="eastAsia" w:ascii="宋体" w:hAnsi="宋体" w:eastAsia="宋体" w:cs="宋体"/>
                <w:color w:val="000000" w:themeColor="text1"/>
                <w:spacing w:val="-5"/>
                <w:sz w:val="21"/>
                <w:szCs w:val="21"/>
                <w:highlight w:val="none"/>
                <w14:textFill>
                  <w14:solidFill>
                    <w14:schemeClr w14:val="tx1"/>
                  </w14:solidFill>
                </w14:textFill>
              </w:rPr>
              <w:t>时，可选择小规</w:t>
            </w:r>
            <w:r>
              <w:rPr>
                <w:rFonts w:hint="eastAsia" w:ascii="宋体" w:hAnsi="宋体" w:eastAsia="宋体" w:cs="宋体"/>
                <w:color w:val="000000" w:themeColor="text1"/>
                <w:sz w:val="21"/>
                <w:szCs w:val="21"/>
                <w:highlight w:val="none"/>
                <w14:textFill>
                  <w14:solidFill>
                    <w14:schemeClr w14:val="tx1"/>
                  </w14:solidFill>
                </w14:textFill>
              </w:rPr>
              <w:t>模纳税人。否则，选一般纳税人。</w:t>
            </w:r>
          </w:p>
        </w:tc>
      </w:tr>
    </w:tbl>
    <w:p w14:paraId="170A1634">
      <w:pP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备注：取得增值税普通发票的，抵扣率在上表中视为 0%。</w:t>
      </w:r>
    </w:p>
    <w:p w14:paraId="330FD8D5">
      <w:pPr>
        <w:rPr>
          <w:rFonts w:hint="eastAsia" w:ascii="宋体" w:hAnsi="宋体" w:cs="宋体"/>
          <w:color w:val="000000" w:themeColor="text1"/>
          <w:highlight w:val="none"/>
          <w14:textFill>
            <w14:solidFill>
              <w14:schemeClr w14:val="tx1"/>
            </w14:solidFill>
          </w14:textFill>
        </w:rPr>
      </w:pPr>
    </w:p>
    <w:sectPr>
      <w:headerReference r:id="rId9" w:type="default"/>
      <w:footerReference r:id="rId10" w:type="default"/>
      <w:pgSz w:w="11906" w:h="16838"/>
      <w:pgMar w:top="1134" w:right="1134" w:bottom="1134" w:left="1134" w:header="851" w:footer="567" w:gutter="0"/>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Garamond">
    <w:altName w:val="PMingLiU-ExtB"/>
    <w:panose1 w:val="02020404030301010803"/>
    <w:charset w:val="00"/>
    <w:family w:val="roman"/>
    <w:pitch w:val="default"/>
    <w:sig w:usb0="00000000" w:usb1="00000000" w:usb2="00000000" w:usb3="00000000" w:csb0="0000009F" w:csb1="DFD70000"/>
  </w:font>
  <w:font w:name="PMingLiU-ExtB">
    <w:panose1 w:val="02020500000000000000"/>
    <w:charset w:val="88"/>
    <w:family w:val="auto"/>
    <w:pitch w:val="default"/>
    <w:sig w:usb0="8000002F" w:usb1="02000008" w:usb2="00000000" w:usb3="00000000" w:csb0="0010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Cambria">
    <w:panose1 w:val="02040503050406030204"/>
    <w:charset w:val="00"/>
    <w:family w:val="roman"/>
    <w:pitch w:val="default"/>
    <w:sig w:usb0="E00002FF" w:usb1="400004FF" w:usb2="00000000" w:usb3="00000000" w:csb0="2000019F" w:csb1="00000000"/>
  </w:font>
  <w:font w:name="Times New Roman Bold">
    <w:altName w:val="Arial"/>
    <w:panose1 w:val="02020803070505020304"/>
    <w:charset w:val="00"/>
    <w:family w:val="auto"/>
    <w:pitch w:val="default"/>
    <w:sig w:usb0="00000000" w:usb1="00000000" w:usb2="00520020" w:usb3="006D006F" w:csb0="006E0061" w:csb1="00420020"/>
  </w:font>
  <w:font w:name="华文楷体">
    <w:altName w:val="宋体"/>
    <w:panose1 w:val="02010600040101010101"/>
    <w:charset w:val="86"/>
    <w:family w:val="auto"/>
    <w:pitch w:val="default"/>
    <w:sig w:usb0="00000000" w:usb1="00000000" w:usb2="00000000" w:usb3="00000000" w:csb0="0004009F" w:csb1="DFD70000"/>
  </w:font>
  <w:font w:name="华文细黑">
    <w:altName w:val="微软雅黑"/>
    <w:panose1 w:val="02010600040101010101"/>
    <w:charset w:val="86"/>
    <w:family w:val="auto"/>
    <w:pitch w:val="default"/>
    <w:sig w:usb0="00000000" w:usb1="00000000" w:usb2="00000000" w:usb3="00000000" w:csb0="0004009F" w:csb1="DFD70000"/>
  </w:font>
  <w:font w:name="Arial Unicode MS">
    <w:altName w:val="宋体"/>
    <w:panose1 w:val="020B0604020202020204"/>
    <w:charset w:val="86"/>
    <w:family w:val="swiss"/>
    <w:pitch w:val="default"/>
    <w:sig w:usb0="00000000" w:usb1="00000000" w:usb2="0000007F" w:usb3="00000000" w:csb0="203F01FF" w:csb1="DFFF0000"/>
  </w:font>
  <w:font w:name="文鼎CS长美黑">
    <w:altName w:val="宋体"/>
    <w:panose1 w:val="00000000000000000000"/>
    <w:charset w:val="86"/>
    <w:family w:val="auto"/>
    <w:pitch w:val="default"/>
    <w:sig w:usb0="00000000" w:usb1="00000000" w:usb2="00000010" w:usb3="00000000" w:csb0="00040000" w:csb1="00000000"/>
  </w:font>
  <w:font w:name="长城仿宋">
    <w:altName w:val="黑体"/>
    <w:panose1 w:val="00000000000000000000"/>
    <w:charset w:val="86"/>
    <w:family w:val="auto"/>
    <w:pitch w:val="default"/>
    <w:sig w:usb0="00000000" w:usb1="00000000" w:usb2="00000010" w:usb3="00000000" w:csb0="00040000" w:csb1="00000000"/>
  </w:font>
  <w:font w:name="MingLiU">
    <w:panose1 w:val="02020509000000000000"/>
    <w:charset w:val="88"/>
    <w:family w:val="modern"/>
    <w:pitch w:val="default"/>
    <w:sig w:usb0="A00002FF" w:usb1="28CFFCFA" w:usb2="00000016" w:usb3="00000000" w:csb0="00100001" w:csb1="00000000"/>
  </w:font>
  <w:font w:name="方正宋三简体">
    <w:altName w:val="宋体"/>
    <w:panose1 w:val="00000000000000000000"/>
    <w:charset w:val="86"/>
    <w:family w:val="auto"/>
    <w:pitch w:val="default"/>
    <w:sig w:usb0="00000000" w:usb1="00000000" w:usb2="00000010" w:usb3="00000000" w:csb0="00040000" w:csb1="00000000"/>
  </w:font>
  <w:font w:name="Arail">
    <w:altName w:val="Times New Roman"/>
    <w:panose1 w:val="00000000000000000000"/>
    <w:charset w:val="00"/>
    <w:family w:val="auto"/>
    <w:pitch w:val="default"/>
    <w:sig w:usb0="00000000" w:usb1="00000000" w:usb2="00000000" w:usb3="00000000" w:csb0="00000001" w:csb1="00000000"/>
  </w:font>
  <w:font w:name="Wingdings 2">
    <w:altName w:val="Wingdings"/>
    <w:panose1 w:val="05020102010507070707"/>
    <w:charset w:val="02"/>
    <w:family w:val="roman"/>
    <w:pitch w:val="default"/>
    <w:sig w:usb0="00000000" w:usb1="00000000" w:usb2="00000000" w:usb3="00000000" w:csb0="80000000" w:csb1="00000000"/>
  </w:font>
  <w:font w:name="Microsoft JhengHei">
    <w:panose1 w:val="020B0604030504040204"/>
    <w:charset w:val="88"/>
    <w:family w:val="swiss"/>
    <w:pitch w:val="default"/>
    <w:sig w:usb0="00000087" w:usb1="28AF4000" w:usb2="00000016" w:usb3="00000000" w:csb0="00100009"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D1F5B3">
    <w:pPr>
      <w:pStyle w:val="33"/>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23B552">
    <w:pPr>
      <w:pStyle w:val="54"/>
      <w:tabs>
        <w:tab w:val="center" w:pos="4153"/>
        <w:tab w:val="right" w:pos="8306"/>
      </w:tabs>
      <w:ind w:firstLine="360"/>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B32DC3">
                          <w:pPr>
                            <w:pStyle w:val="54"/>
                            <w:tabs>
                              <w:tab w:val="center" w:pos="4153"/>
                              <w:tab w:val="right" w:pos="8306"/>
                            </w:tabs>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7FB32DC3">
                    <w:pPr>
                      <w:pStyle w:val="54"/>
                      <w:tabs>
                        <w:tab w:val="center" w:pos="4153"/>
                        <w:tab w:val="right" w:pos="8306"/>
                      </w:tabs>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39278E">
    <w:pPr>
      <w:pStyle w:val="5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spacing w:line="240" w:lineRule="auto"/>
      </w:pPr>
      <w:r>
        <w:separator/>
      </w:r>
    </w:p>
  </w:footnote>
  <w:footnote w:type="continuationSeparator" w:id="3">
    <w:p>
      <w:pPr>
        <w:spacing w:line="240" w:lineRule="auto"/>
      </w:pPr>
      <w:r>
        <w:continuationSeparator/>
      </w:r>
    </w:p>
  </w:footnote>
  <w:footnote w:id="0">
    <w:p w14:paraId="6BEC5FDD">
      <w:pPr>
        <w:pStyle w:val="66"/>
        <w:tabs>
          <w:tab w:val="left" w:pos="3780"/>
          <w:tab w:val="clear" w:pos="0"/>
        </w:tabs>
        <w:spacing w:line="340" w:lineRule="atLeast"/>
        <w:ind w:firstLine="0"/>
        <w:jc w:val="both"/>
      </w:pPr>
      <w:r>
        <w:rPr>
          <w:rStyle w:val="143"/>
        </w:rPr>
        <w:footnoteRef/>
      </w:r>
      <w:r>
        <w:rPr>
          <w:rFonts w:hint="eastAsia"/>
        </w:rPr>
        <w:t>本条内容可修改为：“</w:t>
      </w:r>
      <w:r>
        <w:t>本</w:t>
      </w:r>
      <w:r>
        <w:rPr>
          <w:rFonts w:hint="eastAsia"/>
        </w:rPr>
        <w:t>担保</w:t>
      </w:r>
      <w:r>
        <w:t>自</w:t>
      </w:r>
      <w:r>
        <w:rPr>
          <w:rFonts w:hint="eastAsia"/>
          <w:u w:val="single"/>
        </w:rPr>
        <w:t xml:space="preserve">         </w:t>
      </w:r>
      <w:r>
        <w:t>（生效日期）之日起生效，至</w:t>
      </w:r>
      <w:r>
        <w:rPr>
          <w:rFonts w:hint="eastAsia"/>
          <w:u w:val="single"/>
        </w:rPr>
        <w:t xml:space="preserve">         </w:t>
      </w:r>
      <w:r>
        <w:t>（失效日期）之日失效</w:t>
      </w:r>
      <w:r>
        <w:rPr>
          <w:rFonts w:hint="eastAsia"/>
        </w:rPr>
        <w:t>。”</w:t>
      </w:r>
      <w:r>
        <w:rPr>
          <w:rFonts w:hint="eastAsia"/>
          <w:sz w:val="21"/>
          <w:szCs w:val="21"/>
        </w:rPr>
        <w:t xml:space="preserve"> </w:t>
      </w:r>
      <w:r>
        <w:rPr>
          <w:rFonts w:hint="eastAsia"/>
        </w:rPr>
        <w:t>如委托人接受履约</w:t>
      </w:r>
      <w:r>
        <w:t>保函</w:t>
      </w:r>
      <w:r>
        <w:rPr>
          <w:rFonts w:hint="eastAsia"/>
        </w:rPr>
        <w:t>采用固定有效</w:t>
      </w:r>
      <w:r>
        <w:t>期，</w:t>
      </w:r>
      <w:r>
        <w:rPr>
          <w:rFonts w:hint="eastAsia"/>
        </w:rPr>
        <w:t>在项目</w:t>
      </w:r>
      <w:r>
        <w:t>专用合同条款中</w:t>
      </w:r>
      <w:r>
        <w:rPr>
          <w:rFonts w:hint="eastAsia"/>
        </w:rPr>
        <w:t>应</w:t>
      </w:r>
      <w:r>
        <w:t>增加</w:t>
      </w:r>
      <w:r>
        <w:rPr>
          <w:rFonts w:hint="eastAsia"/>
        </w:rPr>
        <w:t>保证咨询人在履约</w:t>
      </w:r>
      <w:r>
        <w:t>保函失效</w:t>
      </w:r>
      <w:r>
        <w:rPr>
          <w:rFonts w:hint="eastAsia"/>
        </w:rPr>
        <w:t>日</w:t>
      </w:r>
      <w:r>
        <w:t>前向委托人出具后续阶段履约保函</w:t>
      </w:r>
      <w:r>
        <w:rPr>
          <w:rFonts w:hint="eastAsia"/>
        </w:rPr>
        <w:t>的约束性</w:t>
      </w:r>
      <w:r>
        <w:t>条款，直至委托人签发交工验收证书且</w:t>
      </w:r>
      <w:r>
        <w:rPr>
          <w:rFonts w:hint="eastAsia"/>
        </w:rPr>
        <w:t>咨询</w:t>
      </w:r>
      <w:r>
        <w:t>人按照合同约定提交缺陷责任期保函之日</w:t>
      </w:r>
      <w:r>
        <w:rPr>
          <w:rFonts w:hint="eastAsia"/>
        </w:rPr>
        <w:t>为止</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5713E1">
    <w:pPr>
      <w:pStyle w:val="33"/>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3451225</wp:posOffset>
              </wp:positionH>
              <wp:positionV relativeFrom="page">
                <wp:posOffset>560070</wp:posOffset>
              </wp:positionV>
              <wp:extent cx="3100070" cy="132715"/>
              <wp:effectExtent l="0" t="0" r="0" b="0"/>
              <wp:wrapNone/>
              <wp:docPr id="5" name="文本框 14"/>
              <wp:cNvGraphicFramePr/>
              <a:graphic xmlns:a="http://schemas.openxmlformats.org/drawingml/2006/main">
                <a:graphicData uri="http://schemas.microsoft.com/office/word/2010/wordprocessingShape">
                  <wps:wsp>
                    <wps:cNvSpPr txBox="1"/>
                    <wps:spPr>
                      <a:xfrm>
                        <a:off x="0" y="0"/>
                        <a:ext cx="3100070" cy="132715"/>
                      </a:xfrm>
                      <a:prstGeom prst="rect">
                        <a:avLst/>
                      </a:prstGeom>
                      <a:noFill/>
                      <a:ln>
                        <a:noFill/>
                      </a:ln>
                    </wps:spPr>
                    <wps:txbx>
                      <w:txbxContent>
                        <w:p w14:paraId="203844A2">
                          <w:pPr>
                            <w:spacing w:line="209" w:lineRule="exact"/>
                            <w:rPr>
                              <w:rFonts w:ascii="黑体" w:eastAsia="黑体"/>
                            </w:rPr>
                          </w:pPr>
                          <w:r>
                            <w:rPr>
                              <w:rFonts w:hint="eastAsia" w:ascii="黑体" w:eastAsia="黑体"/>
                            </w:rPr>
                            <w:t>湖南省公路工程标准服务采购文件（2019</w:t>
                          </w:r>
                          <w:r>
                            <w:rPr>
                              <w:rFonts w:hint="eastAsia" w:ascii="黑体" w:eastAsia="黑体"/>
                              <w:spacing w:val="-22"/>
                            </w:rPr>
                            <w:t xml:space="preserve"> 年版</w:t>
                          </w:r>
                          <w:r>
                            <w:rPr>
                              <w:rFonts w:hint="eastAsia" w:ascii="黑体" w:eastAsia="黑体"/>
                            </w:rPr>
                            <w:t>）</w:t>
                          </w:r>
                        </w:p>
                      </w:txbxContent>
                    </wps:txbx>
                    <wps:bodyPr lIns="0" tIns="0" rIns="0" bIns="0" upright="1"/>
                  </wps:wsp>
                </a:graphicData>
              </a:graphic>
            </wp:anchor>
          </w:drawing>
        </mc:Choice>
        <mc:Fallback>
          <w:pict>
            <v:shape id="文本框 14" o:spid="_x0000_s1026" o:spt="202" type="#_x0000_t202" style="position:absolute;left:0pt;margin-left:271.75pt;margin-top:44.1pt;height:10.45pt;width:244.1pt;mso-position-horizontal-relative:page;mso-position-vertical-relative:page;z-index:-251657216;mso-width-relative:page;mso-height-relative:page;" filled="f" stroked="f" coordsize="21600,21600" o:gfxdata="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MjPNtdoAAAALAQAADwAAAAAAAAABACAAAAAiAAAAZHJzL2Rvd25yZXYueG1sUEsB&#10;AhQAFAAAAAgAh07iQP+1s3e6AQAAcwMAAA4AAAAAAAAAAQAgAAAAKQEAAGRycy9lMm9Eb2MueG1s&#10;UEsFBgAAAAAGAAYAWQEAAFUFAAAAAA==&#10;">
              <v:fill on="f" focussize="0,0"/>
              <v:stroke on="f"/>
              <v:imagedata o:title=""/>
              <o:lock v:ext="edit" aspectratio="f"/>
              <v:textbox inset="0mm,0mm,0mm,0mm">
                <w:txbxContent>
                  <w:p w14:paraId="203844A2">
                    <w:pPr>
                      <w:spacing w:line="209" w:lineRule="exact"/>
                      <w:rPr>
                        <w:rFonts w:ascii="黑体" w:eastAsia="黑体"/>
                      </w:rPr>
                    </w:pPr>
                    <w:r>
                      <w:rPr>
                        <w:rFonts w:hint="eastAsia" w:ascii="黑体" w:eastAsia="黑体"/>
                      </w:rPr>
                      <w:t>湖南省公路工程标准服务采购文件（2019</w:t>
                    </w:r>
                    <w:r>
                      <w:rPr>
                        <w:rFonts w:hint="eastAsia" w:ascii="黑体" w:eastAsia="黑体"/>
                        <w:spacing w:val="-22"/>
                      </w:rPr>
                      <w:t xml:space="preserve"> 年版</w:t>
                    </w:r>
                    <w:r>
                      <w:rPr>
                        <w:rFonts w:hint="eastAsia" w:ascii="黑体" w:eastAsia="黑体"/>
                      </w:rPr>
                      <w:t>）</w:t>
                    </w:r>
                  </w:p>
                </w:txbxContent>
              </v:textbox>
            </v:shape>
          </w:pict>
        </mc:Fallback>
      </mc:AlternateContent>
    </w:r>
    <w:r>
      <mc:AlternateContent>
        <mc:Choice Requires="wps">
          <w:drawing>
            <wp:anchor distT="0" distB="0" distL="114300" distR="114300" simplePos="0" relativeHeight="251660288" behindDoc="1" locked="0" layoutInCell="1" allowOverlap="1">
              <wp:simplePos x="0" y="0"/>
              <wp:positionH relativeFrom="page">
                <wp:posOffset>104775</wp:posOffset>
              </wp:positionH>
              <wp:positionV relativeFrom="page">
                <wp:posOffset>-114300</wp:posOffset>
              </wp:positionV>
              <wp:extent cx="7560310" cy="817880"/>
              <wp:effectExtent l="0" t="0" r="2540" b="1270"/>
              <wp:wrapNone/>
              <wp:docPr id="14" name="矩形 15"/>
              <wp:cNvGraphicFramePr/>
              <a:graphic xmlns:a="http://schemas.openxmlformats.org/drawingml/2006/main">
                <a:graphicData uri="http://schemas.microsoft.com/office/word/2010/wordprocessingShape">
                  <wps:wsp>
                    <wps:cNvSpPr/>
                    <wps:spPr>
                      <a:xfrm>
                        <a:off x="0" y="0"/>
                        <a:ext cx="7560310" cy="817880"/>
                      </a:xfrm>
                      <a:prstGeom prst="rect">
                        <a:avLst/>
                      </a:prstGeom>
                      <a:solidFill>
                        <a:srgbClr val="FFFFFF"/>
                      </a:solidFill>
                      <a:ln>
                        <a:noFill/>
                      </a:ln>
                    </wps:spPr>
                    <wps:bodyPr upright="1"/>
                  </wps:wsp>
                </a:graphicData>
              </a:graphic>
            </wp:anchor>
          </w:drawing>
        </mc:Choice>
        <mc:Fallback>
          <w:pict>
            <v:rect id="矩形 15" o:spid="_x0000_s1026" o:spt="1" style="position:absolute;left:0pt;margin-left:8.25pt;margin-top:-9pt;height:64.4pt;width:595.3pt;mso-position-horizontal-relative:page;mso-position-vertical-relative:page;z-index:-251656192;mso-width-relative:page;mso-height-relative:page;" fillcolor="#FFFFFF" filled="t" stroked="f" coordsize="21600,21600" o:gfxdata="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4hCN39cAAAALAQAADwAAAAAAAAABACAAAAAiAAAAZHJzL2Rvd25yZXYueG1sUEsBAhQAFAAAAAgA&#10;h07iQPM5edK0AQAAYQMAAA4AAAAAAAAAAQAgAAAAJgEAAGRycy9lMm9Eb2MueG1sUEsFBgAAAAAG&#10;AAYAWQEAAEwFAAAAAA==&#10;">
              <v:fill on="t" focussize="0,0"/>
              <v:stroke on="f"/>
              <v:imagedata o:title=""/>
              <o:lock v:ext="edit" aspectratio="f"/>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DB08C6">
    <w:pPr>
      <w:pStyle w:val="5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7F4697">
    <w:pPr>
      <w:pStyle w:val="56"/>
      <w:rPr>
        <w:b/>
        <w:szCs w:val="17"/>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0D6C20"/>
    <w:multiLevelType w:val="multilevel"/>
    <w:tmpl w:val="A10D6C20"/>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A368C39E"/>
    <w:multiLevelType w:val="singleLevel"/>
    <w:tmpl w:val="A368C39E"/>
    <w:lvl w:ilvl="0" w:tentative="0">
      <w:start w:val="1"/>
      <w:numFmt w:val="decimal"/>
      <w:lvlText w:val="%1."/>
      <w:lvlJc w:val="left"/>
      <w:pPr>
        <w:tabs>
          <w:tab w:val="left" w:pos="312"/>
        </w:tabs>
      </w:pPr>
    </w:lvl>
  </w:abstractNum>
  <w:abstractNum w:abstractNumId="2">
    <w:nsid w:val="BC049F1D"/>
    <w:multiLevelType w:val="singleLevel"/>
    <w:tmpl w:val="BC049F1D"/>
    <w:lvl w:ilvl="0" w:tentative="0">
      <w:start w:val="1"/>
      <w:numFmt w:val="decimal"/>
      <w:suff w:val="nothing"/>
      <w:lvlText w:val="%1、"/>
      <w:lvlJc w:val="left"/>
    </w:lvl>
  </w:abstractNum>
  <w:abstractNum w:abstractNumId="3">
    <w:nsid w:val="BF1F5027"/>
    <w:multiLevelType w:val="singleLevel"/>
    <w:tmpl w:val="BF1F5027"/>
    <w:lvl w:ilvl="0" w:tentative="0">
      <w:start w:val="1"/>
      <w:numFmt w:val="decimal"/>
      <w:lvlText w:val="%1."/>
      <w:lvlJc w:val="left"/>
      <w:pPr>
        <w:tabs>
          <w:tab w:val="left" w:pos="312"/>
        </w:tabs>
      </w:pPr>
    </w:lvl>
  </w:abstractNum>
  <w:abstractNum w:abstractNumId="4">
    <w:nsid w:val="DBA4F26E"/>
    <w:multiLevelType w:val="singleLevel"/>
    <w:tmpl w:val="DBA4F26E"/>
    <w:lvl w:ilvl="0" w:tentative="0">
      <w:start w:val="1"/>
      <w:numFmt w:val="decimal"/>
      <w:suff w:val="nothing"/>
      <w:lvlText w:val="（%1）"/>
      <w:lvlJc w:val="left"/>
    </w:lvl>
  </w:abstractNum>
  <w:abstractNum w:abstractNumId="5">
    <w:nsid w:val="DD469516"/>
    <w:multiLevelType w:val="singleLevel"/>
    <w:tmpl w:val="DD469516"/>
    <w:lvl w:ilvl="0" w:tentative="0">
      <w:start w:val="1"/>
      <w:numFmt w:val="decimal"/>
      <w:lvlText w:val="%1."/>
      <w:lvlJc w:val="left"/>
      <w:pPr>
        <w:tabs>
          <w:tab w:val="left" w:pos="312"/>
        </w:tabs>
      </w:pPr>
    </w:lvl>
  </w:abstractNum>
  <w:abstractNum w:abstractNumId="6">
    <w:nsid w:val="E56D331A"/>
    <w:multiLevelType w:val="singleLevel"/>
    <w:tmpl w:val="E56D331A"/>
    <w:lvl w:ilvl="0" w:tentative="0">
      <w:start w:val="1"/>
      <w:numFmt w:val="decimal"/>
      <w:lvlText w:val="%1."/>
      <w:lvlJc w:val="left"/>
      <w:pPr>
        <w:tabs>
          <w:tab w:val="left" w:pos="312"/>
        </w:tabs>
      </w:pPr>
    </w:lvl>
  </w:abstractNum>
  <w:abstractNum w:abstractNumId="7">
    <w:nsid w:val="E9B7A49A"/>
    <w:multiLevelType w:val="singleLevel"/>
    <w:tmpl w:val="E9B7A49A"/>
    <w:lvl w:ilvl="0" w:tentative="0">
      <w:start w:val="1"/>
      <w:numFmt w:val="decimal"/>
      <w:lvlText w:val="%1."/>
      <w:lvlJc w:val="left"/>
      <w:pPr>
        <w:tabs>
          <w:tab w:val="left" w:pos="312"/>
        </w:tabs>
      </w:pPr>
    </w:lvl>
  </w:abstractNum>
  <w:abstractNum w:abstractNumId="8">
    <w:nsid w:val="03ECED67"/>
    <w:multiLevelType w:val="singleLevel"/>
    <w:tmpl w:val="03ECED67"/>
    <w:lvl w:ilvl="0" w:tentative="0">
      <w:start w:val="4"/>
      <w:numFmt w:val="decimal"/>
      <w:lvlText w:val="%1."/>
      <w:lvlJc w:val="left"/>
      <w:pPr>
        <w:tabs>
          <w:tab w:val="left" w:pos="312"/>
        </w:tabs>
      </w:pPr>
    </w:lvl>
  </w:abstractNum>
  <w:abstractNum w:abstractNumId="9">
    <w:nsid w:val="13D578A4"/>
    <w:multiLevelType w:val="multilevel"/>
    <w:tmpl w:val="13D578A4"/>
    <w:lvl w:ilvl="0" w:tentative="0">
      <w:start w:val="3"/>
      <w:numFmt w:val="decimal"/>
      <w:pStyle w:val="349"/>
      <w:lvlText w:val="%1、"/>
      <w:lvlJc w:val="left"/>
      <w:pPr>
        <w:ind w:left="360" w:hanging="360"/>
      </w:pPr>
      <w:rPr>
        <w:rFonts w:hint="default"/>
      </w:rPr>
    </w:lvl>
    <w:lvl w:ilvl="1" w:tentative="0">
      <w:start w:val="1"/>
      <w:numFmt w:val="lowerLetter"/>
      <w:pStyle w:val="328"/>
      <w:lvlText w:val="%2)"/>
      <w:lvlJc w:val="left"/>
      <w:pPr>
        <w:ind w:left="840" w:hanging="420"/>
      </w:pPr>
    </w:lvl>
    <w:lvl w:ilvl="2" w:tentative="0">
      <w:start w:val="1"/>
      <w:numFmt w:val="lowerRoman"/>
      <w:pStyle w:val="329"/>
      <w:lvlText w:val="%3."/>
      <w:lvlJc w:val="right"/>
      <w:pPr>
        <w:ind w:left="1260" w:hanging="420"/>
      </w:pPr>
    </w:lvl>
    <w:lvl w:ilvl="3" w:tentative="0">
      <w:start w:val="1"/>
      <w:numFmt w:val="decimal"/>
      <w:pStyle w:val="522"/>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215D21BB"/>
    <w:multiLevelType w:val="multilevel"/>
    <w:tmpl w:val="215D21BB"/>
    <w:lvl w:ilvl="0" w:tentative="0">
      <w:start w:val="1"/>
      <w:numFmt w:val="japaneseCounting"/>
      <w:pStyle w:val="220"/>
      <w:lvlText w:val="%1、"/>
      <w:lvlJc w:val="left"/>
      <w:pPr>
        <w:ind w:left="657" w:hanging="450"/>
      </w:pPr>
      <w:rPr>
        <w:rFonts w:hint="default"/>
      </w:rPr>
    </w:lvl>
    <w:lvl w:ilvl="1" w:tentative="0">
      <w:start w:val="1"/>
      <w:numFmt w:val="lowerLetter"/>
      <w:lvlText w:val="%2)"/>
      <w:lvlJc w:val="left"/>
      <w:pPr>
        <w:ind w:left="1047" w:hanging="420"/>
      </w:pPr>
    </w:lvl>
    <w:lvl w:ilvl="2" w:tentative="0">
      <w:start w:val="1"/>
      <w:numFmt w:val="lowerRoman"/>
      <w:lvlText w:val="%3."/>
      <w:lvlJc w:val="right"/>
      <w:pPr>
        <w:ind w:left="1467" w:hanging="420"/>
      </w:pPr>
    </w:lvl>
    <w:lvl w:ilvl="3" w:tentative="0">
      <w:start w:val="1"/>
      <w:numFmt w:val="decimal"/>
      <w:lvlText w:val="%4."/>
      <w:lvlJc w:val="left"/>
      <w:pPr>
        <w:ind w:left="1887" w:hanging="420"/>
      </w:pPr>
    </w:lvl>
    <w:lvl w:ilvl="4" w:tentative="0">
      <w:start w:val="1"/>
      <w:numFmt w:val="lowerLetter"/>
      <w:lvlText w:val="%5)"/>
      <w:lvlJc w:val="left"/>
      <w:pPr>
        <w:ind w:left="2307" w:hanging="420"/>
      </w:pPr>
    </w:lvl>
    <w:lvl w:ilvl="5" w:tentative="0">
      <w:start w:val="1"/>
      <w:numFmt w:val="lowerRoman"/>
      <w:lvlText w:val="%6."/>
      <w:lvlJc w:val="right"/>
      <w:pPr>
        <w:ind w:left="2727" w:hanging="420"/>
      </w:pPr>
    </w:lvl>
    <w:lvl w:ilvl="6" w:tentative="0">
      <w:start w:val="1"/>
      <w:numFmt w:val="decimal"/>
      <w:lvlText w:val="%7."/>
      <w:lvlJc w:val="left"/>
      <w:pPr>
        <w:ind w:left="3147" w:hanging="420"/>
      </w:pPr>
    </w:lvl>
    <w:lvl w:ilvl="7" w:tentative="0">
      <w:start w:val="1"/>
      <w:numFmt w:val="lowerLetter"/>
      <w:lvlText w:val="%8)"/>
      <w:lvlJc w:val="left"/>
      <w:pPr>
        <w:ind w:left="3567" w:hanging="420"/>
      </w:pPr>
    </w:lvl>
    <w:lvl w:ilvl="8" w:tentative="0">
      <w:start w:val="1"/>
      <w:numFmt w:val="lowerRoman"/>
      <w:lvlText w:val="%9."/>
      <w:lvlJc w:val="right"/>
      <w:pPr>
        <w:ind w:left="3987" w:hanging="420"/>
      </w:pPr>
    </w:lvl>
  </w:abstractNum>
  <w:abstractNum w:abstractNumId="11">
    <w:nsid w:val="26304756"/>
    <w:multiLevelType w:val="multilevel"/>
    <w:tmpl w:val="26304756"/>
    <w:lvl w:ilvl="0" w:tentative="0">
      <w:start w:val="1"/>
      <w:numFmt w:val="decimal"/>
      <w:pStyle w:val="64"/>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2F9D7C12"/>
    <w:multiLevelType w:val="singleLevel"/>
    <w:tmpl w:val="2F9D7C12"/>
    <w:lvl w:ilvl="0" w:tentative="0">
      <w:start w:val="1"/>
      <w:numFmt w:val="decimal"/>
      <w:suff w:val="nothing"/>
      <w:lvlText w:val="（%1）"/>
      <w:lvlJc w:val="left"/>
      <w:pPr>
        <w:ind w:left="-60"/>
      </w:pPr>
    </w:lvl>
  </w:abstractNum>
  <w:abstractNum w:abstractNumId="13">
    <w:nsid w:val="3601A173"/>
    <w:multiLevelType w:val="singleLevel"/>
    <w:tmpl w:val="3601A173"/>
    <w:lvl w:ilvl="0" w:tentative="0">
      <w:start w:val="1"/>
      <w:numFmt w:val="chineseCounting"/>
      <w:suff w:val="nothing"/>
      <w:lvlText w:val="%1、"/>
      <w:lvlJc w:val="left"/>
      <w:rPr>
        <w:rFonts w:hint="eastAsia"/>
      </w:rPr>
    </w:lvl>
  </w:abstractNum>
  <w:abstractNum w:abstractNumId="14">
    <w:nsid w:val="4851542D"/>
    <w:multiLevelType w:val="singleLevel"/>
    <w:tmpl w:val="4851542D"/>
    <w:lvl w:ilvl="0" w:tentative="0">
      <w:start w:val="1"/>
      <w:numFmt w:val="decimal"/>
      <w:lvlText w:val="%1."/>
      <w:lvlJc w:val="left"/>
      <w:pPr>
        <w:tabs>
          <w:tab w:val="left" w:pos="312"/>
        </w:tabs>
      </w:pPr>
    </w:lvl>
  </w:abstractNum>
  <w:abstractNum w:abstractNumId="15">
    <w:nsid w:val="56A7532D"/>
    <w:multiLevelType w:val="singleLevel"/>
    <w:tmpl w:val="56A7532D"/>
    <w:lvl w:ilvl="0" w:tentative="0">
      <w:start w:val="5"/>
      <w:numFmt w:val="decimal"/>
      <w:pStyle w:val="13"/>
      <w:suff w:val="space"/>
      <w:lvlText w:val="%1."/>
      <w:lvlJc w:val="left"/>
    </w:lvl>
  </w:abstractNum>
  <w:abstractNum w:abstractNumId="16">
    <w:nsid w:val="5727FDAD"/>
    <w:multiLevelType w:val="singleLevel"/>
    <w:tmpl w:val="5727FDAD"/>
    <w:lvl w:ilvl="0" w:tentative="0">
      <w:start w:val="3"/>
      <w:numFmt w:val="decimal"/>
      <w:pStyle w:val="19"/>
      <w:suff w:val="nothing"/>
      <w:lvlText w:val="（%1）"/>
      <w:lvlJc w:val="left"/>
    </w:lvl>
  </w:abstractNum>
  <w:abstractNum w:abstractNumId="17">
    <w:nsid w:val="57319D87"/>
    <w:multiLevelType w:val="singleLevel"/>
    <w:tmpl w:val="57319D87"/>
    <w:lvl w:ilvl="0" w:tentative="0">
      <w:start w:val="2"/>
      <w:numFmt w:val="chineseCounting"/>
      <w:pStyle w:val="16"/>
      <w:suff w:val="nothing"/>
      <w:lvlText w:val="%1、"/>
      <w:lvlJc w:val="left"/>
    </w:lvl>
  </w:abstractNum>
  <w:abstractNum w:abstractNumId="18">
    <w:nsid w:val="59468949"/>
    <w:multiLevelType w:val="singleLevel"/>
    <w:tmpl w:val="59468949"/>
    <w:lvl w:ilvl="0" w:tentative="0">
      <w:start w:val="6"/>
      <w:numFmt w:val="chineseCounting"/>
      <w:pStyle w:val="23"/>
      <w:suff w:val="nothing"/>
      <w:lvlText w:val="%1、"/>
      <w:lvlJc w:val="left"/>
      <w:pPr>
        <w:ind w:left="0" w:firstLine="0"/>
      </w:pPr>
    </w:lvl>
  </w:abstractNum>
  <w:abstractNum w:abstractNumId="19">
    <w:nsid w:val="59508E65"/>
    <w:multiLevelType w:val="singleLevel"/>
    <w:tmpl w:val="59508E65"/>
    <w:lvl w:ilvl="0" w:tentative="0">
      <w:start w:val="1"/>
      <w:numFmt w:val="decimal"/>
      <w:pStyle w:val="45"/>
      <w:suff w:val="nothing"/>
      <w:lvlText w:val="%1、"/>
      <w:lvlJc w:val="left"/>
    </w:lvl>
  </w:abstractNum>
  <w:abstractNum w:abstractNumId="20">
    <w:nsid w:val="5958FBB0"/>
    <w:multiLevelType w:val="singleLevel"/>
    <w:tmpl w:val="5958FBB0"/>
    <w:lvl w:ilvl="0" w:tentative="0">
      <w:start w:val="3"/>
      <w:numFmt w:val="decimal"/>
      <w:pStyle w:val="35"/>
      <w:suff w:val="nothing"/>
      <w:lvlText w:val="%1、"/>
      <w:lvlJc w:val="left"/>
    </w:lvl>
  </w:abstractNum>
  <w:abstractNum w:abstractNumId="21">
    <w:nsid w:val="5959C87D"/>
    <w:multiLevelType w:val="singleLevel"/>
    <w:tmpl w:val="5959C87D"/>
    <w:lvl w:ilvl="0" w:tentative="0">
      <w:start w:val="1"/>
      <w:numFmt w:val="decimal"/>
      <w:pStyle w:val="46"/>
      <w:suff w:val="nothing"/>
      <w:lvlText w:val="（%1）"/>
      <w:lvlJc w:val="left"/>
    </w:lvl>
  </w:abstractNum>
  <w:abstractNum w:abstractNumId="22">
    <w:nsid w:val="59927EA5"/>
    <w:multiLevelType w:val="singleLevel"/>
    <w:tmpl w:val="59927EA5"/>
    <w:lvl w:ilvl="0" w:tentative="0">
      <w:start w:val="5"/>
      <w:numFmt w:val="decimal"/>
      <w:pStyle w:val="32"/>
      <w:suff w:val="nothing"/>
      <w:lvlText w:val="%1、"/>
      <w:lvlJc w:val="left"/>
    </w:lvl>
  </w:abstractNum>
  <w:abstractNum w:abstractNumId="23">
    <w:nsid w:val="61390DFD"/>
    <w:multiLevelType w:val="multilevel"/>
    <w:tmpl w:val="61390DFD"/>
    <w:lvl w:ilvl="0" w:tentative="0">
      <w:start w:val="1"/>
      <w:numFmt w:val="decimal"/>
      <w:pStyle w:val="39"/>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5"/>
  </w:num>
  <w:num w:numId="2">
    <w:abstractNumId w:val="17"/>
  </w:num>
  <w:num w:numId="3">
    <w:abstractNumId w:val="16"/>
  </w:num>
  <w:num w:numId="4">
    <w:abstractNumId w:val="18"/>
  </w:num>
  <w:num w:numId="5">
    <w:abstractNumId w:val="22"/>
  </w:num>
  <w:num w:numId="6">
    <w:abstractNumId w:val="20"/>
  </w:num>
  <w:num w:numId="7">
    <w:abstractNumId w:val="23"/>
  </w:num>
  <w:num w:numId="8">
    <w:abstractNumId w:val="19"/>
  </w:num>
  <w:num w:numId="9">
    <w:abstractNumId w:val="21"/>
  </w:num>
  <w:num w:numId="10">
    <w:abstractNumId w:val="11"/>
  </w:num>
  <w:num w:numId="11">
    <w:abstractNumId w:val="10"/>
  </w:num>
  <w:num w:numId="12">
    <w:abstractNumId w:val="9"/>
  </w:num>
  <w:num w:numId="13">
    <w:abstractNumId w:val="5"/>
  </w:num>
  <w:num w:numId="14">
    <w:abstractNumId w:val="7"/>
  </w:num>
  <w:num w:numId="15">
    <w:abstractNumId w:val="1"/>
  </w:num>
  <w:num w:numId="16">
    <w:abstractNumId w:val="6"/>
  </w:num>
  <w:num w:numId="17">
    <w:abstractNumId w:val="2"/>
  </w:num>
  <w:num w:numId="18">
    <w:abstractNumId w:val="4"/>
  </w:num>
  <w:num w:numId="19">
    <w:abstractNumId w:val="3"/>
  </w:num>
  <w:num w:numId="20">
    <w:abstractNumId w:val="12"/>
  </w:num>
  <w:num w:numId="21">
    <w:abstractNumId w:val="13"/>
  </w:num>
  <w:num w:numId="22">
    <w:abstractNumId w:val="8"/>
  </w:num>
  <w:num w:numId="23">
    <w:abstractNumId w:val="14"/>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footnotePr>
    <w:footnote w:id="2"/>
    <w:footnote w:id="3"/>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QyODJhMWVhYzkyMzg2ZmU1NWNiMTIxODkyNmE4YjUifQ=="/>
  </w:docVars>
  <w:rsids>
    <w:rsidRoot w:val="00172A27"/>
    <w:rsid w:val="00016E6B"/>
    <w:rsid w:val="0005364C"/>
    <w:rsid w:val="00073EC5"/>
    <w:rsid w:val="000C4EB3"/>
    <w:rsid w:val="000E470A"/>
    <w:rsid w:val="000E4C1D"/>
    <w:rsid w:val="000F05B3"/>
    <w:rsid w:val="00152E92"/>
    <w:rsid w:val="00172A27"/>
    <w:rsid w:val="00177842"/>
    <w:rsid w:val="001A5CEE"/>
    <w:rsid w:val="001B1A59"/>
    <w:rsid w:val="001B4FF6"/>
    <w:rsid w:val="001C2943"/>
    <w:rsid w:val="001D24A7"/>
    <w:rsid w:val="00224E6B"/>
    <w:rsid w:val="00255FBD"/>
    <w:rsid w:val="002865EA"/>
    <w:rsid w:val="002C375E"/>
    <w:rsid w:val="002D4EDD"/>
    <w:rsid w:val="00331595"/>
    <w:rsid w:val="00333F31"/>
    <w:rsid w:val="00372EE9"/>
    <w:rsid w:val="00385650"/>
    <w:rsid w:val="003E1F23"/>
    <w:rsid w:val="003E4400"/>
    <w:rsid w:val="00453F96"/>
    <w:rsid w:val="00473A29"/>
    <w:rsid w:val="004C643D"/>
    <w:rsid w:val="004F0F53"/>
    <w:rsid w:val="00503256"/>
    <w:rsid w:val="0051238C"/>
    <w:rsid w:val="005407C3"/>
    <w:rsid w:val="00544FBD"/>
    <w:rsid w:val="00566421"/>
    <w:rsid w:val="00567C6F"/>
    <w:rsid w:val="005A7558"/>
    <w:rsid w:val="005D64AD"/>
    <w:rsid w:val="005F1EB5"/>
    <w:rsid w:val="00616019"/>
    <w:rsid w:val="00642B1A"/>
    <w:rsid w:val="006C6C42"/>
    <w:rsid w:val="006C70FB"/>
    <w:rsid w:val="006D0B42"/>
    <w:rsid w:val="006D6CE3"/>
    <w:rsid w:val="006E49B9"/>
    <w:rsid w:val="00704E92"/>
    <w:rsid w:val="00717B18"/>
    <w:rsid w:val="007635D1"/>
    <w:rsid w:val="007A0B15"/>
    <w:rsid w:val="007A6922"/>
    <w:rsid w:val="007B32FC"/>
    <w:rsid w:val="007E6C0D"/>
    <w:rsid w:val="007E7C8E"/>
    <w:rsid w:val="007F65A9"/>
    <w:rsid w:val="008673CB"/>
    <w:rsid w:val="0088534B"/>
    <w:rsid w:val="008B7422"/>
    <w:rsid w:val="008C7639"/>
    <w:rsid w:val="009062C0"/>
    <w:rsid w:val="009719DD"/>
    <w:rsid w:val="009849BC"/>
    <w:rsid w:val="009E4E5D"/>
    <w:rsid w:val="00A115E4"/>
    <w:rsid w:val="00A42281"/>
    <w:rsid w:val="00A512F4"/>
    <w:rsid w:val="00A518EE"/>
    <w:rsid w:val="00A649C4"/>
    <w:rsid w:val="00A83356"/>
    <w:rsid w:val="00A83834"/>
    <w:rsid w:val="00AA2C14"/>
    <w:rsid w:val="00AD35E1"/>
    <w:rsid w:val="00AE326F"/>
    <w:rsid w:val="00B24DE1"/>
    <w:rsid w:val="00B27D67"/>
    <w:rsid w:val="00B37558"/>
    <w:rsid w:val="00B70A36"/>
    <w:rsid w:val="00B7163E"/>
    <w:rsid w:val="00BA1EA6"/>
    <w:rsid w:val="00BB2E3C"/>
    <w:rsid w:val="00BC72D0"/>
    <w:rsid w:val="00BE54C4"/>
    <w:rsid w:val="00C140A0"/>
    <w:rsid w:val="00CA3FD7"/>
    <w:rsid w:val="00CA6AEA"/>
    <w:rsid w:val="00D1529F"/>
    <w:rsid w:val="00D55FCA"/>
    <w:rsid w:val="00D93649"/>
    <w:rsid w:val="00DE4920"/>
    <w:rsid w:val="00DF51A3"/>
    <w:rsid w:val="00EA1296"/>
    <w:rsid w:val="00EB037D"/>
    <w:rsid w:val="00EC5CF0"/>
    <w:rsid w:val="00EE191F"/>
    <w:rsid w:val="00FF3EC6"/>
    <w:rsid w:val="013B2B96"/>
    <w:rsid w:val="014D0B1B"/>
    <w:rsid w:val="016F70A8"/>
    <w:rsid w:val="01D03FA9"/>
    <w:rsid w:val="02595FE8"/>
    <w:rsid w:val="02661091"/>
    <w:rsid w:val="026C5A60"/>
    <w:rsid w:val="02AE03B9"/>
    <w:rsid w:val="02C32E1C"/>
    <w:rsid w:val="02FA4979"/>
    <w:rsid w:val="041134A8"/>
    <w:rsid w:val="042A335C"/>
    <w:rsid w:val="04706351"/>
    <w:rsid w:val="047B6A13"/>
    <w:rsid w:val="055F746B"/>
    <w:rsid w:val="05FC0367"/>
    <w:rsid w:val="062517AE"/>
    <w:rsid w:val="06610385"/>
    <w:rsid w:val="073B0D7B"/>
    <w:rsid w:val="07B97A86"/>
    <w:rsid w:val="07C801E7"/>
    <w:rsid w:val="08084B43"/>
    <w:rsid w:val="085E6918"/>
    <w:rsid w:val="09094AFB"/>
    <w:rsid w:val="09125B77"/>
    <w:rsid w:val="092D0E29"/>
    <w:rsid w:val="0A6273E5"/>
    <w:rsid w:val="0A8E2C9E"/>
    <w:rsid w:val="0AC70C41"/>
    <w:rsid w:val="0AD55DC8"/>
    <w:rsid w:val="0B106A7D"/>
    <w:rsid w:val="0B6C5BA6"/>
    <w:rsid w:val="0BAE52DA"/>
    <w:rsid w:val="0BB55C73"/>
    <w:rsid w:val="0BBC5DC9"/>
    <w:rsid w:val="0BBD328A"/>
    <w:rsid w:val="0C840A60"/>
    <w:rsid w:val="0CBA19B9"/>
    <w:rsid w:val="0D246BD2"/>
    <w:rsid w:val="0D2E11C5"/>
    <w:rsid w:val="0D3E6217"/>
    <w:rsid w:val="0D9C764F"/>
    <w:rsid w:val="0DDE4E56"/>
    <w:rsid w:val="0DF26C38"/>
    <w:rsid w:val="0E6C4718"/>
    <w:rsid w:val="0EDC5A78"/>
    <w:rsid w:val="0EF6215C"/>
    <w:rsid w:val="0F170624"/>
    <w:rsid w:val="0F4161C1"/>
    <w:rsid w:val="0F416D16"/>
    <w:rsid w:val="10284C1B"/>
    <w:rsid w:val="10C812EB"/>
    <w:rsid w:val="111604B9"/>
    <w:rsid w:val="11165E80"/>
    <w:rsid w:val="11FA2DBB"/>
    <w:rsid w:val="11FF1F68"/>
    <w:rsid w:val="120B5EDC"/>
    <w:rsid w:val="12511BDF"/>
    <w:rsid w:val="129F2C59"/>
    <w:rsid w:val="12EF25CE"/>
    <w:rsid w:val="13214BB4"/>
    <w:rsid w:val="13304733"/>
    <w:rsid w:val="137A067B"/>
    <w:rsid w:val="138709B7"/>
    <w:rsid w:val="14473C50"/>
    <w:rsid w:val="14991C7E"/>
    <w:rsid w:val="15686601"/>
    <w:rsid w:val="161A189D"/>
    <w:rsid w:val="16555313"/>
    <w:rsid w:val="1718457C"/>
    <w:rsid w:val="173A5D53"/>
    <w:rsid w:val="17725A0F"/>
    <w:rsid w:val="17E17EB1"/>
    <w:rsid w:val="18104D54"/>
    <w:rsid w:val="199D7048"/>
    <w:rsid w:val="1A4C5E4C"/>
    <w:rsid w:val="1A615F3A"/>
    <w:rsid w:val="1B2A1DCA"/>
    <w:rsid w:val="1B90164D"/>
    <w:rsid w:val="1B992C85"/>
    <w:rsid w:val="1BA5432A"/>
    <w:rsid w:val="1BC84FCE"/>
    <w:rsid w:val="1BDC22DF"/>
    <w:rsid w:val="1BFD4981"/>
    <w:rsid w:val="1D2D45F5"/>
    <w:rsid w:val="1DA916F8"/>
    <w:rsid w:val="1E0240B7"/>
    <w:rsid w:val="1E101727"/>
    <w:rsid w:val="1E311220"/>
    <w:rsid w:val="1E9E148E"/>
    <w:rsid w:val="1EBE5962"/>
    <w:rsid w:val="1F4B59DA"/>
    <w:rsid w:val="1F5F033F"/>
    <w:rsid w:val="1F6A3955"/>
    <w:rsid w:val="1FBC0F60"/>
    <w:rsid w:val="209B19B1"/>
    <w:rsid w:val="20FF6809"/>
    <w:rsid w:val="21192B01"/>
    <w:rsid w:val="21A3147C"/>
    <w:rsid w:val="22006B6E"/>
    <w:rsid w:val="221A060D"/>
    <w:rsid w:val="22705849"/>
    <w:rsid w:val="22842F6E"/>
    <w:rsid w:val="22D12F02"/>
    <w:rsid w:val="22EC3898"/>
    <w:rsid w:val="23112A95"/>
    <w:rsid w:val="232E6CE7"/>
    <w:rsid w:val="233D1AA4"/>
    <w:rsid w:val="237D6FAF"/>
    <w:rsid w:val="23D9242D"/>
    <w:rsid w:val="24685735"/>
    <w:rsid w:val="24AD0774"/>
    <w:rsid w:val="24B92A42"/>
    <w:rsid w:val="256156EA"/>
    <w:rsid w:val="259648B7"/>
    <w:rsid w:val="25D6438C"/>
    <w:rsid w:val="25EF55F2"/>
    <w:rsid w:val="25FC20FC"/>
    <w:rsid w:val="26197955"/>
    <w:rsid w:val="26521939"/>
    <w:rsid w:val="265A5B07"/>
    <w:rsid w:val="26B00E3D"/>
    <w:rsid w:val="26EA36DD"/>
    <w:rsid w:val="2724135B"/>
    <w:rsid w:val="27710C92"/>
    <w:rsid w:val="27835B4A"/>
    <w:rsid w:val="279B1E5B"/>
    <w:rsid w:val="27DE2A7F"/>
    <w:rsid w:val="2825710F"/>
    <w:rsid w:val="28473FEC"/>
    <w:rsid w:val="287D7C53"/>
    <w:rsid w:val="296936F9"/>
    <w:rsid w:val="29734590"/>
    <w:rsid w:val="29765D08"/>
    <w:rsid w:val="297844CD"/>
    <w:rsid w:val="29FF2103"/>
    <w:rsid w:val="2A674078"/>
    <w:rsid w:val="2B014E72"/>
    <w:rsid w:val="2B4359F4"/>
    <w:rsid w:val="2B9652EF"/>
    <w:rsid w:val="2B9B4B60"/>
    <w:rsid w:val="2BD26FEE"/>
    <w:rsid w:val="2C2D2D09"/>
    <w:rsid w:val="2C432691"/>
    <w:rsid w:val="2C7042AA"/>
    <w:rsid w:val="2CC10762"/>
    <w:rsid w:val="2CE576AE"/>
    <w:rsid w:val="2CEF7D0D"/>
    <w:rsid w:val="2CF94143"/>
    <w:rsid w:val="2D5B7F98"/>
    <w:rsid w:val="2D8748E9"/>
    <w:rsid w:val="2E2E4899"/>
    <w:rsid w:val="2E585FC8"/>
    <w:rsid w:val="2E937F67"/>
    <w:rsid w:val="2EC9508C"/>
    <w:rsid w:val="2ED14C1B"/>
    <w:rsid w:val="2EEC5556"/>
    <w:rsid w:val="2F0D6742"/>
    <w:rsid w:val="2FEE5113"/>
    <w:rsid w:val="303F2980"/>
    <w:rsid w:val="306D3856"/>
    <w:rsid w:val="30757208"/>
    <w:rsid w:val="30805097"/>
    <w:rsid w:val="3099394C"/>
    <w:rsid w:val="311618E1"/>
    <w:rsid w:val="316E5D9D"/>
    <w:rsid w:val="33CD3AD2"/>
    <w:rsid w:val="33F71F62"/>
    <w:rsid w:val="34461818"/>
    <w:rsid w:val="3462581E"/>
    <w:rsid w:val="346F23C9"/>
    <w:rsid w:val="34795E57"/>
    <w:rsid w:val="34C62452"/>
    <w:rsid w:val="34C927BF"/>
    <w:rsid w:val="353E4E8E"/>
    <w:rsid w:val="355F74E8"/>
    <w:rsid w:val="357B2045"/>
    <w:rsid w:val="35CF2253"/>
    <w:rsid w:val="36021CA3"/>
    <w:rsid w:val="36105D31"/>
    <w:rsid w:val="363D0966"/>
    <w:rsid w:val="36550CA7"/>
    <w:rsid w:val="3689701F"/>
    <w:rsid w:val="36B71155"/>
    <w:rsid w:val="36E70ACA"/>
    <w:rsid w:val="36EF2AC8"/>
    <w:rsid w:val="36F37B75"/>
    <w:rsid w:val="37323080"/>
    <w:rsid w:val="37D266BF"/>
    <w:rsid w:val="380C3930"/>
    <w:rsid w:val="393238D7"/>
    <w:rsid w:val="39A97805"/>
    <w:rsid w:val="39DB57EC"/>
    <w:rsid w:val="3A05423B"/>
    <w:rsid w:val="3A31270D"/>
    <w:rsid w:val="3A491492"/>
    <w:rsid w:val="3A712BA9"/>
    <w:rsid w:val="3ABC3A8E"/>
    <w:rsid w:val="3AEA1A26"/>
    <w:rsid w:val="3AF3131B"/>
    <w:rsid w:val="3B7D557D"/>
    <w:rsid w:val="3CD17C07"/>
    <w:rsid w:val="3D326412"/>
    <w:rsid w:val="3D686B7B"/>
    <w:rsid w:val="3D835E5E"/>
    <w:rsid w:val="3E1135FD"/>
    <w:rsid w:val="3E244FAA"/>
    <w:rsid w:val="3E8466DB"/>
    <w:rsid w:val="3EF71DF6"/>
    <w:rsid w:val="3F5C1407"/>
    <w:rsid w:val="3F976FA5"/>
    <w:rsid w:val="3FA961A5"/>
    <w:rsid w:val="402E2FF5"/>
    <w:rsid w:val="40715A1D"/>
    <w:rsid w:val="407C2FC4"/>
    <w:rsid w:val="408F143A"/>
    <w:rsid w:val="40964395"/>
    <w:rsid w:val="415D795C"/>
    <w:rsid w:val="42517EB4"/>
    <w:rsid w:val="425C2682"/>
    <w:rsid w:val="434138DC"/>
    <w:rsid w:val="4362066E"/>
    <w:rsid w:val="438356FB"/>
    <w:rsid w:val="43FC0E24"/>
    <w:rsid w:val="43FC1584"/>
    <w:rsid w:val="445C6B2A"/>
    <w:rsid w:val="44A3519B"/>
    <w:rsid w:val="44BE2E53"/>
    <w:rsid w:val="4528626A"/>
    <w:rsid w:val="45404BDA"/>
    <w:rsid w:val="455A7C8D"/>
    <w:rsid w:val="456A043F"/>
    <w:rsid w:val="45B405E8"/>
    <w:rsid w:val="45EE036C"/>
    <w:rsid w:val="460A3EB2"/>
    <w:rsid w:val="466C2A4B"/>
    <w:rsid w:val="46BF6086"/>
    <w:rsid w:val="46C25242"/>
    <w:rsid w:val="46CE415D"/>
    <w:rsid w:val="4707219F"/>
    <w:rsid w:val="47280419"/>
    <w:rsid w:val="48617FD2"/>
    <w:rsid w:val="487E445C"/>
    <w:rsid w:val="48FF325B"/>
    <w:rsid w:val="491017DF"/>
    <w:rsid w:val="492F2221"/>
    <w:rsid w:val="4A2F62A8"/>
    <w:rsid w:val="4A505C22"/>
    <w:rsid w:val="4A771B19"/>
    <w:rsid w:val="4AD04275"/>
    <w:rsid w:val="4C3619F7"/>
    <w:rsid w:val="4C827D69"/>
    <w:rsid w:val="4C904EF3"/>
    <w:rsid w:val="4CE2473A"/>
    <w:rsid w:val="4D49519D"/>
    <w:rsid w:val="4E3A3F31"/>
    <w:rsid w:val="4EA50069"/>
    <w:rsid w:val="4EEC5E6E"/>
    <w:rsid w:val="4F441D32"/>
    <w:rsid w:val="4F6208BA"/>
    <w:rsid w:val="509372E2"/>
    <w:rsid w:val="51642977"/>
    <w:rsid w:val="516C6539"/>
    <w:rsid w:val="517416B3"/>
    <w:rsid w:val="51F61ED4"/>
    <w:rsid w:val="523E2A49"/>
    <w:rsid w:val="52F447C1"/>
    <w:rsid w:val="537F0C74"/>
    <w:rsid w:val="53876B42"/>
    <w:rsid w:val="538B1C1C"/>
    <w:rsid w:val="53A4471E"/>
    <w:rsid w:val="543E4043"/>
    <w:rsid w:val="54413C25"/>
    <w:rsid w:val="55027D80"/>
    <w:rsid w:val="550F6DEF"/>
    <w:rsid w:val="55393C6A"/>
    <w:rsid w:val="5549122A"/>
    <w:rsid w:val="55720B2B"/>
    <w:rsid w:val="55765FB4"/>
    <w:rsid w:val="55833E12"/>
    <w:rsid w:val="56615D34"/>
    <w:rsid w:val="566D2231"/>
    <w:rsid w:val="568058BB"/>
    <w:rsid w:val="569662A8"/>
    <w:rsid w:val="56A065D2"/>
    <w:rsid w:val="56AE4063"/>
    <w:rsid w:val="56EF5B23"/>
    <w:rsid w:val="56F31FCC"/>
    <w:rsid w:val="57761395"/>
    <w:rsid w:val="57B7707A"/>
    <w:rsid w:val="57B8753F"/>
    <w:rsid w:val="580F250B"/>
    <w:rsid w:val="581E3404"/>
    <w:rsid w:val="592E180D"/>
    <w:rsid w:val="593E2377"/>
    <w:rsid w:val="59B371B4"/>
    <w:rsid w:val="5A1336BD"/>
    <w:rsid w:val="5A641A90"/>
    <w:rsid w:val="5AD96E3C"/>
    <w:rsid w:val="5B05582F"/>
    <w:rsid w:val="5B486DE4"/>
    <w:rsid w:val="5B6339F0"/>
    <w:rsid w:val="5B6F3F4E"/>
    <w:rsid w:val="5BA37B5F"/>
    <w:rsid w:val="5BE079E7"/>
    <w:rsid w:val="5C150DBF"/>
    <w:rsid w:val="5C60670D"/>
    <w:rsid w:val="5C735B7B"/>
    <w:rsid w:val="5CEA77CB"/>
    <w:rsid w:val="5D185541"/>
    <w:rsid w:val="5D3A1F30"/>
    <w:rsid w:val="5D7E3B0C"/>
    <w:rsid w:val="5D7E5948"/>
    <w:rsid w:val="5E057014"/>
    <w:rsid w:val="5E360388"/>
    <w:rsid w:val="5E75112B"/>
    <w:rsid w:val="5ED846F5"/>
    <w:rsid w:val="5F121FCF"/>
    <w:rsid w:val="5F38637A"/>
    <w:rsid w:val="5F3B6A32"/>
    <w:rsid w:val="5F472153"/>
    <w:rsid w:val="5F5937B5"/>
    <w:rsid w:val="5F5C285D"/>
    <w:rsid w:val="5FE7280E"/>
    <w:rsid w:val="60454DC7"/>
    <w:rsid w:val="60961128"/>
    <w:rsid w:val="60BF41CD"/>
    <w:rsid w:val="60C01CDF"/>
    <w:rsid w:val="61081AD0"/>
    <w:rsid w:val="61E80A23"/>
    <w:rsid w:val="620D79DA"/>
    <w:rsid w:val="623B6EE5"/>
    <w:rsid w:val="624D2D01"/>
    <w:rsid w:val="6272342F"/>
    <w:rsid w:val="62FD4432"/>
    <w:rsid w:val="632A6F6D"/>
    <w:rsid w:val="633620EF"/>
    <w:rsid w:val="633932AD"/>
    <w:rsid w:val="63415C65"/>
    <w:rsid w:val="635600BB"/>
    <w:rsid w:val="63B1787B"/>
    <w:rsid w:val="643473CB"/>
    <w:rsid w:val="643E4B5B"/>
    <w:rsid w:val="645F267A"/>
    <w:rsid w:val="64E1102F"/>
    <w:rsid w:val="653050C6"/>
    <w:rsid w:val="65525C0E"/>
    <w:rsid w:val="660F6CFC"/>
    <w:rsid w:val="660F72D8"/>
    <w:rsid w:val="66137A39"/>
    <w:rsid w:val="666A0D1B"/>
    <w:rsid w:val="66904361"/>
    <w:rsid w:val="66C03DE8"/>
    <w:rsid w:val="67206077"/>
    <w:rsid w:val="677B676A"/>
    <w:rsid w:val="678254E9"/>
    <w:rsid w:val="67927EC8"/>
    <w:rsid w:val="6850575C"/>
    <w:rsid w:val="6861126B"/>
    <w:rsid w:val="689C48EE"/>
    <w:rsid w:val="69111C45"/>
    <w:rsid w:val="6A192E9F"/>
    <w:rsid w:val="6A232ED1"/>
    <w:rsid w:val="6A3536D6"/>
    <w:rsid w:val="6A7E1EF5"/>
    <w:rsid w:val="6B533AE2"/>
    <w:rsid w:val="6B8153AC"/>
    <w:rsid w:val="6C4C3BA2"/>
    <w:rsid w:val="6C892726"/>
    <w:rsid w:val="6C895281"/>
    <w:rsid w:val="6C9A43A8"/>
    <w:rsid w:val="6D112C93"/>
    <w:rsid w:val="6D1F2511"/>
    <w:rsid w:val="6D6D7C3D"/>
    <w:rsid w:val="6D8C294A"/>
    <w:rsid w:val="6E6115F5"/>
    <w:rsid w:val="6E911615"/>
    <w:rsid w:val="6EF015E7"/>
    <w:rsid w:val="6F1800C4"/>
    <w:rsid w:val="6F2619AA"/>
    <w:rsid w:val="6F4B3556"/>
    <w:rsid w:val="6F546AE4"/>
    <w:rsid w:val="6F835F21"/>
    <w:rsid w:val="6FA174AF"/>
    <w:rsid w:val="6FB92EDC"/>
    <w:rsid w:val="6FCD5235"/>
    <w:rsid w:val="70EA4547"/>
    <w:rsid w:val="7102708C"/>
    <w:rsid w:val="7104037D"/>
    <w:rsid w:val="71151229"/>
    <w:rsid w:val="7230329F"/>
    <w:rsid w:val="723D15B0"/>
    <w:rsid w:val="72955F70"/>
    <w:rsid w:val="729A35A5"/>
    <w:rsid w:val="729A4A2A"/>
    <w:rsid w:val="72D53FBD"/>
    <w:rsid w:val="72F7625E"/>
    <w:rsid w:val="732302F5"/>
    <w:rsid w:val="738B0358"/>
    <w:rsid w:val="73BD5B7D"/>
    <w:rsid w:val="73C15998"/>
    <w:rsid w:val="73CC76EB"/>
    <w:rsid w:val="73FC69FE"/>
    <w:rsid w:val="73FE0E8D"/>
    <w:rsid w:val="74482016"/>
    <w:rsid w:val="74CC77F2"/>
    <w:rsid w:val="753D4E5A"/>
    <w:rsid w:val="76150888"/>
    <w:rsid w:val="762A1A9D"/>
    <w:rsid w:val="76452218"/>
    <w:rsid w:val="76A95A38"/>
    <w:rsid w:val="772E53A2"/>
    <w:rsid w:val="77DD0367"/>
    <w:rsid w:val="77E7455F"/>
    <w:rsid w:val="77FC1CA2"/>
    <w:rsid w:val="781C3B51"/>
    <w:rsid w:val="781F604F"/>
    <w:rsid w:val="78A016EB"/>
    <w:rsid w:val="78B84528"/>
    <w:rsid w:val="792B3280"/>
    <w:rsid w:val="79625843"/>
    <w:rsid w:val="79D2386B"/>
    <w:rsid w:val="7A16377B"/>
    <w:rsid w:val="7A71468A"/>
    <w:rsid w:val="7B4E6DDA"/>
    <w:rsid w:val="7BB93B12"/>
    <w:rsid w:val="7BCE30B4"/>
    <w:rsid w:val="7C8034F2"/>
    <w:rsid w:val="7CA44674"/>
    <w:rsid w:val="7CE32724"/>
    <w:rsid w:val="7D1E63CB"/>
    <w:rsid w:val="7DF702F1"/>
    <w:rsid w:val="7E6469EF"/>
    <w:rsid w:val="7F110481"/>
    <w:rsid w:val="7F2612DC"/>
    <w:rsid w:val="7F265A59"/>
    <w:rsid w:val="7F6B54EC"/>
    <w:rsid w:val="7F721579"/>
    <w:rsid w:val="7FAC6129"/>
    <w:rsid w:val="7FFE49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semiHidden="0" w:name="heading 4"/>
    <w:lsdException w:qFormat="1" w:unhideWhenUsed="0" w:uiPriority="0" w:semiHidden="0" w:name="heading 5"/>
    <w:lsdException w:qFormat="1" w:unhideWhenUsed="0" w:uiPriority="0" w:semiHidden="0" w:name="heading 6"/>
    <w:lsdException w:qFormat="1" w:unhideWhenUsed="0" w:uiPriority="1"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unhideWhenUsed="0" w:uiPriority="0" w:semiHidden="0" w:name="macro"/>
    <w:lsdException w:qFormat="1" w:unhideWhenUsed="0" w:uiPriority="99"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name="Default Paragraph Font"/>
    <w:lsdException w:qFormat="1"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99"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qFormat="1" w:unhideWhenUsed="0" w:uiPriority="0" w:semiHidden="0" w:name="Table Simple 1"/>
    <w:lsdException w:qFormat="1" w:unhideWhenUsed="0" w:uiPriority="0" w:semiHidden="0" w:name="Table Simple 2"/>
    <w:lsdException w:qFormat="1" w:unhideWhenUsed="0" w:uiPriority="0" w:semiHidden="0" w:name="Table Simple 3"/>
    <w:lsdException w:qFormat="1" w:unhideWhenUsed="0" w:uiPriority="0" w:semiHidden="0" w:name="Table Classic 1"/>
    <w:lsdException w:qFormat="1" w:unhideWhenUsed="0" w:uiPriority="0" w:semiHidden="0" w:name="Table Classic 2"/>
    <w:lsdException w:qFormat="1" w:unhideWhenUsed="0" w:uiPriority="0" w:semiHidden="0" w:name="Table Classic 3"/>
    <w:lsdException w:qFormat="1" w:unhideWhenUsed="0" w:uiPriority="0" w:semiHidden="0" w:name="Table Classic 4"/>
    <w:lsdException w:qFormat="1" w:unhideWhenUsed="0" w:uiPriority="0" w:semiHidden="0" w:name="Table Colorful 1"/>
    <w:lsdException w:qFormat="1" w:unhideWhenUsed="0" w:uiPriority="0" w:semiHidden="0" w:name="Table Colorful 2"/>
    <w:lsdException w:qFormat="1" w:unhideWhenUsed="0" w:uiPriority="0" w:semiHidden="0" w:name="Table Colorful 3"/>
    <w:lsdException w:qFormat="1" w:unhideWhenUsed="0" w:uiPriority="0" w:semiHidden="0" w:name="Table Columns 1"/>
    <w:lsdException w:qFormat="1" w:unhideWhenUsed="0" w:uiPriority="0" w:semiHidden="0" w:name="Table Columns 2"/>
    <w:lsdException w:qFormat="1" w:unhideWhenUsed="0" w:uiPriority="0" w:semiHidden="0" w:name="Table Columns 3"/>
    <w:lsdException w:qFormat="1" w:unhideWhenUsed="0" w:uiPriority="0" w:semiHidden="0" w:name="Table Columns 4"/>
    <w:lsdException w:qFormat="1" w:unhideWhenUsed="0" w:uiPriority="0" w:semiHidden="0" w:name="Table Columns 5"/>
    <w:lsdException w:qFormat="1" w:unhideWhenUsed="0" w:uiPriority="0" w:semiHidden="0" w:name="Table Grid 1"/>
    <w:lsdException w:qFormat="1" w:unhideWhenUsed="0" w:uiPriority="0" w:semiHidden="0" w:name="Table Grid 2"/>
    <w:lsdException w:qFormat="1" w:unhideWhenUsed="0" w:uiPriority="0" w:semiHidden="0" w:name="Table Grid 3"/>
    <w:lsdException w:qFormat="1" w:unhideWhenUsed="0" w:uiPriority="0" w:semiHidden="0" w:name="Table Grid 4"/>
    <w:lsdException w:qFormat="1" w:unhideWhenUsed="0" w:uiPriority="0" w:semiHidden="0" w:name="Table Grid 5"/>
    <w:lsdException w:qFormat="1" w:unhideWhenUsed="0" w:uiPriority="0" w:semiHidden="0" w:name="Table Grid 6"/>
    <w:lsdException w:qFormat="1" w:unhideWhenUsed="0" w:uiPriority="0" w:semiHidden="0" w:name="Table Grid 7"/>
    <w:lsdException w:qFormat="1" w:unhideWhenUsed="0" w:uiPriority="0" w:semiHidden="0" w:name="Table Grid 8"/>
    <w:lsdException w:qFormat="1" w:unhideWhenUsed="0" w:uiPriority="0" w:semiHidden="0" w:name="Table List 1"/>
    <w:lsdException w:qFormat="1" w:unhideWhenUsed="0" w:uiPriority="0" w:semiHidden="0" w:name="Table List 2"/>
    <w:lsdException w:qFormat="1" w:unhideWhenUsed="0" w:uiPriority="0" w:semiHidden="0" w:name="Table List 3"/>
    <w:lsdException w:qFormat="1" w:unhideWhenUsed="0" w:uiPriority="0" w:semiHidden="0" w:name="Table List 4"/>
    <w:lsdException w:qFormat="1" w:unhideWhenUsed="0" w:uiPriority="0" w:semiHidden="0" w:name="Table List 5"/>
    <w:lsdException w:qFormat="1" w:unhideWhenUsed="0" w:uiPriority="0" w:semiHidden="0" w:name="Table List 6"/>
    <w:lsdException w:qFormat="1" w:unhideWhenUsed="0" w:uiPriority="0" w:semiHidden="0" w:name="Table List 7"/>
    <w:lsdException w:qFormat="1" w:unhideWhenUsed="0" w:uiPriority="0" w:semiHidden="0" w:name="Table List 8"/>
    <w:lsdException w:uiPriority="0" w:name="Table 3D effects 1"/>
    <w:lsdException w:uiPriority="0" w:name="Table 3D effects 2"/>
    <w:lsdException w:uiPriority="0" w:name="Table 3D effects 3"/>
    <w:lsdException w:qFormat="1" w:unhideWhenUsed="0" w:uiPriority="0" w:semiHidden="0" w:name="Table Contemporary"/>
    <w:lsdException w:qFormat="1" w:unhideWhenUsed="0" w:uiPriority="0" w:semiHidden="0" w:name="Table Elegant"/>
    <w:lsdException w:qFormat="1" w:unhideWhenUsed="0" w:uiPriority="0" w:semiHidden="0" w:name="Table Professional"/>
    <w:lsdException w:qFormat="1" w:unhideWhenUsed="0" w:uiPriority="0" w:semiHidden="0" w:name="Table Subtle 1"/>
    <w:lsdException w:qFormat="1" w:unhideWhenUsed="0" w:uiPriority="0" w:semiHidden="0" w:name="Table Subtle 2"/>
    <w:lsdException w:qFormat="1" w:unhideWhenUsed="0" w:uiPriority="0" w:semiHidden="0" w:name="Table Web 1"/>
    <w:lsdException w:qFormat="1" w:unhideWhenUsed="0" w:uiPriority="0" w:semiHidden="0" w:name="Table Web 2"/>
    <w:lsdException w:qFormat="1" w:unhideWhenUsed="0" w:uiPriority="0" w:semiHidden="0" w:name="Table Web 3"/>
    <w:lsdException w:qFormat="1" w:unhideWhenUsed="0" w:uiPriority="99" w:semiHidden="0" w:name="Balloon Text"/>
    <w:lsdException w:qFormat="1" w:unhideWhenUsed="0"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exact"/>
    </w:pPr>
    <w:rPr>
      <w:rFonts w:ascii="Times New Roman" w:hAnsi="Times New Roman" w:eastAsia="宋体" w:cs="Times New Roman"/>
      <w:kern w:val="2"/>
      <w:sz w:val="21"/>
      <w:szCs w:val="24"/>
      <w:lang w:val="en-US" w:eastAsia="zh-CN" w:bidi="ar-SA"/>
    </w:rPr>
  </w:style>
  <w:style w:type="paragraph" w:styleId="2">
    <w:name w:val="heading 1"/>
    <w:basedOn w:val="1"/>
    <w:next w:val="1"/>
    <w:link w:val="72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186"/>
    <w:qFormat/>
    <w:uiPriority w:val="0"/>
    <w:pPr>
      <w:keepNext/>
      <w:keepLines/>
      <w:widowControl w:val="0"/>
      <w:spacing w:line="360" w:lineRule="auto"/>
      <w:jc w:val="both"/>
      <w:outlineLvl w:val="1"/>
    </w:pPr>
    <w:rPr>
      <w:rFonts w:ascii="Arial" w:hAnsi="Arial"/>
      <w:b/>
      <w:bCs/>
      <w:sz w:val="32"/>
      <w:szCs w:val="32"/>
    </w:rPr>
  </w:style>
  <w:style w:type="paragraph" w:styleId="4">
    <w:name w:val="heading 3"/>
    <w:basedOn w:val="1"/>
    <w:next w:val="1"/>
    <w:link w:val="728"/>
    <w:qFormat/>
    <w:uiPriority w:val="0"/>
    <w:pPr>
      <w:keepNext/>
      <w:jc w:val="center"/>
      <w:outlineLvl w:val="2"/>
    </w:pPr>
    <w:rPr>
      <w:rFonts w:ascii="宋体" w:hAnsi="宋体"/>
      <w:b/>
      <w:bCs/>
      <w:sz w:val="24"/>
    </w:rPr>
  </w:style>
  <w:style w:type="paragraph" w:styleId="5">
    <w:name w:val="heading 4"/>
    <w:basedOn w:val="1"/>
    <w:next w:val="1"/>
    <w:link w:val="729"/>
    <w:unhideWhenUsed/>
    <w:qFormat/>
    <w:uiPriority w:val="9"/>
    <w:pPr>
      <w:keepNext/>
      <w:keepLines/>
      <w:spacing w:before="280" w:after="290" w:line="376" w:lineRule="atLeast"/>
      <w:outlineLvl w:val="3"/>
    </w:pPr>
    <w:rPr>
      <w:rFonts w:asciiTheme="majorHAnsi" w:hAnsiTheme="majorHAnsi" w:eastAsiaTheme="majorEastAsia" w:cstheme="majorBidi"/>
      <w:b/>
      <w:bCs/>
      <w:sz w:val="28"/>
      <w:szCs w:val="28"/>
    </w:rPr>
  </w:style>
  <w:style w:type="paragraph" w:styleId="6">
    <w:name w:val="heading 5"/>
    <w:basedOn w:val="1"/>
    <w:next w:val="1"/>
    <w:link w:val="187"/>
    <w:qFormat/>
    <w:uiPriority w:val="0"/>
    <w:pPr>
      <w:keepNext/>
      <w:keepLines/>
      <w:widowControl w:val="0"/>
      <w:adjustRightInd w:val="0"/>
      <w:spacing w:before="280" w:after="290" w:line="376" w:lineRule="atLeast"/>
      <w:outlineLvl w:val="4"/>
    </w:pPr>
    <w:rPr>
      <w:rFonts w:ascii="Calibri" w:hAnsi="Calibri"/>
      <w:b/>
      <w:bCs/>
      <w:kern w:val="0"/>
      <w:sz w:val="28"/>
      <w:szCs w:val="28"/>
    </w:rPr>
  </w:style>
  <w:style w:type="paragraph" w:styleId="7">
    <w:name w:val="heading 6"/>
    <w:basedOn w:val="1"/>
    <w:next w:val="1"/>
    <w:link w:val="188"/>
    <w:qFormat/>
    <w:uiPriority w:val="0"/>
    <w:pPr>
      <w:keepNext/>
      <w:keepLines/>
      <w:widowControl w:val="0"/>
      <w:adjustRightInd w:val="0"/>
      <w:spacing w:before="240" w:after="64" w:line="320" w:lineRule="atLeast"/>
      <w:outlineLvl w:val="5"/>
    </w:pPr>
    <w:rPr>
      <w:rFonts w:ascii="Arial" w:hAnsi="Arial" w:eastAsia="黑体"/>
      <w:b/>
      <w:bCs/>
      <w:kern w:val="0"/>
      <w:sz w:val="24"/>
    </w:rPr>
  </w:style>
  <w:style w:type="paragraph" w:styleId="8">
    <w:name w:val="heading 7"/>
    <w:basedOn w:val="1"/>
    <w:next w:val="1"/>
    <w:link w:val="189"/>
    <w:qFormat/>
    <w:uiPriority w:val="1"/>
    <w:pPr>
      <w:keepNext/>
      <w:keepLines/>
      <w:widowControl w:val="0"/>
      <w:adjustRightInd w:val="0"/>
      <w:spacing w:before="240" w:after="64" w:line="320" w:lineRule="atLeast"/>
      <w:outlineLvl w:val="6"/>
    </w:pPr>
    <w:rPr>
      <w:rFonts w:ascii="Calibri" w:hAnsi="Calibri"/>
      <w:b/>
      <w:bCs/>
      <w:kern w:val="0"/>
      <w:sz w:val="24"/>
    </w:rPr>
  </w:style>
  <w:style w:type="paragraph" w:styleId="9">
    <w:name w:val="heading 8"/>
    <w:basedOn w:val="1"/>
    <w:next w:val="1"/>
    <w:link w:val="190"/>
    <w:qFormat/>
    <w:uiPriority w:val="0"/>
    <w:pPr>
      <w:keepNext/>
      <w:keepLines/>
      <w:widowControl w:val="0"/>
      <w:adjustRightInd w:val="0"/>
      <w:spacing w:before="240" w:after="64" w:line="320" w:lineRule="atLeast"/>
      <w:outlineLvl w:val="7"/>
    </w:pPr>
    <w:rPr>
      <w:rFonts w:ascii="Arial" w:hAnsi="Arial" w:eastAsia="黑体"/>
      <w:kern w:val="0"/>
      <w:sz w:val="24"/>
    </w:rPr>
  </w:style>
  <w:style w:type="paragraph" w:styleId="10">
    <w:name w:val="heading 9"/>
    <w:basedOn w:val="1"/>
    <w:next w:val="1"/>
    <w:link w:val="191"/>
    <w:qFormat/>
    <w:uiPriority w:val="0"/>
    <w:pPr>
      <w:keepNext/>
      <w:keepLines/>
      <w:widowControl w:val="0"/>
      <w:adjustRightInd w:val="0"/>
      <w:spacing w:before="240" w:after="64" w:line="320" w:lineRule="atLeast"/>
      <w:outlineLvl w:val="8"/>
    </w:pPr>
    <w:rPr>
      <w:rFonts w:ascii="Arial" w:hAnsi="Arial" w:eastAsia="黑体"/>
      <w:kern w:val="0"/>
      <w:szCs w:val="21"/>
    </w:rPr>
  </w:style>
  <w:style w:type="character" w:default="1" w:styleId="128">
    <w:name w:val="Default Paragraph Font"/>
    <w:semiHidden/>
    <w:unhideWhenUsed/>
    <w:qFormat/>
    <w:uiPriority w:val="1"/>
  </w:style>
  <w:style w:type="table" w:default="1" w:styleId="86">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0"/>
    <w:pPr>
      <w:widowControl w:val="0"/>
      <w:spacing w:line="240" w:lineRule="auto"/>
      <w:ind w:left="100" w:leftChars="400" w:hanging="200" w:hangingChars="200"/>
      <w:jc w:val="both"/>
    </w:pPr>
    <w:rPr>
      <w:rFonts w:ascii="Calibri" w:hAnsi="Calibri"/>
    </w:rPr>
  </w:style>
  <w:style w:type="paragraph" w:styleId="12">
    <w:name w:val="toc 7"/>
    <w:basedOn w:val="1"/>
    <w:next w:val="1"/>
    <w:qFormat/>
    <w:uiPriority w:val="39"/>
    <w:pPr>
      <w:widowControl w:val="0"/>
      <w:spacing w:line="240" w:lineRule="auto"/>
      <w:ind w:left="2520" w:leftChars="1200"/>
      <w:jc w:val="both"/>
    </w:pPr>
    <w:rPr>
      <w:rFonts w:ascii="Calibri" w:hAnsi="Calibri" w:eastAsia="微软雅黑"/>
      <w:szCs w:val="22"/>
    </w:rPr>
  </w:style>
  <w:style w:type="paragraph" w:styleId="13">
    <w:name w:val="List Number 2"/>
    <w:basedOn w:val="1"/>
    <w:qFormat/>
    <w:uiPriority w:val="0"/>
    <w:pPr>
      <w:widowControl w:val="0"/>
      <w:numPr>
        <w:ilvl w:val="0"/>
        <w:numId w:val="1"/>
      </w:numPr>
      <w:tabs>
        <w:tab w:val="left" w:pos="780"/>
      </w:tabs>
      <w:spacing w:line="240" w:lineRule="auto"/>
      <w:jc w:val="both"/>
    </w:pPr>
    <w:rPr>
      <w:rFonts w:ascii="Calibri" w:hAnsi="Calibri"/>
    </w:rPr>
  </w:style>
  <w:style w:type="paragraph" w:styleId="14">
    <w:name w:val="table of authorities"/>
    <w:basedOn w:val="1"/>
    <w:next w:val="1"/>
    <w:qFormat/>
    <w:uiPriority w:val="0"/>
    <w:pPr>
      <w:widowControl w:val="0"/>
      <w:adjustRightInd w:val="0"/>
      <w:snapToGrid w:val="0"/>
      <w:spacing w:line="240" w:lineRule="auto"/>
      <w:ind w:left="420" w:leftChars="200"/>
      <w:jc w:val="both"/>
    </w:pPr>
    <w:rPr>
      <w:rFonts w:ascii="宋体" w:hAnsi="Calibri"/>
      <w:szCs w:val="20"/>
    </w:rPr>
  </w:style>
  <w:style w:type="paragraph" w:styleId="15">
    <w:name w:val="Note Heading"/>
    <w:basedOn w:val="1"/>
    <w:next w:val="1"/>
    <w:link w:val="194"/>
    <w:qFormat/>
    <w:uiPriority w:val="0"/>
    <w:pPr>
      <w:widowControl w:val="0"/>
      <w:spacing w:line="240" w:lineRule="auto"/>
      <w:jc w:val="center"/>
    </w:pPr>
    <w:rPr>
      <w:rFonts w:ascii="Calibri" w:hAnsi="Calibri"/>
    </w:rPr>
  </w:style>
  <w:style w:type="paragraph" w:styleId="16">
    <w:name w:val="List Bullet 4"/>
    <w:basedOn w:val="1"/>
    <w:qFormat/>
    <w:uiPriority w:val="0"/>
    <w:pPr>
      <w:widowControl w:val="0"/>
      <w:numPr>
        <w:ilvl w:val="0"/>
        <w:numId w:val="2"/>
      </w:numPr>
      <w:tabs>
        <w:tab w:val="left" w:pos="1620"/>
      </w:tabs>
      <w:spacing w:line="240" w:lineRule="auto"/>
      <w:jc w:val="both"/>
    </w:pPr>
    <w:rPr>
      <w:rFonts w:ascii="Calibri" w:hAnsi="Calibri"/>
    </w:rPr>
  </w:style>
  <w:style w:type="paragraph" w:styleId="17">
    <w:name w:val="index 8"/>
    <w:basedOn w:val="1"/>
    <w:next w:val="1"/>
    <w:qFormat/>
    <w:uiPriority w:val="0"/>
    <w:pPr>
      <w:widowControl w:val="0"/>
      <w:adjustRightInd w:val="0"/>
      <w:snapToGrid w:val="0"/>
      <w:spacing w:line="240" w:lineRule="auto"/>
      <w:ind w:left="1400" w:leftChars="1400"/>
      <w:jc w:val="both"/>
    </w:pPr>
    <w:rPr>
      <w:rFonts w:ascii="宋体" w:hAnsi="Calibri"/>
      <w:szCs w:val="20"/>
    </w:rPr>
  </w:style>
  <w:style w:type="paragraph" w:styleId="18">
    <w:name w:val="E-mail Signature"/>
    <w:basedOn w:val="1"/>
    <w:link w:val="195"/>
    <w:qFormat/>
    <w:uiPriority w:val="0"/>
    <w:pPr>
      <w:widowControl w:val="0"/>
      <w:spacing w:line="240" w:lineRule="auto"/>
      <w:jc w:val="both"/>
    </w:pPr>
    <w:rPr>
      <w:rFonts w:ascii="Calibri" w:hAnsi="Calibri"/>
    </w:rPr>
  </w:style>
  <w:style w:type="paragraph" w:styleId="19">
    <w:name w:val="List Number"/>
    <w:basedOn w:val="1"/>
    <w:qFormat/>
    <w:uiPriority w:val="0"/>
    <w:pPr>
      <w:widowControl w:val="0"/>
      <w:numPr>
        <w:ilvl w:val="0"/>
        <w:numId w:val="3"/>
      </w:numPr>
      <w:tabs>
        <w:tab w:val="left" w:pos="360"/>
      </w:tabs>
      <w:spacing w:line="240" w:lineRule="auto"/>
      <w:jc w:val="both"/>
    </w:pPr>
    <w:rPr>
      <w:rFonts w:ascii="Calibri" w:hAnsi="Calibri"/>
    </w:rPr>
  </w:style>
  <w:style w:type="paragraph" w:styleId="20">
    <w:name w:val="Normal Indent"/>
    <w:basedOn w:val="1"/>
    <w:link w:val="730"/>
    <w:qFormat/>
    <w:uiPriority w:val="0"/>
    <w:pPr>
      <w:ind w:firstLine="420"/>
    </w:pPr>
  </w:style>
  <w:style w:type="paragraph" w:styleId="21">
    <w:name w:val="caption"/>
    <w:basedOn w:val="1"/>
    <w:next w:val="1"/>
    <w:qFormat/>
    <w:uiPriority w:val="0"/>
    <w:pPr>
      <w:widowControl w:val="0"/>
      <w:spacing w:line="240" w:lineRule="auto"/>
      <w:jc w:val="both"/>
    </w:pPr>
    <w:rPr>
      <w:rFonts w:ascii="Arial" w:hAnsi="Arial" w:eastAsia="黑体" w:cs="Arial"/>
      <w:sz w:val="20"/>
      <w:szCs w:val="20"/>
    </w:rPr>
  </w:style>
  <w:style w:type="paragraph" w:styleId="22">
    <w:name w:val="index 5"/>
    <w:basedOn w:val="1"/>
    <w:next w:val="1"/>
    <w:qFormat/>
    <w:uiPriority w:val="0"/>
    <w:pPr>
      <w:widowControl w:val="0"/>
      <w:adjustRightInd w:val="0"/>
      <w:snapToGrid w:val="0"/>
      <w:spacing w:line="240" w:lineRule="auto"/>
      <w:ind w:left="800" w:leftChars="800"/>
      <w:jc w:val="both"/>
    </w:pPr>
    <w:rPr>
      <w:rFonts w:ascii="宋体" w:hAnsi="Calibri"/>
      <w:szCs w:val="20"/>
    </w:rPr>
  </w:style>
  <w:style w:type="paragraph" w:styleId="23">
    <w:name w:val="List Bullet"/>
    <w:basedOn w:val="1"/>
    <w:qFormat/>
    <w:uiPriority w:val="0"/>
    <w:pPr>
      <w:widowControl w:val="0"/>
      <w:numPr>
        <w:ilvl w:val="0"/>
        <w:numId w:val="4"/>
      </w:numPr>
      <w:tabs>
        <w:tab w:val="left" w:pos="360"/>
      </w:tabs>
      <w:spacing w:line="240" w:lineRule="auto"/>
      <w:jc w:val="both"/>
    </w:pPr>
    <w:rPr>
      <w:rFonts w:ascii="Calibri" w:hAnsi="Calibri"/>
    </w:rPr>
  </w:style>
  <w:style w:type="paragraph" w:styleId="24">
    <w:name w:val="envelope address"/>
    <w:basedOn w:val="1"/>
    <w:qFormat/>
    <w:uiPriority w:val="0"/>
    <w:pPr>
      <w:framePr w:w="7920" w:h="1980" w:hRule="exact" w:hSpace="180" w:wrap="around" w:vAnchor="margin" w:hAnchor="page" w:xAlign="center" w:yAlign="bottom"/>
      <w:widowControl w:val="0"/>
      <w:snapToGrid w:val="0"/>
      <w:spacing w:line="240" w:lineRule="auto"/>
      <w:ind w:left="100" w:leftChars="1400"/>
      <w:jc w:val="both"/>
    </w:pPr>
    <w:rPr>
      <w:rFonts w:ascii="Arial" w:hAnsi="Arial" w:cs="Arial"/>
      <w:sz w:val="24"/>
    </w:rPr>
  </w:style>
  <w:style w:type="paragraph" w:styleId="25">
    <w:name w:val="Document Map"/>
    <w:basedOn w:val="1"/>
    <w:link w:val="196"/>
    <w:qFormat/>
    <w:uiPriority w:val="0"/>
    <w:pPr>
      <w:widowControl w:val="0"/>
      <w:shd w:val="clear" w:color="auto" w:fill="000080"/>
      <w:spacing w:line="240" w:lineRule="auto"/>
      <w:jc w:val="both"/>
    </w:pPr>
    <w:rPr>
      <w:rFonts w:ascii="Calibri" w:hAnsi="Calibri"/>
      <w:kern w:val="0"/>
      <w:sz w:val="20"/>
    </w:rPr>
  </w:style>
  <w:style w:type="paragraph" w:styleId="26">
    <w:name w:val="toa heading"/>
    <w:basedOn w:val="1"/>
    <w:next w:val="1"/>
    <w:qFormat/>
    <w:uiPriority w:val="99"/>
    <w:pPr>
      <w:widowControl w:val="0"/>
      <w:adjustRightInd w:val="0"/>
      <w:snapToGrid w:val="0"/>
      <w:spacing w:before="120" w:line="440" w:lineRule="exact"/>
      <w:jc w:val="both"/>
    </w:pPr>
    <w:rPr>
      <w:rFonts w:ascii="Arial" w:hAnsi="Arial"/>
      <w:b/>
      <w:bCs/>
      <w:sz w:val="28"/>
    </w:rPr>
  </w:style>
  <w:style w:type="paragraph" w:styleId="27">
    <w:name w:val="annotation text"/>
    <w:basedOn w:val="1"/>
    <w:link w:val="192"/>
    <w:qFormat/>
    <w:uiPriority w:val="0"/>
  </w:style>
  <w:style w:type="paragraph" w:styleId="28">
    <w:name w:val="index 6"/>
    <w:basedOn w:val="1"/>
    <w:next w:val="1"/>
    <w:qFormat/>
    <w:uiPriority w:val="0"/>
    <w:pPr>
      <w:widowControl w:val="0"/>
      <w:adjustRightInd w:val="0"/>
      <w:snapToGrid w:val="0"/>
      <w:spacing w:line="240" w:lineRule="auto"/>
      <w:ind w:left="1000" w:leftChars="1000"/>
      <w:jc w:val="both"/>
    </w:pPr>
    <w:rPr>
      <w:rFonts w:ascii="宋体" w:hAnsi="Calibri"/>
      <w:szCs w:val="20"/>
    </w:rPr>
  </w:style>
  <w:style w:type="paragraph" w:styleId="29">
    <w:name w:val="Salutation"/>
    <w:basedOn w:val="1"/>
    <w:next w:val="1"/>
    <w:link w:val="197"/>
    <w:qFormat/>
    <w:uiPriority w:val="0"/>
    <w:pPr>
      <w:widowControl w:val="0"/>
      <w:spacing w:line="240" w:lineRule="auto"/>
      <w:jc w:val="both"/>
    </w:pPr>
    <w:rPr>
      <w:rFonts w:ascii="仿宋_GB2312" w:hAnsi="Calibri" w:eastAsia="仿宋_GB2312"/>
      <w:kern w:val="0"/>
      <w:sz w:val="24"/>
    </w:rPr>
  </w:style>
  <w:style w:type="paragraph" w:styleId="30">
    <w:name w:val="Body Text 3"/>
    <w:basedOn w:val="1"/>
    <w:link w:val="198"/>
    <w:qFormat/>
    <w:uiPriority w:val="0"/>
    <w:pPr>
      <w:widowControl w:val="0"/>
      <w:autoSpaceDE w:val="0"/>
      <w:autoSpaceDN w:val="0"/>
      <w:adjustRightInd w:val="0"/>
      <w:spacing w:line="410" w:lineRule="atLeast"/>
    </w:pPr>
    <w:rPr>
      <w:rFonts w:ascii="宋体" w:hAnsi="Calibri"/>
      <w:color w:val="000000"/>
      <w:kern w:val="0"/>
      <w:sz w:val="24"/>
      <w:szCs w:val="20"/>
    </w:rPr>
  </w:style>
  <w:style w:type="paragraph" w:styleId="31">
    <w:name w:val="Closing"/>
    <w:basedOn w:val="1"/>
    <w:link w:val="199"/>
    <w:qFormat/>
    <w:uiPriority w:val="0"/>
    <w:pPr>
      <w:widowControl w:val="0"/>
      <w:spacing w:line="240" w:lineRule="auto"/>
      <w:ind w:left="100" w:leftChars="2100"/>
      <w:jc w:val="both"/>
    </w:pPr>
    <w:rPr>
      <w:rFonts w:ascii="Calibri" w:hAnsi="Calibri"/>
    </w:rPr>
  </w:style>
  <w:style w:type="paragraph" w:styleId="32">
    <w:name w:val="List Bullet 3"/>
    <w:basedOn w:val="1"/>
    <w:qFormat/>
    <w:uiPriority w:val="0"/>
    <w:pPr>
      <w:widowControl w:val="0"/>
      <w:numPr>
        <w:ilvl w:val="0"/>
        <w:numId w:val="5"/>
      </w:numPr>
      <w:tabs>
        <w:tab w:val="left" w:pos="1200"/>
      </w:tabs>
      <w:spacing w:line="240" w:lineRule="auto"/>
      <w:jc w:val="both"/>
    </w:pPr>
    <w:rPr>
      <w:rFonts w:ascii="Calibri" w:hAnsi="Calibri"/>
    </w:rPr>
  </w:style>
  <w:style w:type="paragraph" w:styleId="33">
    <w:name w:val="Body Text"/>
    <w:basedOn w:val="1"/>
    <w:link w:val="731"/>
    <w:unhideWhenUsed/>
    <w:qFormat/>
    <w:uiPriority w:val="0"/>
    <w:pPr>
      <w:spacing w:after="120"/>
    </w:pPr>
  </w:style>
  <w:style w:type="paragraph" w:styleId="34">
    <w:name w:val="Body Text Indent"/>
    <w:basedOn w:val="1"/>
    <w:link w:val="155"/>
    <w:qFormat/>
    <w:uiPriority w:val="0"/>
    <w:pPr>
      <w:widowControl w:val="0"/>
      <w:spacing w:after="120"/>
      <w:ind w:left="420" w:leftChars="200"/>
      <w:jc w:val="both"/>
    </w:pPr>
  </w:style>
  <w:style w:type="paragraph" w:styleId="35">
    <w:name w:val="List Number 3"/>
    <w:basedOn w:val="1"/>
    <w:qFormat/>
    <w:uiPriority w:val="0"/>
    <w:pPr>
      <w:widowControl w:val="0"/>
      <w:numPr>
        <w:ilvl w:val="0"/>
        <w:numId w:val="6"/>
      </w:numPr>
      <w:tabs>
        <w:tab w:val="left" w:pos="1200"/>
      </w:tabs>
      <w:spacing w:line="240" w:lineRule="auto"/>
      <w:jc w:val="both"/>
    </w:pPr>
    <w:rPr>
      <w:rFonts w:ascii="Calibri" w:hAnsi="Calibri"/>
    </w:rPr>
  </w:style>
  <w:style w:type="paragraph" w:styleId="36">
    <w:name w:val="List 2"/>
    <w:basedOn w:val="1"/>
    <w:qFormat/>
    <w:uiPriority w:val="0"/>
    <w:pPr>
      <w:widowControl w:val="0"/>
      <w:spacing w:line="240" w:lineRule="auto"/>
      <w:ind w:left="100" w:leftChars="200" w:hanging="200" w:hangingChars="200"/>
      <w:jc w:val="both"/>
    </w:pPr>
    <w:rPr>
      <w:rFonts w:ascii="Calibri" w:hAnsi="Calibri"/>
    </w:rPr>
  </w:style>
  <w:style w:type="paragraph" w:styleId="37">
    <w:name w:val="List Continue"/>
    <w:basedOn w:val="1"/>
    <w:qFormat/>
    <w:uiPriority w:val="0"/>
    <w:pPr>
      <w:widowControl w:val="0"/>
      <w:spacing w:after="120" w:line="240" w:lineRule="auto"/>
      <w:ind w:left="420" w:leftChars="200"/>
      <w:jc w:val="both"/>
    </w:pPr>
    <w:rPr>
      <w:rFonts w:ascii="Calibri" w:hAnsi="Calibri"/>
    </w:rPr>
  </w:style>
  <w:style w:type="paragraph" w:styleId="38">
    <w:name w:val="Block Text"/>
    <w:basedOn w:val="1"/>
    <w:qFormat/>
    <w:uiPriority w:val="0"/>
    <w:pPr>
      <w:widowControl w:val="0"/>
      <w:spacing w:line="240" w:lineRule="auto"/>
      <w:ind w:left="1171" w:right="91" w:hanging="1080"/>
      <w:jc w:val="both"/>
    </w:pPr>
    <w:rPr>
      <w:rFonts w:ascii="Calibri" w:hAnsi="Calibri" w:eastAsia="楷体_GB2312"/>
      <w:szCs w:val="20"/>
    </w:rPr>
  </w:style>
  <w:style w:type="paragraph" w:styleId="39">
    <w:name w:val="List Bullet 2"/>
    <w:basedOn w:val="1"/>
    <w:qFormat/>
    <w:uiPriority w:val="0"/>
    <w:pPr>
      <w:widowControl w:val="0"/>
      <w:numPr>
        <w:ilvl w:val="0"/>
        <w:numId w:val="7"/>
      </w:numPr>
      <w:tabs>
        <w:tab w:val="left" w:pos="780"/>
      </w:tabs>
      <w:spacing w:line="240" w:lineRule="auto"/>
      <w:jc w:val="both"/>
    </w:pPr>
    <w:rPr>
      <w:rFonts w:ascii="Calibri" w:hAnsi="Calibri"/>
    </w:rPr>
  </w:style>
  <w:style w:type="paragraph" w:styleId="40">
    <w:name w:val="HTML Address"/>
    <w:basedOn w:val="1"/>
    <w:link w:val="200"/>
    <w:qFormat/>
    <w:uiPriority w:val="0"/>
    <w:pPr>
      <w:widowControl w:val="0"/>
      <w:spacing w:line="240" w:lineRule="auto"/>
      <w:jc w:val="both"/>
    </w:pPr>
    <w:rPr>
      <w:rFonts w:ascii="Calibri" w:hAnsi="Calibri"/>
      <w:i/>
      <w:iCs/>
    </w:rPr>
  </w:style>
  <w:style w:type="paragraph" w:styleId="41">
    <w:name w:val="index 4"/>
    <w:basedOn w:val="1"/>
    <w:next w:val="1"/>
    <w:qFormat/>
    <w:uiPriority w:val="0"/>
    <w:pPr>
      <w:widowControl w:val="0"/>
      <w:spacing w:line="440" w:lineRule="exact"/>
      <w:ind w:left="600" w:leftChars="600" w:firstLine="200" w:firstLineChars="200"/>
      <w:jc w:val="both"/>
    </w:pPr>
    <w:rPr>
      <w:rFonts w:ascii="Calibri" w:hAnsi="Calibri"/>
      <w:sz w:val="24"/>
    </w:rPr>
  </w:style>
  <w:style w:type="paragraph" w:styleId="42">
    <w:name w:val="toc 5"/>
    <w:basedOn w:val="1"/>
    <w:next w:val="1"/>
    <w:qFormat/>
    <w:uiPriority w:val="39"/>
    <w:pPr>
      <w:widowControl w:val="0"/>
      <w:spacing w:line="240" w:lineRule="auto"/>
      <w:ind w:left="1680" w:leftChars="800"/>
      <w:jc w:val="both"/>
    </w:pPr>
    <w:rPr>
      <w:rFonts w:ascii="Calibri" w:hAnsi="Calibri" w:eastAsia="微软雅黑"/>
      <w:szCs w:val="22"/>
    </w:rPr>
  </w:style>
  <w:style w:type="paragraph" w:styleId="43">
    <w:name w:val="toc 3"/>
    <w:basedOn w:val="1"/>
    <w:next w:val="1"/>
    <w:qFormat/>
    <w:uiPriority w:val="39"/>
    <w:pPr>
      <w:widowControl w:val="0"/>
      <w:spacing w:line="440" w:lineRule="exact"/>
      <w:ind w:left="400" w:leftChars="400"/>
      <w:jc w:val="both"/>
    </w:pPr>
    <w:rPr>
      <w:rFonts w:ascii="Calibri" w:hAnsi="Calibri"/>
      <w:sz w:val="28"/>
    </w:rPr>
  </w:style>
  <w:style w:type="paragraph" w:styleId="44">
    <w:name w:val="Plain Text"/>
    <w:basedOn w:val="1"/>
    <w:link w:val="732"/>
    <w:qFormat/>
    <w:uiPriority w:val="0"/>
    <w:pPr>
      <w:widowControl w:val="0"/>
      <w:spacing w:line="240" w:lineRule="auto"/>
      <w:jc w:val="both"/>
    </w:pPr>
    <w:rPr>
      <w:rFonts w:ascii="宋体" w:hAnsi="Courier New" w:cs="Courier New"/>
      <w:szCs w:val="21"/>
    </w:rPr>
  </w:style>
  <w:style w:type="paragraph" w:styleId="45">
    <w:name w:val="List Bullet 5"/>
    <w:basedOn w:val="1"/>
    <w:qFormat/>
    <w:uiPriority w:val="0"/>
    <w:pPr>
      <w:widowControl w:val="0"/>
      <w:numPr>
        <w:ilvl w:val="0"/>
        <w:numId w:val="8"/>
      </w:numPr>
      <w:tabs>
        <w:tab w:val="left" w:pos="2040"/>
      </w:tabs>
      <w:spacing w:line="240" w:lineRule="auto"/>
      <w:jc w:val="both"/>
    </w:pPr>
    <w:rPr>
      <w:rFonts w:ascii="Calibri" w:hAnsi="Calibri"/>
    </w:rPr>
  </w:style>
  <w:style w:type="paragraph" w:styleId="46">
    <w:name w:val="List Number 4"/>
    <w:basedOn w:val="1"/>
    <w:qFormat/>
    <w:uiPriority w:val="0"/>
    <w:pPr>
      <w:widowControl w:val="0"/>
      <w:numPr>
        <w:ilvl w:val="0"/>
        <w:numId w:val="9"/>
      </w:numPr>
      <w:tabs>
        <w:tab w:val="left" w:pos="1620"/>
      </w:tabs>
      <w:spacing w:line="240" w:lineRule="auto"/>
      <w:jc w:val="both"/>
    </w:pPr>
    <w:rPr>
      <w:rFonts w:ascii="Calibri" w:hAnsi="Calibri"/>
    </w:rPr>
  </w:style>
  <w:style w:type="paragraph" w:styleId="47">
    <w:name w:val="toc 8"/>
    <w:basedOn w:val="1"/>
    <w:next w:val="1"/>
    <w:qFormat/>
    <w:uiPriority w:val="39"/>
    <w:pPr>
      <w:widowControl w:val="0"/>
      <w:spacing w:line="240" w:lineRule="auto"/>
      <w:ind w:left="2940" w:leftChars="1400"/>
      <w:jc w:val="both"/>
    </w:pPr>
    <w:rPr>
      <w:rFonts w:ascii="Calibri" w:hAnsi="Calibri" w:eastAsia="微软雅黑"/>
      <w:szCs w:val="22"/>
    </w:rPr>
  </w:style>
  <w:style w:type="paragraph" w:styleId="48">
    <w:name w:val="index 3"/>
    <w:basedOn w:val="1"/>
    <w:next w:val="1"/>
    <w:qFormat/>
    <w:uiPriority w:val="0"/>
    <w:pPr>
      <w:widowControl w:val="0"/>
      <w:adjustRightInd w:val="0"/>
      <w:snapToGrid w:val="0"/>
      <w:spacing w:line="240" w:lineRule="auto"/>
      <w:ind w:left="400" w:leftChars="400"/>
      <w:jc w:val="both"/>
    </w:pPr>
    <w:rPr>
      <w:rFonts w:ascii="宋体" w:hAnsi="Calibri"/>
      <w:szCs w:val="20"/>
    </w:rPr>
  </w:style>
  <w:style w:type="paragraph" w:styleId="49">
    <w:name w:val="Date"/>
    <w:basedOn w:val="1"/>
    <w:next w:val="1"/>
    <w:link w:val="733"/>
    <w:qFormat/>
    <w:uiPriority w:val="0"/>
    <w:pPr>
      <w:widowControl w:val="0"/>
      <w:spacing w:line="240" w:lineRule="auto"/>
      <w:jc w:val="both"/>
    </w:pPr>
    <w:rPr>
      <w:rFonts w:ascii="宋体" w:hAnsi="宋体"/>
      <w:sz w:val="24"/>
      <w:szCs w:val="20"/>
    </w:rPr>
  </w:style>
  <w:style w:type="paragraph" w:styleId="50">
    <w:name w:val="Body Text Indent 2"/>
    <w:basedOn w:val="1"/>
    <w:link w:val="203"/>
    <w:qFormat/>
    <w:uiPriority w:val="0"/>
    <w:pPr>
      <w:widowControl w:val="0"/>
      <w:spacing w:after="120" w:line="480" w:lineRule="auto"/>
      <w:ind w:left="420" w:leftChars="200"/>
      <w:jc w:val="both"/>
    </w:pPr>
    <w:rPr>
      <w:rFonts w:ascii="Calibri" w:hAnsi="Calibri"/>
      <w:kern w:val="0"/>
      <w:sz w:val="20"/>
    </w:rPr>
  </w:style>
  <w:style w:type="paragraph" w:styleId="51">
    <w:name w:val="endnote text"/>
    <w:basedOn w:val="1"/>
    <w:link w:val="204"/>
    <w:qFormat/>
    <w:uiPriority w:val="0"/>
    <w:pPr>
      <w:overflowPunct w:val="0"/>
      <w:autoSpaceDE w:val="0"/>
      <w:autoSpaceDN w:val="0"/>
      <w:spacing w:line="240" w:lineRule="auto"/>
      <w:ind w:firstLine="200" w:firstLineChars="200"/>
      <w:jc w:val="both"/>
      <w:textAlignment w:val="baseline"/>
    </w:pPr>
    <w:rPr>
      <w:rFonts w:ascii="宋体" w:hAnsi="Calibri"/>
      <w:kern w:val="0"/>
      <w:sz w:val="24"/>
      <w:szCs w:val="20"/>
    </w:rPr>
  </w:style>
  <w:style w:type="paragraph" w:styleId="52">
    <w:name w:val="List Continue 5"/>
    <w:basedOn w:val="1"/>
    <w:qFormat/>
    <w:uiPriority w:val="0"/>
    <w:pPr>
      <w:widowControl w:val="0"/>
      <w:spacing w:after="120" w:line="240" w:lineRule="auto"/>
      <w:ind w:left="2100" w:leftChars="1000"/>
      <w:jc w:val="both"/>
    </w:pPr>
    <w:rPr>
      <w:rFonts w:ascii="Calibri" w:hAnsi="Calibri"/>
    </w:rPr>
  </w:style>
  <w:style w:type="paragraph" w:styleId="53">
    <w:name w:val="Balloon Text"/>
    <w:basedOn w:val="1"/>
    <w:next w:val="1"/>
    <w:link w:val="205"/>
    <w:qFormat/>
    <w:uiPriority w:val="99"/>
    <w:pPr>
      <w:widowControl w:val="0"/>
      <w:spacing w:line="240" w:lineRule="auto"/>
      <w:jc w:val="both"/>
    </w:pPr>
    <w:rPr>
      <w:rFonts w:ascii="Calibri" w:hAnsi="Calibri"/>
      <w:sz w:val="18"/>
      <w:szCs w:val="18"/>
    </w:rPr>
  </w:style>
  <w:style w:type="paragraph" w:styleId="54">
    <w:name w:val="footer"/>
    <w:basedOn w:val="1"/>
    <w:link w:val="734"/>
    <w:qFormat/>
    <w:uiPriority w:val="99"/>
    <w:pPr>
      <w:snapToGrid w:val="0"/>
      <w:ind w:right="210" w:rightChars="100"/>
      <w:jc w:val="right"/>
    </w:pPr>
    <w:rPr>
      <w:rFonts w:asciiTheme="minorHAnsi" w:hAnsiTheme="minorHAnsi" w:eastAsiaTheme="minorEastAsia" w:cstheme="minorBidi"/>
      <w:sz w:val="18"/>
      <w:szCs w:val="18"/>
    </w:rPr>
  </w:style>
  <w:style w:type="paragraph" w:styleId="55">
    <w:name w:val="envelope return"/>
    <w:basedOn w:val="1"/>
    <w:qFormat/>
    <w:uiPriority w:val="0"/>
    <w:pPr>
      <w:widowControl w:val="0"/>
      <w:snapToGrid w:val="0"/>
      <w:spacing w:line="240" w:lineRule="auto"/>
      <w:jc w:val="both"/>
    </w:pPr>
    <w:rPr>
      <w:rFonts w:ascii="Arial" w:hAnsi="Arial" w:cs="Arial"/>
    </w:rPr>
  </w:style>
  <w:style w:type="paragraph" w:styleId="56">
    <w:name w:val="header"/>
    <w:basedOn w:val="1"/>
    <w:link w:val="735"/>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pPr>
    <w:rPr>
      <w:sz w:val="18"/>
    </w:rPr>
  </w:style>
  <w:style w:type="paragraph" w:styleId="57">
    <w:name w:val="Signature"/>
    <w:basedOn w:val="1"/>
    <w:link w:val="206"/>
    <w:qFormat/>
    <w:uiPriority w:val="0"/>
    <w:pPr>
      <w:widowControl w:val="0"/>
      <w:spacing w:line="240" w:lineRule="auto"/>
      <w:ind w:left="100" w:leftChars="2100"/>
      <w:jc w:val="both"/>
    </w:pPr>
    <w:rPr>
      <w:rFonts w:ascii="Calibri" w:hAnsi="Calibri"/>
    </w:rPr>
  </w:style>
  <w:style w:type="paragraph" w:styleId="58">
    <w:name w:val="toc 1"/>
    <w:basedOn w:val="1"/>
    <w:next w:val="1"/>
    <w:qFormat/>
    <w:uiPriority w:val="39"/>
    <w:pPr>
      <w:widowControl w:val="0"/>
      <w:spacing w:line="400" w:lineRule="exact"/>
      <w:jc w:val="both"/>
    </w:pPr>
    <w:rPr>
      <w:rFonts w:ascii="Calibri" w:hAnsi="Calibri"/>
      <w:sz w:val="24"/>
    </w:rPr>
  </w:style>
  <w:style w:type="paragraph" w:styleId="59">
    <w:name w:val="List Continue 4"/>
    <w:basedOn w:val="1"/>
    <w:qFormat/>
    <w:uiPriority w:val="0"/>
    <w:pPr>
      <w:widowControl w:val="0"/>
      <w:spacing w:after="120" w:line="240" w:lineRule="auto"/>
      <w:ind w:left="1680" w:leftChars="800"/>
      <w:jc w:val="both"/>
    </w:pPr>
    <w:rPr>
      <w:rFonts w:ascii="Calibri" w:hAnsi="Calibri"/>
    </w:rPr>
  </w:style>
  <w:style w:type="paragraph" w:styleId="60">
    <w:name w:val="toc 4"/>
    <w:basedOn w:val="1"/>
    <w:next w:val="1"/>
    <w:qFormat/>
    <w:uiPriority w:val="39"/>
    <w:pPr>
      <w:widowControl w:val="0"/>
      <w:spacing w:line="240" w:lineRule="auto"/>
      <w:ind w:left="1260" w:leftChars="600"/>
      <w:jc w:val="both"/>
    </w:pPr>
    <w:rPr>
      <w:rFonts w:ascii="Calibri" w:hAnsi="Calibri" w:eastAsia="微软雅黑"/>
    </w:rPr>
  </w:style>
  <w:style w:type="paragraph" w:styleId="61">
    <w:name w:val="index heading"/>
    <w:basedOn w:val="1"/>
    <w:next w:val="62"/>
    <w:qFormat/>
    <w:uiPriority w:val="0"/>
    <w:pPr>
      <w:widowControl w:val="0"/>
      <w:adjustRightInd w:val="0"/>
      <w:snapToGrid w:val="0"/>
      <w:spacing w:line="240" w:lineRule="auto"/>
      <w:jc w:val="both"/>
    </w:pPr>
    <w:rPr>
      <w:rFonts w:ascii="宋体" w:hAnsi="Calibri"/>
      <w:szCs w:val="20"/>
    </w:rPr>
  </w:style>
  <w:style w:type="paragraph" w:styleId="62">
    <w:name w:val="index 1"/>
    <w:basedOn w:val="1"/>
    <w:next w:val="1"/>
    <w:qFormat/>
    <w:uiPriority w:val="0"/>
  </w:style>
  <w:style w:type="paragraph" w:styleId="63">
    <w:name w:val="Subtitle"/>
    <w:basedOn w:val="1"/>
    <w:link w:val="207"/>
    <w:qFormat/>
    <w:uiPriority w:val="0"/>
    <w:pPr>
      <w:widowControl w:val="0"/>
      <w:spacing w:before="240" w:after="60" w:line="312" w:lineRule="auto"/>
      <w:jc w:val="center"/>
      <w:outlineLvl w:val="1"/>
    </w:pPr>
    <w:rPr>
      <w:rFonts w:ascii="Arial" w:hAnsi="Arial"/>
      <w:b/>
      <w:bCs/>
      <w:kern w:val="28"/>
      <w:sz w:val="32"/>
      <w:szCs w:val="32"/>
    </w:rPr>
  </w:style>
  <w:style w:type="paragraph" w:styleId="64">
    <w:name w:val="List Number 5"/>
    <w:basedOn w:val="1"/>
    <w:qFormat/>
    <w:uiPriority w:val="0"/>
    <w:pPr>
      <w:widowControl w:val="0"/>
      <w:numPr>
        <w:ilvl w:val="0"/>
        <w:numId w:val="10"/>
      </w:numPr>
      <w:tabs>
        <w:tab w:val="left" w:pos="2040"/>
      </w:tabs>
      <w:spacing w:line="240" w:lineRule="auto"/>
      <w:jc w:val="both"/>
    </w:pPr>
    <w:rPr>
      <w:rFonts w:ascii="Calibri" w:hAnsi="Calibri"/>
    </w:rPr>
  </w:style>
  <w:style w:type="paragraph" w:styleId="65">
    <w:name w:val="List"/>
    <w:basedOn w:val="1"/>
    <w:qFormat/>
    <w:uiPriority w:val="0"/>
    <w:pPr>
      <w:widowControl w:val="0"/>
      <w:spacing w:line="240" w:lineRule="auto"/>
      <w:ind w:left="200" w:hanging="200" w:hangingChars="200"/>
      <w:jc w:val="both"/>
    </w:pPr>
    <w:rPr>
      <w:rFonts w:ascii="Calibri" w:hAnsi="Calibri"/>
    </w:rPr>
  </w:style>
  <w:style w:type="paragraph" w:styleId="66">
    <w:name w:val="footnote text"/>
    <w:basedOn w:val="1"/>
    <w:link w:val="158"/>
    <w:qFormat/>
    <w:uiPriority w:val="0"/>
    <w:pPr>
      <w:tabs>
        <w:tab w:val="left" w:pos="0"/>
      </w:tabs>
      <w:snapToGrid w:val="0"/>
      <w:ind w:left="720" w:hanging="357"/>
    </w:pPr>
    <w:rPr>
      <w:rFonts w:ascii="宋体" w:hAnsiTheme="minorHAnsi" w:eastAsiaTheme="minorEastAsia" w:cstheme="minorBidi"/>
      <w:sz w:val="18"/>
      <w:szCs w:val="18"/>
    </w:rPr>
  </w:style>
  <w:style w:type="paragraph" w:styleId="67">
    <w:name w:val="toc 6"/>
    <w:basedOn w:val="1"/>
    <w:next w:val="1"/>
    <w:qFormat/>
    <w:uiPriority w:val="39"/>
    <w:pPr>
      <w:widowControl w:val="0"/>
      <w:spacing w:line="240" w:lineRule="auto"/>
      <w:ind w:left="2100" w:leftChars="1000"/>
      <w:jc w:val="both"/>
    </w:pPr>
    <w:rPr>
      <w:rFonts w:ascii="Calibri" w:hAnsi="Calibri" w:eastAsia="微软雅黑"/>
      <w:szCs w:val="22"/>
    </w:rPr>
  </w:style>
  <w:style w:type="paragraph" w:styleId="68">
    <w:name w:val="List 5"/>
    <w:basedOn w:val="1"/>
    <w:qFormat/>
    <w:uiPriority w:val="0"/>
    <w:pPr>
      <w:widowControl w:val="0"/>
      <w:spacing w:line="240" w:lineRule="auto"/>
      <w:ind w:left="100" w:leftChars="800" w:hanging="200" w:hangingChars="200"/>
      <w:jc w:val="both"/>
    </w:pPr>
    <w:rPr>
      <w:rFonts w:ascii="Calibri" w:hAnsi="Calibri"/>
    </w:rPr>
  </w:style>
  <w:style w:type="paragraph" w:styleId="69">
    <w:name w:val="Body Text Indent 3"/>
    <w:basedOn w:val="1"/>
    <w:link w:val="208"/>
    <w:qFormat/>
    <w:uiPriority w:val="0"/>
    <w:pPr>
      <w:widowControl w:val="0"/>
      <w:spacing w:after="120" w:line="240" w:lineRule="auto"/>
      <w:ind w:left="420" w:leftChars="200"/>
      <w:jc w:val="both"/>
    </w:pPr>
    <w:rPr>
      <w:rFonts w:ascii="宋体" w:hAnsi="宋体"/>
      <w:sz w:val="16"/>
      <w:szCs w:val="16"/>
    </w:rPr>
  </w:style>
  <w:style w:type="paragraph" w:styleId="70">
    <w:name w:val="index 7"/>
    <w:basedOn w:val="1"/>
    <w:next w:val="1"/>
    <w:qFormat/>
    <w:uiPriority w:val="0"/>
    <w:pPr>
      <w:widowControl w:val="0"/>
      <w:adjustRightInd w:val="0"/>
      <w:snapToGrid w:val="0"/>
      <w:spacing w:line="240" w:lineRule="auto"/>
      <w:ind w:left="1200" w:leftChars="1200"/>
      <w:jc w:val="both"/>
    </w:pPr>
    <w:rPr>
      <w:rFonts w:ascii="宋体" w:hAnsi="Calibri"/>
      <w:szCs w:val="20"/>
    </w:rPr>
  </w:style>
  <w:style w:type="paragraph" w:styleId="71">
    <w:name w:val="index 9"/>
    <w:basedOn w:val="1"/>
    <w:next w:val="1"/>
    <w:qFormat/>
    <w:uiPriority w:val="0"/>
    <w:pPr>
      <w:widowControl w:val="0"/>
      <w:adjustRightInd w:val="0"/>
      <w:snapToGrid w:val="0"/>
      <w:spacing w:line="240" w:lineRule="auto"/>
      <w:ind w:left="1600" w:leftChars="1600"/>
      <w:jc w:val="both"/>
    </w:pPr>
    <w:rPr>
      <w:rFonts w:ascii="宋体" w:hAnsi="Calibri"/>
      <w:szCs w:val="20"/>
    </w:rPr>
  </w:style>
  <w:style w:type="paragraph" w:styleId="72">
    <w:name w:val="table of figures"/>
    <w:basedOn w:val="1"/>
    <w:next w:val="1"/>
    <w:qFormat/>
    <w:uiPriority w:val="0"/>
    <w:pPr>
      <w:ind w:left="200" w:leftChars="200" w:hanging="200" w:hangingChars="200"/>
    </w:pPr>
  </w:style>
  <w:style w:type="paragraph" w:styleId="73">
    <w:name w:val="toc 2"/>
    <w:basedOn w:val="1"/>
    <w:next w:val="1"/>
    <w:qFormat/>
    <w:uiPriority w:val="39"/>
    <w:pPr>
      <w:widowControl w:val="0"/>
      <w:tabs>
        <w:tab w:val="right" w:leader="dot" w:pos="9061"/>
      </w:tabs>
      <w:spacing w:line="400" w:lineRule="exact"/>
      <w:ind w:left="200" w:leftChars="200"/>
      <w:jc w:val="both"/>
    </w:pPr>
    <w:rPr>
      <w:rFonts w:ascii="Calibri" w:hAnsi="Calibri"/>
      <w:sz w:val="24"/>
    </w:rPr>
  </w:style>
  <w:style w:type="paragraph" w:styleId="74">
    <w:name w:val="toc 9"/>
    <w:basedOn w:val="1"/>
    <w:next w:val="1"/>
    <w:qFormat/>
    <w:uiPriority w:val="39"/>
    <w:pPr>
      <w:widowControl w:val="0"/>
      <w:spacing w:line="240" w:lineRule="auto"/>
      <w:ind w:left="3360" w:leftChars="1600"/>
      <w:jc w:val="both"/>
    </w:pPr>
    <w:rPr>
      <w:rFonts w:ascii="Calibri" w:hAnsi="Calibri" w:eastAsia="微软雅黑"/>
      <w:szCs w:val="22"/>
    </w:rPr>
  </w:style>
  <w:style w:type="paragraph" w:styleId="75">
    <w:name w:val="Body Text 2"/>
    <w:basedOn w:val="1"/>
    <w:link w:val="209"/>
    <w:qFormat/>
    <w:uiPriority w:val="0"/>
    <w:pPr>
      <w:widowControl w:val="0"/>
      <w:spacing w:after="120" w:line="480" w:lineRule="auto"/>
      <w:jc w:val="both"/>
    </w:pPr>
    <w:rPr>
      <w:rFonts w:ascii="Calibri" w:hAnsi="Calibri"/>
      <w:kern w:val="0"/>
      <w:sz w:val="20"/>
    </w:rPr>
  </w:style>
  <w:style w:type="paragraph" w:styleId="76">
    <w:name w:val="List 4"/>
    <w:basedOn w:val="1"/>
    <w:qFormat/>
    <w:uiPriority w:val="0"/>
    <w:pPr>
      <w:widowControl w:val="0"/>
      <w:spacing w:line="240" w:lineRule="auto"/>
      <w:ind w:left="100" w:leftChars="600" w:hanging="200" w:hangingChars="200"/>
      <w:jc w:val="both"/>
    </w:pPr>
    <w:rPr>
      <w:rFonts w:ascii="Calibri" w:hAnsi="Calibri"/>
    </w:rPr>
  </w:style>
  <w:style w:type="paragraph" w:styleId="77">
    <w:name w:val="List Continue 2"/>
    <w:basedOn w:val="1"/>
    <w:qFormat/>
    <w:uiPriority w:val="0"/>
    <w:pPr>
      <w:widowControl w:val="0"/>
      <w:spacing w:after="120" w:line="240" w:lineRule="auto"/>
      <w:ind w:left="840" w:leftChars="400"/>
      <w:jc w:val="both"/>
    </w:pPr>
    <w:rPr>
      <w:rFonts w:ascii="Calibri" w:hAnsi="Calibri"/>
    </w:rPr>
  </w:style>
  <w:style w:type="paragraph" w:styleId="78">
    <w:name w:val="Message Header"/>
    <w:basedOn w:val="1"/>
    <w:link w:val="210"/>
    <w:qFormat/>
    <w:uiPriority w:val="0"/>
    <w:pPr>
      <w:widowControl w:val="0"/>
      <w:pBdr>
        <w:top w:val="single" w:color="auto" w:sz="6" w:space="1"/>
        <w:left w:val="single" w:color="auto" w:sz="6" w:space="1"/>
        <w:bottom w:val="single" w:color="auto" w:sz="6" w:space="1"/>
        <w:right w:val="single" w:color="auto" w:sz="6" w:space="1"/>
      </w:pBdr>
      <w:shd w:val="pct20" w:color="auto" w:fill="auto"/>
      <w:spacing w:line="240" w:lineRule="auto"/>
      <w:ind w:left="1080" w:leftChars="500" w:hanging="1080" w:hangingChars="500"/>
      <w:jc w:val="both"/>
    </w:pPr>
    <w:rPr>
      <w:rFonts w:ascii="Arial" w:hAnsi="Arial"/>
      <w:sz w:val="24"/>
    </w:rPr>
  </w:style>
  <w:style w:type="paragraph" w:styleId="79">
    <w:name w:val="HTML Preformatted"/>
    <w:basedOn w:val="1"/>
    <w:link w:val="211"/>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Arial" w:hAnsi="Arial"/>
      <w:kern w:val="0"/>
      <w:sz w:val="24"/>
    </w:rPr>
  </w:style>
  <w:style w:type="paragraph" w:styleId="80">
    <w:name w:val="Normal (Web)"/>
    <w:basedOn w:val="1"/>
    <w:link w:val="736"/>
    <w:unhideWhenUsed/>
    <w:qFormat/>
    <w:uiPriority w:val="0"/>
    <w:pPr>
      <w:spacing w:before="100" w:beforeAutospacing="1" w:after="100" w:afterAutospacing="1"/>
    </w:pPr>
    <w:rPr>
      <w:rFonts w:ascii="宋体" w:hAnsi="宋体" w:cs="宋体"/>
      <w:kern w:val="0"/>
      <w:sz w:val="24"/>
    </w:rPr>
  </w:style>
  <w:style w:type="paragraph" w:styleId="81">
    <w:name w:val="List Continue 3"/>
    <w:basedOn w:val="1"/>
    <w:qFormat/>
    <w:uiPriority w:val="0"/>
    <w:pPr>
      <w:widowControl w:val="0"/>
      <w:spacing w:after="120" w:line="240" w:lineRule="auto"/>
      <w:ind w:left="1260" w:leftChars="600"/>
      <w:jc w:val="both"/>
    </w:pPr>
    <w:rPr>
      <w:rFonts w:ascii="Calibri" w:hAnsi="Calibri"/>
    </w:rPr>
  </w:style>
  <w:style w:type="paragraph" w:styleId="82">
    <w:name w:val="index 2"/>
    <w:basedOn w:val="1"/>
    <w:next w:val="1"/>
    <w:qFormat/>
    <w:uiPriority w:val="0"/>
    <w:pPr>
      <w:widowControl w:val="0"/>
      <w:adjustRightInd w:val="0"/>
      <w:snapToGrid w:val="0"/>
      <w:spacing w:line="240" w:lineRule="auto"/>
      <w:ind w:left="200" w:leftChars="200"/>
      <w:jc w:val="both"/>
    </w:pPr>
    <w:rPr>
      <w:rFonts w:ascii="宋体" w:hAnsi="Calibri"/>
      <w:szCs w:val="20"/>
    </w:rPr>
  </w:style>
  <w:style w:type="paragraph" w:styleId="83">
    <w:name w:val="Title"/>
    <w:basedOn w:val="1"/>
    <w:link w:val="150"/>
    <w:qFormat/>
    <w:uiPriority w:val="0"/>
    <w:pPr>
      <w:widowControl w:val="0"/>
      <w:adjustRightInd w:val="0"/>
      <w:spacing w:before="240" w:after="60" w:line="420" w:lineRule="atLeast"/>
      <w:jc w:val="center"/>
      <w:textAlignment w:val="baseline"/>
      <w:outlineLvl w:val="0"/>
    </w:pPr>
    <w:rPr>
      <w:rFonts w:ascii="Arial" w:hAnsi="Arial"/>
      <w:b/>
      <w:kern w:val="0"/>
      <w:sz w:val="32"/>
      <w:szCs w:val="20"/>
    </w:rPr>
  </w:style>
  <w:style w:type="paragraph" w:styleId="84">
    <w:name w:val="annotation subject"/>
    <w:basedOn w:val="27"/>
    <w:next w:val="27"/>
    <w:link w:val="193"/>
    <w:qFormat/>
    <w:uiPriority w:val="0"/>
    <w:pPr>
      <w:widowControl w:val="0"/>
      <w:spacing w:line="240" w:lineRule="auto"/>
    </w:pPr>
    <w:rPr>
      <w:rFonts w:ascii="宋体" w:hAnsi="宋体"/>
      <w:b/>
      <w:bCs/>
    </w:rPr>
  </w:style>
  <w:style w:type="paragraph" w:styleId="85">
    <w:name w:val="Body Text First Indent 2"/>
    <w:basedOn w:val="34"/>
    <w:link w:val="156"/>
    <w:qFormat/>
    <w:uiPriority w:val="0"/>
    <w:pPr>
      <w:ind w:firstLine="420" w:firstLineChars="200"/>
    </w:pPr>
  </w:style>
  <w:style w:type="table" w:styleId="87">
    <w:name w:val="Table Grid"/>
    <w:basedOn w:val="8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88">
    <w:name w:val="Table Theme"/>
    <w:basedOn w:val="86"/>
    <w:qFormat/>
    <w:uiPriority w:val="0"/>
    <w:pPr>
      <w:widowControl w:val="0"/>
      <w:jc w:val="both"/>
    </w:pPr>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89">
    <w:name w:val="Table Colorful 1"/>
    <w:basedOn w:val="86"/>
    <w:qFormat/>
    <w:uiPriority w:val="0"/>
    <w:pPr>
      <w:widowControl w:val="0"/>
      <w:jc w:val="both"/>
    </w:pPr>
    <w:rPr>
      <w:rFonts w:ascii="Calibri" w:hAnsi="Calibri" w:cs="Calibri"/>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90">
    <w:name w:val="Table Colorful 2"/>
    <w:basedOn w:val="86"/>
    <w:qFormat/>
    <w:uiPriority w:val="0"/>
    <w:pPr>
      <w:widowControl w:val="0"/>
      <w:jc w:val="both"/>
    </w:pPr>
    <w:rPr>
      <w:rFonts w:ascii="Calibri" w:hAnsi="Calibri" w:cs="Calibri"/>
    </w:rPr>
    <w:tblPr>
      <w:tblBorders>
        <w:bottom w:val="single" w:color="000000" w:sz="12" w:space="0"/>
      </w:tblBorders>
    </w:tblPr>
    <w:tcPr>
      <w:shd w:val="pct20" w:color="FFFF00" w:fill="FFFFFF"/>
    </w:tcPr>
    <w:tblStylePr w:type="firstRow">
      <w:rPr>
        <w:b/>
        <w:bCs/>
        <w:i/>
        <w:iCs/>
        <w:color w:val="FFFFFF"/>
      </w:rPr>
      <w:tblPr/>
      <w:tcPr>
        <w:tcBorders>
          <w:top w:val="nil"/>
          <w:left w:val="nil"/>
          <w:bottom w:val="single" w:color="000000" w:sz="12" w:space="0"/>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91">
    <w:name w:val="Table Colorful 3"/>
    <w:basedOn w:val="86"/>
    <w:qFormat/>
    <w:uiPriority w:val="0"/>
    <w:pPr>
      <w:widowControl w:val="0"/>
      <w:jc w:val="both"/>
    </w:pPr>
    <w:rPr>
      <w:rFonts w:ascii="Calibri" w:hAnsi="Calibri" w:cs="Calibri"/>
    </w:r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top w:val="nil"/>
          <w:left w:val="nil"/>
          <w:bottom w:val="single" w:color="000000" w:sz="6" w:space="0"/>
          <w:right w:val="nil"/>
          <w:insideH w:val="nil"/>
          <w:insideV w:val="nil"/>
          <w:tl2br w:val="nil"/>
          <w:tr2bl w:val="nil"/>
        </w:tcBorders>
        <w:shd w:val="solid" w:color="008080" w:fill="FFFFFF"/>
      </w:tcPr>
    </w:tblStylePr>
    <w:tblStylePr w:type="firstCol">
      <w:tblPr/>
      <w:tcPr>
        <w:tcBorders>
          <w:top w:val="nil"/>
          <w:left w:val="single" w:color="000000" w:sz="36" w:space="0"/>
          <w:bottom w:val="nil"/>
          <w:right w:val="single" w:color="000000" w:sz="6" w:space="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92">
    <w:name w:val="Table Elegant"/>
    <w:basedOn w:val="86"/>
    <w:qFormat/>
    <w:uiPriority w:val="0"/>
    <w:pPr>
      <w:widowControl w:val="0"/>
      <w:jc w:val="both"/>
    </w:pPr>
    <w:rPr>
      <w:rFonts w:ascii="Calibri" w:hAnsi="Calibri" w:cs="Calibri"/>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93">
    <w:name w:val="Table Classic 1"/>
    <w:basedOn w:val="86"/>
    <w:qFormat/>
    <w:uiPriority w:val="0"/>
    <w:pPr>
      <w:widowControl w:val="0"/>
      <w:jc w:val="both"/>
    </w:pPr>
    <w:rPr>
      <w:rFonts w:ascii="Calibri" w:hAnsi="Calibri" w:cs="Calibri"/>
    </w:rPr>
    <w:tblPr>
      <w:tblBorders>
        <w:top w:val="single" w:color="000000" w:sz="12" w:space="0"/>
        <w:bottom w:val="single" w:color="000000" w:sz="12" w:space="0"/>
      </w:tblBorders>
    </w:tblPr>
    <w:tcPr>
      <w:shd w:val="clear" w:color="auto" w:fill="auto"/>
    </w:tcPr>
    <w:tblStylePr w:type="firstRow">
      <w:rPr>
        <w:i/>
        <w:iCs/>
      </w:rPr>
      <w:tblPr/>
      <w:tcPr>
        <w:tcBorders>
          <w:top w:val="nil"/>
          <w:left w:val="nil"/>
          <w:bottom w:val="single" w:color="000000" w:sz="6" w:space="0"/>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tblPr/>
      <w:tcPr>
        <w:tcBorders>
          <w:top w:val="nil"/>
          <w:left w:val="nil"/>
          <w:bottom w:val="nil"/>
          <w:right w:val="single" w:color="000000" w:sz="6" w:space="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94">
    <w:name w:val="Table Classic 2"/>
    <w:basedOn w:val="86"/>
    <w:qFormat/>
    <w:uiPriority w:val="0"/>
    <w:pPr>
      <w:widowControl w:val="0"/>
      <w:jc w:val="both"/>
    </w:pPr>
    <w:rPr>
      <w:rFonts w:ascii="Calibri" w:hAnsi="Calibri" w:cs="Calibri"/>
    </w:rPr>
    <w:tblPr>
      <w:tblBorders>
        <w:top w:val="single" w:color="000000" w:sz="12" w:space="0"/>
        <w:bottom w:val="single" w:color="000000" w:sz="12" w:space="0"/>
      </w:tblBorders>
    </w:tblPr>
    <w:tcPr>
      <w:shd w:val="clear" w:color="auto" w:fill="auto"/>
    </w:tcPr>
    <w:tblStylePr w:type="firstRow">
      <w:rPr>
        <w:color w:val="FFFFFF"/>
      </w:rPr>
      <w:tblPr/>
      <w:tcPr>
        <w:tcBorders>
          <w:top w:val="nil"/>
          <w:left w:val="nil"/>
          <w:bottom w:val="single" w:color="000000" w:sz="6" w:space="0"/>
          <w:right w:val="nil"/>
          <w:insideH w:val="nil"/>
          <w:insideV w:val="nil"/>
          <w:tl2br w:val="nil"/>
          <w:tr2bl w:val="nil"/>
        </w:tcBorders>
        <w:shd w:val="solid" w:color="800080" w:fill="FFFFFF"/>
      </w:tcPr>
    </w:tblStylePr>
    <w:tblStylePr w:type="lastRow">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styleId="95">
    <w:name w:val="Table Classic 3"/>
    <w:basedOn w:val="86"/>
    <w:qFormat/>
    <w:uiPriority w:val="0"/>
    <w:pPr>
      <w:widowControl w:val="0"/>
      <w:jc w:val="both"/>
    </w:pPr>
    <w:rPr>
      <w:rFonts w:ascii="Calibri" w:hAnsi="Calibri" w:cs="Calibri"/>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top w:val="nil"/>
          <w:left w:val="nil"/>
          <w:bottom w:val="single" w:color="000000" w:sz="6" w:space="0"/>
          <w:right w:val="nil"/>
          <w:insideH w:val="nil"/>
          <w:insideV w:val="nil"/>
          <w:tl2br w:val="nil"/>
          <w:tr2bl w:val="nil"/>
        </w:tcBorders>
        <w:shd w:val="solid" w:color="000080" w:fill="FFFFFF"/>
      </w:tcPr>
    </w:tblStylePr>
    <w:tblStylePr w:type="lastRow">
      <w:rPr>
        <w:color w:val="000080"/>
      </w:rPr>
      <w:tblPr/>
      <w:tcPr>
        <w:tcBorders>
          <w:top w:val="single" w:color="000000" w:sz="12" w:space="0"/>
          <w:left w:val="nil"/>
          <w:bottom w:val="nil"/>
          <w:right w:val="nil"/>
          <w:insideH w:val="nil"/>
          <w:insideV w:val="nil"/>
          <w:tl2br w:val="nil"/>
          <w:tr2bl w:val="nil"/>
        </w:tcBorders>
        <w:shd w:val="solid" w:color="FFFFFF" w:fill="FFFFFF"/>
      </w:tcPr>
    </w:tblStylePr>
    <w:tblStylePr w:type="firstCol">
      <w:rPr>
        <w:b/>
        <w:bCs/>
        <w:color w:val="000000"/>
      </w:rPr>
      <w:tblPr/>
      <w:tcPr>
        <w:tcBorders>
          <w:top w:val="nil"/>
          <w:left w:val="nil"/>
          <w:bottom w:val="nil"/>
          <w:right w:val="nil"/>
          <w:insideH w:val="nil"/>
          <w:insideV w:val="nil"/>
          <w:tl2br w:val="nil"/>
          <w:tr2bl w:val="nil"/>
        </w:tcBorders>
      </w:tcPr>
    </w:tblStylePr>
  </w:style>
  <w:style w:type="table" w:styleId="96">
    <w:name w:val="Table Classic 4"/>
    <w:basedOn w:val="86"/>
    <w:qFormat/>
    <w:uiPriority w:val="0"/>
    <w:pPr>
      <w:widowControl w:val="0"/>
      <w:jc w:val="both"/>
    </w:pPr>
    <w:rPr>
      <w:rFonts w:ascii="Calibri" w:hAnsi="Calibri" w:cs="Calibri"/>
    </w:r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top w:val="nil"/>
          <w:left w:val="nil"/>
          <w:bottom w:val="single" w:color="000000" w:sz="6" w:space="0"/>
          <w:right w:val="nil"/>
          <w:insideH w:val="nil"/>
          <w:insideV w:val="nil"/>
          <w:tl2br w:val="nil"/>
          <w:tr2bl w:val="nil"/>
        </w:tcBorders>
        <w:shd w:val="pct50" w:color="000080" w:fill="FFFFFF"/>
      </w:tcPr>
    </w:tblStylePr>
    <w:tblStylePr w:type="lastRow">
      <w:rPr>
        <w:color w:val="000080"/>
      </w:rPr>
      <w:tblPr/>
      <w:tcPr>
        <w:tcBorders>
          <w:top w:val="nil"/>
          <w:left w:val="nil"/>
          <w:bottom w:val="single" w:color="000000" w:sz="6" w:space="0"/>
          <w:right w:val="nil"/>
          <w:insideH w:val="nil"/>
          <w:insideV w:val="nil"/>
          <w:tl2br w:val="nil"/>
          <w:tr2bl w:val="nil"/>
        </w:tcBorders>
        <w:shd w:val="pct50" w:color="000000" w:fill="FFFFFF"/>
      </w:tcPr>
    </w:tblStylePr>
    <w:tblStylePr w:type="firstCol">
      <w:rPr>
        <w:b/>
        <w:bCs/>
      </w:rPr>
      <w:tblPr/>
      <w:tcPr>
        <w:tcBorders>
          <w:top w:val="nil"/>
          <w:left w:val="nil"/>
          <w:bottom w:val="nil"/>
          <w:right w:val="nil"/>
          <w:insideH w:val="nil"/>
          <w:insideV w:val="nil"/>
          <w:tl2br w:val="nil"/>
          <w:tr2bl w:val="nil"/>
        </w:tcBorders>
      </w:tcPr>
    </w:tblStylePr>
    <w:tblStylePr w:type="nwCell">
      <w:rPr>
        <w:b/>
        <w:bCs/>
      </w:rPr>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97">
    <w:name w:val="Table Simple 1"/>
    <w:basedOn w:val="86"/>
    <w:qFormat/>
    <w:uiPriority w:val="0"/>
    <w:pPr>
      <w:widowControl w:val="0"/>
      <w:jc w:val="both"/>
    </w:pPr>
    <w:rPr>
      <w:rFonts w:ascii="Calibri" w:hAnsi="Calibri" w:cs="Calibri"/>
    </w:rPr>
    <w:tblPr>
      <w:tblBorders>
        <w:top w:val="single" w:color="008000" w:sz="12" w:space="0"/>
        <w:bottom w:val="single" w:color="008000" w:sz="12" w:space="0"/>
      </w:tblBorders>
    </w:tblPr>
    <w:tcPr>
      <w:shd w:val="clear" w:color="auto" w:fill="auto"/>
    </w:tcPr>
    <w:tblStylePr w:type="firstRow">
      <w:tblPr/>
      <w:tcPr>
        <w:tcBorders>
          <w:top w:val="nil"/>
          <w:left w:val="nil"/>
          <w:bottom w:val="single" w:color="008000" w:sz="6" w:space="0"/>
          <w:right w:val="nil"/>
          <w:insideH w:val="nil"/>
          <w:insideV w:val="nil"/>
          <w:tl2br w:val="nil"/>
          <w:tr2bl w:val="nil"/>
        </w:tcBorders>
      </w:tcPr>
    </w:tblStylePr>
    <w:tblStylePr w:type="lastRow">
      <w:tblPr/>
      <w:tcPr>
        <w:tcBorders>
          <w:top w:val="single" w:color="008000" w:sz="6" w:space="0"/>
          <w:left w:val="nil"/>
          <w:bottom w:val="nil"/>
          <w:right w:val="nil"/>
          <w:insideH w:val="nil"/>
          <w:insideV w:val="nil"/>
          <w:tl2br w:val="nil"/>
          <w:tr2bl w:val="nil"/>
        </w:tcBorders>
      </w:tcPr>
    </w:tblStylePr>
  </w:style>
  <w:style w:type="table" w:styleId="98">
    <w:name w:val="Table Simple 2"/>
    <w:basedOn w:val="86"/>
    <w:qFormat/>
    <w:uiPriority w:val="0"/>
    <w:pPr>
      <w:widowControl w:val="0"/>
      <w:jc w:val="both"/>
    </w:pPr>
    <w:rPr>
      <w:rFonts w:ascii="Calibri" w:hAnsi="Calibri" w:cs="Calibri"/>
    </w:rPr>
    <w:tblPr/>
    <w:tblStylePr w:type="firstRow">
      <w:rPr>
        <w:b/>
        <w:bCs/>
      </w:rPr>
      <w:tblPr/>
      <w:tcPr>
        <w:tcBorders>
          <w:top w:val="nil"/>
          <w:left w:val="nil"/>
          <w:bottom w:val="single" w:color="000000" w:sz="12" w:space="0"/>
          <w:right w:val="nil"/>
          <w:insideH w:val="nil"/>
          <w:insideV w:val="nil"/>
          <w:tl2br w:val="nil"/>
          <w:tr2bl w:val="nil"/>
        </w:tcBorders>
      </w:tcPr>
    </w:tblStylePr>
    <w:tblStylePr w:type="lastRow">
      <w:rPr>
        <w:b/>
        <w:bCs/>
        <w:color w:val="auto"/>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single" w:color="000000" w:sz="12" w:space="0"/>
          <w:insideH w:val="nil"/>
          <w:insideV w:val="nil"/>
          <w:tl2br w:val="nil"/>
          <w:tr2bl w:val="nil"/>
        </w:tcBorders>
      </w:tcPr>
    </w:tblStylePr>
    <w:tblStylePr w:type="lastCol">
      <w:rPr>
        <w:b/>
        <w:bCs/>
      </w:rPr>
      <w:tblPr/>
      <w:tcPr>
        <w:tcBorders>
          <w:top w:val="nil"/>
          <w:left w:val="single" w:color="000000" w:sz="6" w:space="0"/>
          <w:bottom w:val="nil"/>
          <w:right w:val="nil"/>
          <w:insideH w:val="nil"/>
          <w:insideV w:val="nil"/>
          <w:tl2br w:val="nil"/>
          <w:tr2bl w:val="nil"/>
        </w:tcBorders>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99">
    <w:name w:val="Table Simple 3"/>
    <w:basedOn w:val="86"/>
    <w:qFormat/>
    <w:uiPriority w:val="0"/>
    <w:pPr>
      <w:widowControl w:val="0"/>
      <w:jc w:val="both"/>
    </w:pPr>
    <w:rPr>
      <w:rFonts w:ascii="Calibri" w:hAnsi="Calibri" w:cs="Calibri"/>
    </w:r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100">
    <w:name w:val="Table Subtle 1"/>
    <w:basedOn w:val="86"/>
    <w:qFormat/>
    <w:uiPriority w:val="0"/>
    <w:pPr>
      <w:widowControl w:val="0"/>
      <w:jc w:val="both"/>
    </w:pPr>
    <w:rPr>
      <w:rFonts w:ascii="Calibri" w:hAnsi="Calibri" w:cs="Calibri"/>
    </w:rPr>
    <w:tblPr>
      <w:tblStyleRowBandSize w:val="1"/>
    </w:tblPr>
    <w:tblStylePr w:type="firstRow">
      <w:tblPr/>
      <w:tcPr>
        <w:tcBorders>
          <w:top w:val="single" w:color="000000" w:sz="6" w:space="0"/>
          <w:left w:val="nil"/>
          <w:bottom w:val="single" w:color="000000" w:sz="12" w:space="0"/>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shd w:val="pct25" w:color="800080" w:fill="FFFFFF"/>
      </w:tcPr>
    </w:tblStylePr>
    <w:tblStylePr w:type="firstCol">
      <w:tblPr/>
      <w:tcPr>
        <w:tcBorders>
          <w:top w:val="nil"/>
          <w:left w:val="nil"/>
          <w:bottom w:val="nil"/>
          <w:right w:val="single" w:color="000000" w:sz="12" w:space="0"/>
          <w:insideH w:val="nil"/>
          <w:insideV w:val="nil"/>
          <w:tl2br w:val="nil"/>
          <w:tr2bl w:val="nil"/>
        </w:tcBorders>
      </w:tcPr>
    </w:tblStylePr>
    <w:tblStylePr w:type="lastCol">
      <w:tblPr/>
      <w:tcPr>
        <w:tcBorders>
          <w:top w:val="nil"/>
          <w:left w:val="single" w:color="000000" w:sz="12" w:space="0"/>
          <w:bottom w:val="nil"/>
          <w:right w:val="nil"/>
          <w:insideH w:val="nil"/>
          <w:insideV w:val="nil"/>
          <w:tl2br w:val="nil"/>
          <w:tr2bl w:val="nil"/>
        </w:tcBorders>
      </w:tcPr>
    </w:tblStylePr>
    <w:tblStylePr w:type="band1Horz">
      <w:tblPr/>
      <w:tcPr>
        <w:tcBorders>
          <w:top w:val="nil"/>
          <w:left w:val="nil"/>
          <w:bottom w:val="single" w:color="000000" w:sz="6" w:space="0"/>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1">
    <w:name w:val="Table Subtle 2"/>
    <w:basedOn w:val="86"/>
    <w:qFormat/>
    <w:uiPriority w:val="0"/>
    <w:pPr>
      <w:widowControl w:val="0"/>
      <w:jc w:val="both"/>
    </w:pPr>
    <w:rPr>
      <w:rFonts w:ascii="Calibri" w:hAnsi="Calibri" w:cs="Calibri"/>
    </w:rPr>
    <w:tblPr>
      <w:tblBorders>
        <w:left w:val="single" w:color="000000" w:sz="6" w:space="0"/>
        <w:right w:val="single" w:color="000000" w:sz="6" w:space="0"/>
      </w:tblBorders>
    </w:tblPr>
    <w:tblStylePr w:type="firstRow">
      <w:tblPr/>
      <w:tcPr>
        <w:tcBorders>
          <w:top w:val="nil"/>
          <w:left w:val="nil"/>
          <w:bottom w:val="single" w:color="000000" w:sz="12" w:space="0"/>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tcPr>
    </w:tblStylePr>
    <w:tblStylePr w:type="firstCol">
      <w:tblPr/>
      <w:tcPr>
        <w:tcBorders>
          <w:top w:val="nil"/>
          <w:left w:val="nil"/>
          <w:bottom w:val="nil"/>
          <w:right w:val="single" w:color="000000" w:sz="12" w:space="0"/>
          <w:insideH w:val="nil"/>
          <w:insideV w:val="nil"/>
          <w:tl2br w:val="nil"/>
          <w:tr2bl w:val="nil"/>
        </w:tcBorders>
        <w:shd w:val="pct25" w:color="008000" w:fill="FFFFFF"/>
      </w:tcPr>
    </w:tblStylePr>
    <w:tblStylePr w:type="lastCol">
      <w:tblPr/>
      <w:tcPr>
        <w:tcBorders>
          <w:top w:val="nil"/>
          <w:left w:val="single" w:color="000000" w:sz="12" w:space="0"/>
          <w:bottom w:val="nil"/>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2">
    <w:name w:val="Table List 1"/>
    <w:basedOn w:val="86"/>
    <w:qFormat/>
    <w:uiPriority w:val="0"/>
    <w:pPr>
      <w:widowControl w:val="0"/>
      <w:jc w:val="both"/>
    </w:pPr>
    <w:rPr>
      <w:rFonts w:ascii="Calibri" w:hAnsi="Calibri" w:cs="Calibri"/>
    </w:r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top w:val="nil"/>
          <w:left w:val="nil"/>
          <w:bottom w:val="single" w:color="000000" w:sz="6" w:space="0"/>
          <w:right w:val="nil"/>
          <w:insideH w:val="nil"/>
          <w:insideV w:val="nil"/>
          <w:tl2br w:val="nil"/>
          <w:tr2bl w:val="nil"/>
        </w:tcBorders>
        <w:shd w:val="solid" w:color="C0C0C0" w:fill="FFFFFF"/>
      </w:tcPr>
    </w:tblStylePr>
    <w:tblStylePr w:type="lastRow">
      <w:tblPr/>
      <w:tcPr>
        <w:tcBorders>
          <w:top w:val="single" w:color="000000" w:sz="6" w:space="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3">
    <w:name w:val="Table List 2"/>
    <w:basedOn w:val="86"/>
    <w:qFormat/>
    <w:uiPriority w:val="0"/>
    <w:pPr>
      <w:widowControl w:val="0"/>
      <w:jc w:val="both"/>
    </w:pPr>
    <w:rPr>
      <w:rFonts w:ascii="Calibri" w:hAnsi="Calibri" w:cs="Calibri"/>
    </w:rPr>
    <w:tblPr>
      <w:tblBorders>
        <w:bottom w:val="single" w:color="808080" w:sz="12" w:space="0"/>
      </w:tblBorders>
    </w:tblPr>
    <w:tblStylePr w:type="firstRow">
      <w:rPr>
        <w:b/>
        <w:bCs/>
        <w:color w:val="FFFFFF"/>
      </w:rPr>
      <w:tblPr/>
      <w:tcPr>
        <w:tcBorders>
          <w:top w:val="nil"/>
          <w:left w:val="nil"/>
          <w:bottom w:val="single" w:color="000000" w:sz="6" w:space="0"/>
          <w:right w:val="nil"/>
          <w:insideH w:val="nil"/>
          <w:insideV w:val="nil"/>
          <w:tl2br w:val="nil"/>
          <w:tr2bl w:val="nil"/>
        </w:tcBorders>
        <w:shd w:val="pct75" w:color="008080" w:fill="008000"/>
      </w:tcPr>
    </w:tblStylePr>
    <w:tblStylePr w:type="lastRow">
      <w:tblPr/>
      <w:tcPr>
        <w:tcBorders>
          <w:top w:val="single" w:color="000000" w:sz="6" w:space="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FF0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4">
    <w:name w:val="Table List 3"/>
    <w:basedOn w:val="86"/>
    <w:qFormat/>
    <w:uiPriority w:val="0"/>
    <w:pPr>
      <w:widowControl w:val="0"/>
      <w:jc w:val="both"/>
    </w:pPr>
    <w:rPr>
      <w:rFonts w:ascii="Calibri" w:hAnsi="Calibri" w:cs="Calibri"/>
    </w:r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top w:val="nil"/>
          <w:left w:val="nil"/>
          <w:bottom w:val="single" w:color="000000" w:sz="12" w:space="0"/>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styleId="105">
    <w:name w:val="Table List 4"/>
    <w:basedOn w:val="86"/>
    <w:qFormat/>
    <w:uiPriority w:val="0"/>
    <w:pPr>
      <w:widowControl w:val="0"/>
      <w:jc w:val="both"/>
    </w:pPr>
    <w:rPr>
      <w:rFonts w:ascii="Calibri" w:hAnsi="Calibri" w:cs="Calibri"/>
    </w:r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top w:val="nil"/>
          <w:left w:val="nil"/>
          <w:bottom w:val="single" w:color="000000" w:sz="12" w:space="0"/>
          <w:right w:val="nil"/>
          <w:insideH w:val="nil"/>
          <w:insideV w:val="nil"/>
          <w:tl2br w:val="nil"/>
          <w:tr2bl w:val="nil"/>
        </w:tcBorders>
        <w:shd w:val="solid" w:color="808080" w:fill="FFFFFF"/>
      </w:tcPr>
    </w:tblStylePr>
  </w:style>
  <w:style w:type="table" w:styleId="106">
    <w:name w:val="Table List 5"/>
    <w:basedOn w:val="86"/>
    <w:qFormat/>
    <w:uiPriority w:val="0"/>
    <w:pPr>
      <w:widowControl w:val="0"/>
      <w:jc w:val="both"/>
    </w:pPr>
    <w:rPr>
      <w:rFonts w:ascii="Calibri" w:hAnsi="Calibri" w:cs="Calibri"/>
    </w:r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top w:val="nil"/>
          <w:left w:val="nil"/>
          <w:bottom w:val="single" w:color="000000" w:sz="12" w:space="0"/>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styleId="107">
    <w:name w:val="Table List 6"/>
    <w:basedOn w:val="86"/>
    <w:qFormat/>
    <w:uiPriority w:val="0"/>
    <w:pPr>
      <w:widowControl w:val="0"/>
      <w:jc w:val="both"/>
    </w:pPr>
    <w:rPr>
      <w:rFonts w:ascii="Calibri" w:hAnsi="Calibri" w:cs="Calibri"/>
    </w:r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top w:val="nil"/>
          <w:left w:val="nil"/>
          <w:bottom w:val="single" w:color="000000" w:sz="12" w:space="0"/>
          <w:right w:val="nil"/>
          <w:insideH w:val="nil"/>
          <w:insideV w:val="nil"/>
          <w:tl2br w:val="nil"/>
          <w:tr2bl w:val="nil"/>
        </w:tcBorders>
      </w:tcPr>
    </w:tblStylePr>
    <w:tblStylePr w:type="firstCol">
      <w:rPr>
        <w:b/>
        <w:bCs/>
      </w:rPr>
      <w:tblPr/>
      <w:tcPr>
        <w:tcBorders>
          <w:top w:val="nil"/>
          <w:left w:val="nil"/>
          <w:bottom w:val="nil"/>
          <w:right w:val="single" w:color="000000" w:sz="12" w:space="0"/>
          <w:insideH w:val="nil"/>
          <w:insideV w:val="nil"/>
          <w:tl2br w:val="nil"/>
          <w:tr2bl w:val="nil"/>
        </w:tcBorders>
      </w:tcPr>
    </w:tblStylePr>
    <w:tblStylePr w:type="band1Horz">
      <w:tblPr/>
      <w:tcPr>
        <w:tcBorders>
          <w:top w:val="nil"/>
          <w:left w:val="nil"/>
          <w:bottom w:val="nil"/>
          <w:right w:val="nil"/>
          <w:insideH w:val="nil"/>
          <w:insideV w:val="nil"/>
          <w:tl2br w:val="nil"/>
          <w:tr2bl w:val="nil"/>
        </w:tcBorders>
        <w:shd w:val="pct25" w:color="000000" w:fill="FFFFFF"/>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08">
    <w:name w:val="Table List 7"/>
    <w:basedOn w:val="86"/>
    <w:qFormat/>
    <w:uiPriority w:val="0"/>
    <w:pPr>
      <w:widowControl w:val="0"/>
      <w:jc w:val="both"/>
    </w:pPr>
    <w:rPr>
      <w:rFonts w:ascii="Calibri" w:hAnsi="Calibri" w:cs="Calibri"/>
    </w:r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top w:val="nil"/>
          <w:left w:val="nil"/>
          <w:bottom w:val="single" w:color="008000" w:sz="12" w:space="0"/>
          <w:right w:val="nil"/>
          <w:insideH w:val="nil"/>
          <w:insideV w:val="nil"/>
          <w:tl2br w:val="nil"/>
          <w:tr2bl w:val="nil"/>
        </w:tcBorders>
        <w:shd w:val="solid" w:color="C0C0C0" w:fill="FFFFFF"/>
      </w:tcPr>
    </w:tblStylePr>
    <w:tblStylePr w:type="lastRow">
      <w:rPr>
        <w:b/>
        <w:bCs/>
      </w:rPr>
      <w:tblPr/>
      <w:tcPr>
        <w:tcBorders>
          <w:top w:val="single" w:color="008000" w:sz="12"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styleId="109">
    <w:name w:val="Table List 8"/>
    <w:basedOn w:val="86"/>
    <w:qFormat/>
    <w:uiPriority w:val="0"/>
    <w:pPr>
      <w:widowControl w:val="0"/>
      <w:jc w:val="both"/>
    </w:pPr>
    <w:rPr>
      <w:rFonts w:ascii="Calibri" w:hAnsi="Calibri" w:cs="Calibri"/>
    </w:r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top w:val="nil"/>
          <w:left w:val="nil"/>
          <w:bottom w:val="single" w:color="000000" w:sz="6" w:space="0"/>
          <w:right w:val="nil"/>
          <w:insideH w:val="nil"/>
          <w:insideV w:val="nil"/>
          <w:tl2br w:val="nil"/>
          <w:tr2bl w:val="nil"/>
        </w:tcBorders>
        <w:shd w:val="solid" w:color="FFFF00" w:fill="FFFFFF"/>
      </w:tcPr>
    </w:tblStylePr>
    <w:tblStylePr w:type="lastRow">
      <w:rPr>
        <w:b/>
        <w:bCs/>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5" w:color="FFFF00" w:fill="FFFFFF"/>
      </w:tcPr>
    </w:tblStylePr>
    <w:tblStylePr w:type="band2Horz">
      <w:tblPr/>
      <w:tcPr>
        <w:tcBorders>
          <w:top w:val="nil"/>
          <w:left w:val="nil"/>
          <w:bottom w:val="nil"/>
          <w:right w:val="nil"/>
          <w:insideH w:val="nil"/>
          <w:insideV w:val="nil"/>
          <w:tl2br w:val="nil"/>
          <w:tr2bl w:val="nil"/>
        </w:tcBorders>
        <w:shd w:val="pct50" w:color="FF0000" w:fill="FFFFFF"/>
      </w:tcPr>
    </w:tblStylePr>
    <w:tblStylePr w:type="nwCell">
      <w:tblPr/>
      <w:tcPr>
        <w:tcBorders>
          <w:top w:val="nil"/>
          <w:left w:val="nil"/>
          <w:bottom w:val="nil"/>
          <w:right w:val="nil"/>
          <w:insideH w:val="nil"/>
          <w:insideV w:val="nil"/>
          <w:tl2br w:val="single" w:color="auto" w:sz="6" w:space="0"/>
          <w:tr2bl w:val="nil"/>
        </w:tcBorders>
      </w:tcPr>
    </w:tblStylePr>
  </w:style>
  <w:style w:type="table" w:styleId="110">
    <w:name w:val="Table Contemporary"/>
    <w:basedOn w:val="86"/>
    <w:qFormat/>
    <w:uiPriority w:val="0"/>
    <w:pPr>
      <w:widowControl w:val="0"/>
      <w:jc w:val="both"/>
    </w:pPr>
    <w:rPr>
      <w:rFonts w:ascii="Calibri" w:hAnsi="Calibri" w:cs="Calibri"/>
    </w:rPr>
    <w:tblPr>
      <w:tblBorders>
        <w:insideH w:val="single" w:color="FFFFFF" w:sz="18" w:space="0"/>
        <w:insideV w:val="single" w:color="FFFFFF" w:sz="18" w:space="0"/>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styleId="111">
    <w:name w:val="Table Columns 1"/>
    <w:basedOn w:val="86"/>
    <w:qFormat/>
    <w:uiPriority w:val="0"/>
    <w:pPr>
      <w:widowControl w:val="0"/>
      <w:jc w:val="both"/>
    </w:pPr>
    <w:rPr>
      <w:rFonts w:ascii="Calibri" w:hAnsi="Calibri" w:cs="Calibri"/>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top w:val="nil"/>
          <w:left w:val="nil"/>
          <w:bottom w:val="double" w:color="000000" w:sz="6" w:space="0"/>
          <w:right w:val="nil"/>
          <w:insideH w:val="nil"/>
          <w:insideV w:val="nil"/>
          <w:tl2br w:val="nil"/>
          <w:tr2bl w:val="nil"/>
        </w:tcBorders>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12">
    <w:name w:val="Table Columns 2"/>
    <w:basedOn w:val="86"/>
    <w:qFormat/>
    <w:uiPriority w:val="0"/>
    <w:pPr>
      <w:widowControl w:val="0"/>
      <w:jc w:val="both"/>
    </w:pPr>
    <w:rPr>
      <w:rFonts w:ascii="Calibri" w:hAnsi="Calibri" w:cs="Calibri"/>
      <w:b/>
      <w:bCs/>
    </w:r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13">
    <w:name w:val="Table Columns 3"/>
    <w:basedOn w:val="86"/>
    <w:qFormat/>
    <w:uiPriority w:val="0"/>
    <w:pPr>
      <w:widowControl w:val="0"/>
      <w:jc w:val="both"/>
    </w:pPr>
    <w:rPr>
      <w:rFonts w:ascii="Calibri" w:hAnsi="Calibri" w:cs="Calibri"/>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single" w:color="000080" w:sz="6" w:space="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il"/>
          <w:left w:val="nil"/>
          <w:bottom w:val="nil"/>
          <w:right w:val="nil"/>
          <w:insideH w:val="nil"/>
          <w:insideV w:val="nil"/>
          <w:tl2br w:val="nil"/>
          <w:tr2bl w:val="nil"/>
        </w:tcBorders>
      </w:tcPr>
    </w:tblStylePr>
  </w:style>
  <w:style w:type="table" w:styleId="114">
    <w:name w:val="Table Columns 4"/>
    <w:basedOn w:val="86"/>
    <w:qFormat/>
    <w:uiPriority w:val="0"/>
    <w:pPr>
      <w:widowControl w:val="0"/>
      <w:jc w:val="both"/>
    </w:pPr>
    <w:rPr>
      <w:rFonts w:ascii="Calibri" w:hAnsi="Calibri" w:cs="Calibri"/>
    </w:r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15">
    <w:name w:val="Table Columns 5"/>
    <w:basedOn w:val="86"/>
    <w:qFormat/>
    <w:uiPriority w:val="0"/>
    <w:pPr>
      <w:widowControl w:val="0"/>
      <w:jc w:val="both"/>
    </w:pPr>
    <w:rPr>
      <w:rFonts w:ascii="Calibri" w:hAnsi="Calibri" w:cs="Calibri"/>
    </w:r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top w:val="nil"/>
          <w:left w:val="nil"/>
          <w:bottom w:val="single" w:color="808080" w:sz="6" w:space="0"/>
          <w:right w:val="nil"/>
          <w:insideH w:val="nil"/>
          <w:insideV w:val="nil"/>
          <w:tl2br w:val="nil"/>
          <w:tr2bl w:val="nil"/>
        </w:tcBorders>
      </w:tcPr>
    </w:tblStylePr>
    <w:tblStylePr w:type="lastRow">
      <w:rPr>
        <w:b/>
        <w:bCs/>
      </w:rPr>
      <w:tblPr/>
      <w:tcPr>
        <w:tcBorders>
          <w:top w:val="single" w:color="80808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16">
    <w:name w:val="Table Grid 1"/>
    <w:basedOn w:val="86"/>
    <w:qFormat/>
    <w:uiPriority w:val="0"/>
    <w:pPr>
      <w:widowControl w:val="0"/>
      <w:jc w:val="both"/>
    </w:pPr>
    <w:rPr>
      <w:rFonts w:ascii="Calibri" w:hAnsi="Calibri" w:cs="Calibri"/>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17">
    <w:name w:val="Table Grid 2"/>
    <w:basedOn w:val="86"/>
    <w:qFormat/>
    <w:uiPriority w:val="0"/>
    <w:pPr>
      <w:widowControl w:val="0"/>
      <w:jc w:val="both"/>
    </w:pPr>
    <w:rPr>
      <w:rFonts w:ascii="Calibri" w:hAnsi="Calibri" w:cs="Calibri"/>
    </w:rPr>
    <w:tblPr>
      <w:tblBorders>
        <w:insideH w:val="single" w:color="000000" w:sz="6" w:space="0"/>
        <w:insideV w:val="single" w:color="000000" w:sz="6" w:space="0"/>
      </w:tblBorders>
    </w:tblPr>
    <w:tcPr>
      <w:shd w:val="clear" w:color="auto" w:fill="auto"/>
    </w:tc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styleId="118">
    <w:name w:val="Table Grid 3"/>
    <w:basedOn w:val="86"/>
    <w:qFormat/>
    <w:uiPriority w:val="0"/>
    <w:pPr>
      <w:widowControl w:val="0"/>
      <w:jc w:val="both"/>
    </w:pPr>
    <w:rPr>
      <w:rFonts w:ascii="Calibri" w:hAnsi="Calibri" w:cs="Calibri"/>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top w:val="nil"/>
          <w:left w:val="nil"/>
          <w:bottom w:val="single" w:color="000000" w:sz="6" w:space="0"/>
          <w:right w:val="nil"/>
          <w:insideH w:val="nil"/>
          <w:insideV w:val="nil"/>
          <w:tl2br w:val="nil"/>
          <w:tr2bl w:val="nil"/>
        </w:tcBorders>
        <w:shd w:val="pct30" w:color="FFFF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19">
    <w:name w:val="Table Grid 4"/>
    <w:basedOn w:val="86"/>
    <w:qFormat/>
    <w:uiPriority w:val="0"/>
    <w:pPr>
      <w:widowControl w:val="0"/>
      <w:jc w:val="both"/>
    </w:pPr>
    <w:rPr>
      <w:rFonts w:ascii="Calibri" w:hAnsi="Calibri" w:cs="Calibri"/>
    </w:r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top w:val="nil"/>
          <w:left w:val="nil"/>
          <w:bottom w:val="single" w:color="000000" w:sz="6" w:space="0"/>
          <w:right w:val="nil"/>
          <w:insideH w:val="nil"/>
          <w:insideV w:val="nil"/>
          <w:tl2br w:val="nil"/>
          <w:tr2bl w:val="nil"/>
        </w:tcBorders>
        <w:shd w:val="pct30" w:color="FFFF00" w:fill="FFFFFF"/>
      </w:tcPr>
    </w:tblStylePr>
    <w:tblStylePr w:type="lastRow">
      <w:rPr>
        <w:b/>
        <w:bCs/>
        <w:color w:val="auto"/>
      </w:rPr>
      <w:tblPr/>
      <w:tcPr>
        <w:tcBorders>
          <w:top w:val="single" w:color="000000" w:sz="6" w:space="0"/>
          <w:left w:val="nil"/>
          <w:bottom w:val="nil"/>
          <w:right w:val="nil"/>
          <w:insideH w:val="nil"/>
          <w:insideV w:val="nil"/>
          <w:tl2br w:val="nil"/>
          <w:tr2bl w:val="nil"/>
        </w:tcBorders>
        <w:shd w:val="pct30" w:color="FFFF00" w:fill="FFFFFF"/>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20">
    <w:name w:val="Table Grid 5"/>
    <w:basedOn w:val="86"/>
    <w:qFormat/>
    <w:uiPriority w:val="0"/>
    <w:pPr>
      <w:widowControl w:val="0"/>
      <w:jc w:val="both"/>
    </w:pPr>
    <w:rPr>
      <w:rFonts w:ascii="Calibri" w:hAnsi="Calibri" w:cs="Calibri"/>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21">
    <w:name w:val="Table Grid 6"/>
    <w:basedOn w:val="86"/>
    <w:qFormat/>
    <w:uiPriority w:val="0"/>
    <w:pPr>
      <w:widowControl w:val="0"/>
      <w:jc w:val="both"/>
    </w:pPr>
    <w:rPr>
      <w:rFonts w:ascii="Calibri" w:hAnsi="Calibri" w:cs="Calibri"/>
    </w:r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top w:val="nil"/>
          <w:left w:val="nil"/>
          <w:bottom w:val="single" w:color="000000" w:sz="6" w:space="0"/>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22">
    <w:name w:val="Table Grid 7"/>
    <w:basedOn w:val="86"/>
    <w:qFormat/>
    <w:uiPriority w:val="0"/>
    <w:pPr>
      <w:widowControl w:val="0"/>
      <w:jc w:val="both"/>
    </w:pPr>
    <w:rPr>
      <w:rFonts w:ascii="Calibri" w:hAnsi="Calibri" w:cs="Calibri"/>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top w:val="nil"/>
          <w:left w:val="nil"/>
          <w:bottom w:val="single" w:color="000000" w:sz="12" w:space="0"/>
          <w:right w:val="nil"/>
          <w:insideH w:val="nil"/>
          <w:insideV w:val="nil"/>
          <w:tl2br w:val="nil"/>
          <w:tr2bl w:val="nil"/>
        </w:tcBorders>
      </w:tcPr>
    </w:tblStylePr>
    <w:tblStylePr w:type="lastRow">
      <w:rPr>
        <w:b w:val="0"/>
        <w:bCs w:val="0"/>
      </w:rPr>
      <w:tblPr/>
      <w:tcPr>
        <w:tcBorders>
          <w:top w:val="single" w:color="000000" w:sz="6" w:space="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23">
    <w:name w:val="Table Grid 8"/>
    <w:basedOn w:val="86"/>
    <w:qFormat/>
    <w:uiPriority w:val="0"/>
    <w:pPr>
      <w:widowControl w:val="0"/>
      <w:jc w:val="both"/>
    </w:pPr>
    <w:rPr>
      <w:rFonts w:ascii="Calibri" w:hAnsi="Calibri" w:cs="Calibri"/>
    </w:r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24">
    <w:name w:val="Table Web 1"/>
    <w:basedOn w:val="86"/>
    <w:qFormat/>
    <w:uiPriority w:val="0"/>
    <w:pPr>
      <w:widowControl w:val="0"/>
      <w:jc w:val="both"/>
    </w:pPr>
    <w:rPr>
      <w:rFonts w:ascii="Calibri" w:hAnsi="Calibri" w:cs="Calibri"/>
    </w:r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25">
    <w:name w:val="Table Web 2"/>
    <w:basedOn w:val="86"/>
    <w:qFormat/>
    <w:uiPriority w:val="0"/>
    <w:pPr>
      <w:widowControl w:val="0"/>
      <w:jc w:val="both"/>
    </w:pPr>
    <w:rPr>
      <w:rFonts w:ascii="Calibri" w:hAnsi="Calibri" w:cs="Calibri"/>
    </w:r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26">
    <w:name w:val="Table Web 3"/>
    <w:basedOn w:val="86"/>
    <w:qFormat/>
    <w:uiPriority w:val="0"/>
    <w:pPr>
      <w:widowControl w:val="0"/>
      <w:jc w:val="both"/>
    </w:pPr>
    <w:rPr>
      <w:rFonts w:ascii="Calibri" w:hAnsi="Calibri" w:cs="Calibri"/>
    </w:r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27">
    <w:name w:val="Table Professional"/>
    <w:basedOn w:val="86"/>
    <w:qFormat/>
    <w:uiPriority w:val="0"/>
    <w:pPr>
      <w:widowControl w:val="0"/>
      <w:jc w:val="both"/>
    </w:pPr>
    <w:rPr>
      <w:rFonts w:ascii="Calibri" w:hAnsi="Calibri" w:cs="Calibri"/>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129">
    <w:name w:val="Strong"/>
    <w:qFormat/>
    <w:uiPriority w:val="22"/>
    <w:rPr>
      <w:b/>
      <w:bCs/>
    </w:rPr>
  </w:style>
  <w:style w:type="character" w:styleId="130">
    <w:name w:val="endnote reference"/>
    <w:qFormat/>
    <w:uiPriority w:val="0"/>
    <w:rPr>
      <w:vertAlign w:val="superscript"/>
    </w:rPr>
  </w:style>
  <w:style w:type="character" w:styleId="131">
    <w:name w:val="page number"/>
    <w:qFormat/>
    <w:uiPriority w:val="0"/>
  </w:style>
  <w:style w:type="character" w:styleId="132">
    <w:name w:val="FollowedHyperlink"/>
    <w:qFormat/>
    <w:uiPriority w:val="0"/>
    <w:rPr>
      <w:color w:val="800080"/>
      <w:u w:val="none"/>
    </w:rPr>
  </w:style>
  <w:style w:type="character" w:styleId="133">
    <w:name w:val="Emphasis"/>
    <w:qFormat/>
    <w:uiPriority w:val="0"/>
  </w:style>
  <w:style w:type="character" w:styleId="134">
    <w:name w:val="line number"/>
    <w:qFormat/>
    <w:uiPriority w:val="0"/>
  </w:style>
  <w:style w:type="character" w:styleId="135">
    <w:name w:val="HTML Definition"/>
    <w:qFormat/>
    <w:uiPriority w:val="0"/>
  </w:style>
  <w:style w:type="character" w:styleId="136">
    <w:name w:val="HTML Typewriter"/>
    <w:qFormat/>
    <w:uiPriority w:val="0"/>
    <w:rPr>
      <w:rFonts w:ascii="Courier New" w:hAnsi="Courier New" w:cs="Courier New"/>
      <w:sz w:val="20"/>
      <w:szCs w:val="20"/>
    </w:rPr>
  </w:style>
  <w:style w:type="character" w:styleId="137">
    <w:name w:val="HTML Acronym"/>
    <w:qFormat/>
    <w:uiPriority w:val="0"/>
  </w:style>
  <w:style w:type="character" w:styleId="138">
    <w:name w:val="HTML Variable"/>
    <w:qFormat/>
    <w:uiPriority w:val="0"/>
  </w:style>
  <w:style w:type="character" w:styleId="139">
    <w:name w:val="Hyperlink"/>
    <w:qFormat/>
    <w:uiPriority w:val="99"/>
    <w:rPr>
      <w:color w:val="136EC2"/>
      <w:u w:val="single"/>
    </w:rPr>
  </w:style>
  <w:style w:type="character" w:styleId="140">
    <w:name w:val="HTML Code"/>
    <w:qFormat/>
    <w:uiPriority w:val="0"/>
    <w:rPr>
      <w:rFonts w:hint="default" w:ascii="Courier New" w:hAnsi="Courier New" w:eastAsia="Courier New" w:cs="Courier New"/>
      <w:sz w:val="20"/>
    </w:rPr>
  </w:style>
  <w:style w:type="character" w:styleId="141">
    <w:name w:val="annotation reference"/>
    <w:qFormat/>
    <w:uiPriority w:val="0"/>
    <w:rPr>
      <w:sz w:val="21"/>
      <w:szCs w:val="21"/>
    </w:rPr>
  </w:style>
  <w:style w:type="character" w:styleId="142">
    <w:name w:val="HTML Cite"/>
    <w:qFormat/>
    <w:uiPriority w:val="0"/>
  </w:style>
  <w:style w:type="character" w:styleId="143">
    <w:name w:val="footnote reference"/>
    <w:qFormat/>
    <w:uiPriority w:val="0"/>
    <w:rPr>
      <w:vertAlign w:val="superscript"/>
    </w:rPr>
  </w:style>
  <w:style w:type="character" w:styleId="144">
    <w:name w:val="HTML Keyboard"/>
    <w:qFormat/>
    <w:uiPriority w:val="0"/>
    <w:rPr>
      <w:rFonts w:ascii="Courier New" w:hAnsi="Courier New" w:eastAsia="Courier New" w:cs="Courier New"/>
      <w:sz w:val="20"/>
    </w:rPr>
  </w:style>
  <w:style w:type="character" w:styleId="145">
    <w:name w:val="HTML Sample"/>
    <w:qFormat/>
    <w:uiPriority w:val="0"/>
    <w:rPr>
      <w:rFonts w:hint="default" w:ascii="Courier New" w:hAnsi="Courier New" w:eastAsia="Courier New" w:cs="Courier New"/>
    </w:rPr>
  </w:style>
  <w:style w:type="paragraph" w:customStyle="1" w:styleId="146">
    <w:name w:val="style4"/>
    <w:basedOn w:val="147"/>
    <w:next w:val="148"/>
    <w:qFormat/>
    <w:uiPriority w:val="0"/>
    <w:pPr>
      <w:widowControl/>
      <w:spacing w:before="100" w:beforeAutospacing="1" w:after="100" w:afterAutospacing="1"/>
      <w:jc w:val="left"/>
    </w:pPr>
    <w:rPr>
      <w:rFonts w:ascii="宋体" w:hAnsi="宋体" w:cs="宋体"/>
      <w:kern w:val="0"/>
      <w:sz w:val="18"/>
      <w:szCs w:val="18"/>
    </w:rPr>
  </w:style>
  <w:style w:type="paragraph" w:customStyle="1" w:styleId="147">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8">
    <w:name w:val="2"/>
    <w:basedOn w:val="1"/>
    <w:next w:val="1"/>
    <w:qFormat/>
    <w:uiPriority w:val="0"/>
    <w:pPr>
      <w:adjustRightInd w:val="0"/>
      <w:spacing w:line="420" w:lineRule="atLeast"/>
      <w:ind w:left="1134" w:hanging="227"/>
      <w:textAlignment w:val="baseline"/>
    </w:pPr>
    <w:rPr>
      <w:kern w:val="0"/>
      <w:szCs w:val="20"/>
    </w:rPr>
  </w:style>
  <w:style w:type="paragraph" w:customStyle="1" w:styleId="149">
    <w:name w:val="段"/>
    <w:qFormat/>
    <w:uiPriority w:val="0"/>
    <w:pPr>
      <w:tabs>
        <w:tab w:val="center" w:pos="4201"/>
        <w:tab w:val="right" w:leader="dot" w:pos="9298"/>
      </w:tabs>
      <w:autoSpaceDE w:val="0"/>
      <w:autoSpaceDN w:val="0"/>
      <w:spacing w:line="360" w:lineRule="exact"/>
      <w:ind w:firstLine="420" w:firstLineChars="200"/>
      <w:jc w:val="both"/>
    </w:pPr>
    <w:rPr>
      <w:rFonts w:ascii="宋体" w:hAnsiTheme="minorHAnsi" w:eastAsiaTheme="minorEastAsia" w:cstheme="minorBidi"/>
      <w:kern w:val="2"/>
      <w:sz w:val="21"/>
      <w:szCs w:val="22"/>
      <w:lang w:val="en-US" w:eastAsia="zh-CN" w:bidi="ar-SA"/>
    </w:rPr>
  </w:style>
  <w:style w:type="character" w:customStyle="1" w:styleId="150">
    <w:name w:val="标题 字符"/>
    <w:basedOn w:val="128"/>
    <w:link w:val="83"/>
    <w:qFormat/>
    <w:uiPriority w:val="0"/>
    <w:rPr>
      <w:rFonts w:ascii="Arial" w:hAnsi="Arial"/>
      <w:b/>
      <w:kern w:val="0"/>
      <w:sz w:val="32"/>
      <w:szCs w:val="20"/>
    </w:rPr>
  </w:style>
  <w:style w:type="paragraph" w:customStyle="1" w:styleId="151">
    <w:name w:val="一级条标题"/>
    <w:next w:val="149"/>
    <w:qFormat/>
    <w:uiPriority w:val="0"/>
    <w:pPr>
      <w:spacing w:beforeLines="50" w:afterLines="50" w:line="360" w:lineRule="exact"/>
      <w:ind w:left="851"/>
      <w:outlineLvl w:val="2"/>
    </w:pPr>
    <w:rPr>
      <w:rFonts w:ascii="黑体" w:eastAsia="黑体" w:hAnsiTheme="minorHAnsi" w:cstheme="minorBidi"/>
      <w:kern w:val="2"/>
      <w:sz w:val="21"/>
      <w:szCs w:val="21"/>
      <w:lang w:val="en-US" w:eastAsia="zh-CN" w:bidi="ar-SA"/>
    </w:rPr>
  </w:style>
  <w:style w:type="paragraph" w:styleId="152">
    <w:name w:val="List Paragraph"/>
    <w:basedOn w:val="1"/>
    <w:qFormat/>
    <w:uiPriority w:val="1"/>
    <w:pPr>
      <w:ind w:firstLine="420" w:firstLineChars="200"/>
    </w:pPr>
    <w:rPr>
      <w:rFonts w:ascii="宋体" w:hAnsi="宋体" w:cs="宋体"/>
      <w:kern w:val="0"/>
      <w:sz w:val="24"/>
    </w:rPr>
  </w:style>
  <w:style w:type="paragraph" w:customStyle="1" w:styleId="153">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54">
    <w:name w:val="Table Paragraph"/>
    <w:basedOn w:val="1"/>
    <w:qFormat/>
    <w:uiPriority w:val="1"/>
    <w:pPr>
      <w:widowControl w:val="0"/>
      <w:autoSpaceDE w:val="0"/>
      <w:autoSpaceDN w:val="0"/>
      <w:spacing w:line="240" w:lineRule="auto"/>
    </w:pPr>
    <w:rPr>
      <w:rFonts w:ascii="仿宋" w:hAnsi="仿宋" w:eastAsia="仿宋" w:cs="仿宋"/>
      <w:kern w:val="0"/>
      <w:sz w:val="22"/>
      <w:szCs w:val="22"/>
      <w:lang w:val="zh-CN" w:bidi="zh-CN"/>
    </w:rPr>
  </w:style>
  <w:style w:type="character" w:customStyle="1" w:styleId="155">
    <w:name w:val="正文文本缩进 字符"/>
    <w:basedOn w:val="128"/>
    <w:link w:val="34"/>
    <w:qFormat/>
    <w:uiPriority w:val="0"/>
    <w:rPr>
      <w:rFonts w:hint="default" w:ascii="Calibri" w:hAnsi="Calibri" w:cs="Calibri"/>
      <w:kern w:val="2"/>
      <w:sz w:val="21"/>
      <w:szCs w:val="24"/>
    </w:rPr>
  </w:style>
  <w:style w:type="character" w:customStyle="1" w:styleId="156">
    <w:name w:val="正文文本首行缩进 2 字符"/>
    <w:basedOn w:val="155"/>
    <w:link w:val="85"/>
    <w:qFormat/>
    <w:uiPriority w:val="0"/>
    <w:rPr>
      <w:rFonts w:hint="default" w:ascii="Calibri" w:hAnsi="Calibri" w:cs="Calibri"/>
      <w:kern w:val="2"/>
      <w:sz w:val="21"/>
      <w:szCs w:val="24"/>
    </w:rPr>
  </w:style>
  <w:style w:type="character" w:customStyle="1" w:styleId="157">
    <w:name w:val="脚注文本 Char"/>
    <w:basedOn w:val="128"/>
    <w:qFormat/>
    <w:uiPriority w:val="0"/>
    <w:rPr>
      <w:rFonts w:hint="eastAsia" w:ascii="宋体" w:hAnsi="宋体" w:eastAsia="宋体" w:cs="宋体"/>
      <w:sz w:val="18"/>
      <w:szCs w:val="18"/>
    </w:rPr>
  </w:style>
  <w:style w:type="character" w:customStyle="1" w:styleId="158">
    <w:name w:val="脚注文本 字符"/>
    <w:basedOn w:val="128"/>
    <w:link w:val="66"/>
    <w:qFormat/>
    <w:uiPriority w:val="0"/>
    <w:rPr>
      <w:rFonts w:hint="eastAsia" w:ascii="宋体" w:hAnsi="宋体" w:eastAsia="宋体" w:cs="宋体"/>
      <w:sz w:val="18"/>
      <w:szCs w:val="18"/>
    </w:rPr>
  </w:style>
  <w:style w:type="paragraph" w:customStyle="1" w:styleId="159">
    <w:name w:val="列出段落1"/>
    <w:basedOn w:val="1"/>
    <w:qFormat/>
    <w:uiPriority w:val="0"/>
    <w:pPr>
      <w:ind w:firstLine="420" w:firstLineChars="200"/>
    </w:pPr>
    <w:rPr>
      <w:szCs w:val="22"/>
    </w:rPr>
  </w:style>
  <w:style w:type="paragraph" w:customStyle="1" w:styleId="160">
    <w:name w:val="Normal_9"/>
    <w:qFormat/>
    <w:uiPriority w:val="0"/>
    <w:pPr>
      <w:spacing w:before="120" w:after="240"/>
      <w:jc w:val="both"/>
    </w:pPr>
    <w:rPr>
      <w:rFonts w:ascii="Calibri" w:hAnsi="Calibri" w:eastAsia="Calibri" w:cs="Times New Roman"/>
      <w:sz w:val="22"/>
      <w:szCs w:val="22"/>
      <w:lang w:val="en-US" w:eastAsia="en-US" w:bidi="ar-SA"/>
    </w:rPr>
  </w:style>
  <w:style w:type="paragraph" w:customStyle="1" w:styleId="161">
    <w:name w:val="Normal_48"/>
    <w:qFormat/>
    <w:uiPriority w:val="0"/>
    <w:pPr>
      <w:spacing w:before="120" w:after="240"/>
      <w:jc w:val="both"/>
    </w:pPr>
    <w:rPr>
      <w:rFonts w:ascii="Calibri" w:hAnsi="Calibri" w:eastAsia="Calibri" w:cs="Times New Roman"/>
      <w:sz w:val="22"/>
      <w:szCs w:val="22"/>
      <w:lang w:val="en-US" w:eastAsia="en-US" w:bidi="ar-SA"/>
    </w:rPr>
  </w:style>
  <w:style w:type="paragraph" w:customStyle="1" w:styleId="162">
    <w:name w:val="Normal_49"/>
    <w:qFormat/>
    <w:uiPriority w:val="0"/>
    <w:pPr>
      <w:spacing w:before="120" w:after="240"/>
      <w:jc w:val="both"/>
    </w:pPr>
    <w:rPr>
      <w:rFonts w:ascii="Calibri" w:hAnsi="Calibri" w:eastAsia="Calibri" w:cs="Times New Roman"/>
      <w:sz w:val="22"/>
      <w:szCs w:val="22"/>
      <w:lang w:val="en-US" w:eastAsia="en-US" w:bidi="ar-SA"/>
    </w:rPr>
  </w:style>
  <w:style w:type="paragraph" w:customStyle="1" w:styleId="163">
    <w:name w:val="Normal_47"/>
    <w:qFormat/>
    <w:uiPriority w:val="0"/>
    <w:pPr>
      <w:spacing w:before="120" w:after="240"/>
      <w:jc w:val="both"/>
    </w:pPr>
    <w:rPr>
      <w:rFonts w:ascii="Calibri" w:hAnsi="Calibri" w:eastAsia="Calibri" w:cs="Times New Roman"/>
      <w:sz w:val="22"/>
      <w:szCs w:val="22"/>
      <w:lang w:val="en-US" w:eastAsia="en-US" w:bidi="ar-SA"/>
    </w:rPr>
  </w:style>
  <w:style w:type="paragraph" w:customStyle="1" w:styleId="164">
    <w:name w:val="Normal_43"/>
    <w:qFormat/>
    <w:uiPriority w:val="0"/>
    <w:pPr>
      <w:spacing w:before="120" w:after="240"/>
      <w:jc w:val="both"/>
    </w:pPr>
    <w:rPr>
      <w:rFonts w:ascii="Calibri" w:hAnsi="Calibri" w:eastAsia="Calibri" w:cs="Times New Roman"/>
      <w:sz w:val="22"/>
      <w:szCs w:val="22"/>
      <w:lang w:val="en-US" w:eastAsia="en-US" w:bidi="ar-SA"/>
    </w:rPr>
  </w:style>
  <w:style w:type="paragraph" w:customStyle="1" w:styleId="165">
    <w:name w:val="Normal_0_0"/>
    <w:qFormat/>
    <w:uiPriority w:val="0"/>
    <w:pPr>
      <w:spacing w:before="120" w:after="240"/>
      <w:jc w:val="both"/>
    </w:pPr>
    <w:rPr>
      <w:rFonts w:ascii="Calibri" w:hAnsi="Calibri" w:eastAsia="Calibri" w:cs="Times New Roman"/>
      <w:sz w:val="22"/>
      <w:szCs w:val="22"/>
      <w:lang w:val="en-US" w:eastAsia="en-US" w:bidi="ar-SA"/>
    </w:rPr>
  </w:style>
  <w:style w:type="paragraph" w:customStyle="1" w:styleId="166">
    <w:name w:val="Normal_1_0"/>
    <w:qFormat/>
    <w:uiPriority w:val="0"/>
    <w:pPr>
      <w:spacing w:before="120" w:after="240"/>
      <w:jc w:val="both"/>
    </w:pPr>
    <w:rPr>
      <w:rFonts w:ascii="Calibri" w:hAnsi="Calibri" w:eastAsia="Calibri" w:cs="Times New Roman"/>
      <w:sz w:val="22"/>
      <w:szCs w:val="22"/>
      <w:lang w:val="en-US" w:eastAsia="en-US" w:bidi="ar-SA"/>
    </w:rPr>
  </w:style>
  <w:style w:type="paragraph" w:customStyle="1" w:styleId="167">
    <w:name w:val="Normal_2_0"/>
    <w:qFormat/>
    <w:uiPriority w:val="0"/>
    <w:pPr>
      <w:spacing w:before="120" w:after="240"/>
      <w:jc w:val="both"/>
    </w:pPr>
    <w:rPr>
      <w:rFonts w:ascii="Calibri" w:hAnsi="Calibri" w:eastAsia="Calibri" w:cs="Times New Roman"/>
      <w:sz w:val="22"/>
      <w:szCs w:val="22"/>
      <w:lang w:val="en-US" w:eastAsia="en-US" w:bidi="ar-SA"/>
    </w:rPr>
  </w:style>
  <w:style w:type="paragraph" w:customStyle="1" w:styleId="168">
    <w:name w:val="Normal_3_0"/>
    <w:qFormat/>
    <w:uiPriority w:val="0"/>
    <w:pPr>
      <w:spacing w:before="120" w:after="240"/>
      <w:jc w:val="both"/>
    </w:pPr>
    <w:rPr>
      <w:rFonts w:ascii="Calibri" w:hAnsi="Calibri" w:eastAsia="Calibri" w:cs="Times New Roman"/>
      <w:sz w:val="22"/>
      <w:szCs w:val="22"/>
      <w:lang w:val="en-US" w:eastAsia="en-US" w:bidi="ar-SA"/>
    </w:rPr>
  </w:style>
  <w:style w:type="paragraph" w:customStyle="1" w:styleId="169">
    <w:name w:val="Normal_4_0"/>
    <w:qFormat/>
    <w:uiPriority w:val="0"/>
    <w:pPr>
      <w:spacing w:before="120" w:after="240"/>
      <w:jc w:val="both"/>
    </w:pPr>
    <w:rPr>
      <w:rFonts w:ascii="Calibri" w:hAnsi="Calibri" w:eastAsia="Calibri" w:cs="Times New Roman"/>
      <w:sz w:val="22"/>
      <w:szCs w:val="22"/>
      <w:lang w:val="en-US" w:eastAsia="en-US" w:bidi="ar-SA"/>
    </w:rPr>
  </w:style>
  <w:style w:type="paragraph" w:customStyle="1" w:styleId="170">
    <w:name w:val="Normal_5_0"/>
    <w:qFormat/>
    <w:uiPriority w:val="0"/>
    <w:pPr>
      <w:spacing w:before="120" w:after="240"/>
      <w:jc w:val="both"/>
    </w:pPr>
    <w:rPr>
      <w:rFonts w:ascii="Calibri" w:hAnsi="Calibri" w:eastAsia="Calibri" w:cs="Times New Roman"/>
      <w:sz w:val="22"/>
      <w:szCs w:val="22"/>
      <w:lang w:val="en-US" w:eastAsia="en-US" w:bidi="ar-SA"/>
    </w:rPr>
  </w:style>
  <w:style w:type="paragraph" w:customStyle="1" w:styleId="171">
    <w:name w:val="Normal_6_0"/>
    <w:qFormat/>
    <w:uiPriority w:val="0"/>
    <w:pPr>
      <w:spacing w:before="120" w:after="240"/>
      <w:jc w:val="both"/>
    </w:pPr>
    <w:rPr>
      <w:rFonts w:ascii="Calibri" w:hAnsi="Calibri" w:eastAsia="Calibri" w:cs="Times New Roman"/>
      <w:sz w:val="22"/>
      <w:szCs w:val="22"/>
      <w:lang w:val="en-US" w:eastAsia="en-US" w:bidi="ar-SA"/>
    </w:rPr>
  </w:style>
  <w:style w:type="paragraph" w:customStyle="1" w:styleId="172">
    <w:name w:val="Normal_7_0"/>
    <w:qFormat/>
    <w:uiPriority w:val="0"/>
    <w:pPr>
      <w:spacing w:before="120" w:after="240"/>
      <w:jc w:val="both"/>
    </w:pPr>
    <w:rPr>
      <w:rFonts w:ascii="Calibri" w:hAnsi="Calibri" w:eastAsia="Calibri" w:cs="Times New Roman"/>
      <w:sz w:val="22"/>
      <w:szCs w:val="22"/>
      <w:lang w:val="en-US" w:eastAsia="en-US" w:bidi="ar-SA"/>
    </w:rPr>
  </w:style>
  <w:style w:type="paragraph" w:customStyle="1" w:styleId="173">
    <w:name w:val="Normal_8_0"/>
    <w:qFormat/>
    <w:uiPriority w:val="0"/>
    <w:pPr>
      <w:spacing w:before="120" w:after="240"/>
      <w:jc w:val="both"/>
    </w:pPr>
    <w:rPr>
      <w:rFonts w:ascii="Calibri" w:hAnsi="Calibri" w:eastAsia="Calibri" w:cs="Times New Roman"/>
      <w:sz w:val="22"/>
      <w:szCs w:val="22"/>
      <w:lang w:val="en-US" w:eastAsia="en-US" w:bidi="ar-SA"/>
    </w:rPr>
  </w:style>
  <w:style w:type="paragraph" w:customStyle="1" w:styleId="174">
    <w:name w:val="Normal_9_0"/>
    <w:qFormat/>
    <w:uiPriority w:val="0"/>
    <w:pPr>
      <w:spacing w:before="120" w:after="240"/>
      <w:jc w:val="both"/>
    </w:pPr>
    <w:rPr>
      <w:rFonts w:ascii="Calibri" w:hAnsi="Calibri" w:eastAsia="Calibri" w:cs="Times New Roman"/>
      <w:sz w:val="22"/>
      <w:szCs w:val="22"/>
      <w:lang w:val="en-US" w:eastAsia="en-US" w:bidi="ar-SA"/>
    </w:rPr>
  </w:style>
  <w:style w:type="paragraph" w:customStyle="1" w:styleId="175">
    <w:name w:val="Normal_11_0"/>
    <w:qFormat/>
    <w:uiPriority w:val="0"/>
    <w:pPr>
      <w:spacing w:before="120" w:after="240"/>
      <w:jc w:val="both"/>
    </w:pPr>
    <w:rPr>
      <w:rFonts w:ascii="Calibri" w:hAnsi="Calibri" w:eastAsia="Calibri" w:cs="Times New Roman"/>
      <w:sz w:val="22"/>
      <w:szCs w:val="22"/>
      <w:lang w:val="en-US" w:eastAsia="en-US" w:bidi="ar-SA"/>
    </w:rPr>
  </w:style>
  <w:style w:type="paragraph" w:customStyle="1" w:styleId="176">
    <w:name w:val="Normal_10_0"/>
    <w:qFormat/>
    <w:uiPriority w:val="0"/>
    <w:pPr>
      <w:spacing w:before="120" w:after="240"/>
      <w:jc w:val="both"/>
    </w:pPr>
    <w:rPr>
      <w:rFonts w:ascii="Calibri" w:hAnsi="Calibri" w:eastAsia="Calibri" w:cs="Times New Roman"/>
      <w:sz w:val="22"/>
      <w:szCs w:val="22"/>
      <w:lang w:val="en-US" w:eastAsia="en-US" w:bidi="ar-SA"/>
    </w:rPr>
  </w:style>
  <w:style w:type="paragraph" w:customStyle="1" w:styleId="177">
    <w:name w:val="Normal_13_0"/>
    <w:qFormat/>
    <w:uiPriority w:val="0"/>
    <w:pPr>
      <w:spacing w:before="120" w:after="240"/>
      <w:jc w:val="both"/>
    </w:pPr>
    <w:rPr>
      <w:rFonts w:ascii="Calibri" w:hAnsi="Calibri" w:eastAsia="Calibri" w:cs="Times New Roman"/>
      <w:sz w:val="22"/>
      <w:szCs w:val="22"/>
      <w:lang w:val="en-US" w:eastAsia="en-US" w:bidi="ar-SA"/>
    </w:rPr>
  </w:style>
  <w:style w:type="paragraph" w:customStyle="1" w:styleId="178">
    <w:name w:val="Normal_12_0"/>
    <w:qFormat/>
    <w:uiPriority w:val="0"/>
    <w:pPr>
      <w:spacing w:before="120" w:after="240"/>
      <w:jc w:val="both"/>
    </w:pPr>
    <w:rPr>
      <w:rFonts w:ascii="Calibri" w:hAnsi="Calibri" w:eastAsia="Calibri" w:cs="Times New Roman"/>
      <w:sz w:val="22"/>
      <w:szCs w:val="22"/>
      <w:lang w:val="en-US" w:eastAsia="en-US" w:bidi="ar-SA"/>
    </w:rPr>
  </w:style>
  <w:style w:type="paragraph" w:customStyle="1" w:styleId="179">
    <w:name w:val="Normal_14_0"/>
    <w:qFormat/>
    <w:uiPriority w:val="0"/>
    <w:pPr>
      <w:spacing w:before="120" w:after="240"/>
      <w:jc w:val="both"/>
    </w:pPr>
    <w:rPr>
      <w:rFonts w:ascii="Calibri" w:hAnsi="Calibri" w:eastAsia="Calibri" w:cs="Times New Roman"/>
      <w:sz w:val="22"/>
      <w:szCs w:val="22"/>
      <w:lang w:val="en-US" w:eastAsia="en-US" w:bidi="ar-SA"/>
    </w:rPr>
  </w:style>
  <w:style w:type="paragraph" w:customStyle="1" w:styleId="180">
    <w:name w:val="Normal_16_0"/>
    <w:qFormat/>
    <w:uiPriority w:val="0"/>
    <w:pPr>
      <w:spacing w:before="120" w:after="240"/>
      <w:jc w:val="both"/>
    </w:pPr>
    <w:rPr>
      <w:rFonts w:ascii="Calibri" w:hAnsi="Calibri" w:eastAsia="Calibri" w:cs="Times New Roman"/>
      <w:sz w:val="22"/>
      <w:szCs w:val="22"/>
      <w:lang w:val="en-US" w:eastAsia="en-US" w:bidi="ar-SA"/>
    </w:rPr>
  </w:style>
  <w:style w:type="paragraph" w:customStyle="1" w:styleId="181">
    <w:name w:val="Normal_17_0"/>
    <w:qFormat/>
    <w:uiPriority w:val="0"/>
    <w:pPr>
      <w:spacing w:before="120" w:after="240"/>
      <w:jc w:val="both"/>
    </w:pPr>
    <w:rPr>
      <w:rFonts w:ascii="Calibri" w:hAnsi="Calibri" w:eastAsia="Calibri" w:cs="Times New Roman"/>
      <w:sz w:val="22"/>
      <w:szCs w:val="22"/>
      <w:lang w:val="en-US" w:eastAsia="en-US" w:bidi="ar-SA"/>
    </w:rPr>
  </w:style>
  <w:style w:type="paragraph" w:customStyle="1" w:styleId="182">
    <w:name w:val="Normal_20_0"/>
    <w:qFormat/>
    <w:uiPriority w:val="0"/>
    <w:pPr>
      <w:spacing w:before="120" w:after="240"/>
      <w:jc w:val="both"/>
    </w:pPr>
    <w:rPr>
      <w:rFonts w:ascii="Calibri" w:hAnsi="Calibri" w:eastAsia="Calibri" w:cs="Times New Roman"/>
      <w:sz w:val="22"/>
      <w:szCs w:val="22"/>
      <w:lang w:val="en-US" w:eastAsia="en-US" w:bidi="ar-SA"/>
    </w:rPr>
  </w:style>
  <w:style w:type="paragraph" w:customStyle="1" w:styleId="183">
    <w:name w:val="Normal_24_0"/>
    <w:qFormat/>
    <w:uiPriority w:val="0"/>
    <w:pPr>
      <w:spacing w:before="120" w:after="240"/>
      <w:jc w:val="both"/>
    </w:pPr>
    <w:rPr>
      <w:rFonts w:ascii="Calibri" w:hAnsi="Calibri" w:eastAsia="Calibri" w:cs="Times New Roman"/>
      <w:sz w:val="22"/>
      <w:szCs w:val="22"/>
      <w:lang w:val="en-US" w:eastAsia="en-US" w:bidi="ar-SA"/>
    </w:rPr>
  </w:style>
  <w:style w:type="paragraph" w:customStyle="1" w:styleId="184">
    <w:name w:val="Normal_23_0"/>
    <w:qFormat/>
    <w:uiPriority w:val="0"/>
    <w:pPr>
      <w:spacing w:before="120" w:after="240"/>
      <w:jc w:val="both"/>
    </w:pPr>
    <w:rPr>
      <w:rFonts w:ascii="Calibri" w:hAnsi="Calibri" w:eastAsia="Calibri" w:cs="Times New Roman"/>
      <w:sz w:val="22"/>
      <w:szCs w:val="22"/>
      <w:lang w:val="en-US" w:eastAsia="en-US" w:bidi="ar-SA"/>
    </w:rPr>
  </w:style>
  <w:style w:type="paragraph" w:customStyle="1" w:styleId="185">
    <w:name w:val="正文_17"/>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186">
    <w:name w:val="标题 2 字符"/>
    <w:basedOn w:val="128"/>
    <w:link w:val="3"/>
    <w:qFormat/>
    <w:uiPriority w:val="0"/>
    <w:rPr>
      <w:rFonts w:ascii="Arial" w:hAnsi="Arial"/>
      <w:b/>
      <w:bCs/>
      <w:kern w:val="2"/>
      <w:sz w:val="32"/>
      <w:szCs w:val="32"/>
    </w:rPr>
  </w:style>
  <w:style w:type="character" w:customStyle="1" w:styleId="187">
    <w:name w:val="标题 5 字符"/>
    <w:basedOn w:val="128"/>
    <w:link w:val="6"/>
    <w:qFormat/>
    <w:uiPriority w:val="0"/>
    <w:rPr>
      <w:rFonts w:ascii="Calibri" w:hAnsi="Calibri"/>
      <w:b/>
      <w:bCs/>
      <w:sz w:val="28"/>
      <w:szCs w:val="28"/>
    </w:rPr>
  </w:style>
  <w:style w:type="character" w:customStyle="1" w:styleId="188">
    <w:name w:val="标题 6 字符"/>
    <w:basedOn w:val="128"/>
    <w:link w:val="7"/>
    <w:qFormat/>
    <w:uiPriority w:val="0"/>
    <w:rPr>
      <w:rFonts w:ascii="Arial" w:hAnsi="Arial" w:eastAsia="黑体"/>
      <w:b/>
      <w:bCs/>
      <w:sz w:val="24"/>
      <w:szCs w:val="24"/>
    </w:rPr>
  </w:style>
  <w:style w:type="character" w:customStyle="1" w:styleId="189">
    <w:name w:val="标题 7 字符"/>
    <w:basedOn w:val="128"/>
    <w:link w:val="8"/>
    <w:qFormat/>
    <w:uiPriority w:val="1"/>
    <w:rPr>
      <w:rFonts w:ascii="Calibri" w:hAnsi="Calibri"/>
      <w:b/>
      <w:bCs/>
      <w:sz w:val="24"/>
      <w:szCs w:val="24"/>
    </w:rPr>
  </w:style>
  <w:style w:type="character" w:customStyle="1" w:styleId="190">
    <w:name w:val="标题 8 字符"/>
    <w:basedOn w:val="128"/>
    <w:link w:val="9"/>
    <w:qFormat/>
    <w:uiPriority w:val="0"/>
    <w:rPr>
      <w:rFonts w:ascii="Arial" w:hAnsi="Arial" w:eastAsia="黑体"/>
      <w:sz w:val="24"/>
      <w:szCs w:val="24"/>
    </w:rPr>
  </w:style>
  <w:style w:type="character" w:customStyle="1" w:styleId="191">
    <w:name w:val="标题 9 字符"/>
    <w:basedOn w:val="128"/>
    <w:link w:val="10"/>
    <w:qFormat/>
    <w:uiPriority w:val="0"/>
    <w:rPr>
      <w:rFonts w:ascii="Arial" w:hAnsi="Arial" w:eastAsia="黑体"/>
      <w:sz w:val="21"/>
      <w:szCs w:val="21"/>
    </w:rPr>
  </w:style>
  <w:style w:type="character" w:customStyle="1" w:styleId="192">
    <w:name w:val="批注文字 字符"/>
    <w:basedOn w:val="128"/>
    <w:link w:val="27"/>
    <w:qFormat/>
    <w:uiPriority w:val="0"/>
    <w:rPr>
      <w:kern w:val="2"/>
      <w:sz w:val="21"/>
      <w:szCs w:val="24"/>
    </w:rPr>
  </w:style>
  <w:style w:type="character" w:customStyle="1" w:styleId="193">
    <w:name w:val="批注主题 字符"/>
    <w:basedOn w:val="192"/>
    <w:link w:val="84"/>
    <w:qFormat/>
    <w:uiPriority w:val="0"/>
    <w:rPr>
      <w:rFonts w:ascii="宋体" w:hAnsi="宋体"/>
      <w:b/>
      <w:bCs/>
      <w:kern w:val="2"/>
      <w:sz w:val="21"/>
      <w:szCs w:val="24"/>
    </w:rPr>
  </w:style>
  <w:style w:type="character" w:customStyle="1" w:styleId="194">
    <w:name w:val="注释标题 字符"/>
    <w:basedOn w:val="128"/>
    <w:link w:val="15"/>
    <w:qFormat/>
    <w:uiPriority w:val="0"/>
    <w:rPr>
      <w:rFonts w:ascii="Calibri" w:hAnsi="Calibri"/>
      <w:kern w:val="2"/>
      <w:sz w:val="21"/>
      <w:szCs w:val="24"/>
    </w:rPr>
  </w:style>
  <w:style w:type="character" w:customStyle="1" w:styleId="195">
    <w:name w:val="电子邮件签名 字符"/>
    <w:basedOn w:val="128"/>
    <w:link w:val="18"/>
    <w:qFormat/>
    <w:uiPriority w:val="0"/>
    <w:rPr>
      <w:rFonts w:ascii="Calibri" w:hAnsi="Calibri"/>
      <w:kern w:val="2"/>
      <w:sz w:val="21"/>
      <w:szCs w:val="24"/>
    </w:rPr>
  </w:style>
  <w:style w:type="character" w:customStyle="1" w:styleId="196">
    <w:name w:val="文档结构图 字符"/>
    <w:basedOn w:val="128"/>
    <w:link w:val="25"/>
    <w:qFormat/>
    <w:uiPriority w:val="0"/>
    <w:rPr>
      <w:rFonts w:ascii="Calibri" w:hAnsi="Calibri"/>
      <w:szCs w:val="24"/>
      <w:shd w:val="clear" w:color="auto" w:fill="000080"/>
    </w:rPr>
  </w:style>
  <w:style w:type="character" w:customStyle="1" w:styleId="197">
    <w:name w:val="称呼 字符"/>
    <w:basedOn w:val="128"/>
    <w:link w:val="29"/>
    <w:qFormat/>
    <w:uiPriority w:val="0"/>
    <w:rPr>
      <w:rFonts w:ascii="仿宋_GB2312" w:hAnsi="Calibri" w:eastAsia="仿宋_GB2312"/>
      <w:sz w:val="24"/>
      <w:szCs w:val="24"/>
    </w:rPr>
  </w:style>
  <w:style w:type="character" w:customStyle="1" w:styleId="198">
    <w:name w:val="正文文本 3 字符"/>
    <w:basedOn w:val="128"/>
    <w:link w:val="30"/>
    <w:qFormat/>
    <w:uiPriority w:val="0"/>
    <w:rPr>
      <w:rFonts w:ascii="宋体" w:hAnsi="Calibri"/>
      <w:color w:val="000000"/>
      <w:sz w:val="24"/>
    </w:rPr>
  </w:style>
  <w:style w:type="character" w:customStyle="1" w:styleId="199">
    <w:name w:val="结束语 字符"/>
    <w:basedOn w:val="128"/>
    <w:link w:val="31"/>
    <w:qFormat/>
    <w:uiPriority w:val="0"/>
    <w:rPr>
      <w:rFonts w:ascii="Calibri" w:hAnsi="Calibri"/>
      <w:kern w:val="2"/>
      <w:sz w:val="21"/>
      <w:szCs w:val="24"/>
    </w:rPr>
  </w:style>
  <w:style w:type="character" w:customStyle="1" w:styleId="200">
    <w:name w:val="HTML 地址 字符"/>
    <w:basedOn w:val="128"/>
    <w:link w:val="40"/>
    <w:qFormat/>
    <w:uiPriority w:val="0"/>
    <w:rPr>
      <w:rFonts w:ascii="Calibri" w:hAnsi="Calibri"/>
      <w:i/>
      <w:iCs/>
      <w:kern w:val="2"/>
      <w:sz w:val="21"/>
      <w:szCs w:val="24"/>
    </w:rPr>
  </w:style>
  <w:style w:type="character" w:customStyle="1" w:styleId="201">
    <w:name w:val="纯文本 字符"/>
    <w:basedOn w:val="128"/>
    <w:qFormat/>
    <w:uiPriority w:val="0"/>
    <w:rPr>
      <w:rFonts w:hAnsi="Courier New" w:cs="Courier New" w:asciiTheme="minorEastAsia" w:eastAsiaTheme="minorEastAsia"/>
      <w:kern w:val="2"/>
      <w:sz w:val="21"/>
      <w:szCs w:val="24"/>
    </w:rPr>
  </w:style>
  <w:style w:type="character" w:customStyle="1" w:styleId="202">
    <w:name w:val="日期 字符"/>
    <w:basedOn w:val="128"/>
    <w:qFormat/>
    <w:uiPriority w:val="0"/>
    <w:rPr>
      <w:kern w:val="2"/>
      <w:sz w:val="21"/>
      <w:szCs w:val="24"/>
    </w:rPr>
  </w:style>
  <w:style w:type="character" w:customStyle="1" w:styleId="203">
    <w:name w:val="正文文本缩进 2 字符"/>
    <w:basedOn w:val="128"/>
    <w:link w:val="50"/>
    <w:qFormat/>
    <w:uiPriority w:val="0"/>
    <w:rPr>
      <w:rFonts w:ascii="Calibri" w:hAnsi="Calibri"/>
      <w:szCs w:val="24"/>
    </w:rPr>
  </w:style>
  <w:style w:type="character" w:customStyle="1" w:styleId="204">
    <w:name w:val="尾注文本 字符"/>
    <w:basedOn w:val="128"/>
    <w:link w:val="51"/>
    <w:qFormat/>
    <w:uiPriority w:val="0"/>
    <w:rPr>
      <w:rFonts w:ascii="宋体" w:hAnsi="Calibri"/>
      <w:sz w:val="24"/>
    </w:rPr>
  </w:style>
  <w:style w:type="character" w:customStyle="1" w:styleId="205">
    <w:name w:val="批注框文本 字符"/>
    <w:basedOn w:val="128"/>
    <w:link w:val="53"/>
    <w:qFormat/>
    <w:uiPriority w:val="99"/>
    <w:rPr>
      <w:rFonts w:ascii="Calibri" w:hAnsi="Calibri"/>
      <w:kern w:val="2"/>
      <w:sz w:val="18"/>
      <w:szCs w:val="18"/>
    </w:rPr>
  </w:style>
  <w:style w:type="character" w:customStyle="1" w:styleId="206">
    <w:name w:val="签名 字符"/>
    <w:basedOn w:val="128"/>
    <w:link w:val="57"/>
    <w:qFormat/>
    <w:uiPriority w:val="0"/>
    <w:rPr>
      <w:rFonts w:ascii="Calibri" w:hAnsi="Calibri"/>
      <w:kern w:val="2"/>
      <w:sz w:val="21"/>
      <w:szCs w:val="24"/>
    </w:rPr>
  </w:style>
  <w:style w:type="character" w:customStyle="1" w:styleId="207">
    <w:name w:val="副标题 字符"/>
    <w:basedOn w:val="128"/>
    <w:link w:val="63"/>
    <w:qFormat/>
    <w:uiPriority w:val="0"/>
    <w:rPr>
      <w:rFonts w:ascii="Arial" w:hAnsi="Arial"/>
      <w:b/>
      <w:bCs/>
      <w:kern w:val="28"/>
      <w:sz w:val="32"/>
      <w:szCs w:val="32"/>
    </w:rPr>
  </w:style>
  <w:style w:type="character" w:customStyle="1" w:styleId="208">
    <w:name w:val="正文文本缩进 3 字符"/>
    <w:basedOn w:val="128"/>
    <w:link w:val="69"/>
    <w:qFormat/>
    <w:uiPriority w:val="0"/>
    <w:rPr>
      <w:rFonts w:ascii="宋体" w:hAnsi="宋体"/>
      <w:kern w:val="2"/>
      <w:sz w:val="16"/>
      <w:szCs w:val="16"/>
    </w:rPr>
  </w:style>
  <w:style w:type="character" w:customStyle="1" w:styleId="209">
    <w:name w:val="正文文本 2 字符"/>
    <w:basedOn w:val="128"/>
    <w:link w:val="75"/>
    <w:qFormat/>
    <w:uiPriority w:val="0"/>
    <w:rPr>
      <w:rFonts w:ascii="Calibri" w:hAnsi="Calibri"/>
      <w:szCs w:val="24"/>
    </w:rPr>
  </w:style>
  <w:style w:type="character" w:customStyle="1" w:styleId="210">
    <w:name w:val="信息标题 字符"/>
    <w:basedOn w:val="128"/>
    <w:link w:val="78"/>
    <w:qFormat/>
    <w:uiPriority w:val="0"/>
    <w:rPr>
      <w:rFonts w:ascii="Arial" w:hAnsi="Arial"/>
      <w:kern w:val="2"/>
      <w:sz w:val="24"/>
      <w:szCs w:val="24"/>
      <w:shd w:val="pct20" w:color="auto" w:fill="auto"/>
    </w:rPr>
  </w:style>
  <w:style w:type="character" w:customStyle="1" w:styleId="211">
    <w:name w:val="HTML 预设格式 字符"/>
    <w:basedOn w:val="128"/>
    <w:link w:val="79"/>
    <w:qFormat/>
    <w:uiPriority w:val="99"/>
    <w:rPr>
      <w:rFonts w:ascii="Arial" w:hAnsi="Arial"/>
      <w:sz w:val="24"/>
      <w:szCs w:val="24"/>
    </w:rPr>
  </w:style>
  <w:style w:type="paragraph" w:customStyle="1" w:styleId="212">
    <w:name w:val="正文文本首行缩进1"/>
    <w:basedOn w:val="33"/>
    <w:link w:val="737"/>
    <w:qFormat/>
    <w:uiPriority w:val="0"/>
    <w:pPr>
      <w:widowControl w:val="0"/>
      <w:spacing w:line="240" w:lineRule="auto"/>
      <w:ind w:firstLine="420" w:firstLineChars="100"/>
      <w:jc w:val="both"/>
    </w:pPr>
    <w:rPr>
      <w:rFonts w:ascii="Calibri" w:hAnsi="Calibri"/>
    </w:rPr>
  </w:style>
  <w:style w:type="paragraph" w:customStyle="1" w:styleId="213">
    <w:name w:val="正文文本首行缩进 21"/>
    <w:basedOn w:val="34"/>
    <w:unhideWhenUsed/>
    <w:qFormat/>
    <w:uiPriority w:val="0"/>
    <w:pPr>
      <w:autoSpaceDE w:val="0"/>
      <w:autoSpaceDN w:val="0"/>
      <w:adjustRightInd w:val="0"/>
      <w:spacing w:line="240" w:lineRule="auto"/>
      <w:ind w:firstLine="420"/>
      <w:jc w:val="left"/>
    </w:pPr>
    <w:rPr>
      <w:rFonts w:ascii="Calibri" w:hAnsi="Calibri"/>
    </w:rPr>
  </w:style>
  <w:style w:type="paragraph" w:customStyle="1" w:styleId="214">
    <w:name w:val="样式 样式 宋体 四号 行距: 1.5 倍行距 + 四号"/>
    <w:basedOn w:val="1"/>
    <w:link w:val="738"/>
    <w:qFormat/>
    <w:uiPriority w:val="0"/>
    <w:pPr>
      <w:widowControl w:val="0"/>
      <w:spacing w:line="360" w:lineRule="auto"/>
      <w:ind w:firstLine="480" w:firstLineChars="200"/>
      <w:jc w:val="both"/>
    </w:pPr>
    <w:rPr>
      <w:rFonts w:ascii="宋体" w:hAnsi="宋体"/>
      <w:sz w:val="24"/>
    </w:rPr>
  </w:style>
  <w:style w:type="paragraph" w:customStyle="1" w:styleId="215">
    <w:name w:val="加重文字"/>
    <w:basedOn w:val="1"/>
    <w:link w:val="742"/>
    <w:qFormat/>
    <w:uiPriority w:val="0"/>
    <w:pPr>
      <w:widowControl w:val="0"/>
      <w:spacing w:line="360" w:lineRule="auto"/>
      <w:jc w:val="both"/>
    </w:pPr>
    <w:rPr>
      <w:rFonts w:ascii="Calibri" w:hAnsi="Calibri"/>
      <w:b/>
      <w:kern w:val="0"/>
      <w:sz w:val="20"/>
      <w:u w:val="thick"/>
      <w:lang w:val="zh-CN"/>
    </w:rPr>
  </w:style>
  <w:style w:type="paragraph" w:customStyle="1" w:styleId="216">
    <w:name w:val="font5"/>
    <w:basedOn w:val="1"/>
    <w:link w:val="747"/>
    <w:qFormat/>
    <w:uiPriority w:val="0"/>
    <w:pPr>
      <w:spacing w:before="100" w:beforeAutospacing="1" w:after="100" w:afterAutospacing="1" w:line="240" w:lineRule="auto"/>
    </w:pPr>
    <w:rPr>
      <w:rFonts w:ascii="宋体" w:hAnsi="宋体"/>
      <w:kern w:val="0"/>
      <w:sz w:val="24"/>
    </w:rPr>
  </w:style>
  <w:style w:type="paragraph" w:customStyle="1" w:styleId="217">
    <w:name w:val="正文(条款)"/>
    <w:basedOn w:val="1"/>
    <w:link w:val="760"/>
    <w:qFormat/>
    <w:uiPriority w:val="0"/>
    <w:pPr>
      <w:widowControl w:val="0"/>
      <w:adjustRightInd w:val="0"/>
      <w:snapToGrid w:val="0"/>
      <w:spacing w:line="460" w:lineRule="exact"/>
      <w:ind w:firstLine="480" w:firstLineChars="200"/>
      <w:jc w:val="both"/>
    </w:pPr>
    <w:rPr>
      <w:rFonts w:ascii="Calibri" w:hAnsi="Calibri"/>
      <w:kern w:val="0"/>
      <w:sz w:val="24"/>
    </w:rPr>
  </w:style>
  <w:style w:type="paragraph" w:customStyle="1" w:styleId="218">
    <w:name w:val="表格"/>
    <w:basedOn w:val="44"/>
    <w:link w:val="773"/>
    <w:qFormat/>
    <w:uiPriority w:val="0"/>
    <w:pPr>
      <w:snapToGrid w:val="0"/>
      <w:jc w:val="center"/>
    </w:pPr>
    <w:rPr>
      <w:rFonts w:hAnsi="宋体" w:cs="Times New Roman"/>
    </w:rPr>
  </w:style>
  <w:style w:type="paragraph" w:customStyle="1" w:styleId="219">
    <w:name w:val="表名"/>
    <w:basedOn w:val="20"/>
    <w:link w:val="774"/>
    <w:qFormat/>
    <w:uiPriority w:val="0"/>
    <w:pPr>
      <w:widowControl w:val="0"/>
      <w:spacing w:after="60" w:line="460" w:lineRule="exact"/>
      <w:ind w:firstLine="100" w:firstLineChars="100"/>
    </w:pPr>
    <w:rPr>
      <w:rFonts w:ascii="黑体" w:eastAsia="黑体"/>
    </w:rPr>
  </w:style>
  <w:style w:type="paragraph" w:customStyle="1" w:styleId="220">
    <w:name w:val="scyzw0"/>
    <w:basedOn w:val="1"/>
    <w:link w:val="777"/>
    <w:qFormat/>
    <w:uiPriority w:val="0"/>
    <w:pPr>
      <w:numPr>
        <w:ilvl w:val="0"/>
        <w:numId w:val="11"/>
      </w:numPr>
      <w:spacing w:line="520" w:lineRule="exact"/>
      <w:ind w:left="0" w:firstLine="200" w:firstLineChars="200"/>
    </w:pPr>
    <w:rPr>
      <w:rFonts w:ascii="仿宋_GB2312" w:hAnsi="宋体" w:eastAsia="仿宋_GB2312"/>
      <w:bCs/>
      <w:kern w:val="0"/>
      <w:sz w:val="28"/>
      <w:szCs w:val="18"/>
    </w:rPr>
  </w:style>
  <w:style w:type="paragraph" w:customStyle="1" w:styleId="221">
    <w:name w:val="样式7"/>
    <w:basedOn w:val="1"/>
    <w:link w:val="780"/>
    <w:qFormat/>
    <w:uiPriority w:val="0"/>
    <w:pPr>
      <w:widowControl w:val="0"/>
      <w:spacing w:line="460" w:lineRule="exact"/>
      <w:ind w:firstLine="480" w:firstLineChars="200"/>
      <w:jc w:val="both"/>
    </w:pPr>
    <w:rPr>
      <w:rFonts w:ascii="宋体" w:hAnsi="Calibri"/>
      <w:sz w:val="24"/>
    </w:rPr>
  </w:style>
  <w:style w:type="paragraph" w:customStyle="1" w:styleId="222">
    <w:name w:val="标题4"/>
    <w:basedOn w:val="41"/>
    <w:link w:val="785"/>
    <w:qFormat/>
    <w:uiPriority w:val="0"/>
    <w:rPr>
      <w:rFonts w:ascii="宋体" w:hAnsi="宋体"/>
    </w:rPr>
  </w:style>
  <w:style w:type="paragraph" w:customStyle="1" w:styleId="223">
    <w:name w:val="z-窗体底端1"/>
    <w:basedOn w:val="1"/>
    <w:next w:val="1"/>
    <w:link w:val="787"/>
    <w:qFormat/>
    <w:uiPriority w:val="0"/>
    <w:pPr>
      <w:pBdr>
        <w:top w:val="single" w:color="auto" w:sz="6" w:space="1"/>
      </w:pBdr>
      <w:spacing w:line="240" w:lineRule="auto"/>
      <w:jc w:val="center"/>
    </w:pPr>
    <w:rPr>
      <w:rFonts w:ascii="Arial" w:hAnsi="Arial"/>
      <w:vanish/>
      <w:kern w:val="0"/>
      <w:sz w:val="16"/>
      <w:szCs w:val="16"/>
    </w:rPr>
  </w:style>
  <w:style w:type="paragraph" w:customStyle="1" w:styleId="224">
    <w:name w:val="样式1"/>
    <w:basedOn w:val="1"/>
    <w:link w:val="788"/>
    <w:qFormat/>
    <w:uiPriority w:val="0"/>
    <w:pPr>
      <w:widowControl w:val="0"/>
      <w:tabs>
        <w:tab w:val="left" w:pos="360"/>
      </w:tabs>
      <w:adjustRightInd w:val="0"/>
      <w:spacing w:line="240" w:lineRule="auto"/>
      <w:ind w:left="360" w:hanging="360"/>
      <w:jc w:val="both"/>
      <w:textAlignment w:val="baseline"/>
    </w:pPr>
    <w:rPr>
      <w:rFonts w:ascii="宋体" w:hAnsi="宋体"/>
      <w:kern w:val="0"/>
      <w:sz w:val="20"/>
      <w:szCs w:val="21"/>
    </w:rPr>
  </w:style>
  <w:style w:type="paragraph" w:customStyle="1" w:styleId="225">
    <w:name w:val="样式 样式 首行缩进:  2 字符1 + 首行缩进:  2 字符"/>
    <w:basedOn w:val="1"/>
    <w:link w:val="798"/>
    <w:qFormat/>
    <w:uiPriority w:val="0"/>
    <w:pPr>
      <w:widowControl w:val="0"/>
      <w:spacing w:line="360" w:lineRule="auto"/>
      <w:ind w:firstLine="480" w:firstLineChars="200"/>
      <w:jc w:val="both"/>
    </w:pPr>
    <w:rPr>
      <w:rFonts w:ascii="宋体" w:hAnsi="宋体"/>
      <w:sz w:val="24"/>
      <w:szCs w:val="20"/>
    </w:rPr>
  </w:style>
  <w:style w:type="paragraph" w:customStyle="1" w:styleId="226">
    <w:name w:val="p0"/>
    <w:basedOn w:val="1"/>
    <w:link w:val="810"/>
    <w:qFormat/>
    <w:uiPriority w:val="99"/>
    <w:pPr>
      <w:spacing w:line="240" w:lineRule="auto"/>
      <w:jc w:val="both"/>
    </w:pPr>
    <w:rPr>
      <w:rFonts w:ascii="宋体" w:hAnsi="宋体"/>
      <w:kern w:val="0"/>
      <w:szCs w:val="21"/>
    </w:rPr>
  </w:style>
  <w:style w:type="paragraph" w:customStyle="1" w:styleId="227">
    <w:name w:val="正文小4号字"/>
    <w:basedOn w:val="1"/>
    <w:link w:val="817"/>
    <w:qFormat/>
    <w:uiPriority w:val="0"/>
    <w:pPr>
      <w:widowControl w:val="0"/>
      <w:tabs>
        <w:tab w:val="left" w:pos="0"/>
        <w:tab w:val="left" w:pos="567"/>
      </w:tabs>
      <w:spacing w:line="360" w:lineRule="auto"/>
      <w:ind w:firstLine="560"/>
      <w:textAlignment w:val="top"/>
    </w:pPr>
    <w:rPr>
      <w:rFonts w:ascii="宋体" w:hAnsi="宋体"/>
      <w:kern w:val="0"/>
      <w:position w:val="-14"/>
      <w:sz w:val="28"/>
      <w:szCs w:val="30"/>
    </w:rPr>
  </w:style>
  <w:style w:type="paragraph" w:customStyle="1" w:styleId="228">
    <w:name w:val="样式 首行缩进:  2 字符1"/>
    <w:basedOn w:val="1"/>
    <w:link w:val="819"/>
    <w:qFormat/>
    <w:uiPriority w:val="0"/>
    <w:pPr>
      <w:widowControl w:val="0"/>
      <w:spacing w:line="440" w:lineRule="exact"/>
      <w:jc w:val="both"/>
    </w:pPr>
    <w:rPr>
      <w:rFonts w:ascii="Arial" w:hAnsi="Arial"/>
      <w:sz w:val="24"/>
      <w:szCs w:val="20"/>
    </w:rPr>
  </w:style>
  <w:style w:type="paragraph" w:customStyle="1" w:styleId="229">
    <w:name w:val="样式 宋体 四号 行距: 1.5 倍行距"/>
    <w:basedOn w:val="1"/>
    <w:link w:val="833"/>
    <w:qFormat/>
    <w:uiPriority w:val="0"/>
    <w:pPr>
      <w:widowControl w:val="0"/>
      <w:spacing w:line="360" w:lineRule="auto"/>
      <w:ind w:firstLine="480" w:firstLineChars="200"/>
      <w:jc w:val="both"/>
    </w:pPr>
    <w:rPr>
      <w:rFonts w:ascii="宋体" w:hAnsi="宋体"/>
      <w:sz w:val="24"/>
    </w:rPr>
  </w:style>
  <w:style w:type="paragraph" w:customStyle="1" w:styleId="230">
    <w:name w:val="样式38"/>
    <w:basedOn w:val="231"/>
    <w:link w:val="844"/>
    <w:qFormat/>
    <w:uiPriority w:val="0"/>
    <w:pPr>
      <w:spacing w:before="0" w:beforeLines="0" w:line="240" w:lineRule="auto"/>
      <w:ind w:firstLine="0" w:firstLineChars="0"/>
    </w:pPr>
    <w:rPr>
      <w:rFonts w:ascii="Times New Roman" w:hAnsi="Times New Roman" w:cs="Times New Roman"/>
      <w:color w:val="000000"/>
      <w:kern w:val="0"/>
    </w:rPr>
  </w:style>
  <w:style w:type="paragraph" w:customStyle="1" w:styleId="231">
    <w:name w:val="样式4"/>
    <w:basedOn w:val="1"/>
    <w:qFormat/>
    <w:uiPriority w:val="0"/>
    <w:pPr>
      <w:widowControl w:val="0"/>
      <w:spacing w:before="312" w:beforeLines="100" w:line="440" w:lineRule="exact"/>
      <w:ind w:firstLine="420" w:firstLineChars="200"/>
      <w:jc w:val="both"/>
    </w:pPr>
    <w:rPr>
      <w:rFonts w:ascii="宋体" w:hAnsi="Garamond" w:cs="Garamond"/>
      <w:sz w:val="24"/>
    </w:rPr>
  </w:style>
  <w:style w:type="paragraph" w:customStyle="1" w:styleId="232">
    <w:name w:val="样式8"/>
    <w:basedOn w:val="233"/>
    <w:link w:val="851"/>
    <w:qFormat/>
    <w:uiPriority w:val="0"/>
    <w:pPr>
      <w:spacing w:before="156" w:beforeLines="50" w:after="156" w:line="320" w:lineRule="exact"/>
    </w:pPr>
    <w:rPr>
      <w:rFonts w:ascii="Times New Roman" w:hAnsi="Times New Roman"/>
      <w:sz w:val="21"/>
      <w:szCs w:val="21"/>
      <w:lang w:val="zh-CN"/>
    </w:rPr>
  </w:style>
  <w:style w:type="paragraph" w:customStyle="1" w:styleId="233">
    <w:name w:val="样式 标题 4 + 宋体 段前: 0.5 行 行距: 单倍行距"/>
    <w:basedOn w:val="5"/>
    <w:link w:val="852"/>
    <w:qFormat/>
    <w:uiPriority w:val="0"/>
    <w:pPr>
      <w:widowControl w:val="0"/>
      <w:overflowPunct w:val="0"/>
      <w:topLinePunct/>
      <w:snapToGrid w:val="0"/>
      <w:spacing w:before="0" w:after="188" w:afterLines="50" w:line="240" w:lineRule="auto"/>
    </w:pPr>
    <w:rPr>
      <w:rFonts w:ascii="宋体" w:hAnsi="宋体" w:eastAsia="宋体" w:cs="Times New Roman"/>
      <w:b w:val="0"/>
      <w:bCs w:val="0"/>
      <w:kern w:val="0"/>
      <w:sz w:val="24"/>
      <w:szCs w:val="20"/>
    </w:rPr>
  </w:style>
  <w:style w:type="paragraph" w:customStyle="1" w:styleId="234">
    <w:name w:val="样式 首行缩进:  2 字符2"/>
    <w:basedOn w:val="1"/>
    <w:link w:val="855"/>
    <w:qFormat/>
    <w:uiPriority w:val="0"/>
    <w:pPr>
      <w:widowControl w:val="0"/>
      <w:spacing w:line="500" w:lineRule="exact"/>
      <w:ind w:firstLine="480" w:firstLineChars="200"/>
      <w:jc w:val="both"/>
    </w:pPr>
    <w:rPr>
      <w:rFonts w:ascii="宋体" w:hAnsi="宋体"/>
      <w:kern w:val="18"/>
      <w:sz w:val="24"/>
      <w:szCs w:val="20"/>
    </w:rPr>
  </w:style>
  <w:style w:type="paragraph" w:customStyle="1" w:styleId="235">
    <w:name w:val="表格1"/>
    <w:basedOn w:val="1"/>
    <w:link w:val="858"/>
    <w:qFormat/>
    <w:uiPriority w:val="0"/>
    <w:pPr>
      <w:adjustRightInd w:val="0"/>
      <w:snapToGrid w:val="0"/>
      <w:spacing w:line="240" w:lineRule="exact"/>
      <w:jc w:val="center"/>
      <w:textAlignment w:val="baseline"/>
    </w:pPr>
    <w:rPr>
      <w:rFonts w:ascii="宋体" w:hAnsi="宋体"/>
      <w:spacing w:val="-20"/>
      <w:kern w:val="0"/>
      <w:szCs w:val="21"/>
    </w:rPr>
  </w:style>
  <w:style w:type="paragraph" w:customStyle="1" w:styleId="236">
    <w:name w:val="样式 标题 3 + 红色"/>
    <w:basedOn w:val="4"/>
    <w:link w:val="859"/>
    <w:qFormat/>
    <w:uiPriority w:val="0"/>
    <w:pPr>
      <w:keepLines/>
      <w:widowControl w:val="0"/>
      <w:spacing w:line="360" w:lineRule="auto"/>
      <w:jc w:val="both"/>
    </w:pPr>
    <w:rPr>
      <w:rFonts w:hAnsi="Calibri"/>
      <w:bCs w:val="0"/>
      <w:color w:val="FF0000"/>
      <w:kern w:val="0"/>
      <w:szCs w:val="32"/>
    </w:rPr>
  </w:style>
  <w:style w:type="paragraph" w:customStyle="1" w:styleId="237">
    <w:name w:val="引用1"/>
    <w:basedOn w:val="1"/>
    <w:next w:val="1"/>
    <w:link w:val="860"/>
    <w:qFormat/>
    <w:uiPriority w:val="29"/>
    <w:pPr>
      <w:widowControl w:val="0"/>
      <w:spacing w:after="156" w:afterLines="50" w:line="240" w:lineRule="auto"/>
      <w:jc w:val="both"/>
    </w:pPr>
    <w:rPr>
      <w:rFonts w:ascii="Calibri" w:hAnsi="Calibri"/>
      <w:i/>
      <w:iCs/>
      <w:color w:val="000000"/>
    </w:rPr>
  </w:style>
  <w:style w:type="paragraph" w:customStyle="1" w:styleId="238">
    <w:name w:val="样式 标题 3 + 宋体 段前: 0.5 行 行距: 单倍行距"/>
    <w:basedOn w:val="4"/>
    <w:link w:val="865"/>
    <w:qFormat/>
    <w:uiPriority w:val="0"/>
    <w:pPr>
      <w:keepLines/>
      <w:widowControl w:val="0"/>
      <w:overflowPunct w:val="0"/>
      <w:topLinePunct/>
      <w:snapToGrid w:val="0"/>
      <w:spacing w:before="188" w:beforeLines="50" w:after="188" w:afterLines="50" w:line="240" w:lineRule="auto"/>
      <w:jc w:val="left"/>
    </w:pPr>
    <w:rPr>
      <w:b w:val="0"/>
      <w:bCs w:val="0"/>
      <w:kern w:val="0"/>
      <w:szCs w:val="20"/>
      <w:lang w:val="zh-CN"/>
    </w:rPr>
  </w:style>
  <w:style w:type="paragraph" w:customStyle="1" w:styleId="239">
    <w:name w:val="正  文"/>
    <w:basedOn w:val="1"/>
    <w:link w:val="868"/>
    <w:qFormat/>
    <w:uiPriority w:val="0"/>
    <w:pPr>
      <w:widowControl w:val="0"/>
      <w:spacing w:line="360" w:lineRule="auto"/>
      <w:ind w:firstLine="200" w:firstLineChars="200"/>
      <w:jc w:val="both"/>
    </w:pPr>
    <w:rPr>
      <w:rFonts w:ascii="宋体" w:hAnsi="Calibri"/>
      <w:sz w:val="24"/>
    </w:rPr>
  </w:style>
  <w:style w:type="paragraph" w:customStyle="1" w:styleId="240">
    <w:name w:val="我编辑文档正文"/>
    <w:basedOn w:val="1"/>
    <w:link w:val="885"/>
    <w:qFormat/>
    <w:uiPriority w:val="0"/>
    <w:pPr>
      <w:widowControl w:val="0"/>
      <w:spacing w:line="360" w:lineRule="auto"/>
      <w:ind w:right="69" w:rightChars="33" w:firstLine="420"/>
    </w:pPr>
    <w:rPr>
      <w:rFonts w:ascii="Calibri" w:hAnsi="Calibri"/>
      <w:sz w:val="24"/>
    </w:rPr>
  </w:style>
  <w:style w:type="paragraph" w:customStyle="1" w:styleId="241">
    <w:name w:val="样式2"/>
    <w:basedOn w:val="56"/>
    <w:link w:val="896"/>
    <w:qFormat/>
    <w:uiPriority w:val="0"/>
    <w:pPr>
      <w:widowControl w:val="0"/>
      <w:pBdr>
        <w:top w:val="none" w:color="auto" w:sz="0" w:space="0"/>
        <w:left w:val="none" w:color="auto" w:sz="0" w:space="0"/>
        <w:bottom w:val="single" w:color="auto" w:sz="4" w:space="1"/>
        <w:right w:val="none" w:color="auto" w:sz="0" w:space="0"/>
      </w:pBdr>
      <w:jc w:val="center"/>
    </w:pPr>
    <w:rPr>
      <w:rFonts w:ascii="Calibri" w:hAnsi="Calibri"/>
      <w:szCs w:val="18"/>
    </w:rPr>
  </w:style>
  <w:style w:type="paragraph" w:customStyle="1" w:styleId="242">
    <w:name w:val="样式 样式 样式3 + + (西文) 宋体"/>
    <w:basedOn w:val="1"/>
    <w:link w:val="900"/>
    <w:qFormat/>
    <w:uiPriority w:val="0"/>
    <w:pPr>
      <w:widowControl w:val="0"/>
      <w:adjustRightInd w:val="0"/>
      <w:spacing w:line="240" w:lineRule="auto"/>
      <w:jc w:val="center"/>
    </w:pPr>
    <w:rPr>
      <w:rFonts w:ascii="宋体" w:hAnsi="宋体"/>
      <w:kern w:val="0"/>
      <w:szCs w:val="32"/>
    </w:rPr>
  </w:style>
  <w:style w:type="paragraph" w:customStyle="1" w:styleId="243">
    <w:name w:val="样式 宋体 四号 行距: 最小值 25 磅"/>
    <w:basedOn w:val="1"/>
    <w:link w:val="904"/>
    <w:qFormat/>
    <w:uiPriority w:val="0"/>
    <w:pPr>
      <w:widowControl w:val="0"/>
      <w:spacing w:line="500" w:lineRule="atLeast"/>
      <w:ind w:firstLine="523" w:firstLineChars="218"/>
      <w:jc w:val="both"/>
    </w:pPr>
    <w:rPr>
      <w:rFonts w:ascii="Calibri" w:hAnsi="Calibri"/>
      <w:sz w:val="24"/>
      <w:szCs w:val="20"/>
    </w:rPr>
  </w:style>
  <w:style w:type="paragraph" w:customStyle="1" w:styleId="244">
    <w:name w:val="样式5"/>
    <w:basedOn w:val="1"/>
    <w:link w:val="905"/>
    <w:qFormat/>
    <w:uiPriority w:val="0"/>
    <w:pPr>
      <w:widowControl w:val="0"/>
      <w:tabs>
        <w:tab w:val="left" w:pos="5400"/>
      </w:tabs>
      <w:adjustRightInd w:val="0"/>
      <w:snapToGrid w:val="0"/>
      <w:spacing w:line="240" w:lineRule="auto"/>
      <w:ind w:firstLine="420" w:firstLineChars="200"/>
      <w:jc w:val="both"/>
    </w:pPr>
    <w:rPr>
      <w:rFonts w:ascii="宋体" w:hAnsi="宋体"/>
      <w:bCs/>
      <w:szCs w:val="21"/>
    </w:rPr>
  </w:style>
  <w:style w:type="paragraph" w:customStyle="1" w:styleId="245">
    <w:name w:val="表号"/>
    <w:basedOn w:val="1"/>
    <w:link w:val="906"/>
    <w:qFormat/>
    <w:uiPriority w:val="0"/>
    <w:pPr>
      <w:widowControl w:val="0"/>
      <w:adjustRightInd w:val="0"/>
      <w:snapToGrid w:val="0"/>
      <w:spacing w:line="240" w:lineRule="auto"/>
      <w:jc w:val="right"/>
    </w:pPr>
    <w:rPr>
      <w:rFonts w:ascii="宋体" w:hAnsi="Calibri" w:eastAsia="仿宋_GB2312"/>
      <w:kern w:val="0"/>
      <w:szCs w:val="21"/>
    </w:rPr>
  </w:style>
  <w:style w:type="paragraph" w:customStyle="1" w:styleId="246">
    <w:name w:val="范本-正文"/>
    <w:qFormat/>
    <w:uiPriority w:val="0"/>
    <w:pPr>
      <w:spacing w:line="360" w:lineRule="auto"/>
      <w:ind w:firstLine="420"/>
    </w:pPr>
    <w:rPr>
      <w:rFonts w:ascii="Calibri" w:hAnsi="Calibri" w:eastAsia="宋体" w:cs="Times New Roman"/>
      <w:iCs/>
      <w:kern w:val="2"/>
      <w:sz w:val="24"/>
      <w:szCs w:val="21"/>
      <w:lang w:val="en-US" w:eastAsia="zh-CN" w:bidi="ar-SA"/>
    </w:rPr>
  </w:style>
  <w:style w:type="paragraph" w:customStyle="1" w:styleId="247">
    <w:name w:val="Char Char Char1 Char"/>
    <w:basedOn w:val="1"/>
    <w:qFormat/>
    <w:uiPriority w:val="0"/>
    <w:pPr>
      <w:widowControl w:val="0"/>
      <w:spacing w:after="156" w:afterLines="50" w:line="240" w:lineRule="auto"/>
      <w:jc w:val="both"/>
    </w:pPr>
    <w:rPr>
      <w:rFonts w:ascii="Calibri" w:hAnsi="Calibri"/>
    </w:rPr>
  </w:style>
  <w:style w:type="paragraph" w:customStyle="1" w:styleId="248">
    <w:name w:val="Style77"/>
    <w:basedOn w:val="1"/>
    <w:unhideWhenUsed/>
    <w:qFormat/>
    <w:uiPriority w:val="0"/>
    <w:pPr>
      <w:widowControl w:val="0"/>
      <w:spacing w:line="240" w:lineRule="auto"/>
      <w:jc w:val="both"/>
    </w:pPr>
    <w:rPr>
      <w:rFonts w:ascii="Calibri" w:hAnsi="Calibri" w:eastAsia="微软雅黑"/>
    </w:rPr>
  </w:style>
  <w:style w:type="paragraph" w:customStyle="1" w:styleId="249">
    <w:name w:val="xl6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0"/>
      <w:szCs w:val="20"/>
    </w:rPr>
  </w:style>
  <w:style w:type="paragraph" w:customStyle="1" w:styleId="250">
    <w:name w:val="Char Char Char2 Char"/>
    <w:basedOn w:val="1"/>
    <w:qFormat/>
    <w:uiPriority w:val="0"/>
    <w:pPr>
      <w:widowControl w:val="0"/>
      <w:spacing w:line="240" w:lineRule="auto"/>
      <w:jc w:val="both"/>
    </w:pPr>
    <w:rPr>
      <w:rFonts w:ascii="Calibri" w:hAnsi="Calibri"/>
    </w:rPr>
  </w:style>
  <w:style w:type="paragraph" w:customStyle="1" w:styleId="251">
    <w:name w:val="reader-word-layer reader-word-s1-1"/>
    <w:basedOn w:val="1"/>
    <w:qFormat/>
    <w:uiPriority w:val="0"/>
    <w:pPr>
      <w:spacing w:before="100" w:beforeAutospacing="1" w:after="100" w:afterAutospacing="1" w:line="240" w:lineRule="auto"/>
    </w:pPr>
    <w:rPr>
      <w:rFonts w:ascii="宋体" w:hAnsi="宋体" w:eastAsia="微软雅黑" w:cs="宋体"/>
      <w:kern w:val="0"/>
      <w:sz w:val="24"/>
    </w:rPr>
  </w:style>
  <w:style w:type="paragraph" w:customStyle="1" w:styleId="252">
    <w:name w:val="Char Char1 Char Char Char Char Char1 Char Char Char Char"/>
    <w:basedOn w:val="25"/>
    <w:qFormat/>
    <w:uiPriority w:val="0"/>
    <w:rPr>
      <w:rFonts w:ascii="Tahoma" w:hAnsi="Tahoma"/>
    </w:rPr>
  </w:style>
  <w:style w:type="paragraph" w:customStyle="1" w:styleId="253">
    <w:name w:val="Style11"/>
    <w:basedOn w:val="1"/>
    <w:unhideWhenUsed/>
    <w:qFormat/>
    <w:uiPriority w:val="0"/>
    <w:pPr>
      <w:widowControl w:val="0"/>
      <w:spacing w:line="559" w:lineRule="exact"/>
      <w:ind w:firstLine="590"/>
      <w:jc w:val="both"/>
    </w:pPr>
    <w:rPr>
      <w:rFonts w:ascii="Calibri" w:hAnsi="Calibri" w:eastAsia="微软雅黑"/>
    </w:rPr>
  </w:style>
  <w:style w:type="paragraph" w:customStyle="1" w:styleId="254">
    <w:name w:val="CM57"/>
    <w:basedOn w:val="255"/>
    <w:next w:val="255"/>
    <w:qFormat/>
    <w:uiPriority w:val="0"/>
    <w:pPr>
      <w:spacing w:line="400" w:lineRule="atLeast"/>
    </w:pPr>
    <w:rPr>
      <w:rFonts w:ascii="宋体" w:hAnsi="Times New Roman" w:eastAsia="宋体" w:cs="宋体"/>
      <w:sz w:val="24"/>
      <w:szCs w:val="24"/>
    </w:rPr>
  </w:style>
  <w:style w:type="paragraph" w:customStyle="1" w:styleId="255">
    <w:name w:val="Default"/>
    <w:qFormat/>
    <w:uiPriority w:val="0"/>
    <w:pPr>
      <w:widowControl w:val="0"/>
      <w:autoSpaceDE w:val="0"/>
      <w:autoSpaceDN w:val="0"/>
      <w:adjustRightInd w:val="0"/>
    </w:pPr>
    <w:rPr>
      <w:rFonts w:ascii="黑体" w:hAnsi="Calibri" w:eastAsia="黑体" w:cs="Times New Roman"/>
      <w:lang w:val="en-US" w:eastAsia="zh-CN" w:bidi="ar-SA"/>
    </w:rPr>
  </w:style>
  <w:style w:type="paragraph" w:customStyle="1" w:styleId="256">
    <w:name w:val="xl6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0"/>
      <w:szCs w:val="20"/>
    </w:rPr>
  </w:style>
  <w:style w:type="paragraph" w:customStyle="1" w:styleId="257">
    <w:name w:val="Char Char Char Char Char Char Char Char Char"/>
    <w:basedOn w:val="1"/>
    <w:qFormat/>
    <w:uiPriority w:val="0"/>
    <w:pPr>
      <w:widowControl w:val="0"/>
      <w:snapToGrid w:val="0"/>
      <w:spacing w:line="360" w:lineRule="auto"/>
      <w:ind w:left="1" w:firstLine="200" w:firstLineChars="200"/>
      <w:jc w:val="both"/>
      <w:textAlignment w:val="bottom"/>
    </w:pPr>
    <w:rPr>
      <w:rFonts w:hint="eastAsia" w:ascii="宋体" w:hAnsi="宋体"/>
      <w:kern w:val="0"/>
      <w:sz w:val="24"/>
      <w:szCs w:val="20"/>
    </w:rPr>
  </w:style>
  <w:style w:type="paragraph" w:customStyle="1" w:styleId="258">
    <w:name w:val="样式 小四 黑色 两端对齐 行距: 最小值 23 磅"/>
    <w:basedOn w:val="1"/>
    <w:qFormat/>
    <w:uiPriority w:val="0"/>
    <w:pPr>
      <w:widowControl w:val="0"/>
      <w:adjustRightInd w:val="0"/>
      <w:spacing w:line="460" w:lineRule="atLeast"/>
      <w:ind w:firstLine="200" w:firstLineChars="200"/>
      <w:jc w:val="both"/>
      <w:textAlignment w:val="baseline"/>
    </w:pPr>
    <w:rPr>
      <w:rFonts w:ascii="Calibri" w:hAnsi="Calibri" w:cs="宋体"/>
      <w:color w:val="000000"/>
      <w:kern w:val="0"/>
      <w:sz w:val="24"/>
      <w:szCs w:val="20"/>
    </w:rPr>
  </w:style>
  <w:style w:type="paragraph" w:customStyle="1" w:styleId="259">
    <w:name w:val="段落"/>
    <w:basedOn w:val="1"/>
    <w:qFormat/>
    <w:uiPriority w:val="0"/>
    <w:pPr>
      <w:widowControl w:val="0"/>
      <w:spacing w:line="580" w:lineRule="exact"/>
      <w:ind w:firstLine="200" w:firstLineChars="200"/>
      <w:jc w:val="both"/>
    </w:pPr>
    <w:rPr>
      <w:rFonts w:ascii="Calibri" w:hAnsi="Calibri"/>
      <w:spacing w:val="6"/>
      <w:sz w:val="28"/>
      <w:szCs w:val="28"/>
    </w:rPr>
  </w:style>
  <w:style w:type="paragraph" w:customStyle="1" w:styleId="260">
    <w:name w:val="CM72"/>
    <w:basedOn w:val="255"/>
    <w:next w:val="255"/>
    <w:qFormat/>
    <w:uiPriority w:val="0"/>
    <w:rPr>
      <w:rFonts w:ascii="宋体" w:hAnsi="Times New Roman" w:eastAsia="宋体" w:cs="宋体"/>
      <w:sz w:val="24"/>
      <w:szCs w:val="24"/>
    </w:rPr>
  </w:style>
  <w:style w:type="paragraph" w:customStyle="1" w:styleId="261">
    <w:name w:val="xl7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0"/>
      <w:szCs w:val="20"/>
    </w:rPr>
  </w:style>
  <w:style w:type="paragraph" w:customStyle="1" w:styleId="262">
    <w:name w:val="Style67"/>
    <w:basedOn w:val="1"/>
    <w:unhideWhenUsed/>
    <w:qFormat/>
    <w:uiPriority w:val="0"/>
    <w:pPr>
      <w:widowControl w:val="0"/>
      <w:spacing w:line="566" w:lineRule="exact"/>
      <w:ind w:firstLine="552"/>
      <w:jc w:val="both"/>
    </w:pPr>
    <w:rPr>
      <w:rFonts w:ascii="Calibri" w:hAnsi="Calibri" w:eastAsia="微软雅黑"/>
    </w:rPr>
  </w:style>
  <w:style w:type="paragraph" w:customStyle="1" w:styleId="263">
    <w:name w:val="Style64"/>
    <w:basedOn w:val="1"/>
    <w:unhideWhenUsed/>
    <w:qFormat/>
    <w:uiPriority w:val="0"/>
    <w:pPr>
      <w:widowControl w:val="0"/>
      <w:spacing w:line="240" w:lineRule="auto"/>
      <w:jc w:val="both"/>
    </w:pPr>
    <w:rPr>
      <w:rFonts w:ascii="Calibri" w:hAnsi="Calibri" w:eastAsia="微软雅黑"/>
    </w:rPr>
  </w:style>
  <w:style w:type="paragraph" w:customStyle="1" w:styleId="264">
    <w:name w:val="日期1"/>
    <w:basedOn w:val="1"/>
    <w:next w:val="1"/>
    <w:qFormat/>
    <w:uiPriority w:val="0"/>
    <w:pPr>
      <w:widowControl w:val="0"/>
      <w:adjustRightInd w:val="0"/>
      <w:spacing w:line="240" w:lineRule="auto"/>
      <w:jc w:val="both"/>
      <w:textAlignment w:val="baseline"/>
    </w:pPr>
    <w:rPr>
      <w:rFonts w:ascii="Calibri" w:hAnsi="Calibri"/>
      <w:szCs w:val="20"/>
    </w:rPr>
  </w:style>
  <w:style w:type="paragraph" w:customStyle="1" w:styleId="265">
    <w:name w:val="1.1.1"/>
    <w:basedOn w:val="1"/>
    <w:qFormat/>
    <w:uiPriority w:val="0"/>
    <w:pPr>
      <w:widowControl w:val="0"/>
      <w:tabs>
        <w:tab w:val="left" w:pos="851"/>
      </w:tabs>
      <w:adjustRightInd w:val="0"/>
      <w:spacing w:before="60" w:after="60"/>
      <w:ind w:left="1134" w:hanging="851"/>
      <w:jc w:val="both"/>
      <w:textAlignment w:val="baseline"/>
    </w:pPr>
    <w:rPr>
      <w:rFonts w:ascii="Calibri" w:hAnsi="Calibri" w:eastAsia="黑体"/>
      <w:b/>
      <w:sz w:val="24"/>
      <w:szCs w:val="20"/>
    </w:rPr>
  </w:style>
  <w:style w:type="paragraph" w:customStyle="1" w:styleId="266">
    <w:name w:val="xl50"/>
    <w:basedOn w:val="1"/>
    <w:qFormat/>
    <w:uiPriority w:val="0"/>
    <w:pPr>
      <w:pBdr>
        <w:top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0"/>
      <w:szCs w:val="20"/>
    </w:rPr>
  </w:style>
  <w:style w:type="paragraph" w:customStyle="1" w:styleId="267">
    <w:name w:val="Style68"/>
    <w:basedOn w:val="1"/>
    <w:unhideWhenUsed/>
    <w:qFormat/>
    <w:uiPriority w:val="0"/>
    <w:pPr>
      <w:widowControl w:val="0"/>
      <w:spacing w:line="547" w:lineRule="exact"/>
      <w:jc w:val="both"/>
    </w:pPr>
    <w:rPr>
      <w:rFonts w:ascii="Calibri" w:hAnsi="Calibri" w:eastAsia="微软雅黑"/>
    </w:rPr>
  </w:style>
  <w:style w:type="paragraph" w:customStyle="1" w:styleId="268">
    <w:name w:val="表内文1"/>
    <w:basedOn w:val="1"/>
    <w:qFormat/>
    <w:uiPriority w:val="0"/>
    <w:pPr>
      <w:widowControl w:val="0"/>
      <w:autoSpaceDE w:val="0"/>
      <w:autoSpaceDN w:val="0"/>
      <w:adjustRightInd w:val="0"/>
      <w:spacing w:line="240" w:lineRule="auto"/>
      <w:ind w:firstLine="2400" w:firstLineChars="1000"/>
      <w:jc w:val="center"/>
      <w:textAlignment w:val="bottom"/>
    </w:pPr>
    <w:rPr>
      <w:rFonts w:ascii="Calibri" w:hAnsi="Calibri"/>
      <w:kern w:val="0"/>
      <w:sz w:val="24"/>
      <w:szCs w:val="20"/>
    </w:rPr>
  </w:style>
  <w:style w:type="paragraph" w:customStyle="1" w:styleId="269">
    <w:name w:val="xl104"/>
    <w:basedOn w:val="1"/>
    <w:qFormat/>
    <w:uiPriority w:val="0"/>
    <w:pPr>
      <w:pBdr>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2"/>
      <w:szCs w:val="22"/>
    </w:rPr>
  </w:style>
  <w:style w:type="paragraph" w:customStyle="1" w:styleId="270">
    <w:name w:val="CM44"/>
    <w:basedOn w:val="255"/>
    <w:next w:val="255"/>
    <w:qFormat/>
    <w:uiPriority w:val="0"/>
    <w:pPr>
      <w:spacing w:line="440" w:lineRule="atLeast"/>
    </w:pPr>
    <w:rPr>
      <w:rFonts w:ascii="宋体" w:hAnsi="Times New Roman" w:eastAsia="宋体" w:cs="宋体"/>
      <w:sz w:val="24"/>
      <w:szCs w:val="24"/>
    </w:rPr>
  </w:style>
  <w:style w:type="paragraph" w:customStyle="1" w:styleId="271">
    <w:name w:val="Char11"/>
    <w:basedOn w:val="1"/>
    <w:qFormat/>
    <w:uiPriority w:val="0"/>
    <w:pPr>
      <w:spacing w:after="160" w:line="240" w:lineRule="exact"/>
    </w:pPr>
    <w:rPr>
      <w:rFonts w:ascii="Verdana" w:hAnsi="Verdana"/>
      <w:kern w:val="0"/>
      <w:sz w:val="20"/>
      <w:szCs w:val="20"/>
      <w:lang w:eastAsia="en-US"/>
    </w:rPr>
  </w:style>
  <w:style w:type="paragraph" w:customStyle="1" w:styleId="272">
    <w:name w:val="CM31"/>
    <w:basedOn w:val="255"/>
    <w:next w:val="255"/>
    <w:qFormat/>
    <w:uiPriority w:val="0"/>
    <w:pPr>
      <w:spacing w:line="400" w:lineRule="atLeast"/>
    </w:pPr>
    <w:rPr>
      <w:rFonts w:ascii="宋体" w:hAnsi="Times New Roman" w:eastAsia="宋体" w:cs="宋体"/>
      <w:sz w:val="24"/>
      <w:szCs w:val="24"/>
    </w:rPr>
  </w:style>
  <w:style w:type="paragraph" w:customStyle="1" w:styleId="273">
    <w:name w:val="样式 标题 2 + 宋体 段前: 6 磅 段后: 0 磅 行距: 1.5 倍行距"/>
    <w:basedOn w:val="3"/>
    <w:qFormat/>
    <w:uiPriority w:val="0"/>
    <w:pPr>
      <w:spacing w:before="120"/>
    </w:pPr>
    <w:rPr>
      <w:rFonts w:ascii="宋体" w:hAnsi="宋体" w:cs="宋体"/>
      <w:sz w:val="28"/>
      <w:szCs w:val="28"/>
    </w:rPr>
  </w:style>
  <w:style w:type="paragraph" w:customStyle="1" w:styleId="274">
    <w:name w:val="CM20"/>
    <w:basedOn w:val="255"/>
    <w:next w:val="255"/>
    <w:qFormat/>
    <w:uiPriority w:val="0"/>
    <w:pPr>
      <w:spacing w:line="400" w:lineRule="atLeast"/>
    </w:pPr>
    <w:rPr>
      <w:rFonts w:ascii="宋体" w:hAnsi="Times New Roman" w:eastAsia="宋体" w:cs="宋体"/>
      <w:sz w:val="24"/>
      <w:szCs w:val="24"/>
    </w:rPr>
  </w:style>
  <w:style w:type="paragraph" w:customStyle="1" w:styleId="275">
    <w:name w:val="CM23"/>
    <w:basedOn w:val="255"/>
    <w:next w:val="255"/>
    <w:qFormat/>
    <w:uiPriority w:val="0"/>
    <w:pPr>
      <w:spacing w:line="398" w:lineRule="atLeast"/>
    </w:pPr>
    <w:rPr>
      <w:rFonts w:ascii="宋体" w:hAnsi="Times New Roman" w:eastAsia="宋体" w:cs="宋体"/>
      <w:sz w:val="24"/>
      <w:szCs w:val="24"/>
    </w:rPr>
  </w:style>
  <w:style w:type="paragraph" w:customStyle="1" w:styleId="276">
    <w:name w:val="Style27"/>
    <w:basedOn w:val="1"/>
    <w:unhideWhenUsed/>
    <w:qFormat/>
    <w:uiPriority w:val="0"/>
    <w:pPr>
      <w:widowControl w:val="0"/>
      <w:spacing w:line="240" w:lineRule="auto"/>
      <w:jc w:val="both"/>
    </w:pPr>
    <w:rPr>
      <w:rFonts w:ascii="Calibri" w:hAnsi="Calibri" w:eastAsia="微软雅黑"/>
    </w:rPr>
  </w:style>
  <w:style w:type="paragraph" w:customStyle="1" w:styleId="277">
    <w:name w:val="xl4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b/>
      <w:bCs/>
      <w:kern w:val="0"/>
      <w:sz w:val="20"/>
      <w:szCs w:val="20"/>
    </w:rPr>
  </w:style>
  <w:style w:type="paragraph" w:customStyle="1" w:styleId="278">
    <w:name w:val="Style15"/>
    <w:basedOn w:val="1"/>
    <w:unhideWhenUsed/>
    <w:qFormat/>
    <w:uiPriority w:val="0"/>
    <w:pPr>
      <w:widowControl w:val="0"/>
      <w:spacing w:line="557" w:lineRule="exact"/>
      <w:ind w:firstLine="672"/>
      <w:jc w:val="both"/>
    </w:pPr>
    <w:rPr>
      <w:rFonts w:ascii="Calibri" w:hAnsi="Calibri" w:eastAsia="微软雅黑"/>
    </w:rPr>
  </w:style>
  <w:style w:type="paragraph" w:customStyle="1" w:styleId="279">
    <w:name w:val="样式3"/>
    <w:basedOn w:val="1"/>
    <w:qFormat/>
    <w:uiPriority w:val="0"/>
    <w:pPr>
      <w:widowControl w:val="0"/>
      <w:spacing w:line="240" w:lineRule="auto"/>
      <w:jc w:val="both"/>
    </w:pPr>
    <w:rPr>
      <w:rFonts w:ascii="黑体" w:hAnsi="宋体" w:eastAsia="黑体"/>
      <w:b/>
      <w:bCs/>
      <w:sz w:val="24"/>
      <w:szCs w:val="20"/>
    </w:rPr>
  </w:style>
  <w:style w:type="paragraph" w:customStyle="1" w:styleId="280">
    <w:name w:val="表头2"/>
    <w:basedOn w:val="1"/>
    <w:qFormat/>
    <w:uiPriority w:val="0"/>
    <w:pPr>
      <w:widowControl w:val="0"/>
      <w:autoSpaceDE w:val="0"/>
      <w:autoSpaceDN w:val="0"/>
      <w:adjustRightInd w:val="0"/>
      <w:spacing w:line="240" w:lineRule="auto"/>
      <w:jc w:val="center"/>
      <w:textAlignment w:val="bottom"/>
    </w:pPr>
    <w:rPr>
      <w:rFonts w:ascii="Calibri" w:hAnsi="Calibri"/>
      <w:b/>
      <w:kern w:val="0"/>
      <w:sz w:val="24"/>
      <w:szCs w:val="20"/>
    </w:rPr>
  </w:style>
  <w:style w:type="paragraph" w:customStyle="1" w:styleId="281">
    <w:name w:val="t_black_12_b"/>
    <w:basedOn w:val="1"/>
    <w:qFormat/>
    <w:uiPriority w:val="0"/>
    <w:pPr>
      <w:spacing w:line="240" w:lineRule="auto"/>
    </w:pPr>
    <w:rPr>
      <w:rFonts w:ascii="宋体" w:hAnsi="宋体" w:cs="宋体"/>
      <w:b/>
      <w:bCs/>
      <w:color w:val="212121"/>
      <w:kern w:val="0"/>
      <w:sz w:val="9"/>
      <w:szCs w:val="9"/>
    </w:rPr>
  </w:style>
  <w:style w:type="paragraph" w:customStyle="1" w:styleId="282">
    <w:name w:val="xl3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仿宋_GB2312" w:hAnsi="宋体" w:eastAsia="仿宋_GB2312"/>
      <w:kern w:val="0"/>
      <w:sz w:val="24"/>
    </w:rPr>
  </w:style>
  <w:style w:type="paragraph" w:customStyle="1" w:styleId="283">
    <w:name w:val="xl53"/>
    <w:basedOn w:val="1"/>
    <w:qFormat/>
    <w:uiPriority w:val="0"/>
    <w:pPr>
      <w:pBdr>
        <w:top w:val="single" w:color="auto" w:sz="4" w:space="0"/>
        <w:left w:val="single" w:color="auto" w:sz="8" w:space="0"/>
        <w:right w:val="single" w:color="auto" w:sz="4" w:space="0"/>
      </w:pBdr>
      <w:shd w:val="clear" w:color="auto" w:fill="FFFFFF"/>
      <w:spacing w:before="100" w:beforeAutospacing="1" w:after="100" w:afterAutospacing="1" w:line="240" w:lineRule="auto"/>
      <w:jc w:val="center"/>
    </w:pPr>
    <w:rPr>
      <w:rFonts w:ascii="宋体" w:hAnsi="宋体" w:cs="宋体"/>
      <w:kern w:val="0"/>
      <w:sz w:val="20"/>
      <w:szCs w:val="20"/>
    </w:rPr>
  </w:style>
  <w:style w:type="paragraph" w:customStyle="1" w:styleId="284">
    <w:name w:val="xl71"/>
    <w:basedOn w:val="1"/>
    <w:qFormat/>
    <w:uiPriority w:val="0"/>
    <w:pPr>
      <w:pBdr>
        <w:top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0"/>
      <w:szCs w:val="20"/>
    </w:rPr>
  </w:style>
  <w:style w:type="paragraph" w:customStyle="1" w:styleId="285">
    <w:name w:val="CM50"/>
    <w:basedOn w:val="255"/>
    <w:next w:val="255"/>
    <w:qFormat/>
    <w:uiPriority w:val="0"/>
    <w:pPr>
      <w:spacing w:line="1020" w:lineRule="atLeast"/>
    </w:pPr>
    <w:rPr>
      <w:rFonts w:ascii="宋体" w:hAnsi="Times New Roman" w:eastAsia="宋体" w:cs="宋体"/>
      <w:sz w:val="24"/>
      <w:szCs w:val="24"/>
    </w:rPr>
  </w:style>
  <w:style w:type="paragraph" w:customStyle="1" w:styleId="286">
    <w:name w:val="CM26"/>
    <w:basedOn w:val="255"/>
    <w:next w:val="255"/>
    <w:qFormat/>
    <w:uiPriority w:val="0"/>
    <w:pPr>
      <w:spacing w:line="400" w:lineRule="atLeast"/>
    </w:pPr>
    <w:rPr>
      <w:rFonts w:ascii="宋体" w:hAnsi="Times New Roman" w:eastAsia="宋体" w:cs="宋体"/>
      <w:sz w:val="24"/>
      <w:szCs w:val="24"/>
    </w:rPr>
  </w:style>
  <w:style w:type="paragraph" w:customStyle="1" w:styleId="287">
    <w:name w:val="Style78"/>
    <w:basedOn w:val="1"/>
    <w:unhideWhenUsed/>
    <w:qFormat/>
    <w:uiPriority w:val="0"/>
    <w:pPr>
      <w:widowControl w:val="0"/>
      <w:spacing w:line="240" w:lineRule="auto"/>
      <w:jc w:val="both"/>
    </w:pPr>
    <w:rPr>
      <w:rFonts w:ascii="Calibri" w:hAnsi="Calibri" w:eastAsia="微软雅黑"/>
    </w:rPr>
  </w:style>
  <w:style w:type="paragraph" w:customStyle="1" w:styleId="288">
    <w:name w:val="Style47"/>
    <w:basedOn w:val="1"/>
    <w:unhideWhenUsed/>
    <w:qFormat/>
    <w:uiPriority w:val="0"/>
    <w:pPr>
      <w:widowControl w:val="0"/>
      <w:spacing w:line="240" w:lineRule="auto"/>
      <w:jc w:val="both"/>
    </w:pPr>
    <w:rPr>
      <w:rFonts w:ascii="Calibri" w:hAnsi="Calibri" w:eastAsia="微软雅黑"/>
    </w:rPr>
  </w:style>
  <w:style w:type="paragraph" w:customStyle="1" w:styleId="289">
    <w:name w:val="奇页脚样式"/>
    <w:basedOn w:val="54"/>
    <w:qFormat/>
    <w:uiPriority w:val="0"/>
    <w:pPr>
      <w:keepLines/>
      <w:tabs>
        <w:tab w:val="right" w:pos="-18551"/>
        <w:tab w:val="right" w:pos="4320"/>
      </w:tabs>
      <w:snapToGrid/>
      <w:spacing w:before="600" w:line="240" w:lineRule="atLeast"/>
      <w:ind w:left="-840" w:right="-840" w:rightChars="0"/>
      <w:jc w:val="center"/>
    </w:pPr>
    <w:rPr>
      <w:rFonts w:ascii="Garamond" w:hAnsi="Garamond" w:eastAsia="宋体" w:cs="Times New Roman"/>
      <w:smallCaps/>
      <w:spacing w:val="15"/>
      <w:kern w:val="0"/>
      <w:sz w:val="24"/>
      <w:szCs w:val="20"/>
    </w:rPr>
  </w:style>
  <w:style w:type="paragraph" w:customStyle="1" w:styleId="290">
    <w:name w:val="contentarticle"/>
    <w:basedOn w:val="1"/>
    <w:qFormat/>
    <w:uiPriority w:val="0"/>
    <w:pPr>
      <w:spacing w:before="100" w:beforeAutospacing="1" w:after="100" w:afterAutospacing="1" w:line="240" w:lineRule="auto"/>
    </w:pPr>
    <w:rPr>
      <w:rFonts w:ascii="宋体" w:hAnsi="宋体" w:cs="宋体"/>
      <w:kern w:val="0"/>
      <w:sz w:val="24"/>
    </w:rPr>
  </w:style>
  <w:style w:type="paragraph" w:customStyle="1" w:styleId="291">
    <w:name w:val="款"/>
    <w:basedOn w:val="1"/>
    <w:qFormat/>
    <w:uiPriority w:val="0"/>
    <w:pPr>
      <w:widowControl w:val="0"/>
      <w:tabs>
        <w:tab w:val="left" w:pos="1080"/>
      </w:tabs>
      <w:spacing w:line="240" w:lineRule="auto"/>
      <w:ind w:left="1080" w:hanging="1080"/>
      <w:jc w:val="both"/>
      <w:outlineLvl w:val="3"/>
    </w:pPr>
    <w:rPr>
      <w:rFonts w:ascii="Calibri" w:hAnsi="Calibri" w:eastAsia="仿宋_GB2312"/>
      <w:kern w:val="144"/>
      <w:sz w:val="32"/>
      <w:szCs w:val="20"/>
    </w:rPr>
  </w:style>
  <w:style w:type="paragraph" w:customStyle="1" w:styleId="292">
    <w:name w:val="Style34"/>
    <w:basedOn w:val="1"/>
    <w:unhideWhenUsed/>
    <w:qFormat/>
    <w:uiPriority w:val="0"/>
    <w:pPr>
      <w:widowControl w:val="0"/>
      <w:spacing w:line="375" w:lineRule="exact"/>
      <w:jc w:val="both"/>
    </w:pPr>
    <w:rPr>
      <w:rFonts w:ascii="Calibri" w:hAnsi="Calibri" w:eastAsia="微软雅黑"/>
    </w:rPr>
  </w:style>
  <w:style w:type="paragraph" w:customStyle="1" w:styleId="293">
    <w:name w:val="xl45"/>
    <w:basedOn w:val="1"/>
    <w:qFormat/>
    <w:uiPriority w:val="0"/>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line="240" w:lineRule="auto"/>
      <w:jc w:val="center"/>
    </w:pPr>
    <w:rPr>
      <w:rFonts w:ascii="宋体" w:hAnsi="宋体" w:cs="宋体"/>
      <w:b/>
      <w:bCs/>
      <w:kern w:val="0"/>
      <w:sz w:val="20"/>
      <w:szCs w:val="20"/>
    </w:rPr>
  </w:style>
  <w:style w:type="paragraph" w:customStyle="1" w:styleId="294">
    <w:name w:val="Char Char Char Char Char"/>
    <w:basedOn w:val="1"/>
    <w:qFormat/>
    <w:uiPriority w:val="0"/>
    <w:pPr>
      <w:widowControl w:val="0"/>
      <w:tabs>
        <w:tab w:val="left" w:pos="794"/>
        <w:tab w:val="left" w:pos="1191"/>
        <w:tab w:val="left" w:pos="1588"/>
        <w:tab w:val="left" w:pos="1985"/>
      </w:tabs>
      <w:autoSpaceDE w:val="0"/>
      <w:autoSpaceDN w:val="0"/>
      <w:adjustRightInd w:val="0"/>
      <w:spacing w:before="136" w:line="240" w:lineRule="auto"/>
      <w:jc w:val="both"/>
    </w:pPr>
    <w:rPr>
      <w:rFonts w:ascii="Tahoma" w:hAnsi="Tahoma"/>
      <w:kern w:val="0"/>
      <w:sz w:val="24"/>
      <w:szCs w:val="20"/>
    </w:rPr>
  </w:style>
  <w:style w:type="paragraph" w:customStyle="1" w:styleId="295">
    <w:name w:val="xl49"/>
    <w:basedOn w:val="1"/>
    <w:qFormat/>
    <w:uiPriority w:val="0"/>
    <w:pPr>
      <w:pBdr>
        <w:top w:val="single" w:color="auto" w:sz="4" w:space="0"/>
        <w:left w:val="single" w:color="auto" w:sz="8" w:space="0"/>
        <w:bottom w:val="single" w:color="auto" w:sz="4" w:space="0"/>
        <w:right w:val="single" w:color="auto" w:sz="4" w:space="0"/>
      </w:pBdr>
      <w:shd w:val="clear" w:color="auto" w:fill="FFFFFF"/>
      <w:spacing w:before="100" w:beforeAutospacing="1" w:after="100" w:afterAutospacing="1" w:line="240" w:lineRule="auto"/>
      <w:jc w:val="center"/>
    </w:pPr>
    <w:rPr>
      <w:rFonts w:ascii="宋体" w:hAnsi="宋体" w:cs="宋体"/>
      <w:b/>
      <w:bCs/>
      <w:kern w:val="0"/>
      <w:sz w:val="20"/>
      <w:szCs w:val="20"/>
    </w:rPr>
  </w:style>
  <w:style w:type="paragraph" w:customStyle="1" w:styleId="296">
    <w:name w:val="xl38"/>
    <w:basedOn w:val="1"/>
    <w:qFormat/>
    <w:uiPriority w:val="0"/>
    <w:pPr>
      <w:pBdr>
        <w:top w:val="single" w:color="auto" w:sz="4" w:space="0"/>
        <w:left w:val="single" w:color="auto" w:sz="8" w:space="0"/>
        <w:bottom w:val="single" w:color="auto" w:sz="4" w:space="0"/>
        <w:right w:val="single" w:color="auto" w:sz="4" w:space="0"/>
      </w:pBdr>
      <w:shd w:val="clear" w:color="auto" w:fill="FFFFFF"/>
      <w:spacing w:before="100" w:beforeAutospacing="1" w:after="100" w:afterAutospacing="1" w:line="240" w:lineRule="auto"/>
      <w:jc w:val="center"/>
    </w:pPr>
    <w:rPr>
      <w:rFonts w:ascii="宋体" w:hAnsi="宋体" w:cs="宋体"/>
      <w:kern w:val="0"/>
      <w:sz w:val="20"/>
      <w:szCs w:val="20"/>
    </w:rPr>
  </w:style>
  <w:style w:type="paragraph" w:customStyle="1" w:styleId="297">
    <w:name w:val="Char Char Char Char2 Char"/>
    <w:basedOn w:val="1"/>
    <w:qFormat/>
    <w:uiPriority w:val="0"/>
    <w:pPr>
      <w:widowControl w:val="0"/>
      <w:spacing w:line="240" w:lineRule="auto"/>
      <w:jc w:val="both"/>
    </w:pPr>
    <w:rPr>
      <w:rFonts w:ascii="宋体" w:hAnsi="Calibri"/>
    </w:rPr>
  </w:style>
  <w:style w:type="paragraph" w:customStyle="1" w:styleId="298">
    <w:name w:val="Char3"/>
    <w:basedOn w:val="1"/>
    <w:qFormat/>
    <w:uiPriority w:val="0"/>
    <w:pPr>
      <w:widowControl w:val="0"/>
      <w:tabs>
        <w:tab w:val="left" w:pos="794"/>
        <w:tab w:val="left" w:pos="1191"/>
        <w:tab w:val="left" w:pos="1588"/>
        <w:tab w:val="left" w:pos="1985"/>
      </w:tabs>
      <w:autoSpaceDE w:val="0"/>
      <w:autoSpaceDN w:val="0"/>
      <w:adjustRightInd w:val="0"/>
      <w:spacing w:before="136" w:line="240" w:lineRule="auto"/>
      <w:jc w:val="both"/>
    </w:pPr>
    <w:rPr>
      <w:rFonts w:ascii="Tahoma" w:hAnsi="Tahoma"/>
      <w:kern w:val="0"/>
      <w:sz w:val="24"/>
      <w:szCs w:val="20"/>
    </w:rPr>
  </w:style>
  <w:style w:type="paragraph" w:customStyle="1" w:styleId="299">
    <w:name w:val="Style81"/>
    <w:basedOn w:val="1"/>
    <w:unhideWhenUsed/>
    <w:qFormat/>
    <w:uiPriority w:val="0"/>
    <w:pPr>
      <w:widowControl w:val="0"/>
      <w:spacing w:line="547" w:lineRule="exact"/>
      <w:jc w:val="both"/>
    </w:pPr>
    <w:rPr>
      <w:rFonts w:ascii="Calibri" w:hAnsi="Calibri" w:eastAsia="微软雅黑"/>
    </w:rPr>
  </w:style>
  <w:style w:type="paragraph" w:customStyle="1" w:styleId="300">
    <w:name w:val="9小四表格正文"/>
    <w:qFormat/>
    <w:uiPriority w:val="0"/>
    <w:pPr>
      <w:jc w:val="center"/>
    </w:pPr>
    <w:rPr>
      <w:rFonts w:ascii="Calibri" w:hAnsi="Calibri" w:eastAsia="仿宋_GB2312" w:cs="Times New Roman"/>
      <w:kern w:val="2"/>
      <w:sz w:val="24"/>
      <w:szCs w:val="24"/>
      <w:lang w:val="en-US" w:eastAsia="zh-CN" w:bidi="ar-SA"/>
    </w:rPr>
  </w:style>
  <w:style w:type="paragraph" w:customStyle="1" w:styleId="301">
    <w:name w:val="XW标题1"/>
    <w:basedOn w:val="302"/>
    <w:next w:val="302"/>
    <w:qFormat/>
    <w:uiPriority w:val="0"/>
    <w:pPr>
      <w:snapToGrid/>
      <w:spacing w:before="5000" w:line="360" w:lineRule="auto"/>
      <w:ind w:left="425" w:hanging="425" w:firstLineChars="0"/>
      <w:jc w:val="center"/>
      <w:outlineLvl w:val="0"/>
    </w:pPr>
    <w:rPr>
      <w:rFonts w:ascii="Arial" w:hAnsi="Arial" w:eastAsia="黑体"/>
      <w:sz w:val="44"/>
      <w:szCs w:val="20"/>
    </w:rPr>
  </w:style>
  <w:style w:type="paragraph" w:customStyle="1" w:styleId="302">
    <w:name w:val="XW正文"/>
    <w:basedOn w:val="34"/>
    <w:qFormat/>
    <w:uiPriority w:val="0"/>
    <w:pPr>
      <w:adjustRightInd w:val="0"/>
      <w:snapToGrid w:val="0"/>
      <w:spacing w:after="0" w:line="300" w:lineRule="auto"/>
      <w:ind w:left="0" w:leftChars="0" w:firstLine="520" w:firstLineChars="200"/>
      <w:jc w:val="left"/>
    </w:pPr>
    <w:rPr>
      <w:kern w:val="0"/>
    </w:rPr>
  </w:style>
  <w:style w:type="paragraph" w:customStyle="1" w:styleId="303">
    <w:name w:val="CM80"/>
    <w:basedOn w:val="255"/>
    <w:next w:val="255"/>
    <w:qFormat/>
    <w:uiPriority w:val="0"/>
    <w:pPr>
      <w:spacing w:line="440" w:lineRule="atLeast"/>
    </w:pPr>
    <w:rPr>
      <w:rFonts w:ascii="宋体" w:hAnsi="Times New Roman" w:eastAsia="宋体" w:cs="宋体"/>
      <w:sz w:val="24"/>
      <w:szCs w:val="24"/>
    </w:rPr>
  </w:style>
  <w:style w:type="paragraph" w:customStyle="1" w:styleId="304">
    <w:name w:val="封面"/>
    <w:basedOn w:val="1"/>
    <w:qFormat/>
    <w:uiPriority w:val="0"/>
    <w:pPr>
      <w:widowControl w:val="0"/>
      <w:spacing w:line="400" w:lineRule="exact"/>
      <w:ind w:firstLine="200" w:firstLineChars="200"/>
      <w:jc w:val="both"/>
    </w:pPr>
    <w:rPr>
      <w:rFonts w:ascii="Calibri" w:hAnsi="Calibri"/>
      <w:sz w:val="24"/>
    </w:rPr>
  </w:style>
  <w:style w:type="paragraph" w:customStyle="1" w:styleId="305">
    <w:name w:val="表 格"/>
    <w:basedOn w:val="1"/>
    <w:qFormat/>
    <w:uiPriority w:val="0"/>
    <w:pPr>
      <w:snapToGrid w:val="0"/>
      <w:spacing w:after="156" w:afterLines="50" w:line="0" w:lineRule="atLeast"/>
      <w:jc w:val="center"/>
    </w:pPr>
    <w:rPr>
      <w:rFonts w:ascii="宋体" w:hAnsi="宋体" w:cs="宋体"/>
      <w:snapToGrid w:val="0"/>
      <w:sz w:val="18"/>
      <w:szCs w:val="20"/>
    </w:rPr>
  </w:style>
  <w:style w:type="paragraph" w:customStyle="1" w:styleId="306">
    <w:name w:val="标题A"/>
    <w:basedOn w:val="1"/>
    <w:qFormat/>
    <w:uiPriority w:val="0"/>
    <w:pPr>
      <w:widowControl w:val="0"/>
      <w:adjustRightInd w:val="0"/>
      <w:snapToGrid w:val="0"/>
      <w:spacing w:line="312" w:lineRule="auto"/>
      <w:jc w:val="center"/>
    </w:pPr>
    <w:rPr>
      <w:rFonts w:ascii="仿宋_GB2312" w:hAnsi="Calibri" w:eastAsia="仿宋_GB2312"/>
      <w:b/>
      <w:bCs/>
      <w:sz w:val="28"/>
    </w:rPr>
  </w:style>
  <w:style w:type="paragraph" w:customStyle="1" w:styleId="307">
    <w:name w:val="Char Char Char Char Char Char Char"/>
    <w:basedOn w:val="1"/>
    <w:qFormat/>
    <w:uiPriority w:val="0"/>
    <w:pPr>
      <w:widowControl w:val="0"/>
      <w:snapToGrid w:val="0"/>
      <w:spacing w:line="360" w:lineRule="auto"/>
      <w:ind w:firstLine="200" w:firstLineChars="200"/>
      <w:jc w:val="both"/>
    </w:pPr>
    <w:rPr>
      <w:rFonts w:ascii="Calibri" w:hAnsi="Calibri" w:eastAsia="仿宋_GB2312"/>
      <w:sz w:val="24"/>
    </w:rPr>
  </w:style>
  <w:style w:type="paragraph" w:customStyle="1" w:styleId="308">
    <w:name w:val="xl4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pPr>
    <w:rPr>
      <w:rFonts w:ascii="宋体" w:hAnsi="宋体" w:cs="宋体"/>
      <w:b/>
      <w:bCs/>
      <w:kern w:val="0"/>
      <w:sz w:val="20"/>
      <w:szCs w:val="20"/>
    </w:rPr>
  </w:style>
  <w:style w:type="paragraph" w:customStyle="1" w:styleId="309">
    <w:name w:val="CM46"/>
    <w:basedOn w:val="255"/>
    <w:next w:val="255"/>
    <w:qFormat/>
    <w:uiPriority w:val="0"/>
    <w:rPr>
      <w:rFonts w:ascii="宋体" w:hAnsi="Times New Roman" w:eastAsia="宋体" w:cs="宋体"/>
      <w:sz w:val="24"/>
      <w:szCs w:val="24"/>
    </w:rPr>
  </w:style>
  <w:style w:type="paragraph" w:customStyle="1" w:styleId="310">
    <w:name w:val="xl2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pPr>
    <w:rPr>
      <w:rFonts w:ascii="宋体" w:hAnsi="宋体"/>
      <w:kern w:val="0"/>
      <w:sz w:val="24"/>
    </w:rPr>
  </w:style>
  <w:style w:type="paragraph" w:customStyle="1" w:styleId="311">
    <w:name w:val="目录标题"/>
    <w:basedOn w:val="1"/>
    <w:next w:val="1"/>
    <w:qFormat/>
    <w:uiPriority w:val="0"/>
    <w:pPr>
      <w:widowControl w:val="0"/>
      <w:spacing w:before="104" w:after="209" w:line="0" w:lineRule="atLeast"/>
      <w:ind w:left="1"/>
      <w:jc w:val="center"/>
      <w:textAlignment w:val="bottom"/>
    </w:pPr>
    <w:rPr>
      <w:rFonts w:ascii="Arial" w:hAnsi="Arial" w:eastAsia="黑体"/>
      <w:spacing w:val="104"/>
      <w:kern w:val="0"/>
      <w:sz w:val="44"/>
      <w:szCs w:val="20"/>
    </w:rPr>
  </w:style>
  <w:style w:type="paragraph" w:customStyle="1" w:styleId="312">
    <w:name w:val="样式 标题 1 + 宋体 段前: 0 磅 段后: 0 磅 行距: 1.5 倍行距"/>
    <w:basedOn w:val="2"/>
    <w:qFormat/>
    <w:uiPriority w:val="0"/>
    <w:pPr>
      <w:widowControl w:val="0"/>
      <w:spacing w:before="0" w:after="0" w:line="360" w:lineRule="auto"/>
      <w:jc w:val="both"/>
      <w:outlineLvl w:val="1"/>
    </w:pPr>
    <w:rPr>
      <w:rFonts w:ascii="宋体" w:hAnsi="宋体" w:cs="宋体"/>
      <w:sz w:val="28"/>
      <w:szCs w:val="20"/>
    </w:rPr>
  </w:style>
  <w:style w:type="paragraph" w:customStyle="1" w:styleId="313">
    <w:name w:val="CM35"/>
    <w:basedOn w:val="255"/>
    <w:next w:val="255"/>
    <w:qFormat/>
    <w:uiPriority w:val="0"/>
    <w:pPr>
      <w:spacing w:line="400" w:lineRule="atLeast"/>
    </w:pPr>
    <w:rPr>
      <w:rFonts w:ascii="宋体" w:hAnsi="Times New Roman" w:eastAsia="宋体" w:cs="宋体"/>
      <w:sz w:val="24"/>
      <w:szCs w:val="24"/>
    </w:rPr>
  </w:style>
  <w:style w:type="paragraph" w:customStyle="1" w:styleId="314">
    <w:name w:val="Char Char Char Char1"/>
    <w:basedOn w:val="1"/>
    <w:qFormat/>
    <w:uiPriority w:val="0"/>
    <w:pPr>
      <w:widowControl w:val="0"/>
      <w:spacing w:line="240" w:lineRule="auto"/>
      <w:jc w:val="both"/>
    </w:pPr>
    <w:rPr>
      <w:rFonts w:ascii="宋体" w:hAnsi="Calibri"/>
    </w:rPr>
  </w:style>
  <w:style w:type="paragraph" w:customStyle="1" w:styleId="315">
    <w:name w:val="表内2"/>
    <w:basedOn w:val="1"/>
    <w:qFormat/>
    <w:uiPriority w:val="0"/>
    <w:pPr>
      <w:widowControl w:val="0"/>
      <w:spacing w:line="240" w:lineRule="auto"/>
    </w:pPr>
    <w:rPr>
      <w:rFonts w:ascii="宋体" w:hAnsi="宋体"/>
      <w:spacing w:val="-20"/>
      <w:szCs w:val="21"/>
    </w:rPr>
  </w:style>
  <w:style w:type="paragraph" w:customStyle="1" w:styleId="316">
    <w:name w:val="xl109"/>
    <w:basedOn w:val="1"/>
    <w:qFormat/>
    <w:uiPriority w:val="0"/>
    <w:pPr>
      <w:pBdr>
        <w:top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0"/>
      <w:szCs w:val="20"/>
    </w:rPr>
  </w:style>
  <w:style w:type="paragraph" w:customStyle="1" w:styleId="317">
    <w:name w:val="标 题 2"/>
    <w:basedOn w:val="4"/>
    <w:qFormat/>
    <w:uiPriority w:val="0"/>
    <w:pPr>
      <w:keepLines/>
      <w:widowControl w:val="0"/>
      <w:snapToGrid w:val="0"/>
      <w:spacing w:after="156" w:afterLines="50" w:line="460" w:lineRule="exact"/>
      <w:jc w:val="both"/>
      <w:outlineLvl w:val="3"/>
    </w:pPr>
    <w:rPr>
      <w:rFonts w:ascii="Arial" w:hAnsi="Arial" w:eastAsia="黑体"/>
      <w:b w:val="0"/>
      <w:bCs w:val="0"/>
      <w:sz w:val="28"/>
      <w:szCs w:val="20"/>
    </w:rPr>
  </w:style>
  <w:style w:type="paragraph" w:customStyle="1" w:styleId="318">
    <w:name w:val="七级标题表头"/>
    <w:basedOn w:val="1"/>
    <w:qFormat/>
    <w:uiPriority w:val="0"/>
    <w:pPr>
      <w:widowControl w:val="0"/>
      <w:adjustRightInd w:val="0"/>
      <w:snapToGrid w:val="0"/>
      <w:spacing w:line="240" w:lineRule="auto"/>
      <w:jc w:val="center"/>
    </w:pPr>
    <w:rPr>
      <w:rFonts w:ascii="仿宋_GB2312" w:hAnsi="宋体" w:eastAsia="华文中宋"/>
      <w:b/>
      <w:bCs/>
      <w:snapToGrid w:val="0"/>
      <w:kern w:val="28"/>
      <w:sz w:val="24"/>
      <w:szCs w:val="28"/>
    </w:rPr>
  </w:style>
  <w:style w:type="paragraph" w:customStyle="1" w:styleId="319">
    <w:name w:val="Style28"/>
    <w:basedOn w:val="1"/>
    <w:unhideWhenUsed/>
    <w:qFormat/>
    <w:uiPriority w:val="0"/>
    <w:pPr>
      <w:widowControl w:val="0"/>
      <w:spacing w:line="552" w:lineRule="exact"/>
      <w:ind w:firstLine="547"/>
      <w:jc w:val="both"/>
    </w:pPr>
    <w:rPr>
      <w:rFonts w:ascii="Calibri" w:hAnsi="Calibri" w:eastAsia="微软雅黑"/>
    </w:rPr>
  </w:style>
  <w:style w:type="paragraph" w:customStyle="1" w:styleId="320">
    <w:name w:val="样式 标题 2 + Times New Roman 四号 非加粗 段前: 5 磅 段后: 0 磅 行距: 固定值 20..."/>
    <w:basedOn w:val="3"/>
    <w:qFormat/>
    <w:uiPriority w:val="0"/>
    <w:pPr>
      <w:spacing w:before="100" w:line="400" w:lineRule="exact"/>
    </w:pPr>
    <w:rPr>
      <w:rFonts w:ascii="Times New Roman" w:hAnsi="Times New Roman" w:eastAsia="黑体"/>
      <w:b w:val="0"/>
      <w:bCs w:val="0"/>
      <w:sz w:val="28"/>
      <w:szCs w:val="20"/>
    </w:rPr>
  </w:style>
  <w:style w:type="paragraph" w:customStyle="1" w:styleId="321">
    <w:name w:val="样式 五号 居中 首行缩进:  2 字符"/>
    <w:basedOn w:val="1"/>
    <w:qFormat/>
    <w:uiPriority w:val="0"/>
    <w:pPr>
      <w:widowControl w:val="0"/>
      <w:spacing w:line="0" w:lineRule="atLeast"/>
      <w:jc w:val="center"/>
    </w:pPr>
    <w:rPr>
      <w:rFonts w:ascii="宋体" w:hAnsi="Garamond" w:cs="宋体"/>
      <w:szCs w:val="20"/>
    </w:rPr>
  </w:style>
  <w:style w:type="paragraph" w:customStyle="1" w:styleId="322">
    <w:name w:val="样式 (西文) 仿宋_GB2312 (符号) 宋体 小四 行距: 1.5 倍行距 首行缩进:  2 字符"/>
    <w:basedOn w:val="1"/>
    <w:qFormat/>
    <w:uiPriority w:val="0"/>
    <w:pPr>
      <w:widowControl w:val="0"/>
      <w:adjustRightInd w:val="0"/>
      <w:snapToGrid w:val="0"/>
      <w:spacing w:line="276" w:lineRule="auto"/>
      <w:ind w:firstLine="200" w:firstLineChars="200"/>
      <w:jc w:val="both"/>
    </w:pPr>
    <w:rPr>
      <w:rFonts w:ascii="仿宋_GB2312" w:hAnsi="宋体" w:eastAsia="仿宋_GB2312" w:cs="宋体"/>
      <w:szCs w:val="21"/>
    </w:rPr>
  </w:style>
  <w:style w:type="paragraph" w:customStyle="1" w:styleId="323">
    <w:name w:val="Style53"/>
    <w:basedOn w:val="1"/>
    <w:unhideWhenUsed/>
    <w:qFormat/>
    <w:uiPriority w:val="0"/>
    <w:pPr>
      <w:widowControl w:val="0"/>
      <w:spacing w:line="533" w:lineRule="exact"/>
      <w:ind w:firstLine="581"/>
      <w:jc w:val="both"/>
    </w:pPr>
    <w:rPr>
      <w:rFonts w:ascii="Calibri" w:hAnsi="Calibri" w:eastAsia="微软雅黑"/>
    </w:rPr>
  </w:style>
  <w:style w:type="paragraph" w:customStyle="1" w:styleId="324">
    <w:name w:val="Style74"/>
    <w:basedOn w:val="1"/>
    <w:unhideWhenUsed/>
    <w:qFormat/>
    <w:uiPriority w:val="0"/>
    <w:pPr>
      <w:widowControl w:val="0"/>
      <w:spacing w:line="437" w:lineRule="exact"/>
      <w:jc w:val="both"/>
    </w:pPr>
    <w:rPr>
      <w:rFonts w:ascii="Calibri" w:hAnsi="Calibri" w:eastAsia="微软雅黑"/>
    </w:rPr>
  </w:style>
  <w:style w:type="paragraph" w:customStyle="1" w:styleId="325">
    <w:name w:val="表格3"/>
    <w:basedOn w:val="1"/>
    <w:qFormat/>
    <w:uiPriority w:val="0"/>
    <w:pPr>
      <w:adjustRightInd w:val="0"/>
      <w:snapToGrid w:val="0"/>
      <w:spacing w:line="240" w:lineRule="auto"/>
      <w:jc w:val="center"/>
    </w:pPr>
    <w:rPr>
      <w:rFonts w:ascii="Calibri" w:hAnsi="Calibri"/>
      <w:snapToGrid w:val="0"/>
      <w:kern w:val="0"/>
      <w:szCs w:val="21"/>
    </w:rPr>
  </w:style>
  <w:style w:type="paragraph" w:customStyle="1" w:styleId="326">
    <w:name w:val="CM34"/>
    <w:basedOn w:val="255"/>
    <w:next w:val="255"/>
    <w:qFormat/>
    <w:uiPriority w:val="0"/>
    <w:pPr>
      <w:spacing w:line="398" w:lineRule="atLeast"/>
    </w:pPr>
    <w:rPr>
      <w:rFonts w:ascii="宋体" w:hAnsi="Times New Roman" w:eastAsia="宋体" w:cs="宋体"/>
      <w:sz w:val="24"/>
      <w:szCs w:val="24"/>
    </w:rPr>
  </w:style>
  <w:style w:type="paragraph" w:customStyle="1" w:styleId="327">
    <w:name w:val="XW图名表名"/>
    <w:basedOn w:val="1"/>
    <w:qFormat/>
    <w:uiPriority w:val="0"/>
    <w:pPr>
      <w:widowControl w:val="0"/>
      <w:adjustRightInd w:val="0"/>
      <w:spacing w:before="120" w:after="60" w:line="240" w:lineRule="auto"/>
      <w:ind w:firstLine="422" w:firstLineChars="200"/>
      <w:jc w:val="center"/>
    </w:pPr>
    <w:rPr>
      <w:rFonts w:ascii="Calibri" w:hAnsi="宋体" w:eastAsia="黑体"/>
      <w:kern w:val="0"/>
      <w:sz w:val="24"/>
      <w:szCs w:val="20"/>
    </w:rPr>
  </w:style>
  <w:style w:type="paragraph" w:customStyle="1" w:styleId="328">
    <w:name w:val="Sec1-Clauses"/>
    <w:basedOn w:val="329"/>
    <w:qFormat/>
    <w:uiPriority w:val="0"/>
    <w:pPr>
      <w:numPr>
        <w:ilvl w:val="1"/>
      </w:numPr>
      <w:tabs>
        <w:tab w:val="left" w:pos="432"/>
        <w:tab w:val="left" w:pos="480"/>
      </w:tabs>
      <w:ind w:left="480" w:hanging="480"/>
    </w:pPr>
  </w:style>
  <w:style w:type="paragraph" w:customStyle="1" w:styleId="329">
    <w:name w:val="Heading 1- Clause name"/>
    <w:basedOn w:val="1"/>
    <w:qFormat/>
    <w:uiPriority w:val="0"/>
    <w:pPr>
      <w:numPr>
        <w:ilvl w:val="2"/>
        <w:numId w:val="12"/>
      </w:numPr>
      <w:tabs>
        <w:tab w:val="left" w:pos="432"/>
      </w:tabs>
      <w:spacing w:before="120" w:after="120" w:line="240" w:lineRule="auto"/>
      <w:ind w:left="432"/>
    </w:pPr>
    <w:rPr>
      <w:rFonts w:ascii="Calibri" w:hAnsi="Calibri"/>
      <w:b/>
      <w:kern w:val="0"/>
      <w:sz w:val="24"/>
      <w:szCs w:val="20"/>
      <w:lang w:eastAsia="en-US"/>
    </w:rPr>
  </w:style>
  <w:style w:type="paragraph" w:customStyle="1" w:styleId="330">
    <w:name w:val="正文5"/>
    <w:basedOn w:val="1"/>
    <w:qFormat/>
    <w:uiPriority w:val="0"/>
    <w:pPr>
      <w:widowControl w:val="0"/>
      <w:spacing w:line="360" w:lineRule="auto"/>
      <w:ind w:left="500" w:leftChars="500"/>
      <w:jc w:val="both"/>
    </w:pPr>
    <w:rPr>
      <w:rFonts w:ascii="宋体" w:hAnsi="Calibri"/>
      <w:sz w:val="24"/>
    </w:rPr>
  </w:style>
  <w:style w:type="paragraph" w:customStyle="1" w:styleId="331">
    <w:name w:val="纯文本1"/>
    <w:basedOn w:val="1"/>
    <w:qFormat/>
    <w:uiPriority w:val="0"/>
    <w:pPr>
      <w:widowControl w:val="0"/>
      <w:adjustRightInd w:val="0"/>
      <w:spacing w:after="156" w:afterLines="50" w:line="240" w:lineRule="auto"/>
      <w:jc w:val="both"/>
      <w:textAlignment w:val="baseline"/>
    </w:pPr>
    <w:rPr>
      <w:rFonts w:ascii="宋体" w:hAnsi="Calibri"/>
      <w:kern w:val="0"/>
      <w:sz w:val="24"/>
      <w:szCs w:val="20"/>
    </w:rPr>
  </w:style>
  <w:style w:type="paragraph" w:customStyle="1" w:styleId="332">
    <w:name w:val="表格文字（5号）"/>
    <w:basedOn w:val="1"/>
    <w:qFormat/>
    <w:uiPriority w:val="0"/>
    <w:pPr>
      <w:widowControl w:val="0"/>
      <w:adjustRightInd w:val="0"/>
      <w:snapToGrid w:val="0"/>
      <w:jc w:val="center"/>
    </w:pPr>
    <w:rPr>
      <w:rFonts w:ascii="宋体" w:hAnsi="宋体" w:eastAsia="仿宋_GB2312"/>
      <w:snapToGrid w:val="0"/>
      <w:color w:val="000000"/>
      <w:szCs w:val="20"/>
    </w:rPr>
  </w:style>
  <w:style w:type="paragraph" w:customStyle="1" w:styleId="333">
    <w:name w:val="Char Char3 Char Char Char Char"/>
    <w:basedOn w:val="1"/>
    <w:qFormat/>
    <w:uiPriority w:val="0"/>
    <w:pPr>
      <w:spacing w:after="160" w:line="240" w:lineRule="exact"/>
    </w:pPr>
    <w:rPr>
      <w:rFonts w:ascii="Verdana" w:hAnsi="Verdana"/>
      <w:kern w:val="0"/>
      <w:sz w:val="20"/>
      <w:szCs w:val="20"/>
      <w:lang w:eastAsia="en-US"/>
    </w:rPr>
  </w:style>
  <w:style w:type="paragraph" w:customStyle="1" w:styleId="334">
    <w:name w:val="CM81"/>
    <w:basedOn w:val="255"/>
    <w:next w:val="255"/>
    <w:qFormat/>
    <w:uiPriority w:val="0"/>
    <w:pPr>
      <w:spacing w:line="440" w:lineRule="atLeast"/>
    </w:pPr>
    <w:rPr>
      <w:rFonts w:ascii="宋体" w:hAnsi="Times New Roman" w:eastAsia="宋体" w:cs="宋体"/>
      <w:sz w:val="24"/>
      <w:szCs w:val="24"/>
    </w:rPr>
  </w:style>
  <w:style w:type="paragraph" w:customStyle="1" w:styleId="335">
    <w:name w:val="xl93"/>
    <w:basedOn w:val="1"/>
    <w:qFormat/>
    <w:uiPriority w:val="0"/>
    <w:pPr>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0"/>
      <w:szCs w:val="20"/>
    </w:rPr>
  </w:style>
  <w:style w:type="paragraph" w:customStyle="1" w:styleId="336">
    <w:name w:val="xl7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0"/>
      <w:szCs w:val="20"/>
    </w:rPr>
  </w:style>
  <w:style w:type="paragraph" w:customStyle="1" w:styleId="337">
    <w:name w:val="前言、引言标题"/>
    <w:next w:val="1"/>
    <w:qFormat/>
    <w:uiPriority w:val="0"/>
    <w:pPr>
      <w:shd w:val="clear" w:color="FFFFFF" w:fill="FFFFFF"/>
      <w:tabs>
        <w:tab w:val="left" w:pos="360"/>
        <w:tab w:val="left" w:pos="720"/>
      </w:tabs>
      <w:spacing w:before="640" w:after="560"/>
      <w:ind w:left="720" w:hanging="720"/>
      <w:jc w:val="center"/>
      <w:outlineLvl w:val="0"/>
    </w:pPr>
    <w:rPr>
      <w:rFonts w:ascii="黑体" w:hAnsi="Calibri" w:eastAsia="黑体" w:cs="Times New Roman"/>
      <w:sz w:val="32"/>
      <w:lang w:val="en-US" w:eastAsia="zh-CN" w:bidi="ar-SA"/>
    </w:rPr>
  </w:style>
  <w:style w:type="paragraph" w:customStyle="1" w:styleId="338">
    <w:name w:val="xl9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b/>
      <w:bCs/>
      <w:kern w:val="0"/>
      <w:sz w:val="20"/>
      <w:szCs w:val="20"/>
    </w:rPr>
  </w:style>
  <w:style w:type="paragraph" w:customStyle="1" w:styleId="339">
    <w:name w:val="(1)"/>
    <w:basedOn w:val="1"/>
    <w:next w:val="1"/>
    <w:qFormat/>
    <w:uiPriority w:val="0"/>
    <w:pPr>
      <w:widowControl w:val="0"/>
      <w:tabs>
        <w:tab w:val="left" w:pos="780"/>
      </w:tabs>
      <w:spacing w:line="240" w:lineRule="auto"/>
      <w:ind w:left="780" w:leftChars="200" w:hanging="360" w:hangingChars="200"/>
      <w:jc w:val="both"/>
    </w:pPr>
    <w:rPr>
      <w:rFonts w:ascii="Calibri" w:hAnsi="Calibri"/>
      <w:sz w:val="24"/>
      <w:szCs w:val="20"/>
    </w:rPr>
  </w:style>
  <w:style w:type="paragraph" w:customStyle="1" w:styleId="340">
    <w:name w:val="xl6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0"/>
      <w:szCs w:val="20"/>
    </w:rPr>
  </w:style>
  <w:style w:type="paragraph" w:customStyle="1" w:styleId="341">
    <w:name w:val="xl65"/>
    <w:basedOn w:val="1"/>
    <w:qFormat/>
    <w:uiPriority w:val="0"/>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line="240" w:lineRule="auto"/>
      <w:jc w:val="center"/>
    </w:pPr>
    <w:rPr>
      <w:rFonts w:ascii="宋体" w:hAnsi="宋体" w:cs="宋体"/>
      <w:kern w:val="0"/>
      <w:sz w:val="20"/>
      <w:szCs w:val="20"/>
    </w:rPr>
  </w:style>
  <w:style w:type="paragraph" w:customStyle="1" w:styleId="342">
    <w:name w:val="Char Char1 Char Char Char Char Char Char Char"/>
    <w:basedOn w:val="1"/>
    <w:qFormat/>
    <w:uiPriority w:val="0"/>
    <w:pPr>
      <w:spacing w:after="160" w:line="240" w:lineRule="exact"/>
    </w:pPr>
    <w:rPr>
      <w:rFonts w:ascii="Calibri" w:hAnsi="Calibri" w:eastAsia="微软雅黑"/>
    </w:rPr>
  </w:style>
  <w:style w:type="paragraph" w:customStyle="1" w:styleId="343">
    <w:name w:val="xl7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0"/>
      <w:szCs w:val="20"/>
    </w:rPr>
  </w:style>
  <w:style w:type="paragraph" w:customStyle="1" w:styleId="344">
    <w:name w:val="CM15"/>
    <w:basedOn w:val="255"/>
    <w:next w:val="255"/>
    <w:qFormat/>
    <w:uiPriority w:val="0"/>
    <w:pPr>
      <w:spacing w:line="313" w:lineRule="atLeast"/>
    </w:pPr>
    <w:rPr>
      <w:rFonts w:ascii="宋体" w:hAnsi="Times New Roman" w:eastAsia="宋体" w:cs="宋体"/>
      <w:sz w:val="24"/>
      <w:szCs w:val="24"/>
    </w:rPr>
  </w:style>
  <w:style w:type="paragraph" w:customStyle="1" w:styleId="345">
    <w:name w:val="表格字"/>
    <w:basedOn w:val="1"/>
    <w:qFormat/>
    <w:uiPriority w:val="0"/>
    <w:pPr>
      <w:widowControl w:val="0"/>
      <w:adjustRightInd w:val="0"/>
      <w:spacing w:before="20" w:after="20" w:line="240" w:lineRule="auto"/>
      <w:jc w:val="center"/>
      <w:textAlignment w:val="baseline"/>
    </w:pPr>
    <w:rPr>
      <w:rFonts w:ascii="Calibri" w:hAnsi="Calibri" w:eastAsia="仿宋_GB2312"/>
      <w:kern w:val="0"/>
      <w:szCs w:val="20"/>
    </w:rPr>
  </w:style>
  <w:style w:type="paragraph" w:customStyle="1" w:styleId="346">
    <w:name w:val="Char1 Char Char Char"/>
    <w:basedOn w:val="1"/>
    <w:qFormat/>
    <w:uiPriority w:val="0"/>
    <w:pPr>
      <w:spacing w:after="160" w:line="240" w:lineRule="exact"/>
    </w:pPr>
    <w:rPr>
      <w:rFonts w:ascii="Calibri" w:hAnsi="Calibri" w:eastAsia="微软雅黑"/>
      <w:kern w:val="0"/>
      <w:sz w:val="24"/>
      <w:szCs w:val="20"/>
    </w:rPr>
  </w:style>
  <w:style w:type="paragraph" w:customStyle="1" w:styleId="347">
    <w:name w:val="Char Char Char1 Char1"/>
    <w:basedOn w:val="1"/>
    <w:qFormat/>
    <w:uiPriority w:val="0"/>
    <w:pPr>
      <w:widowControl w:val="0"/>
      <w:tabs>
        <w:tab w:val="left" w:pos="360"/>
      </w:tabs>
      <w:snapToGrid w:val="0"/>
      <w:spacing w:line="360" w:lineRule="auto"/>
      <w:jc w:val="both"/>
    </w:pPr>
    <w:rPr>
      <w:rFonts w:ascii="Calibri" w:hAnsi="Calibri" w:eastAsia="仿宋_GB2312" w:cs="宋体"/>
      <w:sz w:val="24"/>
    </w:rPr>
  </w:style>
  <w:style w:type="paragraph" w:customStyle="1" w:styleId="348">
    <w:name w:val="文档结构图1"/>
    <w:basedOn w:val="1"/>
    <w:qFormat/>
    <w:uiPriority w:val="0"/>
    <w:pPr>
      <w:widowControl w:val="0"/>
      <w:shd w:val="clear" w:color="auto" w:fill="000080"/>
      <w:adjustRightInd w:val="0"/>
      <w:spacing w:line="240" w:lineRule="auto"/>
      <w:jc w:val="both"/>
      <w:textAlignment w:val="baseline"/>
    </w:pPr>
    <w:rPr>
      <w:rFonts w:ascii="楷体_GB2312" w:hAnsi="Calibri" w:eastAsia="楷体_GB2312"/>
      <w:kern w:val="0"/>
      <w:sz w:val="28"/>
      <w:szCs w:val="20"/>
    </w:rPr>
  </w:style>
  <w:style w:type="paragraph" w:customStyle="1" w:styleId="349">
    <w:name w:val="Outline"/>
    <w:basedOn w:val="1"/>
    <w:qFormat/>
    <w:uiPriority w:val="0"/>
    <w:pPr>
      <w:numPr>
        <w:ilvl w:val="0"/>
        <w:numId w:val="12"/>
      </w:numPr>
      <w:tabs>
        <w:tab w:val="left" w:pos="972"/>
      </w:tabs>
      <w:spacing w:before="240" w:line="240" w:lineRule="auto"/>
    </w:pPr>
    <w:rPr>
      <w:rFonts w:ascii="Calibri" w:hAnsi="Calibri"/>
      <w:kern w:val="28"/>
      <w:sz w:val="24"/>
      <w:szCs w:val="20"/>
      <w:lang w:eastAsia="en-US"/>
    </w:rPr>
  </w:style>
  <w:style w:type="paragraph" w:customStyle="1" w:styleId="350">
    <w:name w:val="Style26"/>
    <w:basedOn w:val="1"/>
    <w:unhideWhenUsed/>
    <w:qFormat/>
    <w:uiPriority w:val="0"/>
    <w:pPr>
      <w:widowControl w:val="0"/>
      <w:spacing w:line="240" w:lineRule="auto"/>
      <w:jc w:val="both"/>
    </w:pPr>
    <w:rPr>
      <w:rFonts w:ascii="Calibri" w:hAnsi="Calibri" w:eastAsia="微软雅黑"/>
    </w:rPr>
  </w:style>
  <w:style w:type="paragraph" w:customStyle="1" w:styleId="351">
    <w:name w:val="TOC 标题1"/>
    <w:basedOn w:val="2"/>
    <w:next w:val="1"/>
    <w:qFormat/>
    <w:uiPriority w:val="39"/>
    <w:pPr>
      <w:spacing w:before="480" w:after="0" w:line="276" w:lineRule="auto"/>
      <w:outlineLvl w:val="9"/>
    </w:pPr>
    <w:rPr>
      <w:rFonts w:ascii="Cambria" w:hAnsi="Cambria"/>
      <w:color w:val="365F91"/>
      <w:kern w:val="0"/>
      <w:sz w:val="28"/>
      <w:szCs w:val="28"/>
    </w:rPr>
  </w:style>
  <w:style w:type="paragraph" w:customStyle="1" w:styleId="352">
    <w:name w:val="CM65"/>
    <w:basedOn w:val="255"/>
    <w:next w:val="255"/>
    <w:qFormat/>
    <w:uiPriority w:val="0"/>
    <w:rPr>
      <w:rFonts w:ascii="宋体" w:hAnsi="Times New Roman" w:eastAsia="宋体" w:cs="宋体"/>
      <w:sz w:val="24"/>
      <w:szCs w:val="24"/>
    </w:rPr>
  </w:style>
  <w:style w:type="paragraph" w:customStyle="1" w:styleId="353">
    <w:name w:val="CM25"/>
    <w:basedOn w:val="255"/>
    <w:next w:val="255"/>
    <w:qFormat/>
    <w:uiPriority w:val="0"/>
    <w:pPr>
      <w:spacing w:line="440" w:lineRule="atLeast"/>
    </w:pPr>
    <w:rPr>
      <w:rFonts w:ascii="宋体" w:hAnsi="Times New Roman" w:eastAsia="宋体" w:cs="宋体"/>
      <w:sz w:val="24"/>
      <w:szCs w:val="24"/>
    </w:rPr>
  </w:style>
  <w:style w:type="paragraph" w:customStyle="1" w:styleId="354">
    <w:name w:val="目录3"/>
    <w:basedOn w:val="1"/>
    <w:qFormat/>
    <w:uiPriority w:val="0"/>
    <w:pPr>
      <w:widowControl w:val="0"/>
      <w:adjustRightInd w:val="0"/>
      <w:spacing w:line="420" w:lineRule="atLeast"/>
      <w:ind w:left="454"/>
      <w:jc w:val="both"/>
      <w:textAlignment w:val="baseline"/>
    </w:pPr>
    <w:rPr>
      <w:rFonts w:ascii="Calibri" w:hAnsi="Calibri"/>
      <w:kern w:val="0"/>
      <w:szCs w:val="20"/>
    </w:rPr>
  </w:style>
  <w:style w:type="paragraph" w:customStyle="1" w:styleId="355">
    <w:name w:val="xl9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textAlignment w:val="center"/>
    </w:pPr>
    <w:rPr>
      <w:rFonts w:ascii="宋体" w:hAnsi="宋体" w:cs="宋体"/>
      <w:b/>
      <w:bCs/>
      <w:kern w:val="0"/>
      <w:sz w:val="20"/>
      <w:szCs w:val="20"/>
    </w:rPr>
  </w:style>
  <w:style w:type="paragraph" w:customStyle="1" w:styleId="356">
    <w:name w:val="Style70"/>
    <w:basedOn w:val="1"/>
    <w:unhideWhenUsed/>
    <w:qFormat/>
    <w:uiPriority w:val="0"/>
    <w:pPr>
      <w:widowControl w:val="0"/>
      <w:spacing w:line="549" w:lineRule="exact"/>
      <w:ind w:firstLine="686"/>
      <w:jc w:val="both"/>
    </w:pPr>
    <w:rPr>
      <w:rFonts w:ascii="Calibri" w:hAnsi="Calibri" w:eastAsia="微软雅黑"/>
    </w:rPr>
  </w:style>
  <w:style w:type="paragraph" w:customStyle="1" w:styleId="357">
    <w:name w:val="CM95"/>
    <w:basedOn w:val="255"/>
    <w:next w:val="255"/>
    <w:qFormat/>
    <w:uiPriority w:val="0"/>
    <w:pPr>
      <w:spacing w:after="115"/>
    </w:pPr>
    <w:rPr>
      <w:rFonts w:ascii="宋体" w:hAnsi="Times New Roman" w:eastAsia="宋体" w:cs="宋体"/>
      <w:sz w:val="24"/>
      <w:szCs w:val="24"/>
    </w:rPr>
  </w:style>
  <w:style w:type="paragraph" w:customStyle="1" w:styleId="358">
    <w:name w:val="样式 样式 样式 标题 3 + 段前: 0.5 行 + 段前: 0.5 行 + (符号) 宋体 黑色"/>
    <w:basedOn w:val="1"/>
    <w:qFormat/>
    <w:uiPriority w:val="0"/>
    <w:pPr>
      <w:keepNext/>
      <w:keepLines/>
      <w:widowControl w:val="0"/>
      <w:snapToGrid w:val="0"/>
      <w:spacing w:before="156" w:beforeLines="50" w:line="360" w:lineRule="auto"/>
      <w:outlineLvl w:val="2"/>
    </w:pPr>
    <w:rPr>
      <w:rFonts w:ascii="Calibri" w:hAnsi="Calibri"/>
      <w:color w:val="000000"/>
      <w:sz w:val="24"/>
      <w:szCs w:val="20"/>
    </w:rPr>
  </w:style>
  <w:style w:type="paragraph" w:customStyle="1" w:styleId="359">
    <w:name w:val="附录标识"/>
    <w:basedOn w:val="337"/>
    <w:qFormat/>
    <w:uiPriority w:val="0"/>
    <w:pPr>
      <w:tabs>
        <w:tab w:val="left" w:pos="6405"/>
        <w:tab w:val="clear" w:pos="360"/>
        <w:tab w:val="clear" w:pos="720"/>
      </w:tabs>
      <w:spacing w:after="200"/>
    </w:pPr>
    <w:rPr>
      <w:sz w:val="21"/>
    </w:rPr>
  </w:style>
  <w:style w:type="paragraph" w:customStyle="1" w:styleId="360">
    <w:name w:val="Style60"/>
    <w:basedOn w:val="1"/>
    <w:unhideWhenUsed/>
    <w:qFormat/>
    <w:uiPriority w:val="0"/>
    <w:pPr>
      <w:widowControl w:val="0"/>
      <w:spacing w:line="566" w:lineRule="exact"/>
      <w:jc w:val="both"/>
    </w:pPr>
    <w:rPr>
      <w:rFonts w:ascii="Calibri" w:hAnsi="Calibri" w:eastAsia="微软雅黑"/>
    </w:rPr>
  </w:style>
  <w:style w:type="paragraph" w:customStyle="1" w:styleId="361">
    <w:name w:val="titulo"/>
    <w:basedOn w:val="6"/>
    <w:qFormat/>
    <w:uiPriority w:val="0"/>
    <w:pPr>
      <w:widowControl/>
      <w:tabs>
        <w:tab w:val="left" w:pos="1418"/>
      </w:tabs>
      <w:adjustRightInd/>
      <w:spacing w:before="0" w:after="240" w:line="240" w:lineRule="auto"/>
      <w:jc w:val="center"/>
    </w:pPr>
    <w:rPr>
      <w:rFonts w:ascii="Times New Roman Bold" w:hAnsi="Times New Roman Bold"/>
      <w:bCs w:val="0"/>
      <w:sz w:val="24"/>
      <w:szCs w:val="20"/>
      <w:lang w:eastAsia="en-US"/>
    </w:rPr>
  </w:style>
  <w:style w:type="paragraph" w:customStyle="1" w:styleId="362">
    <w:name w:val="正文文本缩进 31"/>
    <w:basedOn w:val="1"/>
    <w:qFormat/>
    <w:uiPriority w:val="0"/>
    <w:pPr>
      <w:widowControl w:val="0"/>
      <w:adjustRightInd w:val="0"/>
      <w:spacing w:after="156" w:afterLines="50" w:line="360" w:lineRule="atLeast"/>
      <w:ind w:firstLine="555"/>
      <w:jc w:val="both"/>
      <w:textAlignment w:val="baseline"/>
    </w:pPr>
    <w:rPr>
      <w:rFonts w:ascii="宋体" w:hAnsi="Calibri"/>
      <w:color w:val="000000"/>
      <w:kern w:val="0"/>
      <w:sz w:val="24"/>
      <w:szCs w:val="20"/>
    </w:rPr>
  </w:style>
  <w:style w:type="paragraph" w:customStyle="1" w:styleId="363">
    <w:name w:val="Style24"/>
    <w:basedOn w:val="1"/>
    <w:unhideWhenUsed/>
    <w:qFormat/>
    <w:uiPriority w:val="0"/>
    <w:pPr>
      <w:widowControl w:val="0"/>
      <w:spacing w:line="240" w:lineRule="auto"/>
      <w:jc w:val="both"/>
    </w:pPr>
    <w:rPr>
      <w:rFonts w:ascii="Calibri" w:hAnsi="Calibri" w:eastAsia="微软雅黑"/>
    </w:rPr>
  </w:style>
  <w:style w:type="paragraph" w:customStyle="1" w:styleId="364">
    <w:name w:val="xl9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b/>
      <w:bCs/>
      <w:kern w:val="0"/>
      <w:sz w:val="20"/>
      <w:szCs w:val="20"/>
    </w:rPr>
  </w:style>
  <w:style w:type="paragraph" w:customStyle="1" w:styleId="365">
    <w:name w:val="表格文字"/>
    <w:qFormat/>
    <w:uiPriority w:val="0"/>
    <w:pPr>
      <w:adjustRightInd w:val="0"/>
      <w:snapToGrid w:val="0"/>
      <w:jc w:val="center"/>
    </w:pPr>
    <w:rPr>
      <w:rFonts w:ascii="Calibri" w:hAnsi="Calibri" w:eastAsia="宋体" w:cs="Times New Roman"/>
      <w:bCs/>
      <w:sz w:val="21"/>
      <w:lang w:val="en-US" w:eastAsia="zh-CN" w:bidi="ar-SA"/>
    </w:rPr>
  </w:style>
  <w:style w:type="paragraph" w:customStyle="1" w:styleId="366">
    <w:name w:val="默认段落字体 Para Char Char Char Char Char Char Char Char Char Char"/>
    <w:basedOn w:val="1"/>
    <w:semiHidden/>
    <w:qFormat/>
    <w:uiPriority w:val="0"/>
    <w:pPr>
      <w:widowControl w:val="0"/>
      <w:adjustRightInd w:val="0"/>
      <w:spacing w:line="360" w:lineRule="atLeast"/>
      <w:jc w:val="both"/>
    </w:pPr>
    <w:rPr>
      <w:rFonts w:ascii="Calibri" w:hAnsi="Calibri"/>
      <w:szCs w:val="28"/>
    </w:rPr>
  </w:style>
  <w:style w:type="paragraph" w:customStyle="1" w:styleId="367">
    <w:name w:val="font13"/>
    <w:basedOn w:val="1"/>
    <w:qFormat/>
    <w:uiPriority w:val="0"/>
    <w:pPr>
      <w:spacing w:before="100" w:beforeAutospacing="1" w:after="100" w:afterAutospacing="1" w:line="240" w:lineRule="auto"/>
    </w:pPr>
    <w:rPr>
      <w:rFonts w:ascii="Calibri" w:hAnsi="Calibri"/>
      <w:b/>
      <w:bCs/>
      <w:kern w:val="0"/>
      <w:sz w:val="18"/>
      <w:szCs w:val="18"/>
    </w:rPr>
  </w:style>
  <w:style w:type="paragraph" w:customStyle="1" w:styleId="368">
    <w:name w:val="text"/>
    <w:basedOn w:val="1"/>
    <w:qFormat/>
    <w:uiPriority w:val="0"/>
    <w:pPr>
      <w:spacing w:before="100" w:beforeAutospacing="1" w:after="100" w:afterAutospacing="1" w:line="240" w:lineRule="auto"/>
    </w:pPr>
    <w:rPr>
      <w:rFonts w:ascii="宋体" w:hAnsi="宋体" w:cs="宋体"/>
      <w:kern w:val="0"/>
      <w:sz w:val="24"/>
    </w:rPr>
  </w:style>
  <w:style w:type="paragraph" w:customStyle="1" w:styleId="369">
    <w:name w:val="Style71"/>
    <w:basedOn w:val="1"/>
    <w:unhideWhenUsed/>
    <w:qFormat/>
    <w:uiPriority w:val="0"/>
    <w:pPr>
      <w:widowControl w:val="0"/>
      <w:spacing w:line="538" w:lineRule="exact"/>
      <w:ind w:firstLine="101"/>
      <w:jc w:val="both"/>
    </w:pPr>
    <w:rPr>
      <w:rFonts w:ascii="Calibri" w:hAnsi="Calibri" w:eastAsia="微软雅黑"/>
    </w:rPr>
  </w:style>
  <w:style w:type="paragraph" w:customStyle="1" w:styleId="370">
    <w:name w:val="CM102"/>
    <w:basedOn w:val="255"/>
    <w:next w:val="255"/>
    <w:qFormat/>
    <w:uiPriority w:val="0"/>
    <w:pPr>
      <w:spacing w:after="878"/>
    </w:pPr>
    <w:rPr>
      <w:rFonts w:ascii="宋体" w:hAnsi="Times New Roman" w:eastAsia="宋体" w:cs="宋体"/>
      <w:sz w:val="24"/>
      <w:szCs w:val="24"/>
    </w:rPr>
  </w:style>
  <w:style w:type="paragraph" w:customStyle="1" w:styleId="371">
    <w:name w:val="1 Char"/>
    <w:basedOn w:val="1"/>
    <w:semiHidden/>
    <w:qFormat/>
    <w:uiPriority w:val="0"/>
    <w:pPr>
      <w:widowControl w:val="0"/>
      <w:spacing w:line="400" w:lineRule="exact"/>
      <w:ind w:firstLine="200" w:firstLineChars="200"/>
      <w:jc w:val="both"/>
    </w:pPr>
    <w:rPr>
      <w:rFonts w:ascii="Calibri" w:hAnsi="Calibri"/>
      <w:sz w:val="24"/>
    </w:rPr>
  </w:style>
  <w:style w:type="paragraph" w:customStyle="1" w:styleId="372">
    <w:name w:val="xl6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0"/>
      <w:szCs w:val="20"/>
    </w:rPr>
  </w:style>
  <w:style w:type="paragraph" w:customStyle="1" w:styleId="373">
    <w:name w:val="Style80"/>
    <w:basedOn w:val="1"/>
    <w:unhideWhenUsed/>
    <w:qFormat/>
    <w:uiPriority w:val="0"/>
    <w:pPr>
      <w:widowControl w:val="0"/>
      <w:spacing w:line="240" w:lineRule="auto"/>
      <w:jc w:val="both"/>
    </w:pPr>
    <w:rPr>
      <w:rFonts w:ascii="Calibri" w:hAnsi="Calibri" w:eastAsia="微软雅黑"/>
    </w:rPr>
  </w:style>
  <w:style w:type="paragraph" w:customStyle="1" w:styleId="374">
    <w:name w:val="Char Char1 Char Char Char"/>
    <w:basedOn w:val="1"/>
    <w:qFormat/>
    <w:uiPriority w:val="0"/>
    <w:pPr>
      <w:widowControl w:val="0"/>
      <w:spacing w:line="240" w:lineRule="auto"/>
      <w:jc w:val="both"/>
    </w:pPr>
    <w:rPr>
      <w:rFonts w:ascii="Calibri" w:hAnsi="Calibri" w:eastAsia="微软雅黑"/>
      <w:kern w:val="0"/>
      <w:sz w:val="20"/>
      <w:szCs w:val="20"/>
    </w:rPr>
  </w:style>
  <w:style w:type="paragraph" w:customStyle="1" w:styleId="375">
    <w:name w:val="正文1"/>
    <w:basedOn w:val="1"/>
    <w:qFormat/>
    <w:uiPriority w:val="0"/>
    <w:pPr>
      <w:widowControl w:val="0"/>
      <w:adjustRightInd w:val="0"/>
      <w:spacing w:line="360" w:lineRule="atLeast"/>
      <w:jc w:val="both"/>
      <w:textAlignment w:val="baseline"/>
    </w:pPr>
    <w:rPr>
      <w:rFonts w:ascii="宋体" w:hAnsi="Calibri"/>
      <w:kern w:val="0"/>
      <w:sz w:val="36"/>
      <w:szCs w:val="20"/>
    </w:rPr>
  </w:style>
  <w:style w:type="paragraph" w:customStyle="1" w:styleId="376">
    <w:name w:val="ST20_1"/>
    <w:basedOn w:val="1"/>
    <w:qFormat/>
    <w:uiPriority w:val="0"/>
    <w:pPr>
      <w:widowControl w:val="0"/>
      <w:autoSpaceDE w:val="0"/>
      <w:autoSpaceDN w:val="0"/>
      <w:adjustRightInd w:val="0"/>
      <w:spacing w:line="240" w:lineRule="auto"/>
      <w:jc w:val="center"/>
      <w:textAlignment w:val="baseline"/>
    </w:pPr>
    <w:rPr>
      <w:rFonts w:ascii="Calibri" w:hAnsi="Calibri"/>
      <w:kern w:val="0"/>
      <w:sz w:val="24"/>
      <w:szCs w:val="20"/>
    </w:rPr>
  </w:style>
  <w:style w:type="paragraph" w:customStyle="1" w:styleId="377">
    <w:name w:val="默认段落字体 Para Char Char Char Char Char Char Char Char Char Char Char Char Char Char Char Char Char Char Char"/>
    <w:basedOn w:val="1"/>
    <w:qFormat/>
    <w:uiPriority w:val="0"/>
    <w:pPr>
      <w:widowControl w:val="0"/>
      <w:spacing w:line="240" w:lineRule="auto"/>
      <w:jc w:val="both"/>
    </w:pPr>
    <w:rPr>
      <w:rFonts w:ascii="Calibri" w:hAnsi="Calibri" w:eastAsia="微软雅黑"/>
    </w:rPr>
  </w:style>
  <w:style w:type="paragraph" w:customStyle="1" w:styleId="378">
    <w:name w:val="报告正文"/>
    <w:basedOn w:val="1"/>
    <w:qFormat/>
    <w:uiPriority w:val="0"/>
    <w:pPr>
      <w:widowControl w:val="0"/>
      <w:tabs>
        <w:tab w:val="left" w:pos="732"/>
      </w:tabs>
      <w:adjustRightInd w:val="0"/>
      <w:snapToGrid w:val="0"/>
      <w:spacing w:before="120" w:beforeLines="50"/>
      <w:ind w:left="720" w:right="176" w:hanging="720"/>
      <w:jc w:val="both"/>
    </w:pPr>
    <w:rPr>
      <w:rFonts w:ascii="宋体" w:hAnsi="宋体"/>
    </w:rPr>
  </w:style>
  <w:style w:type="paragraph" w:customStyle="1" w:styleId="379">
    <w:name w:val="xl88"/>
    <w:basedOn w:val="1"/>
    <w:qFormat/>
    <w:uiPriority w:val="0"/>
    <w:pPr>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2"/>
      <w:szCs w:val="22"/>
    </w:rPr>
  </w:style>
  <w:style w:type="paragraph" w:customStyle="1" w:styleId="380">
    <w:name w:val="样式 标题 1 + 小二 黑色"/>
    <w:basedOn w:val="2"/>
    <w:qFormat/>
    <w:uiPriority w:val="0"/>
    <w:pPr>
      <w:widowControl w:val="0"/>
      <w:suppressLineNumbers/>
      <w:tabs>
        <w:tab w:val="left" w:pos="4140"/>
      </w:tabs>
      <w:adjustRightInd w:val="0"/>
      <w:snapToGrid w:val="0"/>
      <w:spacing w:line="578" w:lineRule="atLeast"/>
      <w:jc w:val="center"/>
      <w:textAlignment w:val="baseline"/>
    </w:pPr>
    <w:rPr>
      <w:rFonts w:ascii="Calibri" w:hAnsi="Calibri"/>
      <w:color w:val="000000"/>
      <w:sz w:val="32"/>
      <w:szCs w:val="32"/>
    </w:rPr>
  </w:style>
  <w:style w:type="paragraph" w:customStyle="1" w:styleId="381">
    <w:name w:val="纯文本2"/>
    <w:basedOn w:val="1"/>
    <w:qFormat/>
    <w:uiPriority w:val="0"/>
    <w:pPr>
      <w:widowControl w:val="0"/>
      <w:adjustRightInd w:val="0"/>
      <w:spacing w:line="240" w:lineRule="auto"/>
      <w:jc w:val="both"/>
      <w:textAlignment w:val="baseline"/>
    </w:pPr>
    <w:rPr>
      <w:rFonts w:ascii="宋体" w:hAnsi="Calibri"/>
      <w:kern w:val="0"/>
      <w:sz w:val="24"/>
      <w:szCs w:val="20"/>
    </w:rPr>
  </w:style>
  <w:style w:type="paragraph" w:customStyle="1" w:styleId="382">
    <w:name w:val="xl99"/>
    <w:basedOn w:val="1"/>
    <w:qFormat/>
    <w:uiPriority w:val="0"/>
    <w:pPr>
      <w:pBdr>
        <w:left w:val="single" w:color="auto" w:sz="4" w:space="0"/>
        <w:bottom w:val="single" w:color="auto" w:sz="4" w:space="0"/>
        <w:right w:val="single" w:color="auto" w:sz="4" w:space="0"/>
      </w:pBdr>
      <w:spacing w:before="100" w:beforeAutospacing="1" w:after="100" w:afterAutospacing="1" w:line="240" w:lineRule="auto"/>
      <w:textAlignment w:val="center"/>
    </w:pPr>
    <w:rPr>
      <w:rFonts w:ascii="宋体" w:hAnsi="宋体" w:cs="宋体"/>
      <w:kern w:val="0"/>
      <w:sz w:val="22"/>
      <w:szCs w:val="22"/>
    </w:rPr>
  </w:style>
  <w:style w:type="paragraph" w:customStyle="1" w:styleId="383">
    <w:name w:val="0"/>
    <w:basedOn w:val="1"/>
    <w:qFormat/>
    <w:uiPriority w:val="0"/>
    <w:pPr>
      <w:snapToGrid w:val="0"/>
      <w:spacing w:line="240" w:lineRule="auto"/>
      <w:ind w:left="1"/>
      <w:jc w:val="both"/>
      <w:textAlignment w:val="bottom"/>
    </w:pPr>
    <w:rPr>
      <w:rFonts w:ascii="Calibri" w:hAnsi="Calibri"/>
      <w:b/>
      <w:bCs/>
      <w:i/>
      <w:iCs/>
      <w:color w:val="000000"/>
      <w:kern w:val="0"/>
      <w:szCs w:val="21"/>
    </w:rPr>
  </w:style>
  <w:style w:type="paragraph" w:customStyle="1" w:styleId="384">
    <w:name w:val="CM24"/>
    <w:basedOn w:val="255"/>
    <w:next w:val="255"/>
    <w:qFormat/>
    <w:uiPriority w:val="0"/>
    <w:pPr>
      <w:spacing w:line="440" w:lineRule="atLeast"/>
    </w:pPr>
    <w:rPr>
      <w:rFonts w:ascii="宋体" w:hAnsi="Times New Roman" w:eastAsia="宋体" w:cs="宋体"/>
      <w:sz w:val="24"/>
      <w:szCs w:val="24"/>
    </w:rPr>
  </w:style>
  <w:style w:type="paragraph" w:customStyle="1" w:styleId="385">
    <w:name w:val="Style63"/>
    <w:basedOn w:val="1"/>
    <w:unhideWhenUsed/>
    <w:qFormat/>
    <w:uiPriority w:val="0"/>
    <w:pPr>
      <w:widowControl w:val="0"/>
      <w:spacing w:line="564" w:lineRule="exact"/>
      <w:ind w:firstLine="682"/>
      <w:jc w:val="both"/>
    </w:pPr>
    <w:rPr>
      <w:rFonts w:ascii="Calibri" w:hAnsi="Calibri" w:eastAsia="微软雅黑"/>
    </w:rPr>
  </w:style>
  <w:style w:type="paragraph" w:customStyle="1" w:styleId="386">
    <w:name w:val="xl69"/>
    <w:basedOn w:val="1"/>
    <w:qFormat/>
    <w:uiPriority w:val="0"/>
    <w:pPr>
      <w:pBdr>
        <w:top w:val="single" w:color="auto" w:sz="4" w:space="0"/>
        <w:left w:val="single" w:color="auto" w:sz="4" w:space="0"/>
        <w:right w:val="single" w:color="auto" w:sz="4" w:space="0"/>
      </w:pBdr>
      <w:spacing w:before="100" w:beforeAutospacing="1" w:after="100" w:afterAutospacing="1" w:line="240" w:lineRule="auto"/>
      <w:jc w:val="center"/>
    </w:pPr>
    <w:rPr>
      <w:rFonts w:ascii="宋体" w:hAnsi="宋体" w:cs="宋体"/>
      <w:kern w:val="0"/>
      <w:sz w:val="20"/>
      <w:szCs w:val="20"/>
    </w:rPr>
  </w:style>
  <w:style w:type="paragraph" w:customStyle="1" w:styleId="387">
    <w:name w:val="xl2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kern w:val="0"/>
      <w:sz w:val="24"/>
    </w:rPr>
  </w:style>
  <w:style w:type="paragraph" w:customStyle="1" w:styleId="388">
    <w:name w:val="1.1"/>
    <w:basedOn w:val="1"/>
    <w:qFormat/>
    <w:uiPriority w:val="0"/>
    <w:pPr>
      <w:widowControl w:val="0"/>
      <w:tabs>
        <w:tab w:val="left" w:pos="851"/>
      </w:tabs>
      <w:adjustRightInd w:val="0"/>
      <w:spacing w:after="120" w:line="240" w:lineRule="auto"/>
      <w:ind w:left="851" w:hanging="851"/>
      <w:jc w:val="both"/>
      <w:textAlignment w:val="baseline"/>
    </w:pPr>
    <w:rPr>
      <w:rFonts w:ascii="Calibri" w:hAnsi="Calibri" w:eastAsia="黑体"/>
      <w:sz w:val="28"/>
      <w:szCs w:val="20"/>
    </w:rPr>
  </w:style>
  <w:style w:type="paragraph" w:customStyle="1" w:styleId="389">
    <w:name w:val="Style58"/>
    <w:basedOn w:val="1"/>
    <w:unhideWhenUsed/>
    <w:qFormat/>
    <w:uiPriority w:val="0"/>
    <w:pPr>
      <w:widowControl w:val="0"/>
      <w:spacing w:line="413" w:lineRule="exact"/>
      <w:jc w:val="both"/>
    </w:pPr>
    <w:rPr>
      <w:rFonts w:ascii="Calibri" w:hAnsi="Calibri" w:eastAsia="微软雅黑"/>
    </w:rPr>
  </w:style>
  <w:style w:type="paragraph" w:customStyle="1" w:styleId="390">
    <w:name w:val="样式 样式 标题 3 + 宋体 小三 + Times New Roman 段前: 0 磅 段后: 0 磅"/>
    <w:basedOn w:val="391"/>
    <w:qFormat/>
    <w:uiPriority w:val="0"/>
    <w:pPr>
      <w:spacing w:before="312" w:beforeLines="100" w:after="0"/>
    </w:pPr>
    <w:rPr>
      <w:rFonts w:ascii="Times New Roman" w:hAnsi="Times New Roman" w:cs="宋体"/>
      <w:szCs w:val="20"/>
    </w:rPr>
  </w:style>
  <w:style w:type="paragraph" w:customStyle="1" w:styleId="391">
    <w:name w:val="样式 标题 3 + 宋体 小三"/>
    <w:basedOn w:val="4"/>
    <w:qFormat/>
    <w:uiPriority w:val="0"/>
    <w:pPr>
      <w:keepLines/>
      <w:widowControl w:val="0"/>
      <w:adjustRightInd w:val="0"/>
      <w:spacing w:before="120" w:after="120" w:line="360" w:lineRule="auto"/>
      <w:jc w:val="left"/>
      <w:textAlignment w:val="baseline"/>
    </w:pPr>
    <w:rPr>
      <w:kern w:val="0"/>
    </w:rPr>
  </w:style>
  <w:style w:type="paragraph" w:customStyle="1" w:styleId="392">
    <w:name w:val="Style54"/>
    <w:basedOn w:val="1"/>
    <w:unhideWhenUsed/>
    <w:qFormat/>
    <w:uiPriority w:val="0"/>
    <w:pPr>
      <w:widowControl w:val="0"/>
      <w:spacing w:line="240" w:lineRule="auto"/>
      <w:jc w:val="both"/>
    </w:pPr>
    <w:rPr>
      <w:rFonts w:ascii="Calibri" w:hAnsi="Calibri" w:eastAsia="微软雅黑"/>
    </w:rPr>
  </w:style>
  <w:style w:type="paragraph" w:customStyle="1" w:styleId="393">
    <w:name w:val="xl7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color w:val="FF0000"/>
      <w:kern w:val="0"/>
      <w:sz w:val="20"/>
      <w:szCs w:val="20"/>
    </w:rPr>
  </w:style>
  <w:style w:type="paragraph" w:customStyle="1" w:styleId="394">
    <w:name w:val="Char Char Char Char Char Char1 Char"/>
    <w:basedOn w:val="1"/>
    <w:qFormat/>
    <w:uiPriority w:val="0"/>
    <w:pPr>
      <w:widowControl w:val="0"/>
      <w:spacing w:line="240" w:lineRule="auto"/>
      <w:jc w:val="both"/>
    </w:pPr>
    <w:rPr>
      <w:rFonts w:ascii="Calibri" w:hAnsi="Calibri"/>
    </w:rPr>
  </w:style>
  <w:style w:type="paragraph" w:customStyle="1" w:styleId="395">
    <w:name w:val="_Style 39"/>
    <w:basedOn w:val="396"/>
    <w:qFormat/>
    <w:uiPriority w:val="0"/>
  </w:style>
  <w:style w:type="paragraph" w:customStyle="1" w:styleId="396">
    <w:name w:val="正文 New New New"/>
    <w:qFormat/>
    <w:uiPriority w:val="0"/>
    <w:pPr>
      <w:widowControl w:val="0"/>
      <w:jc w:val="both"/>
    </w:pPr>
    <w:rPr>
      <w:rFonts w:ascii="Calibri" w:hAnsi="Calibri" w:eastAsia="微软雅黑" w:cs="Times New Roman"/>
      <w:kern w:val="2"/>
      <w:sz w:val="21"/>
      <w:szCs w:val="24"/>
      <w:lang w:val="en-US" w:eastAsia="zh-CN" w:bidi="ar-SA"/>
    </w:rPr>
  </w:style>
  <w:style w:type="paragraph" w:customStyle="1" w:styleId="397">
    <w:name w:val="表格文字居中"/>
    <w:basedOn w:val="1"/>
    <w:next w:val="1"/>
    <w:qFormat/>
    <w:uiPriority w:val="0"/>
    <w:pPr>
      <w:widowControl w:val="0"/>
      <w:tabs>
        <w:tab w:val="left" w:pos="720"/>
        <w:tab w:val="left" w:pos="900"/>
      </w:tabs>
      <w:adjustRightInd w:val="0"/>
      <w:snapToGrid w:val="0"/>
      <w:spacing w:before="62" w:beforeLines="20" w:after="62" w:afterLines="20" w:line="360" w:lineRule="auto"/>
      <w:jc w:val="center"/>
    </w:pPr>
    <w:rPr>
      <w:rFonts w:ascii="宋体" w:hAnsi="Arial"/>
      <w:kern w:val="0"/>
      <w:sz w:val="18"/>
      <w:szCs w:val="20"/>
    </w:rPr>
  </w:style>
  <w:style w:type="paragraph" w:customStyle="1" w:styleId="398">
    <w:name w:val="CM48"/>
    <w:basedOn w:val="255"/>
    <w:next w:val="255"/>
    <w:qFormat/>
    <w:uiPriority w:val="0"/>
    <w:pPr>
      <w:spacing w:line="540" w:lineRule="atLeast"/>
    </w:pPr>
    <w:rPr>
      <w:rFonts w:ascii="宋体" w:hAnsi="Times New Roman" w:eastAsia="宋体" w:cs="宋体"/>
      <w:sz w:val="24"/>
      <w:szCs w:val="24"/>
    </w:rPr>
  </w:style>
  <w:style w:type="paragraph" w:customStyle="1" w:styleId="399">
    <w:name w:val="表内文"/>
    <w:basedOn w:val="1"/>
    <w:qFormat/>
    <w:uiPriority w:val="0"/>
    <w:pPr>
      <w:widowControl w:val="0"/>
      <w:autoSpaceDE w:val="0"/>
      <w:autoSpaceDN w:val="0"/>
      <w:adjustRightInd w:val="0"/>
      <w:spacing w:line="240" w:lineRule="auto"/>
      <w:jc w:val="center"/>
      <w:textAlignment w:val="bottom"/>
    </w:pPr>
    <w:rPr>
      <w:rFonts w:ascii="Calibri" w:hAnsi="Calibri"/>
      <w:kern w:val="0"/>
      <w:sz w:val="24"/>
      <w:szCs w:val="20"/>
    </w:rPr>
  </w:style>
  <w:style w:type="paragraph" w:customStyle="1" w:styleId="400">
    <w:name w:val="Definition List"/>
    <w:basedOn w:val="1"/>
    <w:next w:val="1"/>
    <w:qFormat/>
    <w:uiPriority w:val="0"/>
    <w:pPr>
      <w:widowControl w:val="0"/>
      <w:spacing w:line="288" w:lineRule="auto"/>
      <w:ind w:left="360"/>
      <w:jc w:val="both"/>
    </w:pPr>
    <w:rPr>
      <w:rFonts w:ascii="Calibri" w:hAnsi="Calibri"/>
      <w:szCs w:val="20"/>
    </w:rPr>
  </w:style>
  <w:style w:type="paragraph" w:customStyle="1" w:styleId="401">
    <w:name w:val="CM92"/>
    <w:basedOn w:val="255"/>
    <w:next w:val="255"/>
    <w:qFormat/>
    <w:uiPriority w:val="0"/>
    <w:pPr>
      <w:spacing w:after="530"/>
    </w:pPr>
    <w:rPr>
      <w:rFonts w:ascii="宋体" w:hAnsi="Times New Roman" w:eastAsia="宋体" w:cs="宋体"/>
      <w:sz w:val="24"/>
      <w:szCs w:val="24"/>
    </w:rPr>
  </w:style>
  <w:style w:type="paragraph" w:customStyle="1" w:styleId="402">
    <w:name w:val="Char1 Char Char Char Char Char1 Char Char Char Char Char Char Char Char Char Char Char Char Char Char Char Char Char Char Char Char Char Char Char Char Char"/>
    <w:basedOn w:val="1"/>
    <w:qFormat/>
    <w:uiPriority w:val="0"/>
    <w:pPr>
      <w:widowControl w:val="0"/>
      <w:spacing w:line="360" w:lineRule="auto"/>
      <w:jc w:val="both"/>
    </w:pPr>
    <w:rPr>
      <w:rFonts w:ascii="华文楷体" w:hAnsi="华文楷体" w:eastAsia="华文楷体"/>
      <w:b/>
      <w:sz w:val="24"/>
      <w:szCs w:val="21"/>
    </w:rPr>
  </w:style>
  <w:style w:type="paragraph" w:customStyle="1" w:styleId="403">
    <w:name w:val="CM53"/>
    <w:basedOn w:val="255"/>
    <w:next w:val="255"/>
    <w:qFormat/>
    <w:uiPriority w:val="0"/>
    <w:pPr>
      <w:spacing w:line="400" w:lineRule="atLeast"/>
    </w:pPr>
    <w:rPr>
      <w:rFonts w:ascii="宋体" w:hAnsi="Times New Roman" w:eastAsia="宋体" w:cs="宋体"/>
      <w:sz w:val="24"/>
      <w:szCs w:val="24"/>
    </w:rPr>
  </w:style>
  <w:style w:type="paragraph" w:customStyle="1" w:styleId="404">
    <w:name w:val="MM"/>
    <w:basedOn w:val="1"/>
    <w:qFormat/>
    <w:uiPriority w:val="0"/>
    <w:pPr>
      <w:widowControl w:val="0"/>
      <w:adjustRightInd w:val="0"/>
      <w:spacing w:before="60" w:after="60" w:line="360" w:lineRule="atLeast"/>
      <w:ind w:left="1560" w:hanging="426"/>
      <w:jc w:val="both"/>
      <w:textAlignment w:val="baseline"/>
    </w:pPr>
    <w:rPr>
      <w:rFonts w:ascii="宋体" w:hAnsi="Calibri"/>
      <w:spacing w:val="5"/>
      <w:kern w:val="0"/>
      <w:sz w:val="24"/>
      <w:szCs w:val="20"/>
    </w:rPr>
  </w:style>
  <w:style w:type="paragraph" w:customStyle="1" w:styleId="405">
    <w:name w:val="正文0"/>
    <w:basedOn w:val="1"/>
    <w:qFormat/>
    <w:uiPriority w:val="0"/>
    <w:pPr>
      <w:widowControl w:val="0"/>
      <w:adjustRightInd w:val="0"/>
      <w:spacing w:line="360" w:lineRule="auto"/>
      <w:ind w:firstLine="482"/>
      <w:jc w:val="both"/>
      <w:textAlignment w:val="baseline"/>
    </w:pPr>
    <w:rPr>
      <w:rFonts w:ascii="Calibri" w:hAnsi="Calibri"/>
      <w:kern w:val="24"/>
      <w:sz w:val="24"/>
      <w:szCs w:val="20"/>
    </w:rPr>
  </w:style>
  <w:style w:type="paragraph" w:customStyle="1" w:styleId="406">
    <w:name w:val="xl101"/>
    <w:basedOn w:val="1"/>
    <w:qFormat/>
    <w:uiPriority w:val="0"/>
    <w:pPr>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2"/>
      <w:szCs w:val="22"/>
    </w:rPr>
  </w:style>
  <w:style w:type="paragraph" w:customStyle="1" w:styleId="407">
    <w:name w:val="NO3"/>
    <w:basedOn w:val="1"/>
    <w:qFormat/>
    <w:uiPriority w:val="0"/>
    <w:pPr>
      <w:widowControl w:val="0"/>
      <w:tabs>
        <w:tab w:val="left" w:pos="907"/>
      </w:tabs>
      <w:spacing w:line="360" w:lineRule="auto"/>
      <w:jc w:val="both"/>
    </w:pPr>
    <w:rPr>
      <w:rFonts w:ascii="宋体" w:hAnsi="宋体" w:eastAsia="微软雅黑"/>
      <w:sz w:val="24"/>
    </w:rPr>
  </w:style>
  <w:style w:type="paragraph" w:customStyle="1" w:styleId="408">
    <w:name w:val="xl55"/>
    <w:basedOn w:val="1"/>
    <w:qFormat/>
    <w:uiPriority w:val="0"/>
    <w:pPr>
      <w:pBdr>
        <w:top w:val="single" w:color="auto" w:sz="4" w:space="0"/>
        <w:left w:val="single" w:color="auto" w:sz="4" w:space="0"/>
        <w:right w:val="single" w:color="auto" w:sz="4" w:space="0"/>
      </w:pBdr>
      <w:spacing w:before="100" w:beforeAutospacing="1" w:after="100" w:afterAutospacing="1" w:line="240" w:lineRule="auto"/>
    </w:pPr>
    <w:rPr>
      <w:rFonts w:ascii="宋体" w:hAnsi="宋体" w:cs="宋体"/>
      <w:kern w:val="0"/>
      <w:sz w:val="20"/>
      <w:szCs w:val="20"/>
    </w:rPr>
  </w:style>
  <w:style w:type="paragraph" w:customStyle="1" w:styleId="409">
    <w:name w:val="表格标题及框图标题"/>
    <w:basedOn w:val="1"/>
    <w:qFormat/>
    <w:uiPriority w:val="0"/>
    <w:pPr>
      <w:widowControl w:val="0"/>
      <w:adjustRightInd w:val="0"/>
      <w:snapToGrid w:val="0"/>
      <w:spacing w:before="156" w:beforeLines="50" w:after="156" w:afterLines="50" w:line="360" w:lineRule="auto"/>
      <w:ind w:firstLine="480" w:firstLineChars="200"/>
      <w:jc w:val="both"/>
      <w:outlineLvl w:val="4"/>
    </w:pPr>
    <w:rPr>
      <w:rFonts w:ascii="仿宋_GB2312" w:hAnsi="宋体" w:eastAsia="仿宋_GB2312"/>
      <w:bCs/>
      <w:snapToGrid w:val="0"/>
      <w:sz w:val="24"/>
      <w:szCs w:val="20"/>
    </w:rPr>
  </w:style>
  <w:style w:type="paragraph" w:customStyle="1" w:styleId="410">
    <w:name w:val="样式 正文缩进 Char正文（首行缩进两字）s4正文2正文缩进 Char Char Char正文缩进 Char Ch..."/>
    <w:basedOn w:val="20"/>
    <w:qFormat/>
    <w:uiPriority w:val="0"/>
    <w:pPr>
      <w:widowControl w:val="0"/>
      <w:spacing w:line="240" w:lineRule="auto"/>
      <w:ind w:firstLine="200" w:firstLineChars="200"/>
    </w:pPr>
    <w:rPr>
      <w:rFonts w:ascii="宋体" w:hAnsi="宋体" w:cs="宋体"/>
      <w:sz w:val="24"/>
      <w:szCs w:val="20"/>
    </w:rPr>
  </w:style>
  <w:style w:type="paragraph" w:customStyle="1" w:styleId="411">
    <w:name w:val="xl7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0"/>
      <w:szCs w:val="20"/>
    </w:rPr>
  </w:style>
  <w:style w:type="paragraph" w:customStyle="1" w:styleId="412">
    <w:name w:val="Style29"/>
    <w:basedOn w:val="1"/>
    <w:unhideWhenUsed/>
    <w:qFormat/>
    <w:uiPriority w:val="0"/>
    <w:pPr>
      <w:widowControl w:val="0"/>
      <w:spacing w:line="547" w:lineRule="exact"/>
      <w:ind w:firstLine="547"/>
      <w:jc w:val="both"/>
    </w:pPr>
    <w:rPr>
      <w:rFonts w:ascii="Calibri" w:hAnsi="Calibri" w:eastAsia="微软雅黑"/>
    </w:rPr>
  </w:style>
  <w:style w:type="paragraph" w:customStyle="1" w:styleId="413">
    <w:name w:val="xl3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Calibri" w:hAnsi="Calibri"/>
      <w:b/>
      <w:bCs/>
      <w:kern w:val="0"/>
      <w:sz w:val="24"/>
    </w:rPr>
  </w:style>
  <w:style w:type="paragraph" w:customStyle="1" w:styleId="414">
    <w:name w:val="条款正文（四级标题）"/>
    <w:basedOn w:val="5"/>
    <w:qFormat/>
    <w:uiPriority w:val="0"/>
    <w:pPr>
      <w:widowControl w:val="0"/>
      <w:tabs>
        <w:tab w:val="left" w:pos="936"/>
      </w:tabs>
      <w:spacing w:before="50" w:beforeLines="50" w:after="0" w:line="360" w:lineRule="auto"/>
    </w:pPr>
    <w:rPr>
      <w:rFonts w:ascii="Times New Roman" w:hAnsi="Times New Roman" w:eastAsia="宋体" w:cs="Times New Roman"/>
      <w:b w:val="0"/>
      <w:bCs w:val="0"/>
      <w:sz w:val="24"/>
      <w:szCs w:val="20"/>
    </w:rPr>
  </w:style>
  <w:style w:type="paragraph" w:customStyle="1" w:styleId="415">
    <w:name w:val="xl9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0"/>
      <w:szCs w:val="20"/>
    </w:rPr>
  </w:style>
  <w:style w:type="paragraph" w:customStyle="1" w:styleId="416">
    <w:name w:val="xl11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0"/>
      <w:szCs w:val="20"/>
    </w:rPr>
  </w:style>
  <w:style w:type="paragraph" w:customStyle="1" w:styleId="417">
    <w:name w:val="2 Char Char Char Char"/>
    <w:basedOn w:val="1"/>
    <w:qFormat/>
    <w:uiPriority w:val="0"/>
    <w:pPr>
      <w:widowControl w:val="0"/>
      <w:spacing w:line="240" w:lineRule="auto"/>
      <w:jc w:val="both"/>
    </w:pPr>
    <w:rPr>
      <w:rFonts w:ascii="宋体" w:hAnsi="宋体"/>
      <w:b/>
      <w:color w:val="000000"/>
      <w:sz w:val="24"/>
    </w:rPr>
  </w:style>
  <w:style w:type="paragraph" w:customStyle="1" w:styleId="418">
    <w:name w:val="1级标题"/>
    <w:basedOn w:val="1"/>
    <w:next w:val="1"/>
    <w:qFormat/>
    <w:uiPriority w:val="0"/>
    <w:pPr>
      <w:widowControl w:val="0"/>
      <w:spacing w:after="156" w:afterLines="50" w:line="360" w:lineRule="auto"/>
      <w:ind w:firstLine="200" w:firstLineChars="200"/>
      <w:jc w:val="both"/>
    </w:pPr>
    <w:rPr>
      <w:rFonts w:ascii="宋体" w:hAnsi="宋体" w:cs="宋体"/>
      <w:sz w:val="24"/>
    </w:rPr>
  </w:style>
  <w:style w:type="paragraph" w:customStyle="1" w:styleId="419">
    <w:name w:val="CM105"/>
    <w:basedOn w:val="255"/>
    <w:next w:val="255"/>
    <w:qFormat/>
    <w:uiPriority w:val="0"/>
    <w:pPr>
      <w:spacing w:after="1040"/>
    </w:pPr>
    <w:rPr>
      <w:rFonts w:ascii="宋体" w:hAnsi="Times New Roman" w:eastAsia="宋体" w:cs="宋体"/>
      <w:sz w:val="24"/>
      <w:szCs w:val="24"/>
    </w:rPr>
  </w:style>
  <w:style w:type="paragraph" w:customStyle="1" w:styleId="420">
    <w:name w:val="样式6"/>
    <w:basedOn w:val="421"/>
    <w:qFormat/>
    <w:uiPriority w:val="0"/>
    <w:pPr>
      <w:tabs>
        <w:tab w:val="center" w:pos="4153"/>
        <w:tab w:val="right" w:pos="8306"/>
      </w:tabs>
      <w:textAlignment w:val="center"/>
    </w:pPr>
  </w:style>
  <w:style w:type="paragraph" w:customStyle="1" w:styleId="421">
    <w:name w:val="页眉2"/>
    <w:basedOn w:val="56"/>
    <w:qFormat/>
    <w:uiPriority w:val="0"/>
    <w:pPr>
      <w:widowControl w:val="0"/>
      <w:pBdr>
        <w:top w:val="none" w:color="auto" w:sz="0" w:space="0"/>
        <w:left w:val="none" w:color="auto" w:sz="0" w:space="0"/>
        <w:bottom w:val="single" w:color="auto" w:sz="4" w:space="1"/>
        <w:right w:val="none" w:color="auto" w:sz="0" w:space="0"/>
      </w:pBdr>
      <w:jc w:val="center"/>
    </w:pPr>
    <w:rPr>
      <w:rFonts w:ascii="宋体" w:hAnsi="宋体"/>
      <w:szCs w:val="18"/>
    </w:rPr>
  </w:style>
  <w:style w:type="paragraph" w:customStyle="1" w:styleId="422">
    <w:name w:val="Style10"/>
    <w:basedOn w:val="1"/>
    <w:unhideWhenUsed/>
    <w:qFormat/>
    <w:uiPriority w:val="0"/>
    <w:pPr>
      <w:widowControl w:val="0"/>
      <w:spacing w:line="538" w:lineRule="exact"/>
      <w:jc w:val="both"/>
    </w:pPr>
    <w:rPr>
      <w:rFonts w:ascii="Calibri" w:hAnsi="Calibri" w:eastAsia="微软雅黑"/>
    </w:rPr>
  </w:style>
  <w:style w:type="paragraph" w:customStyle="1" w:styleId="423">
    <w:name w:val="CM56"/>
    <w:basedOn w:val="255"/>
    <w:next w:val="255"/>
    <w:qFormat/>
    <w:uiPriority w:val="0"/>
    <w:rPr>
      <w:rFonts w:ascii="宋体" w:hAnsi="Times New Roman" w:eastAsia="宋体" w:cs="宋体"/>
      <w:sz w:val="24"/>
      <w:szCs w:val="24"/>
    </w:rPr>
  </w:style>
  <w:style w:type="paragraph" w:customStyle="1" w:styleId="424">
    <w:name w:val="CM4"/>
    <w:basedOn w:val="255"/>
    <w:next w:val="255"/>
    <w:qFormat/>
    <w:uiPriority w:val="0"/>
    <w:rPr>
      <w:rFonts w:ascii="宋体" w:hAnsi="Times New Roman" w:eastAsia="宋体" w:cs="宋体"/>
      <w:sz w:val="24"/>
      <w:szCs w:val="24"/>
    </w:rPr>
  </w:style>
  <w:style w:type="paragraph" w:customStyle="1" w:styleId="425">
    <w:name w:val="Style46"/>
    <w:basedOn w:val="1"/>
    <w:unhideWhenUsed/>
    <w:qFormat/>
    <w:uiPriority w:val="0"/>
    <w:pPr>
      <w:widowControl w:val="0"/>
      <w:spacing w:line="672" w:lineRule="exact"/>
      <w:jc w:val="both"/>
    </w:pPr>
    <w:rPr>
      <w:rFonts w:ascii="Calibri" w:hAnsi="Calibri" w:eastAsia="微软雅黑"/>
    </w:rPr>
  </w:style>
  <w:style w:type="paragraph" w:customStyle="1" w:styleId="426">
    <w:name w:val="Style41"/>
    <w:basedOn w:val="1"/>
    <w:unhideWhenUsed/>
    <w:qFormat/>
    <w:uiPriority w:val="0"/>
    <w:pPr>
      <w:widowControl w:val="0"/>
      <w:spacing w:line="542" w:lineRule="exact"/>
      <w:ind w:firstLine="125"/>
      <w:jc w:val="both"/>
    </w:pPr>
    <w:rPr>
      <w:rFonts w:ascii="Calibri" w:hAnsi="Calibri" w:eastAsia="微软雅黑"/>
    </w:rPr>
  </w:style>
  <w:style w:type="paragraph" w:customStyle="1" w:styleId="427">
    <w:name w:val="CM76"/>
    <w:basedOn w:val="255"/>
    <w:next w:val="255"/>
    <w:qFormat/>
    <w:uiPriority w:val="0"/>
    <w:pPr>
      <w:spacing w:line="400" w:lineRule="atLeast"/>
    </w:pPr>
    <w:rPr>
      <w:rFonts w:ascii="宋体" w:hAnsi="Times New Roman" w:eastAsia="宋体" w:cs="宋体"/>
      <w:sz w:val="24"/>
      <w:szCs w:val="24"/>
    </w:rPr>
  </w:style>
  <w:style w:type="paragraph" w:customStyle="1" w:styleId="428">
    <w:name w:val="样式7表名"/>
    <w:next w:val="429"/>
    <w:qFormat/>
    <w:uiPriority w:val="0"/>
    <w:pPr>
      <w:spacing w:before="120" w:line="360" w:lineRule="auto"/>
      <w:jc w:val="center"/>
    </w:pPr>
    <w:rPr>
      <w:rFonts w:ascii="黑体" w:hAnsi="Calibri" w:eastAsia="黑体" w:cs="Times New Roman"/>
      <w:spacing w:val="60"/>
      <w:sz w:val="24"/>
      <w:lang w:val="en-US" w:eastAsia="zh-CN" w:bidi="ar-SA"/>
    </w:rPr>
  </w:style>
  <w:style w:type="paragraph" w:customStyle="1" w:styleId="429">
    <w:name w:val="样式8表号"/>
    <w:next w:val="430"/>
    <w:qFormat/>
    <w:uiPriority w:val="0"/>
    <w:pPr>
      <w:spacing w:line="360" w:lineRule="auto"/>
      <w:ind w:firstLine="510"/>
      <w:jc w:val="both"/>
    </w:pPr>
    <w:rPr>
      <w:rFonts w:ascii="Calibri" w:hAnsi="Calibri" w:eastAsia="宋体" w:cs="Times New Roman"/>
      <w:lang w:val="en-US" w:eastAsia="zh-CN" w:bidi="ar-SA"/>
    </w:rPr>
  </w:style>
  <w:style w:type="paragraph" w:customStyle="1" w:styleId="430">
    <w:name w:val="样式9表格"/>
    <w:next w:val="1"/>
    <w:qFormat/>
    <w:uiPriority w:val="0"/>
    <w:pPr>
      <w:spacing w:before="120" w:line="300" w:lineRule="auto"/>
      <w:jc w:val="center"/>
    </w:pPr>
    <w:rPr>
      <w:rFonts w:ascii="Calibri" w:hAnsi="Calibri" w:eastAsia="宋体" w:cs="Times New Roman"/>
      <w:lang w:val="en-US" w:eastAsia="zh-CN" w:bidi="ar-SA"/>
    </w:rPr>
  </w:style>
  <w:style w:type="paragraph" w:customStyle="1" w:styleId="431">
    <w:name w:val="表正文"/>
    <w:qFormat/>
    <w:uiPriority w:val="0"/>
    <w:pPr>
      <w:widowControl w:val="0"/>
      <w:ind w:left="840" w:leftChars="350"/>
      <w:jc w:val="both"/>
      <w:outlineLvl w:val="0"/>
    </w:pPr>
    <w:rPr>
      <w:rFonts w:ascii="宋体" w:hAnsi="Calibri" w:eastAsia="微软雅黑" w:cs="Times New Roman"/>
      <w:b/>
      <w:sz w:val="24"/>
      <w:lang w:val="en-US" w:eastAsia="zh-CN" w:bidi="ar-SA"/>
    </w:rPr>
  </w:style>
  <w:style w:type="paragraph" w:customStyle="1" w:styleId="432">
    <w:name w:val="XW标题4"/>
    <w:basedOn w:val="302"/>
    <w:next w:val="302"/>
    <w:qFormat/>
    <w:uiPriority w:val="0"/>
    <w:pPr>
      <w:snapToGrid/>
      <w:spacing w:before="200" w:line="360" w:lineRule="auto"/>
      <w:ind w:firstLine="0" w:firstLineChars="0"/>
      <w:outlineLvl w:val="3"/>
    </w:pPr>
    <w:rPr>
      <w:rFonts w:hAnsi="宋体" w:eastAsia="仿宋_GB2312"/>
      <w:b/>
      <w:sz w:val="28"/>
      <w:szCs w:val="20"/>
    </w:rPr>
  </w:style>
  <w:style w:type="paragraph" w:customStyle="1" w:styleId="433">
    <w:name w:val="样式 标题 4 + Times New Roman 非加粗 黑色 段前: 12 磅 段后: 6 磅 行距: 最小值 2..."/>
    <w:basedOn w:val="5"/>
    <w:qFormat/>
    <w:uiPriority w:val="0"/>
    <w:pPr>
      <w:widowControl w:val="0"/>
      <w:spacing w:before="0" w:after="0" w:line="520" w:lineRule="atLeast"/>
      <w:jc w:val="both"/>
    </w:pPr>
    <w:rPr>
      <w:rFonts w:ascii="Times New Roman" w:hAnsi="Times New Roman" w:eastAsia="黑体" w:cs="宋体"/>
      <w:b w:val="0"/>
      <w:bCs w:val="0"/>
      <w:color w:val="000000"/>
      <w:szCs w:val="20"/>
    </w:rPr>
  </w:style>
  <w:style w:type="paragraph" w:customStyle="1" w:styleId="434">
    <w:name w:val="xl31"/>
    <w:basedOn w:val="1"/>
    <w:qFormat/>
    <w:uiPriority w:val="0"/>
    <w:pPr>
      <w:pBdr>
        <w:left w:val="single" w:color="auto" w:sz="4" w:space="0"/>
        <w:right w:val="single" w:color="auto" w:sz="4" w:space="0"/>
      </w:pBdr>
      <w:spacing w:before="100" w:beforeAutospacing="1" w:after="100" w:afterAutospacing="1" w:line="240" w:lineRule="auto"/>
      <w:jc w:val="center"/>
      <w:textAlignment w:val="center"/>
    </w:pPr>
    <w:rPr>
      <w:rFonts w:ascii="宋体" w:hAnsi="宋体" w:eastAsia="微软雅黑"/>
      <w:kern w:val="0"/>
      <w:sz w:val="24"/>
    </w:rPr>
  </w:style>
  <w:style w:type="paragraph" w:customStyle="1" w:styleId="435">
    <w:name w:val="Style21"/>
    <w:basedOn w:val="1"/>
    <w:unhideWhenUsed/>
    <w:qFormat/>
    <w:uiPriority w:val="0"/>
    <w:pPr>
      <w:widowControl w:val="0"/>
      <w:spacing w:line="566" w:lineRule="exact"/>
      <w:ind w:firstLine="682"/>
      <w:jc w:val="both"/>
    </w:pPr>
    <w:rPr>
      <w:rFonts w:ascii="Calibri" w:hAnsi="Calibri" w:eastAsia="微软雅黑"/>
    </w:rPr>
  </w:style>
  <w:style w:type="paragraph" w:customStyle="1" w:styleId="436">
    <w:name w:val="Blockquote"/>
    <w:basedOn w:val="1"/>
    <w:qFormat/>
    <w:uiPriority w:val="0"/>
    <w:pPr>
      <w:widowControl w:val="0"/>
      <w:autoSpaceDE w:val="0"/>
      <w:autoSpaceDN w:val="0"/>
      <w:adjustRightInd w:val="0"/>
      <w:spacing w:before="100" w:after="100" w:line="240" w:lineRule="auto"/>
      <w:ind w:left="360" w:right="360"/>
    </w:pPr>
    <w:rPr>
      <w:rFonts w:ascii="Calibri" w:hAnsi="Calibri" w:eastAsia="微软雅黑"/>
      <w:kern w:val="0"/>
      <w:sz w:val="24"/>
      <w:szCs w:val="20"/>
    </w:rPr>
  </w:style>
  <w:style w:type="paragraph" w:customStyle="1" w:styleId="437">
    <w:name w:val="Char Char Char Char Char Char Char1"/>
    <w:basedOn w:val="1"/>
    <w:qFormat/>
    <w:uiPriority w:val="0"/>
    <w:pPr>
      <w:widowControl w:val="0"/>
      <w:snapToGrid w:val="0"/>
      <w:spacing w:line="360" w:lineRule="auto"/>
      <w:ind w:firstLine="200" w:firstLineChars="200"/>
      <w:jc w:val="both"/>
    </w:pPr>
    <w:rPr>
      <w:rFonts w:ascii="Calibri" w:hAnsi="Calibri" w:eastAsia="仿宋_GB2312"/>
      <w:sz w:val="24"/>
    </w:rPr>
  </w:style>
  <w:style w:type="paragraph" w:customStyle="1" w:styleId="438">
    <w:name w:val="Style44"/>
    <w:basedOn w:val="1"/>
    <w:unhideWhenUsed/>
    <w:qFormat/>
    <w:uiPriority w:val="0"/>
    <w:pPr>
      <w:widowControl w:val="0"/>
      <w:spacing w:line="240" w:lineRule="auto"/>
      <w:jc w:val="both"/>
    </w:pPr>
    <w:rPr>
      <w:rFonts w:ascii="Calibri" w:hAnsi="Calibri" w:eastAsia="微软雅黑"/>
    </w:rPr>
  </w:style>
  <w:style w:type="paragraph" w:customStyle="1" w:styleId="439">
    <w:name w:val="Char Char Char Char"/>
    <w:basedOn w:val="1"/>
    <w:qFormat/>
    <w:uiPriority w:val="0"/>
    <w:pPr>
      <w:widowControl w:val="0"/>
      <w:spacing w:line="240" w:lineRule="auto"/>
      <w:jc w:val="both"/>
    </w:pPr>
    <w:rPr>
      <w:rFonts w:ascii="Calibri" w:hAnsi="Calibri"/>
    </w:rPr>
  </w:style>
  <w:style w:type="paragraph" w:customStyle="1" w:styleId="440">
    <w:name w:val="样式 样式 标题 3 + 宋体 小三 + Times New Roman 四号"/>
    <w:basedOn w:val="391"/>
    <w:qFormat/>
    <w:uiPriority w:val="0"/>
    <w:pPr>
      <w:spacing w:before="156" w:beforeLines="50" w:after="0"/>
    </w:pPr>
    <w:rPr>
      <w:rFonts w:ascii="Times New Roman" w:hAnsi="Times New Roman"/>
    </w:rPr>
  </w:style>
  <w:style w:type="paragraph" w:customStyle="1" w:styleId="441">
    <w:name w:val="font7"/>
    <w:basedOn w:val="1"/>
    <w:qFormat/>
    <w:uiPriority w:val="0"/>
    <w:pPr>
      <w:spacing w:before="100" w:beforeAutospacing="1" w:after="100" w:afterAutospacing="1" w:line="240" w:lineRule="auto"/>
    </w:pPr>
    <w:rPr>
      <w:rFonts w:ascii="Calibri" w:hAnsi="Calibri"/>
      <w:kern w:val="0"/>
      <w:sz w:val="24"/>
    </w:rPr>
  </w:style>
  <w:style w:type="paragraph" w:customStyle="1" w:styleId="442">
    <w:name w:val="Char Char Char Char Char Char Char Char Char Char Char Char1 Char"/>
    <w:basedOn w:val="1"/>
    <w:qFormat/>
    <w:uiPriority w:val="0"/>
    <w:pPr>
      <w:widowControl w:val="0"/>
      <w:snapToGrid w:val="0"/>
      <w:spacing w:line="360" w:lineRule="auto"/>
      <w:ind w:firstLine="200" w:firstLineChars="200"/>
      <w:jc w:val="both"/>
    </w:pPr>
    <w:rPr>
      <w:rFonts w:ascii="Calibri" w:hAnsi="Calibri" w:eastAsia="仿宋_GB2312"/>
      <w:sz w:val="24"/>
    </w:rPr>
  </w:style>
  <w:style w:type="paragraph" w:customStyle="1" w:styleId="443">
    <w:name w:val="1.1.1.1a"/>
    <w:basedOn w:val="1"/>
    <w:qFormat/>
    <w:uiPriority w:val="0"/>
    <w:pPr>
      <w:widowControl w:val="0"/>
      <w:tabs>
        <w:tab w:val="left" w:pos="0"/>
        <w:tab w:val="left" w:pos="567"/>
        <w:tab w:val="left" w:pos="1134"/>
        <w:tab w:val="left" w:pos="8505"/>
      </w:tabs>
      <w:adjustRightInd w:val="0"/>
      <w:spacing w:before="60" w:after="156" w:afterLines="50" w:line="400" w:lineRule="atLeast"/>
      <w:ind w:left="1134" w:hanging="567"/>
      <w:jc w:val="both"/>
      <w:textAlignment w:val="baseline"/>
    </w:pPr>
    <w:rPr>
      <w:rFonts w:ascii="Arial" w:hAnsi="Arial"/>
      <w:kern w:val="0"/>
      <w:sz w:val="24"/>
      <w:szCs w:val="20"/>
    </w:rPr>
  </w:style>
  <w:style w:type="paragraph" w:customStyle="1" w:styleId="444">
    <w:name w:val="CM101"/>
    <w:basedOn w:val="255"/>
    <w:next w:val="255"/>
    <w:qFormat/>
    <w:uiPriority w:val="0"/>
    <w:pPr>
      <w:spacing w:after="800"/>
    </w:pPr>
    <w:rPr>
      <w:rFonts w:ascii="宋体" w:hAnsi="Times New Roman" w:eastAsia="宋体" w:cs="宋体"/>
      <w:sz w:val="24"/>
      <w:szCs w:val="24"/>
    </w:rPr>
  </w:style>
  <w:style w:type="paragraph" w:customStyle="1" w:styleId="445">
    <w:name w:val="正文空2格  1."/>
    <w:basedOn w:val="1"/>
    <w:qFormat/>
    <w:uiPriority w:val="0"/>
    <w:pPr>
      <w:widowControl w:val="0"/>
      <w:adjustRightInd w:val="0"/>
      <w:spacing w:line="360" w:lineRule="auto"/>
      <w:ind w:firstLine="480" w:firstLineChars="200"/>
      <w:jc w:val="both"/>
      <w:textAlignment w:val="baseline"/>
    </w:pPr>
    <w:rPr>
      <w:rFonts w:ascii="宋体" w:hAnsi="Calibri" w:eastAsia="仿宋" w:cs="宋体"/>
      <w:kern w:val="0"/>
      <w:sz w:val="28"/>
      <w:szCs w:val="20"/>
    </w:rPr>
  </w:style>
  <w:style w:type="paragraph" w:customStyle="1" w:styleId="446">
    <w:name w:val="目录1"/>
    <w:basedOn w:val="1"/>
    <w:qFormat/>
    <w:uiPriority w:val="0"/>
    <w:pPr>
      <w:widowControl w:val="0"/>
      <w:adjustRightInd w:val="0"/>
      <w:spacing w:line="420" w:lineRule="atLeast"/>
      <w:jc w:val="both"/>
      <w:textAlignment w:val="baseline"/>
    </w:pPr>
    <w:rPr>
      <w:rFonts w:ascii="Calibri" w:hAnsi="Calibri" w:eastAsia="黑体"/>
      <w:b/>
      <w:kern w:val="0"/>
      <w:szCs w:val="20"/>
    </w:rPr>
  </w:style>
  <w:style w:type="paragraph" w:customStyle="1" w:styleId="447">
    <w:name w:val="Char18 Char Char"/>
    <w:basedOn w:val="1"/>
    <w:qFormat/>
    <w:uiPriority w:val="0"/>
    <w:pPr>
      <w:widowControl w:val="0"/>
      <w:spacing w:line="240" w:lineRule="auto"/>
      <w:jc w:val="both"/>
    </w:pPr>
    <w:rPr>
      <w:rFonts w:ascii="宋体" w:hAnsi="Calibri"/>
    </w:rPr>
  </w:style>
  <w:style w:type="paragraph" w:customStyle="1" w:styleId="448">
    <w:name w:val="表格内容"/>
    <w:basedOn w:val="33"/>
    <w:qFormat/>
    <w:uiPriority w:val="0"/>
    <w:pPr>
      <w:widowControl w:val="0"/>
      <w:suppressLineNumbers/>
      <w:suppressAutoHyphens/>
      <w:spacing w:line="240" w:lineRule="auto"/>
    </w:pPr>
    <w:rPr>
      <w:rFonts w:ascii="Calibri" w:hAnsi="Calibri" w:cs="Tahoma"/>
      <w:kern w:val="0"/>
      <w:sz w:val="24"/>
    </w:rPr>
  </w:style>
  <w:style w:type="paragraph" w:customStyle="1" w:styleId="449">
    <w:name w:val="xl2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pPr>
    <w:rPr>
      <w:rFonts w:ascii="宋体" w:hAnsi="宋体"/>
      <w:kern w:val="0"/>
      <w:sz w:val="24"/>
    </w:rPr>
  </w:style>
  <w:style w:type="paragraph" w:customStyle="1" w:styleId="450">
    <w:name w:val="1"/>
    <w:basedOn w:val="1"/>
    <w:qFormat/>
    <w:uiPriority w:val="0"/>
    <w:pPr>
      <w:widowControl w:val="0"/>
      <w:spacing w:after="156" w:afterLines="50" w:line="360" w:lineRule="auto"/>
      <w:jc w:val="both"/>
    </w:pPr>
    <w:rPr>
      <w:rFonts w:ascii="宋体" w:hAnsi="宋体" w:eastAsia="微软雅黑"/>
      <w:b/>
      <w:sz w:val="30"/>
      <w:szCs w:val="21"/>
    </w:rPr>
  </w:style>
  <w:style w:type="paragraph" w:customStyle="1" w:styleId="451">
    <w:name w:val="1.1.1.1A"/>
    <w:basedOn w:val="452"/>
    <w:qFormat/>
    <w:uiPriority w:val="0"/>
    <w:pPr>
      <w:tabs>
        <w:tab w:val="left" w:pos="1134"/>
        <w:tab w:val="left" w:pos="1843"/>
        <w:tab w:val="left" w:pos="26875"/>
      </w:tabs>
      <w:autoSpaceDE w:val="0"/>
      <w:autoSpaceDN w:val="0"/>
      <w:ind w:left="1560" w:hanging="426"/>
      <w:textAlignment w:val="auto"/>
    </w:pPr>
    <w:rPr>
      <w:rFonts w:ascii="宋体" w:hAnsi="Times New Roman"/>
      <w:sz w:val="24"/>
    </w:rPr>
  </w:style>
  <w:style w:type="paragraph" w:customStyle="1" w:styleId="452">
    <w:name w:val="1.1.1.1"/>
    <w:basedOn w:val="1"/>
    <w:qFormat/>
    <w:uiPriority w:val="0"/>
    <w:pPr>
      <w:widowControl w:val="0"/>
      <w:tabs>
        <w:tab w:val="left" w:pos="1134"/>
      </w:tabs>
      <w:adjustRightInd w:val="0"/>
      <w:spacing w:before="60" w:after="60" w:line="360" w:lineRule="atLeast"/>
      <w:ind w:left="1134" w:hanging="1134"/>
      <w:jc w:val="both"/>
      <w:textAlignment w:val="baseline"/>
    </w:pPr>
    <w:rPr>
      <w:rFonts w:ascii="Arial" w:hAnsi="Arial"/>
      <w:kern w:val="0"/>
      <w:szCs w:val="20"/>
    </w:rPr>
  </w:style>
  <w:style w:type="paragraph" w:customStyle="1" w:styleId="453">
    <w:name w:val="Char Char Char1 Char Char Char Char"/>
    <w:basedOn w:val="1"/>
    <w:next w:val="1"/>
    <w:qFormat/>
    <w:uiPriority w:val="0"/>
    <w:pPr>
      <w:widowControl w:val="0"/>
      <w:spacing w:line="240" w:lineRule="auto"/>
      <w:jc w:val="both"/>
    </w:pPr>
    <w:rPr>
      <w:rFonts w:ascii="Calibri" w:hAnsi="Calibri"/>
    </w:rPr>
  </w:style>
  <w:style w:type="paragraph" w:customStyle="1" w:styleId="454">
    <w:name w:val="Char18 Char Char Char"/>
    <w:basedOn w:val="1"/>
    <w:qFormat/>
    <w:uiPriority w:val="0"/>
    <w:pPr>
      <w:widowControl w:val="0"/>
      <w:spacing w:line="240" w:lineRule="auto"/>
      <w:jc w:val="both"/>
    </w:pPr>
    <w:rPr>
      <w:rFonts w:ascii="宋体" w:hAnsi="Calibri"/>
    </w:rPr>
  </w:style>
  <w:style w:type="paragraph" w:customStyle="1" w:styleId="455">
    <w:name w:val="表格2"/>
    <w:basedOn w:val="1"/>
    <w:qFormat/>
    <w:uiPriority w:val="0"/>
    <w:pPr>
      <w:widowControl w:val="0"/>
      <w:adjustRightInd w:val="0"/>
      <w:spacing w:before="60" w:after="60" w:line="240" w:lineRule="auto"/>
      <w:jc w:val="center"/>
    </w:pPr>
    <w:rPr>
      <w:rFonts w:ascii="宋体" w:hAnsi="Calibri"/>
      <w:color w:val="000000"/>
      <w:kern w:val="0"/>
      <w:sz w:val="24"/>
      <w:szCs w:val="20"/>
    </w:rPr>
  </w:style>
  <w:style w:type="paragraph" w:customStyle="1" w:styleId="456">
    <w:name w:val="表"/>
    <w:basedOn w:val="1"/>
    <w:qFormat/>
    <w:uiPriority w:val="0"/>
    <w:pPr>
      <w:widowControl w:val="0"/>
      <w:adjustRightInd w:val="0"/>
      <w:snapToGrid w:val="0"/>
      <w:spacing w:line="360" w:lineRule="auto"/>
      <w:jc w:val="center"/>
    </w:pPr>
    <w:rPr>
      <w:rFonts w:ascii="Calibri" w:hAnsi="Calibri"/>
      <w:kern w:val="0"/>
      <w:szCs w:val="20"/>
    </w:rPr>
  </w:style>
  <w:style w:type="paragraph" w:customStyle="1" w:styleId="457">
    <w:name w:val="标书正文2"/>
    <w:basedOn w:val="1"/>
    <w:qFormat/>
    <w:uiPriority w:val="0"/>
    <w:pPr>
      <w:snapToGrid w:val="0"/>
      <w:spacing w:before="78" w:beforeLines="25" w:after="78" w:afterLines="25" w:line="240" w:lineRule="auto"/>
      <w:ind w:firstLine="200" w:firstLineChars="200"/>
      <w:jc w:val="both"/>
    </w:pPr>
    <w:rPr>
      <w:rFonts w:ascii="华文细黑" w:hAnsi="华文细黑" w:eastAsia="华文细黑"/>
      <w:sz w:val="24"/>
      <w:szCs w:val="20"/>
    </w:rPr>
  </w:style>
  <w:style w:type="paragraph" w:customStyle="1" w:styleId="458">
    <w:name w:val="主文档"/>
    <w:basedOn w:val="1"/>
    <w:qFormat/>
    <w:uiPriority w:val="0"/>
    <w:pPr>
      <w:widowControl w:val="0"/>
      <w:spacing w:line="240" w:lineRule="auto"/>
      <w:ind w:firstLine="200" w:firstLineChars="200"/>
    </w:pPr>
    <w:rPr>
      <w:rFonts w:ascii="Calibri" w:hAnsi="Calibri"/>
      <w:sz w:val="28"/>
    </w:rPr>
  </w:style>
  <w:style w:type="paragraph" w:customStyle="1" w:styleId="459">
    <w:name w:val="xl25"/>
    <w:basedOn w:val="1"/>
    <w:qFormat/>
    <w:uiPriority w:val="0"/>
    <w:pPr>
      <w:pBdr>
        <w:left w:val="single" w:color="auto" w:sz="4" w:space="0"/>
        <w:bottom w:val="single" w:color="auto" w:sz="4" w:space="0"/>
        <w:right w:val="double" w:color="auto" w:sz="6" w:space="0"/>
      </w:pBdr>
      <w:spacing w:before="100" w:beforeAutospacing="1" w:after="100" w:afterAutospacing="1" w:line="240" w:lineRule="auto"/>
      <w:jc w:val="center"/>
    </w:pPr>
    <w:rPr>
      <w:rFonts w:ascii="Arial Unicode MS" w:hAnsi="Arial Unicode MS" w:eastAsia="Arial Unicode MS" w:cs="Arial Unicode MS"/>
      <w:kern w:val="0"/>
      <w:sz w:val="24"/>
    </w:rPr>
  </w:style>
  <w:style w:type="paragraph" w:customStyle="1" w:styleId="460">
    <w:name w:val="无间隔1"/>
    <w:qFormat/>
    <w:uiPriority w:val="1"/>
    <w:pPr>
      <w:widowControl w:val="0"/>
      <w:spacing w:after="156" w:afterLines="50"/>
      <w:jc w:val="both"/>
    </w:pPr>
    <w:rPr>
      <w:rFonts w:ascii="Calibri" w:hAnsi="Calibri" w:eastAsia="宋体" w:cs="Times New Roman"/>
      <w:kern w:val="2"/>
      <w:sz w:val="21"/>
      <w:szCs w:val="24"/>
      <w:lang w:val="en-US" w:eastAsia="zh-CN" w:bidi="ar-SA"/>
    </w:rPr>
  </w:style>
  <w:style w:type="paragraph" w:customStyle="1" w:styleId="461">
    <w:name w:val="xl66"/>
    <w:basedOn w:val="1"/>
    <w:qFormat/>
    <w:uiPriority w:val="0"/>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line="240" w:lineRule="auto"/>
    </w:pPr>
    <w:rPr>
      <w:rFonts w:ascii="宋体" w:hAnsi="宋体" w:cs="宋体"/>
      <w:kern w:val="0"/>
      <w:sz w:val="20"/>
      <w:szCs w:val="20"/>
    </w:rPr>
  </w:style>
  <w:style w:type="paragraph" w:customStyle="1" w:styleId="462">
    <w:name w:val="CM89"/>
    <w:basedOn w:val="255"/>
    <w:next w:val="255"/>
    <w:qFormat/>
    <w:uiPriority w:val="0"/>
    <w:pPr>
      <w:spacing w:line="440" w:lineRule="atLeast"/>
    </w:pPr>
    <w:rPr>
      <w:rFonts w:ascii="宋体" w:hAnsi="Times New Roman" w:eastAsia="宋体" w:cs="宋体"/>
      <w:sz w:val="24"/>
      <w:szCs w:val="24"/>
    </w:rPr>
  </w:style>
  <w:style w:type="paragraph" w:customStyle="1" w:styleId="463">
    <w:name w:val="样式 样式 表名 + 首行缩进:  1 字符 + 首行缩进:  1 字符"/>
    <w:basedOn w:val="1"/>
    <w:qFormat/>
    <w:uiPriority w:val="0"/>
    <w:pPr>
      <w:widowControl w:val="0"/>
      <w:spacing w:after="60" w:line="440" w:lineRule="exact"/>
      <w:ind w:firstLine="100" w:firstLineChars="100"/>
    </w:pPr>
    <w:rPr>
      <w:rFonts w:ascii="黑体" w:hAnsi="Calibri" w:eastAsia="黑体" w:cs="宋体"/>
      <w:sz w:val="24"/>
      <w:szCs w:val="20"/>
    </w:rPr>
  </w:style>
  <w:style w:type="paragraph" w:customStyle="1" w:styleId="464">
    <w:name w:val="xl8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0"/>
      <w:szCs w:val="20"/>
    </w:rPr>
  </w:style>
  <w:style w:type="paragraph" w:customStyle="1" w:styleId="465">
    <w:name w:val="Style56"/>
    <w:basedOn w:val="1"/>
    <w:unhideWhenUsed/>
    <w:qFormat/>
    <w:uiPriority w:val="0"/>
    <w:pPr>
      <w:widowControl w:val="0"/>
      <w:spacing w:line="240" w:lineRule="auto"/>
      <w:jc w:val="both"/>
    </w:pPr>
    <w:rPr>
      <w:rFonts w:ascii="Calibri" w:hAnsi="Calibri" w:eastAsia="微软雅黑"/>
    </w:rPr>
  </w:style>
  <w:style w:type="paragraph" w:customStyle="1" w:styleId="466">
    <w:name w:val="xl100"/>
    <w:basedOn w:val="1"/>
    <w:qFormat/>
    <w:uiPriority w:val="0"/>
    <w:pPr>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2"/>
      <w:szCs w:val="22"/>
    </w:rPr>
  </w:style>
  <w:style w:type="paragraph" w:customStyle="1" w:styleId="467">
    <w:name w:val="正文2"/>
    <w:qFormat/>
    <w:uiPriority w:val="0"/>
    <w:pPr>
      <w:widowControl w:val="0"/>
      <w:adjustRightInd w:val="0"/>
      <w:spacing w:line="312" w:lineRule="atLeast"/>
      <w:jc w:val="both"/>
      <w:textAlignment w:val="baseline"/>
    </w:pPr>
    <w:rPr>
      <w:rFonts w:ascii="宋体" w:hAnsi="Calibri" w:eastAsia="宋体" w:cs="Times New Roman"/>
      <w:sz w:val="34"/>
      <w:lang w:val="en-US" w:eastAsia="zh-CN" w:bidi="ar-SA"/>
    </w:rPr>
  </w:style>
  <w:style w:type="paragraph" w:customStyle="1" w:styleId="468">
    <w:name w:val="xl2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Calibri" w:hAnsi="Calibri"/>
      <w:kern w:val="0"/>
      <w:sz w:val="24"/>
    </w:rPr>
  </w:style>
  <w:style w:type="paragraph" w:customStyle="1" w:styleId="469">
    <w:name w:val="正文文本 21"/>
    <w:basedOn w:val="1"/>
    <w:qFormat/>
    <w:uiPriority w:val="0"/>
    <w:pPr>
      <w:widowControl w:val="0"/>
      <w:adjustRightInd w:val="0"/>
      <w:spacing w:after="156" w:afterLines="50" w:line="360" w:lineRule="atLeast"/>
      <w:ind w:firstLine="720"/>
      <w:jc w:val="both"/>
      <w:textAlignment w:val="baseline"/>
    </w:pPr>
    <w:rPr>
      <w:rFonts w:ascii="宋体" w:hAnsi="Calibri"/>
      <w:kern w:val="0"/>
      <w:sz w:val="28"/>
      <w:szCs w:val="20"/>
    </w:rPr>
  </w:style>
  <w:style w:type="paragraph" w:customStyle="1" w:styleId="470">
    <w:name w:val="CM103"/>
    <w:basedOn w:val="255"/>
    <w:next w:val="255"/>
    <w:qFormat/>
    <w:uiPriority w:val="0"/>
    <w:pPr>
      <w:spacing w:after="1508"/>
    </w:pPr>
    <w:rPr>
      <w:rFonts w:ascii="宋体" w:hAnsi="Times New Roman" w:eastAsia="宋体" w:cs="宋体"/>
      <w:sz w:val="24"/>
      <w:szCs w:val="24"/>
    </w:rPr>
  </w:style>
  <w:style w:type="paragraph" w:customStyle="1" w:styleId="471">
    <w:name w:val="A"/>
    <w:basedOn w:val="1"/>
    <w:next w:val="1"/>
    <w:qFormat/>
    <w:uiPriority w:val="0"/>
    <w:pPr>
      <w:widowControl w:val="0"/>
      <w:tabs>
        <w:tab w:val="left" w:pos="360"/>
      </w:tabs>
      <w:spacing w:line="240" w:lineRule="auto"/>
      <w:ind w:left="360" w:hanging="360" w:hangingChars="200"/>
      <w:jc w:val="both"/>
    </w:pPr>
    <w:rPr>
      <w:rFonts w:ascii="Calibri" w:hAnsi="Calibri"/>
      <w:sz w:val="24"/>
      <w:szCs w:val="20"/>
    </w:rPr>
  </w:style>
  <w:style w:type="paragraph" w:customStyle="1" w:styleId="472">
    <w:name w:val="日期2"/>
    <w:basedOn w:val="1"/>
    <w:next w:val="1"/>
    <w:qFormat/>
    <w:uiPriority w:val="0"/>
    <w:pPr>
      <w:widowControl w:val="0"/>
      <w:adjustRightInd w:val="0"/>
      <w:spacing w:before="156" w:beforeLines="50" w:after="156" w:afterLines="50" w:line="360" w:lineRule="auto"/>
      <w:ind w:firstLine="200" w:firstLineChars="200"/>
      <w:jc w:val="both"/>
      <w:textAlignment w:val="baseline"/>
    </w:pPr>
    <w:rPr>
      <w:rFonts w:ascii="Calibri" w:hAnsi="Calibri"/>
      <w:szCs w:val="20"/>
    </w:rPr>
  </w:style>
  <w:style w:type="paragraph" w:customStyle="1" w:styleId="473">
    <w:name w:val="Style73"/>
    <w:basedOn w:val="1"/>
    <w:unhideWhenUsed/>
    <w:qFormat/>
    <w:uiPriority w:val="0"/>
    <w:pPr>
      <w:widowControl w:val="0"/>
      <w:spacing w:line="538" w:lineRule="exact"/>
      <w:ind w:firstLine="533"/>
      <w:jc w:val="both"/>
    </w:pPr>
    <w:rPr>
      <w:rFonts w:ascii="Calibri" w:hAnsi="Calibri" w:eastAsia="微软雅黑"/>
    </w:rPr>
  </w:style>
  <w:style w:type="paragraph" w:customStyle="1" w:styleId="474">
    <w:name w:val="xl81"/>
    <w:basedOn w:val="1"/>
    <w:qFormat/>
    <w:uiPriority w:val="0"/>
    <w:pPr>
      <w:pBdr>
        <w:left w:val="single" w:color="auto" w:sz="4" w:space="0"/>
        <w:bottom w:val="single" w:color="auto" w:sz="4" w:space="0"/>
        <w:right w:val="single" w:color="auto" w:sz="4" w:space="0"/>
      </w:pBdr>
      <w:spacing w:before="100" w:beforeAutospacing="1" w:after="100" w:afterAutospacing="1" w:line="240" w:lineRule="auto"/>
      <w:textAlignment w:val="center"/>
    </w:pPr>
    <w:rPr>
      <w:rFonts w:ascii="宋体" w:hAnsi="宋体" w:cs="宋体"/>
      <w:kern w:val="0"/>
      <w:sz w:val="20"/>
      <w:szCs w:val="20"/>
    </w:rPr>
  </w:style>
  <w:style w:type="paragraph" w:customStyle="1" w:styleId="475">
    <w:name w:val="表格5号字"/>
    <w:basedOn w:val="1"/>
    <w:next w:val="1"/>
    <w:qFormat/>
    <w:uiPriority w:val="0"/>
    <w:pPr>
      <w:widowControl w:val="0"/>
      <w:spacing w:line="440" w:lineRule="exact"/>
      <w:ind w:firstLine="200" w:firstLineChars="200"/>
      <w:jc w:val="center"/>
    </w:pPr>
    <w:rPr>
      <w:rFonts w:ascii="Calibri" w:hAnsi="Calibri"/>
      <w:sz w:val="24"/>
    </w:rPr>
  </w:style>
  <w:style w:type="paragraph" w:customStyle="1" w:styleId="476">
    <w:name w:val="2 Char"/>
    <w:basedOn w:val="1"/>
    <w:qFormat/>
    <w:uiPriority w:val="0"/>
    <w:pPr>
      <w:widowControl w:val="0"/>
      <w:spacing w:line="240" w:lineRule="auto"/>
      <w:jc w:val="both"/>
    </w:pPr>
    <w:rPr>
      <w:rFonts w:ascii="宋体" w:hAnsi="Calibri"/>
    </w:rPr>
  </w:style>
  <w:style w:type="paragraph" w:customStyle="1" w:styleId="477">
    <w:name w:val="Style59"/>
    <w:basedOn w:val="1"/>
    <w:unhideWhenUsed/>
    <w:qFormat/>
    <w:uiPriority w:val="0"/>
    <w:pPr>
      <w:widowControl w:val="0"/>
      <w:spacing w:line="240" w:lineRule="auto"/>
      <w:jc w:val="both"/>
    </w:pPr>
    <w:rPr>
      <w:rFonts w:ascii="Calibri" w:hAnsi="Calibri" w:eastAsia="微软雅黑"/>
    </w:rPr>
  </w:style>
  <w:style w:type="paragraph" w:customStyle="1" w:styleId="478">
    <w:name w:val="CM98"/>
    <w:basedOn w:val="255"/>
    <w:next w:val="255"/>
    <w:qFormat/>
    <w:uiPriority w:val="0"/>
    <w:pPr>
      <w:spacing w:after="570"/>
    </w:pPr>
    <w:rPr>
      <w:rFonts w:ascii="宋体" w:hAnsi="Times New Roman" w:eastAsia="宋体" w:cs="宋体"/>
      <w:sz w:val="24"/>
      <w:szCs w:val="24"/>
    </w:rPr>
  </w:style>
  <w:style w:type="paragraph" w:customStyle="1" w:styleId="479">
    <w:name w:val="Char1 Char Char Char Char Char Char1"/>
    <w:basedOn w:val="1"/>
    <w:qFormat/>
    <w:uiPriority w:val="0"/>
    <w:pPr>
      <w:widowControl w:val="0"/>
      <w:spacing w:line="240" w:lineRule="auto"/>
      <w:jc w:val="both"/>
    </w:pPr>
    <w:rPr>
      <w:rFonts w:ascii="Calibri" w:hAnsi="Calibri"/>
    </w:rPr>
  </w:style>
  <w:style w:type="paragraph" w:customStyle="1" w:styleId="480">
    <w:name w:val="Char5 Char Char"/>
    <w:basedOn w:val="1"/>
    <w:qFormat/>
    <w:uiPriority w:val="0"/>
    <w:pPr>
      <w:widowControl w:val="0"/>
      <w:spacing w:line="240" w:lineRule="auto"/>
      <w:jc w:val="both"/>
    </w:pPr>
    <w:rPr>
      <w:rFonts w:ascii="宋体" w:hAnsi="Calibri"/>
    </w:rPr>
  </w:style>
  <w:style w:type="paragraph" w:customStyle="1" w:styleId="481">
    <w:name w:val="标题5"/>
    <w:basedOn w:val="5"/>
    <w:qFormat/>
    <w:uiPriority w:val="0"/>
    <w:pPr>
      <w:widowControl w:val="0"/>
      <w:spacing w:before="100" w:beforeAutospacing="1" w:after="100" w:afterAutospacing="1" w:line="360" w:lineRule="exact"/>
      <w:jc w:val="both"/>
    </w:pPr>
    <w:rPr>
      <w:rFonts w:ascii="宋体" w:hAnsi="宋体" w:eastAsia="宋体" w:cs="Times New Roman"/>
      <w:b w:val="0"/>
    </w:rPr>
  </w:style>
  <w:style w:type="paragraph" w:customStyle="1" w:styleId="482">
    <w:name w:val="默认段落字体 Para Char Char Char Char"/>
    <w:basedOn w:val="1"/>
    <w:qFormat/>
    <w:uiPriority w:val="0"/>
    <w:pPr>
      <w:widowControl w:val="0"/>
      <w:spacing w:line="240" w:lineRule="auto"/>
      <w:jc w:val="both"/>
    </w:pPr>
    <w:rPr>
      <w:rFonts w:ascii="Calibri" w:hAnsi="Calibri"/>
    </w:rPr>
  </w:style>
  <w:style w:type="paragraph" w:customStyle="1" w:styleId="483">
    <w:name w:val="Style8"/>
    <w:basedOn w:val="1"/>
    <w:unhideWhenUsed/>
    <w:qFormat/>
    <w:uiPriority w:val="0"/>
    <w:pPr>
      <w:widowControl w:val="0"/>
      <w:spacing w:line="566" w:lineRule="exact"/>
      <w:jc w:val="center"/>
    </w:pPr>
    <w:rPr>
      <w:rFonts w:ascii="Calibri" w:hAnsi="Calibri" w:eastAsia="微软雅黑"/>
    </w:rPr>
  </w:style>
  <w:style w:type="paragraph" w:customStyle="1" w:styleId="484">
    <w:name w:val="xl37"/>
    <w:basedOn w:val="1"/>
    <w:qFormat/>
    <w:uiPriority w:val="0"/>
    <w:pPr>
      <w:pBdr>
        <w:top w:val="single" w:color="auto" w:sz="4" w:space="0"/>
        <w:left w:val="single" w:color="auto" w:sz="8" w:space="0"/>
        <w:bottom w:val="single" w:color="auto" w:sz="4" w:space="0"/>
        <w:right w:val="single" w:color="auto" w:sz="4" w:space="0"/>
      </w:pBdr>
      <w:shd w:val="clear" w:color="auto" w:fill="FFFFFF"/>
      <w:spacing w:before="100" w:beforeAutospacing="1" w:after="100" w:afterAutospacing="1" w:line="240" w:lineRule="auto"/>
      <w:jc w:val="center"/>
    </w:pPr>
    <w:rPr>
      <w:rFonts w:ascii="宋体" w:hAnsi="宋体" w:cs="宋体"/>
      <w:b/>
      <w:bCs/>
      <w:kern w:val="0"/>
      <w:sz w:val="20"/>
      <w:szCs w:val="20"/>
    </w:rPr>
  </w:style>
  <w:style w:type="paragraph" w:customStyle="1" w:styleId="485">
    <w:name w:val="xl82"/>
    <w:basedOn w:val="1"/>
    <w:qFormat/>
    <w:uiPriority w:val="0"/>
    <w:pPr>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0"/>
      <w:szCs w:val="20"/>
    </w:rPr>
  </w:style>
  <w:style w:type="paragraph" w:customStyle="1" w:styleId="486">
    <w:name w:val="基准标题"/>
    <w:basedOn w:val="33"/>
    <w:next w:val="33"/>
    <w:qFormat/>
    <w:uiPriority w:val="0"/>
    <w:pPr>
      <w:tabs>
        <w:tab w:val="left" w:pos="6000"/>
        <w:tab w:val="left" w:pos="7680"/>
      </w:tabs>
      <w:spacing w:after="0" w:line="360" w:lineRule="auto"/>
      <w:ind w:firstLine="422" w:firstLineChars="200"/>
    </w:pPr>
    <w:rPr>
      <w:rFonts w:ascii="Garamond" w:hAnsi="Garamond"/>
      <w:kern w:val="0"/>
      <w:szCs w:val="20"/>
    </w:rPr>
  </w:style>
  <w:style w:type="paragraph" w:customStyle="1" w:styleId="487">
    <w:name w:val="CM77"/>
    <w:basedOn w:val="255"/>
    <w:next w:val="255"/>
    <w:qFormat/>
    <w:uiPriority w:val="0"/>
    <w:pPr>
      <w:spacing w:line="400" w:lineRule="atLeast"/>
    </w:pPr>
    <w:rPr>
      <w:rFonts w:ascii="宋体" w:hAnsi="Times New Roman" w:eastAsia="宋体" w:cs="宋体"/>
      <w:sz w:val="24"/>
      <w:szCs w:val="24"/>
    </w:rPr>
  </w:style>
  <w:style w:type="paragraph" w:customStyle="1" w:styleId="488">
    <w:name w:val="CM54"/>
    <w:basedOn w:val="255"/>
    <w:next w:val="255"/>
    <w:qFormat/>
    <w:uiPriority w:val="0"/>
    <w:pPr>
      <w:spacing w:line="398" w:lineRule="atLeast"/>
    </w:pPr>
    <w:rPr>
      <w:rFonts w:ascii="宋体" w:hAnsi="Times New Roman" w:eastAsia="宋体" w:cs="宋体"/>
      <w:sz w:val="24"/>
      <w:szCs w:val="24"/>
    </w:rPr>
  </w:style>
  <w:style w:type="paragraph" w:customStyle="1" w:styleId="489">
    <w:name w:val="Style13"/>
    <w:basedOn w:val="1"/>
    <w:unhideWhenUsed/>
    <w:qFormat/>
    <w:uiPriority w:val="0"/>
    <w:pPr>
      <w:widowControl w:val="0"/>
      <w:spacing w:line="240" w:lineRule="auto"/>
      <w:jc w:val="both"/>
    </w:pPr>
    <w:rPr>
      <w:rFonts w:ascii="Calibri" w:hAnsi="Calibri" w:eastAsia="微软雅黑"/>
    </w:rPr>
  </w:style>
  <w:style w:type="paragraph" w:customStyle="1" w:styleId="490">
    <w:name w:val="应用正文文本"/>
    <w:basedOn w:val="1"/>
    <w:qFormat/>
    <w:uiPriority w:val="0"/>
    <w:pPr>
      <w:widowControl w:val="0"/>
      <w:spacing w:line="460" w:lineRule="atLeast"/>
      <w:ind w:firstLine="480" w:firstLineChars="200"/>
      <w:jc w:val="both"/>
    </w:pPr>
    <w:rPr>
      <w:rFonts w:ascii="Calibri" w:hAnsi="Calibri"/>
      <w:sz w:val="24"/>
    </w:rPr>
  </w:style>
  <w:style w:type="paragraph" w:customStyle="1" w:styleId="491">
    <w:name w:val="xl10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2"/>
      <w:szCs w:val="22"/>
    </w:rPr>
  </w:style>
  <w:style w:type="paragraph" w:customStyle="1" w:styleId="492">
    <w:name w:val="列表段落1"/>
    <w:basedOn w:val="1"/>
    <w:qFormat/>
    <w:uiPriority w:val="34"/>
    <w:pPr>
      <w:widowControl w:val="0"/>
      <w:spacing w:line="240" w:lineRule="auto"/>
      <w:ind w:firstLine="420" w:firstLineChars="200"/>
      <w:jc w:val="both"/>
    </w:pPr>
    <w:rPr>
      <w:rFonts w:ascii="Calibri" w:hAnsi="Calibri" w:eastAsia="微软雅黑"/>
      <w:szCs w:val="22"/>
    </w:rPr>
  </w:style>
  <w:style w:type="paragraph" w:customStyle="1" w:styleId="493">
    <w:name w:val="XW悬挂正文"/>
    <w:basedOn w:val="302"/>
    <w:qFormat/>
    <w:uiPriority w:val="0"/>
    <w:pPr>
      <w:snapToGrid/>
      <w:spacing w:line="360" w:lineRule="auto"/>
      <w:ind w:left="1474" w:hanging="340" w:firstLineChars="0"/>
    </w:pPr>
    <w:rPr>
      <w:rFonts w:hAnsi="宋体"/>
      <w:sz w:val="24"/>
      <w:szCs w:val="20"/>
    </w:rPr>
  </w:style>
  <w:style w:type="paragraph" w:customStyle="1" w:styleId="494">
    <w:name w:val="font1"/>
    <w:basedOn w:val="1"/>
    <w:qFormat/>
    <w:uiPriority w:val="0"/>
    <w:pPr>
      <w:spacing w:before="100" w:beforeAutospacing="1" w:after="100" w:afterAutospacing="1" w:line="240" w:lineRule="auto"/>
    </w:pPr>
    <w:rPr>
      <w:rFonts w:ascii="宋体" w:hAnsi="宋体" w:cs="宋体"/>
      <w:kern w:val="0"/>
      <w:sz w:val="24"/>
    </w:rPr>
  </w:style>
  <w:style w:type="paragraph" w:customStyle="1" w:styleId="495">
    <w:name w:val="Char Char Char Char Char Char Char Char Char Char Char Char Char Char Char Char Char Char Char Char Char"/>
    <w:basedOn w:val="1"/>
    <w:qFormat/>
    <w:uiPriority w:val="0"/>
    <w:pPr>
      <w:widowControl w:val="0"/>
      <w:spacing w:line="240" w:lineRule="auto"/>
      <w:jc w:val="both"/>
    </w:pPr>
    <w:rPr>
      <w:rFonts w:ascii="Calibri" w:hAnsi="Calibri"/>
    </w:rPr>
  </w:style>
  <w:style w:type="paragraph" w:customStyle="1" w:styleId="496">
    <w:name w:val="xl10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0"/>
      <w:szCs w:val="20"/>
    </w:rPr>
  </w:style>
  <w:style w:type="paragraph" w:customStyle="1" w:styleId="497">
    <w:name w:val="xl67"/>
    <w:basedOn w:val="1"/>
    <w:qFormat/>
    <w:uiPriority w:val="0"/>
    <w:pPr>
      <w:pBdr>
        <w:top w:val="single" w:color="auto" w:sz="4" w:space="0"/>
        <w:left w:val="single" w:color="auto" w:sz="4" w:space="0"/>
        <w:right w:val="single" w:color="auto" w:sz="4" w:space="0"/>
      </w:pBdr>
      <w:spacing w:before="100" w:beforeAutospacing="1" w:after="100" w:afterAutospacing="1" w:line="240" w:lineRule="auto"/>
      <w:jc w:val="center"/>
    </w:pPr>
    <w:rPr>
      <w:rFonts w:ascii="宋体" w:hAnsi="宋体" w:cs="宋体"/>
      <w:kern w:val="0"/>
      <w:sz w:val="20"/>
      <w:szCs w:val="20"/>
    </w:rPr>
  </w:style>
  <w:style w:type="paragraph" w:customStyle="1" w:styleId="498">
    <w:name w:val="Char Char"/>
    <w:basedOn w:val="1"/>
    <w:qFormat/>
    <w:uiPriority w:val="0"/>
    <w:pPr>
      <w:spacing w:after="160" w:line="240" w:lineRule="exact"/>
    </w:pPr>
    <w:rPr>
      <w:rFonts w:ascii="Verdana" w:hAnsi="Verdana" w:eastAsia="仿宋_GB2312"/>
      <w:kern w:val="0"/>
      <w:sz w:val="24"/>
      <w:szCs w:val="20"/>
      <w:lang w:eastAsia="en-US"/>
    </w:rPr>
  </w:style>
  <w:style w:type="paragraph" w:customStyle="1" w:styleId="499">
    <w:name w:val="表文字"/>
    <w:basedOn w:val="1"/>
    <w:qFormat/>
    <w:uiPriority w:val="0"/>
    <w:pPr>
      <w:widowControl w:val="0"/>
      <w:adjustRightInd w:val="0"/>
      <w:snapToGrid w:val="0"/>
      <w:spacing w:after="156" w:afterLines="50" w:line="240" w:lineRule="auto"/>
      <w:jc w:val="both"/>
    </w:pPr>
    <w:rPr>
      <w:rFonts w:ascii="Calibri" w:hAnsi="Calibri" w:eastAsia="仿宋_GB2312"/>
      <w:szCs w:val="21"/>
    </w:rPr>
  </w:style>
  <w:style w:type="paragraph" w:customStyle="1" w:styleId="500">
    <w:name w:val="xl5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0"/>
      <w:szCs w:val="20"/>
    </w:rPr>
  </w:style>
  <w:style w:type="paragraph" w:customStyle="1" w:styleId="501">
    <w:name w:val="CM39"/>
    <w:basedOn w:val="255"/>
    <w:next w:val="255"/>
    <w:qFormat/>
    <w:uiPriority w:val="0"/>
    <w:pPr>
      <w:spacing w:line="400" w:lineRule="atLeast"/>
    </w:pPr>
    <w:rPr>
      <w:rFonts w:ascii="宋体" w:hAnsi="Times New Roman" w:eastAsia="宋体" w:cs="宋体"/>
      <w:sz w:val="24"/>
      <w:szCs w:val="24"/>
    </w:rPr>
  </w:style>
  <w:style w:type="paragraph" w:customStyle="1" w:styleId="502">
    <w:name w:val="xl56"/>
    <w:basedOn w:val="1"/>
    <w:qFormat/>
    <w:uiPriority w:val="0"/>
    <w:pPr>
      <w:pBdr>
        <w:top w:val="single" w:color="auto" w:sz="4" w:space="0"/>
        <w:left w:val="single" w:color="auto" w:sz="4" w:space="0"/>
        <w:right w:val="single" w:color="auto" w:sz="8" w:space="0"/>
      </w:pBdr>
      <w:shd w:val="clear" w:color="auto" w:fill="FFFFFF"/>
      <w:spacing w:before="100" w:beforeAutospacing="1" w:after="100" w:afterAutospacing="1" w:line="240" w:lineRule="auto"/>
      <w:jc w:val="center"/>
    </w:pPr>
    <w:rPr>
      <w:rFonts w:ascii="宋体" w:hAnsi="宋体" w:cs="宋体"/>
      <w:kern w:val="0"/>
      <w:sz w:val="20"/>
      <w:szCs w:val="20"/>
    </w:rPr>
  </w:style>
  <w:style w:type="paragraph" w:customStyle="1" w:styleId="503">
    <w:name w:val="CM47"/>
    <w:basedOn w:val="255"/>
    <w:next w:val="255"/>
    <w:qFormat/>
    <w:uiPriority w:val="0"/>
    <w:pPr>
      <w:spacing w:line="440" w:lineRule="atLeast"/>
    </w:pPr>
    <w:rPr>
      <w:rFonts w:ascii="宋体" w:hAnsi="Times New Roman" w:eastAsia="宋体" w:cs="宋体"/>
      <w:sz w:val="24"/>
      <w:szCs w:val="24"/>
    </w:rPr>
  </w:style>
  <w:style w:type="paragraph" w:customStyle="1" w:styleId="504">
    <w:name w:val="Style23"/>
    <w:basedOn w:val="1"/>
    <w:unhideWhenUsed/>
    <w:qFormat/>
    <w:uiPriority w:val="0"/>
    <w:pPr>
      <w:widowControl w:val="0"/>
      <w:spacing w:line="240" w:lineRule="auto"/>
      <w:jc w:val="both"/>
    </w:pPr>
    <w:rPr>
      <w:rFonts w:ascii="Calibri" w:hAnsi="Calibri" w:eastAsia="微软雅黑"/>
    </w:rPr>
  </w:style>
  <w:style w:type="paragraph" w:customStyle="1" w:styleId="505">
    <w:name w:val="CM18"/>
    <w:basedOn w:val="255"/>
    <w:next w:val="255"/>
    <w:qFormat/>
    <w:uiPriority w:val="0"/>
    <w:pPr>
      <w:spacing w:line="313" w:lineRule="atLeast"/>
    </w:pPr>
    <w:rPr>
      <w:rFonts w:ascii="宋体" w:hAnsi="Times New Roman" w:eastAsia="宋体" w:cs="宋体"/>
      <w:sz w:val="24"/>
      <w:szCs w:val="24"/>
    </w:rPr>
  </w:style>
  <w:style w:type="paragraph" w:customStyle="1" w:styleId="506">
    <w:name w:val="xl89"/>
    <w:basedOn w:val="1"/>
    <w:qFormat/>
    <w:uiPriority w:val="0"/>
    <w:pPr>
      <w:pBdr>
        <w:left w:val="single" w:color="auto" w:sz="4" w:space="0"/>
        <w:bottom w:val="single" w:color="auto" w:sz="4" w:space="0"/>
        <w:right w:val="single" w:color="auto" w:sz="4" w:space="0"/>
      </w:pBdr>
      <w:spacing w:before="100" w:beforeAutospacing="1" w:after="100" w:afterAutospacing="1" w:line="240" w:lineRule="auto"/>
      <w:textAlignment w:val="center"/>
    </w:pPr>
    <w:rPr>
      <w:rFonts w:ascii="宋体" w:hAnsi="宋体" w:cs="宋体"/>
      <w:kern w:val="0"/>
      <w:sz w:val="22"/>
      <w:szCs w:val="22"/>
    </w:rPr>
  </w:style>
  <w:style w:type="paragraph" w:customStyle="1" w:styleId="507">
    <w:name w:val="Style48"/>
    <w:basedOn w:val="1"/>
    <w:unhideWhenUsed/>
    <w:qFormat/>
    <w:uiPriority w:val="0"/>
    <w:pPr>
      <w:widowControl w:val="0"/>
      <w:spacing w:line="542" w:lineRule="exact"/>
      <w:jc w:val="right"/>
    </w:pPr>
    <w:rPr>
      <w:rFonts w:ascii="Calibri" w:hAnsi="Calibri" w:eastAsia="微软雅黑"/>
    </w:rPr>
  </w:style>
  <w:style w:type="paragraph" w:customStyle="1" w:styleId="508">
    <w:name w:val="Char2"/>
    <w:basedOn w:val="1"/>
    <w:qFormat/>
    <w:uiPriority w:val="0"/>
    <w:pPr>
      <w:widowControl w:val="0"/>
      <w:spacing w:after="156" w:afterLines="50" w:line="240" w:lineRule="auto"/>
      <w:jc w:val="both"/>
    </w:pPr>
    <w:rPr>
      <w:rFonts w:ascii="Tahoma" w:hAnsi="Tahoma"/>
      <w:sz w:val="24"/>
      <w:szCs w:val="20"/>
    </w:rPr>
  </w:style>
  <w:style w:type="paragraph" w:customStyle="1" w:styleId="509">
    <w:name w:val="节标题"/>
    <w:basedOn w:val="1"/>
    <w:qFormat/>
    <w:uiPriority w:val="0"/>
    <w:pPr>
      <w:widowControl w:val="0"/>
      <w:spacing w:before="240" w:after="240" w:line="240" w:lineRule="auto"/>
      <w:jc w:val="center"/>
    </w:pPr>
    <w:rPr>
      <w:rFonts w:ascii="Calibri" w:hAnsi="Calibri" w:eastAsia="文鼎CS长美黑"/>
      <w:w w:val="95"/>
      <w:sz w:val="32"/>
      <w:szCs w:val="20"/>
    </w:rPr>
  </w:style>
  <w:style w:type="paragraph" w:customStyle="1" w:styleId="510">
    <w:name w:val="xl85"/>
    <w:basedOn w:val="1"/>
    <w:qFormat/>
    <w:uiPriority w:val="0"/>
    <w:pPr>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0"/>
      <w:szCs w:val="20"/>
    </w:rPr>
  </w:style>
  <w:style w:type="paragraph" w:customStyle="1" w:styleId="511">
    <w:name w:val="样式 样式 标题 2标题 2 Char Char Char节标题 1.11.1标题2b2 + 加粗 段前: 0.3 行 段......"/>
    <w:basedOn w:val="1"/>
    <w:qFormat/>
    <w:uiPriority w:val="0"/>
    <w:pPr>
      <w:widowControl w:val="0"/>
      <w:autoSpaceDE w:val="0"/>
      <w:autoSpaceDN w:val="0"/>
      <w:adjustRightInd w:val="0"/>
      <w:spacing w:before="120" w:beforeLines="50" w:after="120" w:afterLines="50" w:line="460" w:lineRule="exact"/>
      <w:ind w:firstLine="200" w:firstLineChars="200"/>
      <w:outlineLvl w:val="1"/>
    </w:pPr>
    <w:rPr>
      <w:rFonts w:ascii="黑体" w:hAnsi="宋体" w:eastAsia="黑体" w:cs="宋体"/>
      <w:b/>
      <w:color w:val="000000"/>
      <w:kern w:val="28"/>
      <w:sz w:val="32"/>
      <w:szCs w:val="32"/>
    </w:rPr>
  </w:style>
  <w:style w:type="paragraph" w:customStyle="1" w:styleId="512">
    <w:name w:val="正文文本缩进 32"/>
    <w:basedOn w:val="1"/>
    <w:qFormat/>
    <w:uiPriority w:val="0"/>
    <w:pPr>
      <w:widowControl w:val="0"/>
      <w:adjustRightInd w:val="0"/>
      <w:spacing w:line="360" w:lineRule="atLeast"/>
      <w:ind w:firstLine="555"/>
      <w:jc w:val="both"/>
      <w:textAlignment w:val="baseline"/>
    </w:pPr>
    <w:rPr>
      <w:rFonts w:ascii="宋体" w:hAnsi="Calibri"/>
      <w:color w:val="000000"/>
      <w:kern w:val="0"/>
      <w:sz w:val="24"/>
      <w:szCs w:val="20"/>
    </w:rPr>
  </w:style>
  <w:style w:type="paragraph" w:customStyle="1" w:styleId="513">
    <w:name w:val="xl35"/>
    <w:basedOn w:val="1"/>
    <w:qFormat/>
    <w:uiPriority w:val="0"/>
    <w:pPr>
      <w:pBdr>
        <w:top w:val="single" w:color="auto" w:sz="4" w:space="0"/>
        <w:left w:val="single" w:color="auto" w:sz="8" w:space="0"/>
        <w:bottom w:val="single" w:color="auto" w:sz="4" w:space="0"/>
        <w:right w:val="single" w:color="auto" w:sz="4" w:space="0"/>
      </w:pBdr>
      <w:shd w:val="clear" w:color="auto" w:fill="FFFFFF"/>
      <w:spacing w:before="100" w:beforeAutospacing="1" w:after="100" w:afterAutospacing="1" w:line="240" w:lineRule="auto"/>
      <w:jc w:val="center"/>
    </w:pPr>
    <w:rPr>
      <w:rFonts w:ascii="宋体" w:hAnsi="宋体" w:cs="宋体"/>
      <w:kern w:val="0"/>
      <w:sz w:val="20"/>
      <w:szCs w:val="20"/>
    </w:rPr>
  </w:style>
  <w:style w:type="paragraph" w:customStyle="1" w:styleId="514">
    <w:name w:val="Char5"/>
    <w:basedOn w:val="1"/>
    <w:qFormat/>
    <w:uiPriority w:val="0"/>
    <w:pPr>
      <w:widowControl w:val="0"/>
      <w:spacing w:line="240" w:lineRule="auto"/>
      <w:jc w:val="both"/>
    </w:pPr>
    <w:rPr>
      <w:rFonts w:ascii="宋体" w:hAnsi="Calibri"/>
    </w:rPr>
  </w:style>
  <w:style w:type="paragraph" w:customStyle="1" w:styleId="515">
    <w:name w:val="xl83"/>
    <w:basedOn w:val="1"/>
    <w:qFormat/>
    <w:uiPriority w:val="0"/>
    <w:pPr>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0"/>
      <w:szCs w:val="20"/>
    </w:rPr>
  </w:style>
  <w:style w:type="paragraph" w:customStyle="1" w:styleId="516">
    <w:name w:val="标 题 4"/>
    <w:basedOn w:val="5"/>
    <w:qFormat/>
    <w:uiPriority w:val="0"/>
    <w:pPr>
      <w:widowControl w:val="0"/>
      <w:snapToGrid w:val="0"/>
      <w:spacing w:before="156" w:beforeLines="50" w:after="0" w:line="460" w:lineRule="exact"/>
    </w:pPr>
    <w:rPr>
      <w:rFonts w:ascii="Arial" w:hAnsi="Times New Roman" w:eastAsia="宋体" w:cs="宋体"/>
      <w:b w:val="0"/>
      <w:kern w:val="0"/>
      <w:sz w:val="24"/>
      <w:szCs w:val="20"/>
      <w:lang w:val="zh-CN"/>
    </w:rPr>
  </w:style>
  <w:style w:type="paragraph" w:customStyle="1" w:styleId="517">
    <w:name w:val="xl108"/>
    <w:basedOn w:val="1"/>
    <w:qFormat/>
    <w:uiPriority w:val="0"/>
    <w:pPr>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b/>
      <w:bCs/>
      <w:kern w:val="0"/>
      <w:sz w:val="20"/>
      <w:szCs w:val="20"/>
    </w:rPr>
  </w:style>
  <w:style w:type="paragraph" w:customStyle="1" w:styleId="518">
    <w:name w:val="CM94"/>
    <w:basedOn w:val="255"/>
    <w:next w:val="255"/>
    <w:qFormat/>
    <w:uiPriority w:val="0"/>
    <w:pPr>
      <w:spacing w:after="63"/>
    </w:pPr>
    <w:rPr>
      <w:rFonts w:ascii="宋体" w:hAnsi="Times New Roman" w:eastAsia="宋体" w:cs="宋体"/>
      <w:sz w:val="24"/>
      <w:szCs w:val="24"/>
    </w:rPr>
  </w:style>
  <w:style w:type="paragraph" w:customStyle="1" w:styleId="519">
    <w:name w:val="font11"/>
    <w:basedOn w:val="1"/>
    <w:qFormat/>
    <w:uiPriority w:val="0"/>
    <w:pPr>
      <w:spacing w:before="100" w:beforeAutospacing="1" w:after="100" w:afterAutospacing="1" w:line="240" w:lineRule="auto"/>
    </w:pPr>
    <w:rPr>
      <w:rFonts w:ascii="Calibri" w:hAnsi="Calibri"/>
      <w:b/>
      <w:bCs/>
      <w:kern w:val="0"/>
      <w:sz w:val="20"/>
      <w:szCs w:val="20"/>
    </w:rPr>
  </w:style>
  <w:style w:type="paragraph" w:customStyle="1" w:styleId="520">
    <w:name w:val="表头1"/>
    <w:basedOn w:val="399"/>
    <w:qFormat/>
    <w:uiPriority w:val="0"/>
    <w:pPr>
      <w:jc w:val="right"/>
    </w:pPr>
  </w:style>
  <w:style w:type="paragraph" w:customStyle="1" w:styleId="521">
    <w:name w:val="Style65"/>
    <w:basedOn w:val="1"/>
    <w:unhideWhenUsed/>
    <w:qFormat/>
    <w:uiPriority w:val="0"/>
    <w:pPr>
      <w:widowControl w:val="0"/>
      <w:spacing w:line="240" w:lineRule="auto"/>
      <w:jc w:val="both"/>
    </w:pPr>
    <w:rPr>
      <w:rFonts w:ascii="Calibri" w:hAnsi="Calibri" w:eastAsia="微软雅黑"/>
    </w:rPr>
  </w:style>
  <w:style w:type="paragraph" w:customStyle="1" w:styleId="522">
    <w:name w:val="样式44"/>
    <w:basedOn w:val="1"/>
    <w:qFormat/>
    <w:uiPriority w:val="0"/>
    <w:pPr>
      <w:widowControl w:val="0"/>
      <w:numPr>
        <w:ilvl w:val="3"/>
        <w:numId w:val="12"/>
      </w:numPr>
      <w:spacing w:line="240" w:lineRule="auto"/>
      <w:ind w:left="0" w:firstLine="531" w:firstLineChars="200"/>
      <w:jc w:val="both"/>
    </w:pPr>
    <w:rPr>
      <w:rFonts w:ascii="Calibri" w:hAnsi="Calibri" w:eastAsia="仿宋_GB2312"/>
      <w:sz w:val="28"/>
    </w:rPr>
  </w:style>
  <w:style w:type="paragraph" w:customStyle="1" w:styleId="523">
    <w:name w:val="样式26"/>
    <w:basedOn w:val="44"/>
    <w:qFormat/>
    <w:uiPriority w:val="0"/>
    <w:pPr>
      <w:spacing w:line="520" w:lineRule="atLeast"/>
      <w:ind w:firstLine="480" w:firstLineChars="200"/>
    </w:pPr>
    <w:rPr>
      <w:rFonts w:ascii="Times New Roman" w:hAnsi="Times New Roman" w:cs="Times New Roman"/>
      <w:color w:val="000000"/>
      <w:kern w:val="0"/>
      <w:sz w:val="24"/>
      <w:szCs w:val="24"/>
    </w:rPr>
  </w:style>
  <w:style w:type="paragraph" w:customStyle="1" w:styleId="524">
    <w:name w:val="Style16"/>
    <w:basedOn w:val="1"/>
    <w:unhideWhenUsed/>
    <w:qFormat/>
    <w:uiPriority w:val="0"/>
    <w:pPr>
      <w:widowControl w:val="0"/>
      <w:spacing w:line="240" w:lineRule="auto"/>
      <w:jc w:val="right"/>
    </w:pPr>
    <w:rPr>
      <w:rFonts w:ascii="Calibri" w:hAnsi="Calibri" w:eastAsia="微软雅黑"/>
    </w:rPr>
  </w:style>
  <w:style w:type="paragraph" w:customStyle="1" w:styleId="525">
    <w:name w:val="p15"/>
    <w:basedOn w:val="1"/>
    <w:qFormat/>
    <w:uiPriority w:val="0"/>
    <w:pPr>
      <w:spacing w:line="220" w:lineRule="atLeast"/>
      <w:jc w:val="center"/>
    </w:pPr>
    <w:rPr>
      <w:rFonts w:ascii="仿宋_GB2312" w:hAnsi="宋体" w:eastAsia="仿宋_GB2312" w:cs="宋体"/>
      <w:kern w:val="0"/>
      <w:szCs w:val="21"/>
    </w:rPr>
  </w:style>
  <w:style w:type="paragraph" w:customStyle="1" w:styleId="526">
    <w:name w:val="正文21"/>
    <w:basedOn w:val="1"/>
    <w:next w:val="1"/>
    <w:qFormat/>
    <w:uiPriority w:val="0"/>
    <w:pPr>
      <w:widowControl w:val="0"/>
      <w:tabs>
        <w:tab w:val="left" w:pos="4025"/>
      </w:tabs>
      <w:spacing w:line="360" w:lineRule="auto"/>
      <w:ind w:left="4025" w:hanging="425" w:firstLineChars="200"/>
      <w:jc w:val="both"/>
    </w:pPr>
    <w:rPr>
      <w:rFonts w:ascii="Calibri" w:hAnsi="宋体"/>
      <w:sz w:val="24"/>
      <w:szCs w:val="20"/>
    </w:rPr>
  </w:style>
  <w:style w:type="paragraph" w:customStyle="1" w:styleId="527">
    <w:name w:val="xl92"/>
    <w:basedOn w:val="1"/>
    <w:qFormat/>
    <w:uiPriority w:val="0"/>
    <w:pPr>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b/>
      <w:bCs/>
      <w:kern w:val="0"/>
      <w:sz w:val="20"/>
      <w:szCs w:val="20"/>
    </w:rPr>
  </w:style>
  <w:style w:type="paragraph" w:customStyle="1" w:styleId="528">
    <w:name w:val="Char1"/>
    <w:basedOn w:val="1"/>
    <w:qFormat/>
    <w:uiPriority w:val="0"/>
    <w:pPr>
      <w:spacing w:after="160" w:line="240" w:lineRule="exact"/>
    </w:pPr>
    <w:rPr>
      <w:rFonts w:ascii="Verdana" w:hAnsi="Verdana" w:eastAsia="微软雅黑"/>
      <w:kern w:val="0"/>
      <w:sz w:val="20"/>
      <w:szCs w:val="20"/>
      <w:lang w:eastAsia="en-US"/>
    </w:rPr>
  </w:style>
  <w:style w:type="paragraph" w:customStyle="1" w:styleId="529">
    <w:name w:val="Style62"/>
    <w:basedOn w:val="1"/>
    <w:unhideWhenUsed/>
    <w:qFormat/>
    <w:uiPriority w:val="0"/>
    <w:pPr>
      <w:widowControl w:val="0"/>
      <w:spacing w:line="240" w:lineRule="auto"/>
      <w:jc w:val="both"/>
    </w:pPr>
    <w:rPr>
      <w:rFonts w:ascii="Calibri" w:hAnsi="Calibri" w:eastAsia="微软雅黑"/>
    </w:rPr>
  </w:style>
  <w:style w:type="paragraph" w:customStyle="1" w:styleId="530">
    <w:name w:val="xl80"/>
    <w:basedOn w:val="1"/>
    <w:qFormat/>
    <w:uiPriority w:val="0"/>
    <w:pPr>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0"/>
      <w:szCs w:val="20"/>
    </w:rPr>
  </w:style>
  <w:style w:type="paragraph" w:customStyle="1" w:styleId="531">
    <w:name w:val="样式 小四 黑色 两端对齐 首行缩进:  0.9 厘米 行距: 最小值 23 磅"/>
    <w:basedOn w:val="1"/>
    <w:qFormat/>
    <w:uiPriority w:val="0"/>
    <w:pPr>
      <w:widowControl w:val="0"/>
      <w:adjustRightInd w:val="0"/>
      <w:spacing w:line="360" w:lineRule="auto"/>
      <w:ind w:firstLine="510"/>
      <w:jc w:val="both"/>
      <w:textAlignment w:val="baseline"/>
    </w:pPr>
    <w:rPr>
      <w:rFonts w:ascii="Calibri" w:hAnsi="Calibri" w:cs="宋体"/>
      <w:color w:val="000000"/>
      <w:kern w:val="0"/>
      <w:sz w:val="24"/>
      <w:szCs w:val="20"/>
    </w:rPr>
  </w:style>
  <w:style w:type="paragraph" w:customStyle="1" w:styleId="532">
    <w:name w:val="样式 行距: 1.5 倍行距"/>
    <w:basedOn w:val="1"/>
    <w:qFormat/>
    <w:uiPriority w:val="0"/>
    <w:pPr>
      <w:widowControl w:val="0"/>
      <w:spacing w:line="360" w:lineRule="auto"/>
      <w:jc w:val="both"/>
    </w:pPr>
    <w:rPr>
      <w:rFonts w:ascii="Calibri" w:hAnsi="Calibri" w:cs="宋体"/>
      <w:szCs w:val="20"/>
    </w:rPr>
  </w:style>
  <w:style w:type="paragraph" w:customStyle="1" w:styleId="533">
    <w:name w:val="Char"/>
    <w:basedOn w:val="1"/>
    <w:qFormat/>
    <w:uiPriority w:val="0"/>
    <w:pPr>
      <w:spacing w:after="160" w:line="240" w:lineRule="exact"/>
    </w:pPr>
    <w:rPr>
      <w:rFonts w:ascii="Verdana" w:hAnsi="Verdana" w:eastAsia="微软雅黑"/>
      <w:kern w:val="0"/>
      <w:sz w:val="20"/>
      <w:szCs w:val="20"/>
      <w:lang w:eastAsia="en-US"/>
    </w:rPr>
  </w:style>
  <w:style w:type="paragraph" w:customStyle="1" w:styleId="534">
    <w:name w:val="WPS Plain"/>
    <w:qFormat/>
    <w:uiPriority w:val="0"/>
    <w:rPr>
      <w:rFonts w:ascii="Calibri" w:hAnsi="Calibri" w:eastAsia="宋体" w:cs="Times New Roman"/>
      <w:lang w:val="en-US" w:eastAsia="zh-CN" w:bidi="ar-SA"/>
    </w:rPr>
  </w:style>
  <w:style w:type="paragraph" w:customStyle="1" w:styleId="535">
    <w:name w:val="xl90"/>
    <w:basedOn w:val="1"/>
    <w:qFormat/>
    <w:uiPriority w:val="0"/>
    <w:pPr>
      <w:pBdr>
        <w:left w:val="single" w:color="auto" w:sz="4" w:space="0"/>
        <w:bottom w:val="single" w:color="auto" w:sz="4" w:space="0"/>
        <w:right w:val="single" w:color="auto" w:sz="4" w:space="0"/>
      </w:pBdr>
      <w:spacing w:before="100" w:beforeAutospacing="1" w:after="100" w:afterAutospacing="1" w:line="240" w:lineRule="auto"/>
      <w:textAlignment w:val="center"/>
    </w:pPr>
    <w:rPr>
      <w:rFonts w:ascii="宋体" w:hAnsi="宋体" w:cs="宋体"/>
      <w:b/>
      <w:bCs/>
      <w:kern w:val="0"/>
      <w:sz w:val="20"/>
      <w:szCs w:val="20"/>
    </w:rPr>
  </w:style>
  <w:style w:type="paragraph" w:customStyle="1" w:styleId="536">
    <w:name w:val="CM1"/>
    <w:basedOn w:val="255"/>
    <w:next w:val="255"/>
    <w:qFormat/>
    <w:uiPriority w:val="0"/>
    <w:rPr>
      <w:rFonts w:ascii="宋体" w:hAnsi="Times New Roman" w:eastAsia="宋体" w:cs="宋体"/>
      <w:sz w:val="24"/>
      <w:szCs w:val="24"/>
    </w:rPr>
  </w:style>
  <w:style w:type="paragraph" w:customStyle="1" w:styleId="537">
    <w:name w:val="正文文本缩进 21"/>
    <w:basedOn w:val="1"/>
    <w:qFormat/>
    <w:uiPriority w:val="0"/>
    <w:pPr>
      <w:widowControl w:val="0"/>
      <w:adjustRightInd w:val="0"/>
      <w:spacing w:line="360" w:lineRule="atLeast"/>
      <w:ind w:firstLine="502"/>
      <w:jc w:val="both"/>
      <w:textAlignment w:val="baseline"/>
    </w:pPr>
    <w:rPr>
      <w:rFonts w:ascii="宋体" w:hAnsi="Calibri"/>
      <w:kern w:val="0"/>
      <w:sz w:val="28"/>
      <w:szCs w:val="20"/>
    </w:rPr>
  </w:style>
  <w:style w:type="paragraph" w:customStyle="1" w:styleId="538">
    <w:name w:val="CM83"/>
    <w:basedOn w:val="255"/>
    <w:next w:val="255"/>
    <w:qFormat/>
    <w:uiPriority w:val="0"/>
    <w:pPr>
      <w:spacing w:line="440" w:lineRule="atLeast"/>
    </w:pPr>
    <w:rPr>
      <w:rFonts w:ascii="宋体" w:hAnsi="Times New Roman" w:eastAsia="宋体" w:cs="宋体"/>
      <w:sz w:val="24"/>
      <w:szCs w:val="24"/>
    </w:rPr>
  </w:style>
  <w:style w:type="paragraph" w:customStyle="1" w:styleId="539">
    <w:name w:val="font8"/>
    <w:basedOn w:val="1"/>
    <w:qFormat/>
    <w:uiPriority w:val="0"/>
    <w:pPr>
      <w:spacing w:before="100" w:beforeAutospacing="1" w:after="100" w:afterAutospacing="1" w:line="240" w:lineRule="auto"/>
    </w:pPr>
    <w:rPr>
      <w:rFonts w:hint="eastAsia" w:ascii="宋体" w:hAnsi="宋体"/>
      <w:snapToGrid w:val="0"/>
      <w:kern w:val="0"/>
      <w:sz w:val="24"/>
    </w:rPr>
  </w:style>
  <w:style w:type="paragraph" w:customStyle="1" w:styleId="540">
    <w:name w:val="xl3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0"/>
      <w:szCs w:val="20"/>
    </w:rPr>
  </w:style>
  <w:style w:type="paragraph" w:customStyle="1" w:styleId="541">
    <w:name w:val="样式 标题 3 + 宋体 段前: 5 磅 段后: 5 磅 行距: 固定值 22 磅"/>
    <w:basedOn w:val="4"/>
    <w:qFormat/>
    <w:uiPriority w:val="0"/>
    <w:pPr>
      <w:keepLines/>
      <w:widowControl w:val="0"/>
      <w:spacing w:before="100" w:after="100" w:line="440" w:lineRule="exact"/>
      <w:jc w:val="both"/>
    </w:pPr>
    <w:rPr>
      <w:rFonts w:cs="宋体"/>
      <w:kern w:val="0"/>
      <w:sz w:val="28"/>
      <w:szCs w:val="20"/>
    </w:rPr>
  </w:style>
  <w:style w:type="paragraph" w:customStyle="1" w:styleId="542">
    <w:name w:val="样式 表 名 + 首行缩进:  1 字符"/>
    <w:basedOn w:val="1"/>
    <w:qFormat/>
    <w:uiPriority w:val="0"/>
    <w:pPr>
      <w:widowControl w:val="0"/>
      <w:snapToGrid w:val="0"/>
      <w:spacing w:after="156" w:afterLines="50" w:line="460" w:lineRule="exact"/>
      <w:ind w:firstLine="210" w:firstLineChars="100"/>
      <w:jc w:val="both"/>
    </w:pPr>
    <w:rPr>
      <w:rFonts w:ascii="黑体" w:hAnsi="宋体" w:eastAsia="黑体" w:cs="宋体"/>
      <w:snapToGrid w:val="0"/>
      <w:szCs w:val="20"/>
    </w:rPr>
  </w:style>
  <w:style w:type="paragraph" w:customStyle="1" w:styleId="543">
    <w:name w:val="xl4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pPr>
    <w:rPr>
      <w:rFonts w:ascii="宋体" w:hAnsi="宋体" w:cs="宋体"/>
      <w:kern w:val="0"/>
      <w:sz w:val="20"/>
      <w:szCs w:val="20"/>
    </w:rPr>
  </w:style>
  <w:style w:type="paragraph" w:customStyle="1" w:styleId="544">
    <w:name w:val="CM96"/>
    <w:basedOn w:val="255"/>
    <w:next w:val="255"/>
    <w:qFormat/>
    <w:uiPriority w:val="0"/>
    <w:pPr>
      <w:spacing w:after="298"/>
    </w:pPr>
    <w:rPr>
      <w:rFonts w:ascii="宋体" w:hAnsi="Times New Roman" w:eastAsia="宋体" w:cs="宋体"/>
      <w:sz w:val="24"/>
      <w:szCs w:val="24"/>
    </w:rPr>
  </w:style>
  <w:style w:type="paragraph" w:customStyle="1" w:styleId="545">
    <w:name w:val="Style52"/>
    <w:basedOn w:val="1"/>
    <w:unhideWhenUsed/>
    <w:qFormat/>
    <w:uiPriority w:val="0"/>
    <w:pPr>
      <w:widowControl w:val="0"/>
      <w:spacing w:line="682" w:lineRule="exact"/>
      <w:ind w:firstLine="557"/>
      <w:jc w:val="both"/>
    </w:pPr>
    <w:rPr>
      <w:rFonts w:ascii="Calibri" w:hAnsi="Calibri" w:eastAsia="微软雅黑"/>
    </w:rPr>
  </w:style>
  <w:style w:type="paragraph" w:customStyle="1" w:styleId="546">
    <w:name w:val="Char1 Char Char Char Char Char Char Char Char Char"/>
    <w:basedOn w:val="1"/>
    <w:qFormat/>
    <w:uiPriority w:val="0"/>
    <w:pPr>
      <w:widowControl w:val="0"/>
      <w:spacing w:line="240" w:lineRule="auto"/>
      <w:jc w:val="both"/>
    </w:pPr>
    <w:rPr>
      <w:rFonts w:ascii="Calibri" w:hAnsi="Calibri" w:eastAsia="微软雅黑"/>
      <w:szCs w:val="20"/>
    </w:rPr>
  </w:style>
  <w:style w:type="paragraph" w:customStyle="1" w:styleId="547">
    <w:name w:val="CM36"/>
    <w:basedOn w:val="255"/>
    <w:next w:val="255"/>
    <w:qFormat/>
    <w:uiPriority w:val="0"/>
    <w:pPr>
      <w:spacing w:line="400" w:lineRule="atLeast"/>
    </w:pPr>
    <w:rPr>
      <w:rFonts w:ascii="宋体" w:hAnsi="Times New Roman" w:eastAsia="宋体" w:cs="宋体"/>
      <w:sz w:val="24"/>
      <w:szCs w:val="24"/>
    </w:rPr>
  </w:style>
  <w:style w:type="paragraph" w:customStyle="1" w:styleId="548">
    <w:name w:val="标题3"/>
    <w:basedOn w:val="2"/>
    <w:qFormat/>
    <w:uiPriority w:val="0"/>
    <w:pPr>
      <w:keepLines w:val="0"/>
      <w:widowControl w:val="0"/>
      <w:spacing w:before="0" w:beforeLines="50" w:after="0" w:line="400" w:lineRule="exact"/>
      <w:jc w:val="both"/>
    </w:pPr>
    <w:rPr>
      <w:rFonts w:ascii="宋体" w:hAnsi="宋体"/>
      <w:kern w:val="32"/>
      <w:sz w:val="24"/>
      <w:szCs w:val="32"/>
    </w:rPr>
  </w:style>
  <w:style w:type="paragraph" w:customStyle="1" w:styleId="549">
    <w:name w:val="样式 小四 两端对齐 行距: 最小值 23 磅"/>
    <w:basedOn w:val="1"/>
    <w:next w:val="213"/>
    <w:qFormat/>
    <w:uiPriority w:val="0"/>
    <w:pPr>
      <w:widowControl w:val="0"/>
      <w:adjustRightInd w:val="0"/>
      <w:spacing w:line="460" w:lineRule="atLeast"/>
      <w:jc w:val="both"/>
      <w:textAlignment w:val="baseline"/>
    </w:pPr>
    <w:rPr>
      <w:rFonts w:ascii="Calibri" w:hAnsi="Calibri" w:cs="宋体"/>
      <w:kern w:val="0"/>
      <w:sz w:val="24"/>
      <w:szCs w:val="20"/>
    </w:rPr>
  </w:style>
  <w:style w:type="paragraph" w:customStyle="1" w:styleId="550">
    <w:name w:val="样式 小四 首行缩进:  0.85 厘米 段前: 7.8 磅 段后: 2.5 磅 行距: 1.5 倍行距"/>
    <w:basedOn w:val="1"/>
    <w:qFormat/>
    <w:uiPriority w:val="0"/>
    <w:pPr>
      <w:widowControl w:val="0"/>
      <w:spacing w:before="156" w:after="50" w:line="360" w:lineRule="auto"/>
      <w:ind w:firstLine="480"/>
      <w:jc w:val="both"/>
    </w:pPr>
    <w:rPr>
      <w:rFonts w:ascii="Calibri" w:hAnsi="Calibri" w:cs="宋体"/>
      <w:szCs w:val="20"/>
    </w:rPr>
  </w:style>
  <w:style w:type="paragraph" w:customStyle="1" w:styleId="551">
    <w:name w:val="Char Char1 Char Char Char Char Char Char Char Char Char Char Char Char Char Char Char Char Char Char Char Char Char Char Char Char Char"/>
    <w:basedOn w:val="1"/>
    <w:next w:val="1"/>
    <w:qFormat/>
    <w:uiPriority w:val="0"/>
    <w:pPr>
      <w:widowControl w:val="0"/>
      <w:spacing w:line="240" w:lineRule="auto"/>
      <w:jc w:val="both"/>
    </w:pPr>
    <w:rPr>
      <w:rFonts w:ascii="Calibri" w:hAnsi="Calibri"/>
    </w:rPr>
  </w:style>
  <w:style w:type="paragraph" w:customStyle="1" w:styleId="552">
    <w:name w:val="Char Char Char Char2 Char Char Char Char"/>
    <w:basedOn w:val="1"/>
    <w:qFormat/>
    <w:uiPriority w:val="0"/>
    <w:pPr>
      <w:widowControl w:val="0"/>
      <w:spacing w:line="240" w:lineRule="auto"/>
      <w:jc w:val="both"/>
    </w:pPr>
    <w:rPr>
      <w:rFonts w:ascii="宋体" w:hAnsi="Calibri"/>
    </w:rPr>
  </w:style>
  <w:style w:type="paragraph" w:customStyle="1" w:styleId="553">
    <w:name w:val="font12"/>
    <w:basedOn w:val="1"/>
    <w:qFormat/>
    <w:uiPriority w:val="0"/>
    <w:pPr>
      <w:spacing w:before="100" w:beforeAutospacing="1" w:after="100" w:afterAutospacing="1" w:line="240" w:lineRule="auto"/>
    </w:pPr>
    <w:rPr>
      <w:rFonts w:ascii="Calibri" w:hAnsi="Calibri"/>
      <w:kern w:val="0"/>
      <w:sz w:val="20"/>
      <w:szCs w:val="20"/>
    </w:rPr>
  </w:style>
  <w:style w:type="paragraph" w:customStyle="1" w:styleId="554">
    <w:name w:val="xl3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Calibri" w:hAnsi="Calibri"/>
      <w:kern w:val="0"/>
      <w:sz w:val="24"/>
    </w:rPr>
  </w:style>
  <w:style w:type="paragraph" w:customStyle="1" w:styleId="555">
    <w:name w:val="Style61"/>
    <w:basedOn w:val="1"/>
    <w:unhideWhenUsed/>
    <w:qFormat/>
    <w:uiPriority w:val="0"/>
    <w:pPr>
      <w:widowControl w:val="0"/>
      <w:spacing w:line="240" w:lineRule="auto"/>
      <w:jc w:val="both"/>
    </w:pPr>
    <w:rPr>
      <w:rFonts w:ascii="Calibri" w:hAnsi="Calibri" w:eastAsia="微软雅黑"/>
    </w:rPr>
  </w:style>
  <w:style w:type="paragraph" w:customStyle="1" w:styleId="556">
    <w:name w:val="font9"/>
    <w:basedOn w:val="1"/>
    <w:qFormat/>
    <w:uiPriority w:val="0"/>
    <w:pPr>
      <w:spacing w:before="100" w:beforeAutospacing="1" w:after="100" w:afterAutospacing="1" w:line="240" w:lineRule="auto"/>
    </w:pPr>
    <w:rPr>
      <w:rFonts w:ascii="Calibri" w:hAnsi="Calibri"/>
      <w:b/>
      <w:bCs/>
      <w:kern w:val="0"/>
      <w:sz w:val="24"/>
    </w:rPr>
  </w:style>
  <w:style w:type="paragraph" w:customStyle="1" w:styleId="557">
    <w:name w:val="样式 标题 4标题 4XW标题 4 Char Char标题 41 + (符号) 宋体 自动设置 行距: 固定值 18 磅"/>
    <w:basedOn w:val="5"/>
    <w:qFormat/>
    <w:uiPriority w:val="0"/>
    <w:pPr>
      <w:widowControl w:val="0"/>
      <w:snapToGrid w:val="0"/>
      <w:spacing w:before="156" w:beforeLines="50" w:after="0" w:line="460" w:lineRule="exact"/>
    </w:pPr>
    <w:rPr>
      <w:rFonts w:ascii="Arial" w:hAnsi="Times New Roman" w:eastAsia="宋体" w:cs="宋体"/>
      <w:b w:val="0"/>
      <w:kern w:val="0"/>
      <w:sz w:val="24"/>
      <w:szCs w:val="20"/>
      <w:lang w:val="zh-CN"/>
    </w:rPr>
  </w:style>
  <w:style w:type="paragraph" w:customStyle="1" w:styleId="558">
    <w:name w:val="Style45"/>
    <w:basedOn w:val="1"/>
    <w:unhideWhenUsed/>
    <w:qFormat/>
    <w:uiPriority w:val="0"/>
    <w:pPr>
      <w:widowControl w:val="0"/>
      <w:spacing w:line="240" w:lineRule="auto"/>
      <w:jc w:val="both"/>
    </w:pPr>
    <w:rPr>
      <w:rFonts w:ascii="Calibri" w:hAnsi="Calibri" w:eastAsia="微软雅黑"/>
    </w:rPr>
  </w:style>
  <w:style w:type="paragraph" w:customStyle="1" w:styleId="559">
    <w:name w:val="样式 首行缩进:  2 字符3"/>
    <w:basedOn w:val="1"/>
    <w:qFormat/>
    <w:uiPriority w:val="0"/>
    <w:pPr>
      <w:widowControl w:val="0"/>
      <w:spacing w:line="440" w:lineRule="exact"/>
      <w:ind w:firstLine="479" w:firstLineChars="200"/>
      <w:jc w:val="both"/>
    </w:pPr>
    <w:rPr>
      <w:rFonts w:ascii="Calibri" w:hAnsi="Calibri"/>
      <w:sz w:val="24"/>
    </w:rPr>
  </w:style>
  <w:style w:type="paragraph" w:customStyle="1" w:styleId="560">
    <w:name w:val="Normal_0_2"/>
    <w:qFormat/>
    <w:uiPriority w:val="0"/>
    <w:rPr>
      <w:rFonts w:ascii="Calibri" w:hAnsi="Calibri" w:eastAsia="Times New Roman" w:cs="Times New Roman"/>
      <w:sz w:val="24"/>
      <w:szCs w:val="24"/>
      <w:lang w:val="en-US" w:eastAsia="zh-CN" w:bidi="ar-SA"/>
    </w:rPr>
  </w:style>
  <w:style w:type="paragraph" w:customStyle="1" w:styleId="561">
    <w:name w:val="Char Char1 Char Char Char Char Char Char Char Char Char Char Char Char Char Char Char"/>
    <w:basedOn w:val="1"/>
    <w:qFormat/>
    <w:uiPriority w:val="0"/>
    <w:pPr>
      <w:spacing w:after="160" w:line="240" w:lineRule="exact"/>
    </w:pPr>
    <w:rPr>
      <w:rFonts w:ascii="Verdana" w:hAnsi="Verdana" w:eastAsia="微软雅黑"/>
      <w:kern w:val="0"/>
      <w:sz w:val="20"/>
      <w:szCs w:val="20"/>
      <w:lang w:eastAsia="en-US"/>
    </w:rPr>
  </w:style>
  <w:style w:type="paragraph" w:customStyle="1" w:styleId="562">
    <w:name w:val="目录文字"/>
    <w:basedOn w:val="1"/>
    <w:qFormat/>
    <w:uiPriority w:val="0"/>
    <w:pPr>
      <w:widowControl w:val="0"/>
      <w:adjustRightInd w:val="0"/>
      <w:snapToGrid w:val="0"/>
      <w:spacing w:line="240" w:lineRule="auto"/>
      <w:jc w:val="both"/>
    </w:pPr>
    <w:rPr>
      <w:rFonts w:ascii="宋体" w:hAnsi="Calibri"/>
      <w:sz w:val="28"/>
      <w:szCs w:val="20"/>
    </w:rPr>
  </w:style>
  <w:style w:type="paragraph" w:customStyle="1" w:styleId="563">
    <w:name w:val="pa-4"/>
    <w:basedOn w:val="1"/>
    <w:qFormat/>
    <w:uiPriority w:val="0"/>
    <w:pPr>
      <w:spacing w:before="150" w:after="150" w:line="240" w:lineRule="auto"/>
    </w:pPr>
    <w:rPr>
      <w:rFonts w:ascii="宋体" w:hAnsi="宋体" w:cs="宋体"/>
      <w:kern w:val="0"/>
      <w:sz w:val="24"/>
    </w:rPr>
  </w:style>
  <w:style w:type="paragraph" w:customStyle="1" w:styleId="564">
    <w:name w:val="样式 样式 样式 黑色 首行缩进:  2 字符 + 首行缩进:  1.67 字符 + 首行缩进:  1.56 字符"/>
    <w:basedOn w:val="565"/>
    <w:qFormat/>
    <w:uiPriority w:val="0"/>
    <w:pPr>
      <w:ind w:firstLine="200" w:firstLineChars="200"/>
    </w:pPr>
  </w:style>
  <w:style w:type="paragraph" w:customStyle="1" w:styleId="565">
    <w:name w:val="首行缩进1"/>
    <w:basedOn w:val="1"/>
    <w:qFormat/>
    <w:uiPriority w:val="0"/>
    <w:pPr>
      <w:widowControl w:val="0"/>
      <w:adjustRightInd w:val="0"/>
      <w:snapToGrid w:val="0"/>
      <w:spacing w:line="460" w:lineRule="exact"/>
      <w:ind w:firstLine="160" w:firstLineChars="160"/>
      <w:jc w:val="both"/>
    </w:pPr>
    <w:rPr>
      <w:rFonts w:ascii="宋体" w:hAnsi="宋体" w:cs="宋体"/>
      <w:color w:val="000000"/>
      <w:sz w:val="24"/>
      <w:szCs w:val="20"/>
    </w:rPr>
  </w:style>
  <w:style w:type="paragraph" w:customStyle="1" w:styleId="566">
    <w:name w:val="CM19"/>
    <w:basedOn w:val="255"/>
    <w:next w:val="255"/>
    <w:qFormat/>
    <w:uiPriority w:val="0"/>
    <w:pPr>
      <w:spacing w:line="398" w:lineRule="atLeast"/>
    </w:pPr>
    <w:rPr>
      <w:rFonts w:ascii="宋体" w:hAnsi="Times New Roman" w:eastAsia="宋体" w:cs="宋体"/>
      <w:sz w:val="24"/>
      <w:szCs w:val="24"/>
    </w:rPr>
  </w:style>
  <w:style w:type="paragraph" w:customStyle="1" w:styleId="567">
    <w:name w:val="5号"/>
    <w:basedOn w:val="1"/>
    <w:qFormat/>
    <w:uiPriority w:val="0"/>
    <w:pPr>
      <w:widowControl w:val="0"/>
      <w:spacing w:line="240" w:lineRule="auto"/>
      <w:jc w:val="center"/>
    </w:pPr>
    <w:rPr>
      <w:rFonts w:ascii="Calibri" w:hAnsi="Calibri"/>
      <w:szCs w:val="20"/>
    </w:rPr>
  </w:style>
  <w:style w:type="paragraph" w:customStyle="1" w:styleId="568">
    <w:name w:val="CM90"/>
    <w:basedOn w:val="255"/>
    <w:next w:val="255"/>
    <w:qFormat/>
    <w:uiPriority w:val="0"/>
    <w:rPr>
      <w:rFonts w:ascii="宋体" w:hAnsi="Times New Roman" w:eastAsia="宋体" w:cs="宋体"/>
      <w:sz w:val="24"/>
      <w:szCs w:val="24"/>
    </w:rPr>
  </w:style>
  <w:style w:type="paragraph" w:customStyle="1" w:styleId="569">
    <w:name w:val="Char2 Char Char Char Char Char Char"/>
    <w:basedOn w:val="1"/>
    <w:qFormat/>
    <w:uiPriority w:val="0"/>
    <w:pPr>
      <w:widowControl w:val="0"/>
      <w:autoSpaceDE w:val="0"/>
      <w:autoSpaceDN w:val="0"/>
      <w:adjustRightInd w:val="0"/>
      <w:snapToGrid w:val="0"/>
      <w:spacing w:line="500" w:lineRule="exact"/>
      <w:ind w:firstLine="562" w:firstLineChars="200"/>
      <w:jc w:val="center"/>
    </w:pPr>
    <w:rPr>
      <w:rFonts w:ascii="Calibri" w:hAnsi="Calibri" w:eastAsia="仿宋_GB2312"/>
      <w:b/>
      <w:color w:val="000000"/>
      <w:sz w:val="28"/>
      <w:szCs w:val="28"/>
    </w:rPr>
  </w:style>
  <w:style w:type="paragraph" w:customStyle="1" w:styleId="570">
    <w:name w:val="Char1 Char Char Char 字元 Char Char 字元 Char 字元 Char1 Char Char Char"/>
    <w:basedOn w:val="1"/>
    <w:qFormat/>
    <w:uiPriority w:val="0"/>
    <w:pPr>
      <w:widowControl w:val="0"/>
      <w:spacing w:line="240" w:lineRule="auto"/>
      <w:jc w:val="both"/>
    </w:pPr>
    <w:rPr>
      <w:rFonts w:ascii="Calibri" w:hAnsi="Calibri" w:eastAsia="微软雅黑"/>
      <w:szCs w:val="20"/>
    </w:rPr>
  </w:style>
  <w:style w:type="paragraph" w:customStyle="1" w:styleId="571">
    <w:name w:val="CM85"/>
    <w:basedOn w:val="255"/>
    <w:next w:val="255"/>
    <w:qFormat/>
    <w:uiPriority w:val="0"/>
    <w:pPr>
      <w:spacing w:line="443" w:lineRule="atLeast"/>
    </w:pPr>
    <w:rPr>
      <w:rFonts w:ascii="宋体" w:hAnsi="Times New Roman" w:eastAsia="宋体" w:cs="宋体"/>
      <w:sz w:val="24"/>
      <w:szCs w:val="24"/>
    </w:rPr>
  </w:style>
  <w:style w:type="paragraph" w:customStyle="1" w:styleId="572">
    <w:name w:val="Char51"/>
    <w:basedOn w:val="1"/>
    <w:qFormat/>
    <w:uiPriority w:val="0"/>
    <w:pPr>
      <w:widowControl w:val="0"/>
      <w:spacing w:after="156" w:afterLines="50" w:line="240" w:lineRule="auto"/>
      <w:jc w:val="both"/>
    </w:pPr>
    <w:rPr>
      <w:rFonts w:ascii="宋体" w:hAnsi="Calibri"/>
    </w:rPr>
  </w:style>
  <w:style w:type="paragraph" w:customStyle="1" w:styleId="573">
    <w:name w:val="Style72"/>
    <w:basedOn w:val="1"/>
    <w:unhideWhenUsed/>
    <w:qFormat/>
    <w:uiPriority w:val="0"/>
    <w:pPr>
      <w:widowControl w:val="0"/>
      <w:spacing w:line="240" w:lineRule="auto"/>
      <w:jc w:val="both"/>
    </w:pPr>
    <w:rPr>
      <w:rFonts w:ascii="Calibri" w:hAnsi="Calibri" w:eastAsia="微软雅黑"/>
    </w:rPr>
  </w:style>
  <w:style w:type="paragraph" w:customStyle="1" w:styleId="574">
    <w:name w:val="样式 样式 样式 样式 标题 2 + 宋体 五号 非加粗 黑色 + 段前: 6 磅 段后: 0 磅 行距: 单倍行距 + 段前:..."/>
    <w:basedOn w:val="1"/>
    <w:qFormat/>
    <w:uiPriority w:val="0"/>
    <w:pPr>
      <w:keepNext/>
      <w:keepLines/>
      <w:widowControl w:val="0"/>
      <w:tabs>
        <w:tab w:val="left" w:pos="840"/>
      </w:tabs>
      <w:adjustRightInd w:val="0"/>
      <w:spacing w:before="240" w:line="240" w:lineRule="auto"/>
      <w:ind w:left="840" w:hanging="420"/>
      <w:textAlignment w:val="baseline"/>
      <w:outlineLvl w:val="1"/>
    </w:pPr>
    <w:rPr>
      <w:rFonts w:ascii="宋体" w:hAnsi="宋体" w:eastAsia="微软雅黑"/>
      <w:b/>
      <w:bCs/>
      <w:color w:val="000000"/>
      <w:kern w:val="0"/>
      <w:szCs w:val="20"/>
    </w:rPr>
  </w:style>
  <w:style w:type="paragraph" w:customStyle="1" w:styleId="575">
    <w:name w:val="正文文本缩进 211"/>
    <w:basedOn w:val="1"/>
    <w:qFormat/>
    <w:uiPriority w:val="0"/>
    <w:pPr>
      <w:widowControl w:val="0"/>
      <w:adjustRightInd w:val="0"/>
      <w:spacing w:after="156" w:afterLines="50" w:line="360" w:lineRule="atLeast"/>
      <w:ind w:firstLine="502"/>
      <w:jc w:val="both"/>
      <w:textAlignment w:val="baseline"/>
    </w:pPr>
    <w:rPr>
      <w:rFonts w:ascii="宋体" w:hAnsi="Calibri"/>
      <w:kern w:val="0"/>
      <w:sz w:val="28"/>
      <w:szCs w:val="20"/>
    </w:rPr>
  </w:style>
  <w:style w:type="paragraph" w:customStyle="1" w:styleId="576">
    <w:name w:val="TOC Number1"/>
    <w:basedOn w:val="5"/>
    <w:qFormat/>
    <w:uiPriority w:val="0"/>
    <w:pPr>
      <w:tabs>
        <w:tab w:val="left" w:pos="992"/>
      </w:tabs>
      <w:spacing w:before="120" w:after="120" w:line="240" w:lineRule="auto"/>
      <w:outlineLvl w:val="9"/>
    </w:pPr>
    <w:rPr>
      <w:rFonts w:ascii="Times New Roman" w:hAnsi="Times New Roman" w:eastAsia="宋体" w:cs="Times New Roman"/>
      <w:bCs w:val="0"/>
      <w:kern w:val="0"/>
      <w:sz w:val="24"/>
      <w:szCs w:val="20"/>
      <w:lang w:eastAsia="en-US"/>
    </w:rPr>
  </w:style>
  <w:style w:type="paragraph" w:customStyle="1" w:styleId="577">
    <w:name w:val="CM33"/>
    <w:basedOn w:val="255"/>
    <w:next w:val="255"/>
    <w:qFormat/>
    <w:uiPriority w:val="0"/>
    <w:rPr>
      <w:rFonts w:ascii="宋体" w:hAnsi="Times New Roman" w:eastAsia="宋体" w:cs="宋体"/>
      <w:sz w:val="24"/>
      <w:szCs w:val="24"/>
    </w:rPr>
  </w:style>
  <w:style w:type="paragraph" w:customStyle="1" w:styleId="578">
    <w:name w:val="Style5"/>
    <w:basedOn w:val="1"/>
    <w:unhideWhenUsed/>
    <w:qFormat/>
    <w:uiPriority w:val="0"/>
    <w:pPr>
      <w:widowControl w:val="0"/>
      <w:spacing w:line="240" w:lineRule="auto"/>
      <w:jc w:val="both"/>
    </w:pPr>
    <w:rPr>
      <w:rFonts w:ascii="Calibri" w:hAnsi="Calibri" w:eastAsia="微软雅黑"/>
    </w:rPr>
  </w:style>
  <w:style w:type="paragraph" w:customStyle="1" w:styleId="579">
    <w:name w:val="日期11"/>
    <w:basedOn w:val="1"/>
    <w:next w:val="1"/>
    <w:qFormat/>
    <w:uiPriority w:val="0"/>
    <w:pPr>
      <w:widowControl w:val="0"/>
      <w:adjustRightInd w:val="0"/>
      <w:spacing w:after="156" w:afterLines="50" w:line="240" w:lineRule="auto"/>
      <w:jc w:val="both"/>
      <w:textAlignment w:val="baseline"/>
    </w:pPr>
    <w:rPr>
      <w:rFonts w:ascii="Calibri" w:hAnsi="Calibri"/>
      <w:szCs w:val="20"/>
    </w:rPr>
  </w:style>
  <w:style w:type="paragraph" w:customStyle="1" w:styleId="580">
    <w:name w:val="样式 标题 1 + 黑体 三号 非加粗 居中 段前: 6 磅 段后: 6 磅 行距: 固定值 20 磅"/>
    <w:basedOn w:val="2"/>
    <w:qFormat/>
    <w:uiPriority w:val="0"/>
    <w:pPr>
      <w:widowControl w:val="0"/>
      <w:spacing w:before="120" w:after="120" w:line="400" w:lineRule="exact"/>
      <w:jc w:val="center"/>
    </w:pPr>
    <w:rPr>
      <w:rFonts w:ascii="黑体" w:hAnsi="黑体" w:eastAsia="黑体" w:cs="宋体"/>
      <w:b w:val="0"/>
      <w:bCs w:val="0"/>
      <w:sz w:val="32"/>
      <w:szCs w:val="20"/>
    </w:rPr>
  </w:style>
  <w:style w:type="paragraph" w:customStyle="1" w:styleId="581">
    <w:name w:val="xl107"/>
    <w:basedOn w:val="1"/>
    <w:qFormat/>
    <w:uiPriority w:val="0"/>
    <w:pPr>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0"/>
      <w:szCs w:val="20"/>
    </w:rPr>
  </w:style>
  <w:style w:type="paragraph" w:customStyle="1" w:styleId="582">
    <w:name w:val="CM29"/>
    <w:basedOn w:val="255"/>
    <w:next w:val="255"/>
    <w:qFormat/>
    <w:uiPriority w:val="0"/>
    <w:pPr>
      <w:spacing w:line="400" w:lineRule="atLeast"/>
    </w:pPr>
    <w:rPr>
      <w:rFonts w:ascii="宋体" w:hAnsi="Times New Roman" w:eastAsia="宋体" w:cs="宋体"/>
      <w:sz w:val="24"/>
      <w:szCs w:val="24"/>
    </w:rPr>
  </w:style>
  <w:style w:type="paragraph" w:customStyle="1" w:styleId="583">
    <w:name w:val="xl7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0"/>
      <w:szCs w:val="20"/>
    </w:rPr>
  </w:style>
  <w:style w:type="paragraph" w:customStyle="1" w:styleId="584">
    <w:name w:val="xl48"/>
    <w:basedOn w:val="1"/>
    <w:qFormat/>
    <w:uiPriority w:val="0"/>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line="240" w:lineRule="auto"/>
    </w:pPr>
    <w:rPr>
      <w:rFonts w:ascii="宋体" w:hAnsi="宋体" w:cs="宋体"/>
      <w:b/>
      <w:bCs/>
      <w:kern w:val="0"/>
      <w:sz w:val="20"/>
      <w:szCs w:val="20"/>
    </w:rPr>
  </w:style>
  <w:style w:type="paragraph" w:customStyle="1" w:styleId="585">
    <w:name w:val="Style50"/>
    <w:basedOn w:val="1"/>
    <w:unhideWhenUsed/>
    <w:qFormat/>
    <w:uiPriority w:val="0"/>
    <w:pPr>
      <w:widowControl w:val="0"/>
      <w:spacing w:line="240" w:lineRule="auto"/>
      <w:jc w:val="both"/>
    </w:pPr>
    <w:rPr>
      <w:rFonts w:ascii="Calibri" w:hAnsi="Calibri" w:eastAsia="微软雅黑"/>
    </w:rPr>
  </w:style>
  <w:style w:type="paragraph" w:customStyle="1" w:styleId="586">
    <w:name w:val="xl54"/>
    <w:basedOn w:val="1"/>
    <w:qFormat/>
    <w:uiPriority w:val="0"/>
    <w:pPr>
      <w:pBdr>
        <w:top w:val="single" w:color="auto" w:sz="4" w:space="0"/>
        <w:left w:val="single" w:color="auto" w:sz="4" w:space="0"/>
        <w:right w:val="single" w:color="auto" w:sz="4" w:space="0"/>
      </w:pBdr>
      <w:shd w:val="clear" w:color="auto" w:fill="FFFFFF"/>
      <w:spacing w:before="100" w:beforeAutospacing="1" w:after="100" w:afterAutospacing="1" w:line="240" w:lineRule="auto"/>
      <w:jc w:val="center"/>
    </w:pPr>
    <w:rPr>
      <w:rFonts w:ascii="宋体" w:hAnsi="宋体" w:cs="宋体"/>
      <w:kern w:val="0"/>
      <w:sz w:val="20"/>
      <w:szCs w:val="20"/>
    </w:rPr>
  </w:style>
  <w:style w:type="paragraph" w:customStyle="1" w:styleId="587">
    <w:name w:val="font14"/>
    <w:basedOn w:val="1"/>
    <w:qFormat/>
    <w:uiPriority w:val="0"/>
    <w:pPr>
      <w:spacing w:before="100" w:beforeAutospacing="1" w:after="100" w:afterAutospacing="1" w:line="240" w:lineRule="auto"/>
    </w:pPr>
    <w:rPr>
      <w:rFonts w:ascii="宋体" w:hAnsi="宋体" w:cs="宋体"/>
      <w:b/>
      <w:bCs/>
      <w:kern w:val="0"/>
      <w:sz w:val="18"/>
      <w:szCs w:val="18"/>
    </w:rPr>
  </w:style>
  <w:style w:type="paragraph" w:customStyle="1" w:styleId="588">
    <w:name w:val="列出段落11"/>
    <w:basedOn w:val="1"/>
    <w:qFormat/>
    <w:uiPriority w:val="34"/>
    <w:pPr>
      <w:widowControl w:val="0"/>
      <w:spacing w:line="240" w:lineRule="auto"/>
      <w:ind w:firstLine="420" w:firstLineChars="200"/>
      <w:jc w:val="both"/>
    </w:pPr>
    <w:rPr>
      <w:rFonts w:ascii="Calibri" w:hAnsi="Calibri"/>
    </w:rPr>
  </w:style>
  <w:style w:type="paragraph" w:customStyle="1" w:styleId="589">
    <w:name w:val="xl51"/>
    <w:basedOn w:val="1"/>
    <w:qFormat/>
    <w:uiPriority w:val="0"/>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line="240" w:lineRule="auto"/>
    </w:pPr>
    <w:rPr>
      <w:rFonts w:ascii="宋体" w:hAnsi="宋体" w:cs="宋体"/>
      <w:b/>
      <w:bCs/>
      <w:kern w:val="0"/>
      <w:sz w:val="20"/>
      <w:szCs w:val="20"/>
    </w:rPr>
  </w:style>
  <w:style w:type="paragraph" w:customStyle="1" w:styleId="590">
    <w:name w:val="CM104"/>
    <w:basedOn w:val="255"/>
    <w:next w:val="255"/>
    <w:qFormat/>
    <w:uiPriority w:val="0"/>
    <w:pPr>
      <w:spacing w:after="1318"/>
    </w:pPr>
    <w:rPr>
      <w:rFonts w:ascii="宋体" w:hAnsi="Times New Roman" w:eastAsia="宋体" w:cs="宋体"/>
      <w:sz w:val="24"/>
      <w:szCs w:val="24"/>
    </w:rPr>
  </w:style>
  <w:style w:type="paragraph" w:customStyle="1" w:styleId="591">
    <w:name w:val="正文3"/>
    <w:basedOn w:val="1"/>
    <w:next w:val="1"/>
    <w:qFormat/>
    <w:uiPriority w:val="0"/>
    <w:pPr>
      <w:widowControl w:val="0"/>
      <w:tabs>
        <w:tab w:val="left" w:pos="1276"/>
      </w:tabs>
      <w:autoSpaceDE w:val="0"/>
      <w:autoSpaceDN w:val="0"/>
      <w:adjustRightInd w:val="0"/>
      <w:spacing w:line="360" w:lineRule="auto"/>
      <w:ind w:left="1276" w:hanging="425" w:firstLineChars="200"/>
      <w:jc w:val="both"/>
    </w:pPr>
    <w:rPr>
      <w:rFonts w:ascii="Calibri" w:hAnsi="宋体"/>
      <w:spacing w:val="4"/>
      <w:sz w:val="24"/>
      <w:szCs w:val="20"/>
    </w:rPr>
  </w:style>
  <w:style w:type="paragraph" w:customStyle="1" w:styleId="592">
    <w:name w:val="CM69"/>
    <w:basedOn w:val="255"/>
    <w:next w:val="255"/>
    <w:qFormat/>
    <w:uiPriority w:val="0"/>
    <w:pPr>
      <w:spacing w:line="400" w:lineRule="atLeast"/>
    </w:pPr>
    <w:rPr>
      <w:rFonts w:ascii="宋体" w:hAnsi="Times New Roman" w:eastAsia="宋体" w:cs="宋体"/>
      <w:sz w:val="24"/>
      <w:szCs w:val="24"/>
    </w:rPr>
  </w:style>
  <w:style w:type="paragraph" w:customStyle="1" w:styleId="593">
    <w:name w:val="Char4"/>
    <w:basedOn w:val="1"/>
    <w:qFormat/>
    <w:uiPriority w:val="0"/>
    <w:pPr>
      <w:widowControl w:val="0"/>
      <w:tabs>
        <w:tab w:val="left" w:pos="360"/>
      </w:tabs>
      <w:spacing w:line="240" w:lineRule="auto"/>
      <w:ind w:left="360" w:hanging="360" w:hangingChars="200"/>
      <w:jc w:val="both"/>
    </w:pPr>
    <w:rPr>
      <w:rFonts w:ascii="Calibri" w:hAnsi="Calibri" w:eastAsia="微软雅黑"/>
      <w:sz w:val="24"/>
    </w:rPr>
  </w:style>
  <w:style w:type="paragraph" w:customStyle="1" w:styleId="594">
    <w:name w:val="xl7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0"/>
      <w:szCs w:val="20"/>
    </w:rPr>
  </w:style>
  <w:style w:type="paragraph" w:customStyle="1" w:styleId="595">
    <w:name w:val="正文泵站"/>
    <w:basedOn w:val="1"/>
    <w:next w:val="1"/>
    <w:qFormat/>
    <w:uiPriority w:val="0"/>
    <w:pPr>
      <w:widowControl w:val="0"/>
      <w:spacing w:line="360" w:lineRule="auto"/>
      <w:ind w:firstLine="200" w:firstLineChars="200"/>
      <w:jc w:val="both"/>
    </w:pPr>
    <w:rPr>
      <w:rFonts w:ascii="Calibri" w:hAnsi="Calibri"/>
    </w:rPr>
  </w:style>
  <w:style w:type="paragraph" w:customStyle="1" w:styleId="596">
    <w:name w:val="Style76"/>
    <w:basedOn w:val="1"/>
    <w:unhideWhenUsed/>
    <w:qFormat/>
    <w:uiPriority w:val="0"/>
    <w:pPr>
      <w:widowControl w:val="0"/>
      <w:spacing w:line="240" w:lineRule="auto"/>
      <w:jc w:val="both"/>
    </w:pPr>
    <w:rPr>
      <w:rFonts w:ascii="Calibri" w:hAnsi="Calibri" w:eastAsia="微软雅黑"/>
    </w:rPr>
  </w:style>
  <w:style w:type="paragraph" w:customStyle="1" w:styleId="597">
    <w:name w:val="font6"/>
    <w:basedOn w:val="1"/>
    <w:qFormat/>
    <w:uiPriority w:val="0"/>
    <w:pPr>
      <w:spacing w:before="100" w:beforeAutospacing="1" w:after="100" w:afterAutospacing="1" w:line="240" w:lineRule="auto"/>
    </w:pPr>
    <w:rPr>
      <w:rFonts w:ascii="Calibri" w:hAnsi="Calibri"/>
      <w:kern w:val="0"/>
      <w:sz w:val="24"/>
    </w:rPr>
  </w:style>
  <w:style w:type="paragraph" w:customStyle="1" w:styleId="598">
    <w:name w:val="Definition Term"/>
    <w:basedOn w:val="1"/>
    <w:next w:val="1"/>
    <w:qFormat/>
    <w:uiPriority w:val="0"/>
    <w:pPr>
      <w:widowControl w:val="0"/>
      <w:spacing w:line="288" w:lineRule="auto"/>
      <w:jc w:val="both"/>
    </w:pPr>
    <w:rPr>
      <w:rFonts w:ascii="Calibri" w:hAnsi="Calibri"/>
      <w:szCs w:val="20"/>
    </w:rPr>
  </w:style>
  <w:style w:type="paragraph" w:customStyle="1" w:styleId="599">
    <w:name w:val="font0"/>
    <w:basedOn w:val="1"/>
    <w:qFormat/>
    <w:uiPriority w:val="0"/>
    <w:pPr>
      <w:spacing w:before="100" w:beforeAutospacing="1" w:after="100" w:afterAutospacing="1" w:line="240" w:lineRule="auto"/>
    </w:pPr>
    <w:rPr>
      <w:rFonts w:ascii="宋体" w:hAnsi="宋体"/>
      <w:kern w:val="0"/>
      <w:sz w:val="24"/>
    </w:rPr>
  </w:style>
  <w:style w:type="paragraph" w:customStyle="1" w:styleId="600">
    <w:name w:val="p18"/>
    <w:basedOn w:val="1"/>
    <w:qFormat/>
    <w:uiPriority w:val="0"/>
    <w:pPr>
      <w:spacing w:line="240" w:lineRule="auto"/>
      <w:jc w:val="both"/>
    </w:pPr>
    <w:rPr>
      <w:rFonts w:ascii="Calibri" w:hAnsi="Calibri"/>
      <w:kern w:val="0"/>
      <w:sz w:val="24"/>
    </w:rPr>
  </w:style>
  <w:style w:type="paragraph" w:customStyle="1" w:styleId="601">
    <w:name w:val="首页脚样式"/>
    <w:basedOn w:val="54"/>
    <w:qFormat/>
    <w:uiPriority w:val="0"/>
    <w:pPr>
      <w:keepLines/>
      <w:tabs>
        <w:tab w:val="right" w:pos="-18551"/>
        <w:tab w:val="right" w:pos="4320"/>
      </w:tabs>
      <w:snapToGrid/>
      <w:spacing w:before="600" w:line="240" w:lineRule="atLeast"/>
      <w:ind w:left="-840" w:right="-840" w:rightChars="0"/>
      <w:jc w:val="center"/>
    </w:pPr>
    <w:rPr>
      <w:rFonts w:ascii="Garamond" w:hAnsi="Garamond" w:eastAsia="宋体" w:cs="Times New Roman"/>
      <w:smallCaps/>
      <w:spacing w:val="15"/>
      <w:kern w:val="0"/>
      <w:sz w:val="24"/>
      <w:szCs w:val="20"/>
    </w:rPr>
  </w:style>
  <w:style w:type="paragraph" w:customStyle="1" w:styleId="602">
    <w:name w:val="xl4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pPr>
    <w:rPr>
      <w:rFonts w:ascii="宋体" w:hAnsi="宋体" w:cs="宋体"/>
      <w:kern w:val="0"/>
      <w:sz w:val="20"/>
      <w:szCs w:val="20"/>
    </w:rPr>
  </w:style>
  <w:style w:type="paragraph" w:customStyle="1" w:styleId="603">
    <w:name w:val="xl44"/>
    <w:basedOn w:val="1"/>
    <w:qFormat/>
    <w:uiPriority w:val="0"/>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line="240" w:lineRule="auto"/>
      <w:jc w:val="center"/>
    </w:pPr>
    <w:rPr>
      <w:rFonts w:ascii="宋体" w:hAnsi="宋体" w:cs="宋体"/>
      <w:b/>
      <w:bCs/>
      <w:kern w:val="0"/>
      <w:sz w:val="20"/>
      <w:szCs w:val="20"/>
    </w:rPr>
  </w:style>
  <w:style w:type="paragraph" w:customStyle="1" w:styleId="604">
    <w:name w:val="xl5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b/>
      <w:bCs/>
      <w:kern w:val="0"/>
      <w:sz w:val="20"/>
      <w:szCs w:val="20"/>
    </w:rPr>
  </w:style>
  <w:style w:type="paragraph" w:customStyle="1" w:styleId="605">
    <w:name w:val="样式6 正文"/>
    <w:qFormat/>
    <w:uiPriority w:val="0"/>
    <w:pPr>
      <w:spacing w:line="360" w:lineRule="auto"/>
      <w:ind w:firstLine="510"/>
      <w:jc w:val="both"/>
    </w:pPr>
    <w:rPr>
      <w:rFonts w:ascii="Calibri" w:hAnsi="Calibri" w:eastAsia="宋体" w:cs="Times New Roman"/>
      <w:sz w:val="24"/>
      <w:lang w:val="en-US" w:eastAsia="zh-CN" w:bidi="ar-SA"/>
    </w:rPr>
  </w:style>
  <w:style w:type="paragraph" w:customStyle="1" w:styleId="606">
    <w:name w:val="CM62"/>
    <w:basedOn w:val="255"/>
    <w:next w:val="255"/>
    <w:qFormat/>
    <w:uiPriority w:val="0"/>
    <w:pPr>
      <w:spacing w:line="400" w:lineRule="atLeast"/>
    </w:pPr>
    <w:rPr>
      <w:rFonts w:ascii="宋体" w:hAnsi="Times New Roman" w:eastAsia="宋体" w:cs="宋体"/>
      <w:sz w:val="24"/>
      <w:szCs w:val="24"/>
    </w:rPr>
  </w:style>
  <w:style w:type="paragraph" w:customStyle="1" w:styleId="607">
    <w:name w:val="bf"/>
    <w:basedOn w:val="1"/>
    <w:qFormat/>
    <w:uiPriority w:val="0"/>
    <w:pPr>
      <w:widowControl w:val="0"/>
      <w:tabs>
        <w:tab w:val="left" w:pos="0"/>
        <w:tab w:val="left" w:pos="2269"/>
      </w:tabs>
      <w:adjustRightInd w:val="0"/>
      <w:spacing w:before="480" w:after="240" w:line="360" w:lineRule="atLeast"/>
      <w:ind w:left="1134" w:hanging="1134"/>
      <w:jc w:val="center"/>
      <w:textAlignment w:val="baseline"/>
    </w:pPr>
    <w:rPr>
      <w:rFonts w:ascii="Arial" w:hAnsi="Arial" w:eastAsia="黑体"/>
      <w:kern w:val="0"/>
      <w:sz w:val="32"/>
      <w:szCs w:val="20"/>
    </w:rPr>
  </w:style>
  <w:style w:type="paragraph" w:customStyle="1" w:styleId="608">
    <w:name w:val="样式 正文文本缩进 + 首行缩进:  2 字符"/>
    <w:basedOn w:val="34"/>
    <w:qFormat/>
    <w:uiPriority w:val="0"/>
    <w:pPr>
      <w:tabs>
        <w:tab w:val="left" w:pos="840"/>
      </w:tabs>
      <w:spacing w:after="0" w:line="360" w:lineRule="auto"/>
      <w:ind w:left="840" w:leftChars="350" w:firstLine="420" w:firstLineChars="200"/>
    </w:pPr>
    <w:rPr>
      <w:rFonts w:ascii="宋体" w:hAnsi="宋体" w:cs="宋体"/>
      <w:color w:val="000000"/>
      <w:sz w:val="24"/>
    </w:rPr>
  </w:style>
  <w:style w:type="paragraph" w:customStyle="1" w:styleId="609">
    <w:name w:val="xl2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pPr>
    <w:rPr>
      <w:rFonts w:ascii="宋体" w:hAnsi="宋体"/>
      <w:b/>
      <w:bCs/>
      <w:kern w:val="0"/>
      <w:sz w:val="24"/>
    </w:rPr>
  </w:style>
  <w:style w:type="paragraph" w:customStyle="1" w:styleId="610">
    <w:name w:val="xl5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b/>
      <w:bCs/>
      <w:kern w:val="0"/>
      <w:sz w:val="20"/>
      <w:szCs w:val="20"/>
    </w:rPr>
  </w:style>
  <w:style w:type="paragraph" w:customStyle="1" w:styleId="611">
    <w:name w:val="xl3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pPr>
    <w:rPr>
      <w:rFonts w:ascii="宋体" w:hAnsi="宋体"/>
      <w:b/>
      <w:bCs/>
      <w:kern w:val="0"/>
      <w:sz w:val="24"/>
    </w:rPr>
  </w:style>
  <w:style w:type="paragraph" w:customStyle="1" w:styleId="612">
    <w:name w:val="标题 1 +"/>
    <w:basedOn w:val="2"/>
    <w:next w:val="1"/>
    <w:qFormat/>
    <w:uiPriority w:val="0"/>
    <w:pPr>
      <w:widowControl w:val="0"/>
      <w:spacing w:before="0" w:after="0" w:line="600" w:lineRule="auto"/>
      <w:jc w:val="center"/>
    </w:pPr>
    <w:rPr>
      <w:rFonts w:ascii="Calibri" w:hAnsi="Calibri" w:eastAsia="黑体"/>
      <w:kern w:val="0"/>
      <w:sz w:val="32"/>
      <w:szCs w:val="32"/>
    </w:rPr>
  </w:style>
  <w:style w:type="paragraph" w:customStyle="1" w:styleId="613">
    <w:name w:val="样式 样式 首行缩进:  2 字符 + 首行缩进:  2 字符"/>
    <w:basedOn w:val="1"/>
    <w:qFormat/>
    <w:uiPriority w:val="0"/>
    <w:pPr>
      <w:widowControl w:val="0"/>
      <w:spacing w:line="440" w:lineRule="exact"/>
      <w:ind w:firstLine="480" w:firstLineChars="200"/>
      <w:jc w:val="both"/>
    </w:pPr>
    <w:rPr>
      <w:rFonts w:ascii="宋体" w:hAnsi="Garamond" w:cs="宋体"/>
      <w:kern w:val="0"/>
      <w:sz w:val="24"/>
      <w:szCs w:val="20"/>
    </w:rPr>
  </w:style>
  <w:style w:type="paragraph" w:customStyle="1" w:styleId="614">
    <w:name w:val="Char12"/>
    <w:basedOn w:val="1"/>
    <w:qFormat/>
    <w:uiPriority w:val="0"/>
    <w:pPr>
      <w:widowControl w:val="0"/>
      <w:spacing w:line="360" w:lineRule="auto"/>
      <w:ind w:firstLine="200" w:firstLineChars="200"/>
      <w:jc w:val="both"/>
    </w:pPr>
    <w:rPr>
      <w:rFonts w:ascii="宋体" w:hAnsi="Calibri"/>
      <w:snapToGrid w:val="0"/>
      <w:color w:val="000000"/>
      <w:sz w:val="24"/>
    </w:rPr>
  </w:style>
  <w:style w:type="paragraph" w:customStyle="1" w:styleId="615">
    <w:name w:val="CM3"/>
    <w:basedOn w:val="255"/>
    <w:next w:val="255"/>
    <w:qFormat/>
    <w:uiPriority w:val="0"/>
    <w:pPr>
      <w:spacing w:line="500" w:lineRule="atLeast"/>
    </w:pPr>
    <w:rPr>
      <w:rFonts w:ascii="宋体" w:hAnsi="Times New Roman" w:eastAsia="宋体" w:cs="宋体"/>
      <w:sz w:val="24"/>
      <w:szCs w:val="24"/>
    </w:rPr>
  </w:style>
  <w:style w:type="paragraph" w:customStyle="1" w:styleId="616">
    <w:name w:val="正文缩进lyy"/>
    <w:basedOn w:val="20"/>
    <w:qFormat/>
    <w:uiPriority w:val="0"/>
    <w:pPr>
      <w:widowControl w:val="0"/>
      <w:adjustRightInd w:val="0"/>
      <w:snapToGrid w:val="0"/>
      <w:spacing w:before="240" w:beforeLines="100" w:line="312" w:lineRule="auto"/>
      <w:ind w:firstLine="0"/>
      <w:jc w:val="both"/>
    </w:pPr>
    <w:rPr>
      <w:rFonts w:hAnsi="宋体"/>
      <w:color w:val="000000"/>
      <w:sz w:val="26"/>
      <w:szCs w:val="20"/>
    </w:rPr>
  </w:style>
  <w:style w:type="paragraph" w:customStyle="1" w:styleId="617">
    <w:name w:val="表中"/>
    <w:basedOn w:val="1"/>
    <w:qFormat/>
    <w:uiPriority w:val="0"/>
    <w:pPr>
      <w:widowControl w:val="0"/>
      <w:adjustRightInd w:val="0"/>
      <w:spacing w:line="360" w:lineRule="atLeast"/>
      <w:jc w:val="center"/>
      <w:textAlignment w:val="baseline"/>
    </w:pPr>
    <w:rPr>
      <w:rFonts w:ascii="Calibri" w:hAnsi="Calibri"/>
      <w:kern w:val="0"/>
      <w:szCs w:val="20"/>
    </w:rPr>
  </w:style>
  <w:style w:type="paragraph" w:customStyle="1" w:styleId="618">
    <w:name w:val="表格标题"/>
    <w:basedOn w:val="1"/>
    <w:qFormat/>
    <w:uiPriority w:val="0"/>
    <w:pPr>
      <w:widowControl w:val="0"/>
      <w:spacing w:line="240" w:lineRule="auto"/>
      <w:jc w:val="center"/>
    </w:pPr>
    <w:rPr>
      <w:rFonts w:ascii="Calibri" w:hAnsi="Calibri" w:eastAsia="仿宋_GB2312"/>
      <w:b/>
      <w:sz w:val="28"/>
    </w:rPr>
  </w:style>
  <w:style w:type="paragraph" w:customStyle="1" w:styleId="619">
    <w:name w:val="样式 (西文) 宋体 小四 段前: 7.8 磅 行距: 1.5 倍行距 首行缩进:  2 字符"/>
    <w:basedOn w:val="1"/>
    <w:qFormat/>
    <w:uiPriority w:val="0"/>
    <w:pPr>
      <w:widowControl w:val="0"/>
      <w:spacing w:before="156" w:line="360" w:lineRule="auto"/>
      <w:ind w:firstLine="480" w:firstLineChars="200"/>
      <w:jc w:val="both"/>
    </w:pPr>
    <w:rPr>
      <w:rFonts w:ascii="宋体" w:hAnsi="宋体" w:cs="宋体"/>
      <w:szCs w:val="20"/>
    </w:rPr>
  </w:style>
  <w:style w:type="paragraph" w:customStyle="1" w:styleId="620">
    <w:name w:val="样式 标题 2 + 宋体 段前: 0 磅 段后: 0 磅 行距: 1.5 倍行距"/>
    <w:basedOn w:val="3"/>
    <w:qFormat/>
    <w:uiPriority w:val="0"/>
    <w:pPr>
      <w:outlineLvl w:val="0"/>
    </w:pPr>
    <w:rPr>
      <w:rFonts w:ascii="宋体" w:hAnsi="宋体" w:cs="宋体"/>
      <w:szCs w:val="20"/>
    </w:rPr>
  </w:style>
  <w:style w:type="paragraph" w:customStyle="1" w:styleId="621">
    <w:name w:val="文档正文"/>
    <w:basedOn w:val="1"/>
    <w:qFormat/>
    <w:uiPriority w:val="0"/>
    <w:pPr>
      <w:widowControl w:val="0"/>
      <w:suppressAutoHyphens/>
      <w:spacing w:line="312" w:lineRule="atLeast"/>
      <w:ind w:firstLine="567"/>
      <w:textAlignment w:val="baseline"/>
    </w:pPr>
    <w:rPr>
      <w:rFonts w:ascii="长城仿宋" w:hAnsi="长城仿宋" w:eastAsia="长城仿宋" w:cs="Tahoma"/>
      <w:b/>
      <w:w w:val="80"/>
      <w:kern w:val="1"/>
      <w:sz w:val="28"/>
      <w:szCs w:val="20"/>
    </w:rPr>
  </w:style>
  <w:style w:type="paragraph" w:customStyle="1" w:styleId="622">
    <w:name w:val="XW表内文字"/>
    <w:basedOn w:val="1"/>
    <w:qFormat/>
    <w:uiPriority w:val="0"/>
    <w:pPr>
      <w:widowControl w:val="0"/>
      <w:adjustRightInd w:val="0"/>
      <w:spacing w:before="60" w:after="60" w:line="300" w:lineRule="exact"/>
      <w:ind w:firstLine="422" w:firstLineChars="200"/>
      <w:jc w:val="center"/>
    </w:pPr>
    <w:rPr>
      <w:rFonts w:ascii="Calibri" w:hAnsi="宋体"/>
      <w:kern w:val="0"/>
      <w:szCs w:val="20"/>
    </w:rPr>
  </w:style>
  <w:style w:type="paragraph" w:customStyle="1" w:styleId="623">
    <w:name w:val="ff6 Char Char Char"/>
    <w:basedOn w:val="33"/>
    <w:qFormat/>
    <w:uiPriority w:val="0"/>
    <w:pPr>
      <w:widowControl w:val="0"/>
      <w:adjustRightInd w:val="0"/>
      <w:snapToGrid w:val="0"/>
      <w:spacing w:after="0" w:line="360" w:lineRule="auto"/>
      <w:ind w:firstLine="480" w:firstLineChars="200"/>
      <w:jc w:val="both"/>
    </w:pPr>
    <w:rPr>
      <w:rFonts w:ascii="宋体" w:hAnsi="宋体" w:cs="宋体"/>
      <w:sz w:val="24"/>
    </w:rPr>
  </w:style>
  <w:style w:type="paragraph" w:customStyle="1" w:styleId="624">
    <w:name w:val="样式 标题 3 + 宋体 小四 行距: 1.5 倍行距"/>
    <w:basedOn w:val="4"/>
    <w:qFormat/>
    <w:uiPriority w:val="0"/>
    <w:pPr>
      <w:keepLines/>
      <w:widowControl w:val="0"/>
      <w:spacing w:line="360" w:lineRule="auto"/>
    </w:pPr>
    <w:rPr>
      <w:rFonts w:cs="宋体"/>
      <w:szCs w:val="20"/>
    </w:rPr>
  </w:style>
  <w:style w:type="paragraph" w:customStyle="1" w:styleId="625">
    <w:name w:val="xl6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0"/>
      <w:szCs w:val="20"/>
    </w:rPr>
  </w:style>
  <w:style w:type="paragraph" w:customStyle="1" w:styleId="626">
    <w:name w:val="Char Char2 Char Char Char Char"/>
    <w:basedOn w:val="1"/>
    <w:qFormat/>
    <w:uiPriority w:val="0"/>
    <w:pPr>
      <w:widowControl w:val="0"/>
      <w:spacing w:line="240" w:lineRule="auto"/>
      <w:jc w:val="both"/>
    </w:pPr>
    <w:rPr>
      <w:rFonts w:ascii="Calibri" w:hAnsi="Calibri"/>
    </w:rPr>
  </w:style>
  <w:style w:type="paragraph" w:customStyle="1" w:styleId="627">
    <w:name w:val="文档结构图11"/>
    <w:basedOn w:val="1"/>
    <w:qFormat/>
    <w:uiPriority w:val="0"/>
    <w:pPr>
      <w:widowControl w:val="0"/>
      <w:shd w:val="clear" w:color="auto" w:fill="000080"/>
      <w:adjustRightInd w:val="0"/>
      <w:spacing w:after="156" w:afterLines="50" w:line="240" w:lineRule="auto"/>
      <w:jc w:val="both"/>
      <w:textAlignment w:val="baseline"/>
    </w:pPr>
    <w:rPr>
      <w:rFonts w:ascii="楷体_GB2312" w:hAnsi="Calibri" w:eastAsia="楷体_GB2312"/>
      <w:kern w:val="0"/>
      <w:sz w:val="28"/>
      <w:szCs w:val="20"/>
    </w:rPr>
  </w:style>
  <w:style w:type="paragraph" w:customStyle="1" w:styleId="628">
    <w:name w:val="xl105"/>
    <w:basedOn w:val="1"/>
    <w:qFormat/>
    <w:uiPriority w:val="0"/>
    <w:pPr>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0"/>
      <w:szCs w:val="20"/>
    </w:rPr>
  </w:style>
  <w:style w:type="paragraph" w:customStyle="1" w:styleId="629">
    <w:name w:val="7"/>
    <w:basedOn w:val="1"/>
    <w:next w:val="33"/>
    <w:qFormat/>
    <w:uiPriority w:val="0"/>
    <w:pPr>
      <w:widowControl w:val="0"/>
      <w:spacing w:line="360" w:lineRule="auto"/>
      <w:ind w:firstLine="482"/>
      <w:jc w:val="both"/>
    </w:pPr>
    <w:rPr>
      <w:rFonts w:ascii="Calibri" w:hAnsi="Calibri"/>
      <w:sz w:val="24"/>
      <w:szCs w:val="20"/>
    </w:rPr>
  </w:style>
  <w:style w:type="paragraph" w:customStyle="1" w:styleId="630">
    <w:name w:val="标题2"/>
    <w:basedOn w:val="83"/>
    <w:qFormat/>
    <w:uiPriority w:val="0"/>
    <w:pPr>
      <w:adjustRightInd/>
      <w:spacing w:after="240" w:line="240" w:lineRule="auto"/>
      <w:jc w:val="left"/>
      <w:textAlignment w:val="auto"/>
    </w:pPr>
    <w:rPr>
      <w:rFonts w:ascii="Cambria" w:hAnsi="Cambria"/>
      <w:sz w:val="30"/>
      <w:szCs w:val="24"/>
    </w:rPr>
  </w:style>
  <w:style w:type="paragraph" w:customStyle="1" w:styleId="631">
    <w:name w:val="xl5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b/>
      <w:bCs/>
      <w:kern w:val="0"/>
      <w:sz w:val="20"/>
      <w:szCs w:val="20"/>
    </w:rPr>
  </w:style>
  <w:style w:type="paragraph" w:customStyle="1" w:styleId="632">
    <w:name w:val="font10"/>
    <w:basedOn w:val="1"/>
    <w:qFormat/>
    <w:uiPriority w:val="0"/>
    <w:pPr>
      <w:spacing w:before="100" w:beforeAutospacing="1" w:after="100" w:afterAutospacing="1" w:line="240" w:lineRule="auto"/>
    </w:pPr>
    <w:rPr>
      <w:rFonts w:ascii="Calibri" w:hAnsi="Calibri"/>
      <w:color w:val="FF0000"/>
      <w:kern w:val="0"/>
      <w:sz w:val="16"/>
      <w:szCs w:val="16"/>
    </w:rPr>
  </w:style>
  <w:style w:type="paragraph" w:customStyle="1" w:styleId="633">
    <w:name w:val="CM97"/>
    <w:basedOn w:val="255"/>
    <w:next w:val="255"/>
    <w:qFormat/>
    <w:uiPriority w:val="0"/>
    <w:pPr>
      <w:spacing w:after="373"/>
    </w:pPr>
    <w:rPr>
      <w:rFonts w:ascii="宋体" w:hAnsi="Times New Roman" w:eastAsia="宋体" w:cs="宋体"/>
      <w:sz w:val="24"/>
      <w:szCs w:val="24"/>
    </w:rPr>
  </w:style>
  <w:style w:type="paragraph" w:customStyle="1" w:styleId="634">
    <w:name w:val="样式 标题 2 + 宋体 五号 行距: 单倍行距"/>
    <w:basedOn w:val="3"/>
    <w:qFormat/>
    <w:uiPriority w:val="0"/>
    <w:pPr>
      <w:tabs>
        <w:tab w:val="left" w:pos="2175"/>
      </w:tabs>
      <w:adjustRightInd w:val="0"/>
      <w:spacing w:before="260" w:after="260" w:line="240" w:lineRule="auto"/>
      <w:ind w:left="2175" w:hanging="1275"/>
      <w:jc w:val="left"/>
    </w:pPr>
    <w:rPr>
      <w:rFonts w:ascii="宋体" w:hAnsi="宋体"/>
      <w:kern w:val="0"/>
      <w:sz w:val="21"/>
      <w:szCs w:val="20"/>
    </w:rPr>
  </w:style>
  <w:style w:type="paragraph" w:customStyle="1" w:styleId="635">
    <w:name w:val="样式 标题 3 + (中文) 黑体 小四 非加粗 段前: 7.8 磅 段后: 0 磅 行距: 固定值 20 磅"/>
    <w:basedOn w:val="4"/>
    <w:qFormat/>
    <w:uiPriority w:val="0"/>
    <w:pPr>
      <w:keepLines/>
      <w:widowControl w:val="0"/>
      <w:spacing w:line="400" w:lineRule="exact"/>
      <w:jc w:val="both"/>
    </w:pPr>
    <w:rPr>
      <w:rFonts w:hAnsi="Calibri" w:eastAsia="黑体" w:cs="宋体"/>
      <w:b w:val="0"/>
      <w:bCs w:val="0"/>
      <w:szCs w:val="20"/>
    </w:rPr>
  </w:style>
  <w:style w:type="paragraph" w:customStyle="1" w:styleId="636">
    <w:name w:val="xl86"/>
    <w:basedOn w:val="1"/>
    <w:qFormat/>
    <w:uiPriority w:val="0"/>
    <w:pPr>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2"/>
      <w:szCs w:val="22"/>
    </w:rPr>
  </w:style>
  <w:style w:type="paragraph" w:customStyle="1" w:styleId="637">
    <w:name w:val="正文小标题"/>
    <w:basedOn w:val="1"/>
    <w:next w:val="33"/>
    <w:qFormat/>
    <w:uiPriority w:val="0"/>
    <w:pPr>
      <w:widowControl w:val="0"/>
      <w:tabs>
        <w:tab w:val="left" w:pos="735"/>
        <w:tab w:val="left" w:pos="780"/>
      </w:tabs>
      <w:overflowPunct w:val="0"/>
      <w:autoSpaceDE w:val="0"/>
      <w:autoSpaceDN w:val="0"/>
      <w:adjustRightInd w:val="0"/>
      <w:spacing w:line="240" w:lineRule="auto"/>
      <w:ind w:firstLine="420" w:firstLineChars="200"/>
      <w:jc w:val="both"/>
    </w:pPr>
    <w:rPr>
      <w:rFonts w:ascii="Calibri" w:hAnsi="宋体"/>
      <w:kern w:val="0"/>
      <w:szCs w:val="20"/>
    </w:rPr>
  </w:style>
  <w:style w:type="paragraph" w:customStyle="1" w:styleId="638">
    <w:name w:val="样式 样式 样式 首行缩进:  2 字符 + 首行缩进:  2 字符1 + 首行缩进:  2 字符"/>
    <w:basedOn w:val="639"/>
    <w:qFormat/>
    <w:uiPriority w:val="0"/>
    <w:pPr>
      <w:spacing w:after="156" w:afterLines="50" w:line="460" w:lineRule="exact"/>
    </w:pPr>
  </w:style>
  <w:style w:type="paragraph" w:customStyle="1" w:styleId="639">
    <w:name w:val="样式 样式 首行缩进:  2 字符 + 首行缩进:  2 字符1"/>
    <w:basedOn w:val="1"/>
    <w:qFormat/>
    <w:uiPriority w:val="0"/>
    <w:pPr>
      <w:widowControl w:val="0"/>
      <w:spacing w:line="440" w:lineRule="exact"/>
      <w:ind w:firstLine="200" w:firstLineChars="200"/>
      <w:jc w:val="both"/>
    </w:pPr>
    <w:rPr>
      <w:rFonts w:ascii="宋体" w:hAnsi="Garamond" w:cs="宋体"/>
      <w:kern w:val="0"/>
      <w:sz w:val="24"/>
      <w:szCs w:val="20"/>
    </w:rPr>
  </w:style>
  <w:style w:type="paragraph" w:customStyle="1" w:styleId="640">
    <w:name w:val="样式 标题 2标题 2 CharH2PIM2Heading 2 Hidden2nd levelh22Header..."/>
    <w:basedOn w:val="3"/>
    <w:qFormat/>
    <w:uiPriority w:val="0"/>
    <w:pPr>
      <w:adjustRightInd w:val="0"/>
      <w:textAlignment w:val="baseline"/>
    </w:pPr>
    <w:rPr>
      <w:rFonts w:cs="宋体"/>
      <w:szCs w:val="20"/>
    </w:rPr>
  </w:style>
  <w:style w:type="paragraph" w:customStyle="1" w:styleId="641">
    <w:name w:val="小标题"/>
    <w:basedOn w:val="1"/>
    <w:next w:val="1"/>
    <w:qFormat/>
    <w:uiPriority w:val="0"/>
    <w:pPr>
      <w:widowControl w:val="0"/>
      <w:adjustRightInd w:val="0"/>
      <w:spacing w:before="60" w:after="60" w:line="360" w:lineRule="auto"/>
      <w:textAlignment w:val="baseline"/>
      <w:outlineLvl w:val="2"/>
    </w:pPr>
    <w:rPr>
      <w:rFonts w:ascii="仿宋_GB2312" w:hAnsi="Calibri" w:eastAsia="仿宋_GB2312"/>
      <w:b/>
      <w:kern w:val="0"/>
      <w:sz w:val="28"/>
      <w:szCs w:val="28"/>
    </w:rPr>
  </w:style>
  <w:style w:type="paragraph" w:customStyle="1" w:styleId="642">
    <w:name w:val="标题2+"/>
    <w:basedOn w:val="3"/>
    <w:qFormat/>
    <w:uiPriority w:val="0"/>
    <w:pPr>
      <w:snapToGrid w:val="0"/>
      <w:spacing w:beforeLines="50"/>
    </w:pPr>
    <w:rPr>
      <w:rFonts w:eastAsia="黑体" w:cs="Arial"/>
      <w:b w:val="0"/>
      <w:bCs w:val="0"/>
      <w:szCs w:val="24"/>
    </w:rPr>
  </w:style>
  <w:style w:type="paragraph" w:customStyle="1" w:styleId="643">
    <w:name w:val="CM93"/>
    <w:basedOn w:val="255"/>
    <w:next w:val="255"/>
    <w:qFormat/>
    <w:uiPriority w:val="0"/>
    <w:pPr>
      <w:spacing w:after="628"/>
    </w:pPr>
    <w:rPr>
      <w:rFonts w:ascii="宋体" w:hAnsi="Times New Roman" w:eastAsia="宋体" w:cs="宋体"/>
      <w:sz w:val="24"/>
      <w:szCs w:val="24"/>
    </w:rPr>
  </w:style>
  <w:style w:type="paragraph" w:customStyle="1" w:styleId="644">
    <w:name w:val="样式 标题 2 + 宋体 小四 段前: 0 磅 段后: 0 磅 行距: 1.5 倍行距"/>
    <w:basedOn w:val="3"/>
    <w:qFormat/>
    <w:uiPriority w:val="0"/>
    <w:pPr>
      <w:outlineLvl w:val="2"/>
    </w:pPr>
    <w:rPr>
      <w:rFonts w:ascii="宋体" w:hAnsi="宋体" w:cs="宋体"/>
      <w:szCs w:val="20"/>
    </w:rPr>
  </w:style>
  <w:style w:type="paragraph" w:customStyle="1" w:styleId="645">
    <w:name w:val="5"/>
    <w:basedOn w:val="1"/>
    <w:qFormat/>
    <w:uiPriority w:val="0"/>
    <w:pPr>
      <w:widowControl w:val="0"/>
      <w:tabs>
        <w:tab w:val="left" w:pos="1134"/>
      </w:tabs>
      <w:adjustRightInd w:val="0"/>
      <w:spacing w:before="20" w:after="40" w:line="300" w:lineRule="auto"/>
      <w:ind w:left="1134" w:hanging="1134"/>
      <w:jc w:val="both"/>
      <w:textAlignment w:val="baseline"/>
    </w:pPr>
    <w:rPr>
      <w:rFonts w:ascii="Arial" w:hAnsi="Arial"/>
      <w:kern w:val="0"/>
    </w:rPr>
  </w:style>
  <w:style w:type="paragraph" w:customStyle="1" w:styleId="646">
    <w:name w:val="CM28"/>
    <w:basedOn w:val="255"/>
    <w:next w:val="255"/>
    <w:qFormat/>
    <w:uiPriority w:val="0"/>
    <w:rPr>
      <w:rFonts w:ascii="宋体" w:hAnsi="Times New Roman" w:eastAsia="宋体" w:cs="宋体"/>
      <w:sz w:val="24"/>
      <w:szCs w:val="24"/>
    </w:rPr>
  </w:style>
  <w:style w:type="paragraph" w:customStyle="1" w:styleId="647">
    <w:name w:val="Style69"/>
    <w:basedOn w:val="1"/>
    <w:unhideWhenUsed/>
    <w:qFormat/>
    <w:uiPriority w:val="0"/>
    <w:pPr>
      <w:widowControl w:val="0"/>
      <w:spacing w:line="557" w:lineRule="exact"/>
      <w:ind w:firstLine="1666"/>
      <w:jc w:val="both"/>
    </w:pPr>
    <w:rPr>
      <w:rFonts w:ascii="Calibri" w:hAnsi="Calibri" w:eastAsia="微软雅黑"/>
    </w:rPr>
  </w:style>
  <w:style w:type="paragraph" w:customStyle="1" w:styleId="648">
    <w:name w:val="1."/>
    <w:basedOn w:val="1"/>
    <w:qFormat/>
    <w:uiPriority w:val="0"/>
    <w:pPr>
      <w:widowControl w:val="0"/>
      <w:tabs>
        <w:tab w:val="left" w:pos="0"/>
        <w:tab w:val="left" w:pos="426"/>
      </w:tabs>
      <w:adjustRightInd w:val="0"/>
      <w:spacing w:before="60" w:after="60" w:line="360" w:lineRule="atLeast"/>
      <w:ind w:left="426" w:hanging="426"/>
      <w:jc w:val="both"/>
      <w:textAlignment w:val="baseline"/>
    </w:pPr>
    <w:rPr>
      <w:rFonts w:ascii="Arial" w:hAnsi="Arial"/>
      <w:kern w:val="0"/>
      <w:szCs w:val="20"/>
    </w:rPr>
  </w:style>
  <w:style w:type="paragraph" w:customStyle="1" w:styleId="649">
    <w:name w:val="Char Char Char Char Char Char Char Char Char Char Char Char Char"/>
    <w:basedOn w:val="1"/>
    <w:qFormat/>
    <w:uiPriority w:val="0"/>
    <w:pPr>
      <w:spacing w:after="160" w:line="240" w:lineRule="exact"/>
    </w:pPr>
    <w:rPr>
      <w:rFonts w:ascii="Verdana" w:hAnsi="Verdana"/>
      <w:kern w:val="0"/>
      <w:sz w:val="20"/>
      <w:szCs w:val="20"/>
      <w:lang w:eastAsia="en-US"/>
    </w:rPr>
  </w:style>
  <w:style w:type="paragraph" w:customStyle="1" w:styleId="650">
    <w:name w:val="XW标题2"/>
    <w:basedOn w:val="1"/>
    <w:next w:val="1"/>
    <w:qFormat/>
    <w:uiPriority w:val="0"/>
    <w:pPr>
      <w:widowControl w:val="0"/>
      <w:adjustRightInd w:val="0"/>
      <w:spacing w:before="300" w:line="360" w:lineRule="auto"/>
      <w:outlineLvl w:val="1"/>
    </w:pPr>
    <w:rPr>
      <w:rFonts w:ascii="Arial" w:hAnsi="Arial" w:eastAsia="黑体"/>
      <w:kern w:val="0"/>
      <w:sz w:val="32"/>
      <w:szCs w:val="20"/>
    </w:rPr>
  </w:style>
  <w:style w:type="paragraph" w:customStyle="1" w:styleId="651">
    <w:name w:val="xl64"/>
    <w:basedOn w:val="1"/>
    <w:qFormat/>
    <w:uiPriority w:val="0"/>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line="240" w:lineRule="auto"/>
      <w:jc w:val="center"/>
    </w:pPr>
    <w:rPr>
      <w:rFonts w:ascii="宋体" w:hAnsi="宋体" w:cs="宋体"/>
      <w:b/>
      <w:bCs/>
      <w:kern w:val="0"/>
      <w:sz w:val="20"/>
      <w:szCs w:val="20"/>
    </w:rPr>
  </w:style>
  <w:style w:type="paragraph" w:customStyle="1" w:styleId="652">
    <w:name w:val="条款正文（三级标题）"/>
    <w:basedOn w:val="4"/>
    <w:qFormat/>
    <w:uiPriority w:val="0"/>
    <w:pPr>
      <w:keepLines/>
      <w:widowControl w:val="0"/>
      <w:tabs>
        <w:tab w:val="left" w:pos="720"/>
      </w:tabs>
      <w:autoSpaceDE w:val="0"/>
      <w:autoSpaceDN w:val="0"/>
      <w:adjustRightInd w:val="0"/>
      <w:spacing w:line="360" w:lineRule="auto"/>
      <w:ind w:firstLine="416" w:firstLineChars="198"/>
      <w:jc w:val="both"/>
    </w:pPr>
    <w:rPr>
      <w:rFonts w:ascii="Calibri" w:hAnsi="Calibri"/>
      <w:b w:val="0"/>
      <w:bCs w:val="0"/>
      <w:color w:val="000000"/>
      <w:kern w:val="24"/>
      <w:sz w:val="21"/>
      <w:szCs w:val="20"/>
    </w:rPr>
  </w:style>
  <w:style w:type="paragraph" w:customStyle="1" w:styleId="653">
    <w:name w:val="样式 首行缩进:  2 字符"/>
    <w:basedOn w:val="1"/>
    <w:qFormat/>
    <w:uiPriority w:val="0"/>
    <w:pPr>
      <w:widowControl w:val="0"/>
      <w:spacing w:line="440" w:lineRule="exact"/>
      <w:ind w:firstLine="200" w:firstLineChars="200"/>
      <w:jc w:val="both"/>
    </w:pPr>
    <w:rPr>
      <w:rFonts w:ascii="宋体" w:hAnsi="Garamond" w:cs="宋体"/>
      <w:sz w:val="24"/>
      <w:szCs w:val="20"/>
    </w:rPr>
  </w:style>
  <w:style w:type="paragraph" w:customStyle="1" w:styleId="654">
    <w:name w:val="文章副标题"/>
    <w:basedOn w:val="1"/>
    <w:next w:val="2"/>
    <w:qFormat/>
    <w:uiPriority w:val="0"/>
    <w:pPr>
      <w:widowControl w:val="0"/>
      <w:spacing w:before="104" w:after="104" w:line="0" w:lineRule="atLeast"/>
      <w:ind w:left="1"/>
      <w:jc w:val="center"/>
      <w:textAlignment w:val="bottom"/>
    </w:pPr>
    <w:rPr>
      <w:rFonts w:ascii="Calibri" w:hAnsi="Calibri"/>
      <w:kern w:val="0"/>
      <w:sz w:val="36"/>
      <w:szCs w:val="20"/>
    </w:rPr>
  </w:style>
  <w:style w:type="paragraph" w:customStyle="1" w:styleId="655">
    <w:name w:val="Char31"/>
    <w:basedOn w:val="1"/>
    <w:qFormat/>
    <w:uiPriority w:val="0"/>
    <w:pPr>
      <w:widowControl w:val="0"/>
      <w:spacing w:after="156" w:afterLines="50" w:line="360" w:lineRule="auto"/>
      <w:ind w:firstLine="200" w:firstLineChars="200"/>
      <w:jc w:val="both"/>
    </w:pPr>
    <w:rPr>
      <w:rFonts w:ascii="宋体" w:hAnsi="宋体" w:cs="宋体"/>
      <w:sz w:val="24"/>
    </w:rPr>
  </w:style>
  <w:style w:type="paragraph" w:customStyle="1" w:styleId="656">
    <w:name w:val="CM49"/>
    <w:basedOn w:val="255"/>
    <w:next w:val="255"/>
    <w:qFormat/>
    <w:uiPriority w:val="0"/>
    <w:pPr>
      <w:spacing w:line="440" w:lineRule="atLeast"/>
    </w:pPr>
    <w:rPr>
      <w:rFonts w:ascii="宋体" w:hAnsi="Times New Roman" w:eastAsia="宋体" w:cs="宋体"/>
      <w:sz w:val="24"/>
      <w:szCs w:val="24"/>
    </w:rPr>
  </w:style>
  <w:style w:type="paragraph" w:customStyle="1" w:styleId="657">
    <w:name w:val="xl77"/>
    <w:basedOn w:val="1"/>
    <w:qFormat/>
    <w:uiPriority w:val="0"/>
    <w:pPr>
      <w:pBdr>
        <w:top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color w:val="FF0000"/>
      <w:kern w:val="0"/>
      <w:sz w:val="20"/>
      <w:szCs w:val="20"/>
    </w:rPr>
  </w:style>
  <w:style w:type="paragraph" w:customStyle="1" w:styleId="658">
    <w:name w:val="Style12"/>
    <w:basedOn w:val="1"/>
    <w:unhideWhenUsed/>
    <w:qFormat/>
    <w:uiPriority w:val="0"/>
    <w:pPr>
      <w:widowControl w:val="0"/>
      <w:spacing w:line="564" w:lineRule="exact"/>
      <w:ind w:hanging="115"/>
      <w:jc w:val="both"/>
    </w:pPr>
    <w:rPr>
      <w:rFonts w:ascii="Calibri" w:hAnsi="Calibri" w:eastAsia="微软雅黑"/>
    </w:rPr>
  </w:style>
  <w:style w:type="paragraph" w:customStyle="1" w:styleId="659">
    <w:name w:val="Char1 Char Char Char Char Char Char"/>
    <w:basedOn w:val="1"/>
    <w:qFormat/>
    <w:uiPriority w:val="0"/>
    <w:pPr>
      <w:widowControl w:val="0"/>
      <w:spacing w:line="240" w:lineRule="auto"/>
      <w:jc w:val="both"/>
    </w:pPr>
    <w:rPr>
      <w:rFonts w:ascii="Calibri" w:hAnsi="Calibri"/>
      <w:szCs w:val="21"/>
    </w:rPr>
  </w:style>
  <w:style w:type="paragraph" w:customStyle="1" w:styleId="660">
    <w:name w:val="xl4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pPr>
    <w:rPr>
      <w:rFonts w:ascii="宋体" w:hAnsi="宋体" w:cs="宋体"/>
      <w:b/>
      <w:bCs/>
      <w:kern w:val="0"/>
      <w:sz w:val="20"/>
      <w:szCs w:val="20"/>
    </w:rPr>
  </w:style>
  <w:style w:type="paragraph" w:customStyle="1" w:styleId="661">
    <w:name w:val="xl36"/>
    <w:basedOn w:val="1"/>
    <w:qFormat/>
    <w:uiPriority w:val="0"/>
    <w:pPr>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Arial Unicode MS" w:hAnsi="Arial Unicode MS" w:eastAsia="Arial Unicode MS" w:cs="Arial Unicode MS"/>
      <w:kern w:val="0"/>
      <w:sz w:val="24"/>
    </w:rPr>
  </w:style>
  <w:style w:type="paragraph" w:customStyle="1" w:styleId="662">
    <w:name w:val="Char Char Char"/>
    <w:basedOn w:val="1"/>
    <w:qFormat/>
    <w:uiPriority w:val="0"/>
    <w:pPr>
      <w:widowControl w:val="0"/>
      <w:spacing w:line="240" w:lineRule="auto"/>
      <w:jc w:val="both"/>
    </w:pPr>
    <w:rPr>
      <w:rFonts w:ascii="宋体" w:hAnsi="宋体" w:eastAsia="微软雅黑"/>
      <w:b/>
      <w:sz w:val="28"/>
      <w:szCs w:val="28"/>
    </w:rPr>
  </w:style>
  <w:style w:type="paragraph" w:customStyle="1" w:styleId="663">
    <w:name w:val="XW标题3"/>
    <w:basedOn w:val="1"/>
    <w:next w:val="1"/>
    <w:qFormat/>
    <w:uiPriority w:val="0"/>
    <w:pPr>
      <w:widowControl w:val="0"/>
      <w:adjustRightInd w:val="0"/>
      <w:spacing w:before="200" w:line="360" w:lineRule="auto"/>
      <w:outlineLvl w:val="2"/>
    </w:pPr>
    <w:rPr>
      <w:rFonts w:ascii="Arial" w:hAnsi="Arial" w:eastAsia="黑体"/>
      <w:kern w:val="0"/>
      <w:sz w:val="30"/>
      <w:szCs w:val="20"/>
    </w:rPr>
  </w:style>
  <w:style w:type="paragraph" w:customStyle="1" w:styleId="664">
    <w:name w:val="1 Char Char Char Char"/>
    <w:basedOn w:val="1"/>
    <w:qFormat/>
    <w:uiPriority w:val="0"/>
    <w:pPr>
      <w:widowControl w:val="0"/>
      <w:spacing w:line="240" w:lineRule="auto"/>
      <w:jc w:val="both"/>
    </w:pPr>
    <w:rPr>
      <w:rFonts w:ascii="Calibri" w:hAnsi="Calibri" w:eastAsia="微软雅黑"/>
    </w:rPr>
  </w:style>
  <w:style w:type="paragraph" w:customStyle="1" w:styleId="665">
    <w:name w:val="正文文本 22"/>
    <w:basedOn w:val="1"/>
    <w:qFormat/>
    <w:uiPriority w:val="0"/>
    <w:pPr>
      <w:widowControl w:val="0"/>
      <w:adjustRightInd w:val="0"/>
      <w:spacing w:line="360" w:lineRule="atLeast"/>
      <w:ind w:firstLine="720"/>
      <w:jc w:val="both"/>
      <w:textAlignment w:val="baseline"/>
    </w:pPr>
    <w:rPr>
      <w:rFonts w:ascii="宋体" w:hAnsi="Calibri"/>
      <w:kern w:val="0"/>
      <w:sz w:val="28"/>
      <w:szCs w:val="20"/>
    </w:rPr>
  </w:style>
  <w:style w:type="paragraph" w:customStyle="1" w:styleId="666">
    <w:name w:val="金安桥正文"/>
    <w:basedOn w:val="34"/>
    <w:qFormat/>
    <w:uiPriority w:val="0"/>
    <w:pPr>
      <w:adjustRightInd w:val="0"/>
      <w:spacing w:after="0" w:line="300" w:lineRule="auto"/>
      <w:ind w:left="0" w:leftChars="0" w:firstLine="200" w:firstLineChars="200"/>
      <w:jc w:val="left"/>
    </w:pPr>
    <w:rPr>
      <w:kern w:val="0"/>
      <w:sz w:val="24"/>
      <w:szCs w:val="20"/>
    </w:rPr>
  </w:style>
  <w:style w:type="paragraph" w:customStyle="1" w:styleId="667">
    <w:name w:val="Char Char Char Char Char Char Char Char Char Char"/>
    <w:basedOn w:val="1"/>
    <w:qFormat/>
    <w:uiPriority w:val="0"/>
    <w:pPr>
      <w:widowControl w:val="0"/>
      <w:snapToGrid w:val="0"/>
      <w:spacing w:line="360" w:lineRule="auto"/>
      <w:ind w:firstLine="200" w:firstLineChars="200"/>
      <w:jc w:val="both"/>
    </w:pPr>
    <w:rPr>
      <w:rFonts w:ascii="Calibri" w:hAnsi="Calibri" w:eastAsia="仿宋_GB2312"/>
      <w:sz w:val="24"/>
    </w:rPr>
  </w:style>
  <w:style w:type="paragraph" w:customStyle="1" w:styleId="668">
    <w:name w:val="修订1"/>
    <w:qFormat/>
    <w:uiPriority w:val="0"/>
    <w:rPr>
      <w:rFonts w:ascii="Calibri" w:hAnsi="Calibri" w:eastAsia="微软雅黑" w:cs="Times New Roman"/>
      <w:kern w:val="2"/>
      <w:sz w:val="21"/>
      <w:szCs w:val="24"/>
      <w:lang w:val="en-US" w:eastAsia="zh-CN" w:bidi="ar-SA"/>
    </w:rPr>
  </w:style>
  <w:style w:type="paragraph" w:customStyle="1" w:styleId="669">
    <w:name w:val="CM99"/>
    <w:basedOn w:val="255"/>
    <w:next w:val="255"/>
    <w:qFormat/>
    <w:uiPriority w:val="0"/>
    <w:pPr>
      <w:spacing w:after="443"/>
    </w:pPr>
    <w:rPr>
      <w:rFonts w:ascii="宋体" w:hAnsi="Times New Roman" w:eastAsia="宋体" w:cs="宋体"/>
      <w:sz w:val="24"/>
      <w:szCs w:val="24"/>
    </w:rPr>
  </w:style>
  <w:style w:type="paragraph" w:customStyle="1" w:styleId="670">
    <w:name w:val="正文(1)"/>
    <w:basedOn w:val="1"/>
    <w:qFormat/>
    <w:uiPriority w:val="0"/>
    <w:pPr>
      <w:widowControl w:val="0"/>
      <w:tabs>
        <w:tab w:val="left" w:pos="1021"/>
        <w:tab w:val="left" w:pos="1095"/>
      </w:tabs>
      <w:adjustRightInd w:val="0"/>
      <w:spacing w:line="360" w:lineRule="auto"/>
      <w:ind w:left="1095" w:hanging="465"/>
      <w:jc w:val="both"/>
      <w:textAlignment w:val="baseline"/>
    </w:pPr>
    <w:rPr>
      <w:rFonts w:ascii="Calibri" w:hAnsi="Calibri"/>
      <w:kern w:val="24"/>
      <w:sz w:val="24"/>
      <w:szCs w:val="20"/>
    </w:rPr>
  </w:style>
  <w:style w:type="paragraph" w:customStyle="1" w:styleId="671">
    <w:name w:val="日期3"/>
    <w:basedOn w:val="1"/>
    <w:next w:val="1"/>
    <w:qFormat/>
    <w:uiPriority w:val="0"/>
    <w:pPr>
      <w:widowControl w:val="0"/>
      <w:adjustRightInd w:val="0"/>
      <w:spacing w:line="240" w:lineRule="auto"/>
      <w:jc w:val="both"/>
      <w:textAlignment w:val="baseline"/>
    </w:pPr>
    <w:rPr>
      <w:rFonts w:ascii="Calibri" w:hAnsi="Calibri"/>
      <w:szCs w:val="20"/>
    </w:rPr>
  </w:style>
  <w:style w:type="paragraph" w:customStyle="1" w:styleId="672">
    <w:name w:val="Char1 Char Char Char Char Char1 Char Char Char Char Char Char Char Char Char Char Char Char Char Char Char Char Char Char Char Char Char Char Char Char Char1"/>
    <w:basedOn w:val="1"/>
    <w:qFormat/>
    <w:uiPriority w:val="0"/>
    <w:pPr>
      <w:widowControl w:val="0"/>
      <w:spacing w:line="360" w:lineRule="auto"/>
      <w:jc w:val="both"/>
    </w:pPr>
    <w:rPr>
      <w:rFonts w:ascii="华文楷体" w:hAnsi="华文楷体" w:eastAsia="华文楷体"/>
      <w:b/>
      <w:sz w:val="24"/>
      <w:szCs w:val="21"/>
    </w:rPr>
  </w:style>
  <w:style w:type="paragraph" w:customStyle="1" w:styleId="673">
    <w:name w:val="标 题 1"/>
    <w:basedOn w:val="2"/>
    <w:qFormat/>
    <w:uiPriority w:val="0"/>
    <w:pPr>
      <w:widowControl w:val="0"/>
      <w:snapToGrid w:val="0"/>
      <w:spacing w:before="312" w:beforeLines="100" w:after="312" w:afterLines="100" w:line="460" w:lineRule="exact"/>
      <w:jc w:val="center"/>
    </w:pPr>
    <w:rPr>
      <w:rFonts w:ascii="Arial" w:hAnsi="Arial" w:eastAsia="黑体" w:cs="宋体"/>
      <w:b w:val="0"/>
      <w:color w:val="000000"/>
      <w:sz w:val="32"/>
      <w:szCs w:val="20"/>
    </w:rPr>
  </w:style>
  <w:style w:type="paragraph" w:customStyle="1" w:styleId="674">
    <w:name w:val="xl11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textAlignment w:val="center"/>
    </w:pPr>
    <w:rPr>
      <w:rFonts w:ascii="宋体" w:hAnsi="宋体" w:cs="宋体"/>
      <w:kern w:val="0"/>
      <w:sz w:val="20"/>
      <w:szCs w:val="20"/>
    </w:rPr>
  </w:style>
  <w:style w:type="paragraph" w:customStyle="1" w:styleId="675">
    <w:name w:val="Style4"/>
    <w:basedOn w:val="1"/>
    <w:unhideWhenUsed/>
    <w:qFormat/>
    <w:uiPriority w:val="0"/>
    <w:pPr>
      <w:widowControl w:val="0"/>
      <w:spacing w:line="240" w:lineRule="auto"/>
      <w:jc w:val="both"/>
    </w:pPr>
    <w:rPr>
      <w:rFonts w:ascii="Calibri" w:hAnsi="Calibri" w:eastAsia="微软雅黑"/>
    </w:rPr>
  </w:style>
  <w:style w:type="paragraph" w:customStyle="1" w:styleId="676">
    <w:name w:val="CM2"/>
    <w:basedOn w:val="255"/>
    <w:next w:val="255"/>
    <w:qFormat/>
    <w:uiPriority w:val="0"/>
    <w:pPr>
      <w:spacing w:line="500" w:lineRule="atLeast"/>
    </w:pPr>
    <w:rPr>
      <w:rFonts w:ascii="宋体" w:hAnsi="Times New Roman" w:eastAsia="宋体" w:cs="宋体"/>
      <w:sz w:val="24"/>
      <w:szCs w:val="24"/>
    </w:rPr>
  </w:style>
  <w:style w:type="paragraph" w:customStyle="1" w:styleId="677">
    <w:name w:val="xl9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b/>
      <w:bCs/>
      <w:kern w:val="0"/>
      <w:sz w:val="20"/>
      <w:szCs w:val="20"/>
    </w:rPr>
  </w:style>
  <w:style w:type="paragraph" w:customStyle="1" w:styleId="678">
    <w:name w:val="CM91"/>
    <w:basedOn w:val="1"/>
    <w:next w:val="1"/>
    <w:qFormat/>
    <w:uiPriority w:val="0"/>
    <w:pPr>
      <w:widowControl w:val="0"/>
      <w:autoSpaceDE w:val="0"/>
      <w:autoSpaceDN w:val="0"/>
      <w:adjustRightInd w:val="0"/>
      <w:spacing w:after="160" w:line="240" w:lineRule="auto"/>
    </w:pPr>
    <w:rPr>
      <w:rFonts w:ascii="宋体" w:hAnsi="Calibri" w:cs="宋体"/>
      <w:kern w:val="0"/>
      <w:sz w:val="24"/>
    </w:rPr>
  </w:style>
  <w:style w:type="paragraph" w:customStyle="1" w:styleId="679">
    <w:name w:val="xl91"/>
    <w:basedOn w:val="1"/>
    <w:qFormat/>
    <w:uiPriority w:val="0"/>
    <w:pPr>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b/>
      <w:bCs/>
      <w:kern w:val="0"/>
      <w:sz w:val="20"/>
      <w:szCs w:val="20"/>
    </w:rPr>
  </w:style>
  <w:style w:type="paragraph" w:customStyle="1" w:styleId="680">
    <w:name w:val="普通 (Web)"/>
    <w:basedOn w:val="1"/>
    <w:qFormat/>
    <w:uiPriority w:val="0"/>
    <w:pPr>
      <w:spacing w:before="100" w:beforeAutospacing="1" w:after="100" w:afterAutospacing="1" w:line="240" w:lineRule="auto"/>
    </w:pPr>
    <w:rPr>
      <w:rFonts w:ascii="宋体" w:hAnsi="宋体" w:cs="宋体"/>
      <w:kern w:val="0"/>
      <w:sz w:val="24"/>
    </w:rPr>
  </w:style>
  <w:style w:type="paragraph" w:customStyle="1" w:styleId="681">
    <w:name w:val="表内1"/>
    <w:basedOn w:val="399"/>
    <w:qFormat/>
    <w:uiPriority w:val="0"/>
    <w:pPr>
      <w:adjustRightInd/>
      <w:ind w:left="96" w:hanging="96" w:hangingChars="40"/>
      <w:jc w:val="left"/>
      <w:textAlignment w:val="auto"/>
    </w:pPr>
    <w:rPr>
      <w:rFonts w:eastAsia="仿宋_GB2312"/>
      <w:bCs/>
      <w:color w:val="000000"/>
      <w:kern w:val="2"/>
      <w:sz w:val="20"/>
      <w:szCs w:val="32"/>
    </w:rPr>
  </w:style>
  <w:style w:type="paragraph" w:customStyle="1" w:styleId="682">
    <w:name w:val="档案"/>
    <w:basedOn w:val="1"/>
    <w:qFormat/>
    <w:uiPriority w:val="0"/>
    <w:pPr>
      <w:widowControl w:val="0"/>
      <w:adjustRightInd w:val="0"/>
      <w:spacing w:line="360" w:lineRule="atLeast"/>
      <w:ind w:left="8280" w:right="-694" w:hanging="8280"/>
      <w:textAlignment w:val="baseline"/>
    </w:pPr>
    <w:rPr>
      <w:rFonts w:ascii="Calibri" w:hAnsi="Calibri"/>
      <w:kern w:val="0"/>
      <w:sz w:val="28"/>
      <w:szCs w:val="20"/>
    </w:rPr>
  </w:style>
  <w:style w:type="paragraph" w:customStyle="1" w:styleId="683">
    <w:name w:val="Headings Font"/>
    <w:basedOn w:val="1"/>
    <w:next w:val="33"/>
    <w:qFormat/>
    <w:uiPriority w:val="0"/>
    <w:pPr>
      <w:keepNext/>
      <w:spacing w:line="240" w:lineRule="auto"/>
    </w:pPr>
    <w:rPr>
      <w:rFonts w:ascii="Arial" w:hAnsi="Arial"/>
      <w:kern w:val="0"/>
      <w:sz w:val="22"/>
      <w:szCs w:val="22"/>
    </w:rPr>
  </w:style>
  <w:style w:type="paragraph" w:customStyle="1" w:styleId="684">
    <w:name w:val="xl4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0"/>
      <w:szCs w:val="20"/>
    </w:rPr>
  </w:style>
  <w:style w:type="paragraph" w:customStyle="1" w:styleId="685">
    <w:name w:val="样式 行距: 固定值 18 磅"/>
    <w:basedOn w:val="1"/>
    <w:qFormat/>
    <w:uiPriority w:val="0"/>
    <w:pPr>
      <w:widowControl w:val="0"/>
      <w:spacing w:after="156" w:afterLines="50" w:line="460" w:lineRule="exact"/>
      <w:ind w:firstLine="200" w:firstLineChars="200"/>
      <w:jc w:val="both"/>
    </w:pPr>
    <w:rPr>
      <w:rFonts w:ascii="宋体" w:hAnsi="Calibri" w:cs="宋体"/>
      <w:sz w:val="24"/>
      <w:szCs w:val="20"/>
    </w:rPr>
  </w:style>
  <w:style w:type="paragraph" w:customStyle="1" w:styleId="686">
    <w:name w:val="Char Char Char Char11"/>
    <w:basedOn w:val="1"/>
    <w:qFormat/>
    <w:uiPriority w:val="0"/>
    <w:pPr>
      <w:widowControl w:val="0"/>
      <w:spacing w:line="240" w:lineRule="auto"/>
      <w:jc w:val="both"/>
    </w:pPr>
    <w:rPr>
      <w:rFonts w:ascii="宋体" w:hAnsi="Calibri"/>
    </w:rPr>
  </w:style>
  <w:style w:type="paragraph" w:customStyle="1" w:styleId="687">
    <w:name w:val="Char Char Char Char12"/>
    <w:basedOn w:val="1"/>
    <w:qFormat/>
    <w:uiPriority w:val="0"/>
    <w:pPr>
      <w:widowControl w:val="0"/>
      <w:spacing w:after="156" w:afterLines="50" w:line="240" w:lineRule="auto"/>
      <w:jc w:val="both"/>
    </w:pPr>
    <w:rPr>
      <w:rFonts w:ascii="宋体" w:hAnsi="Calibri"/>
    </w:rPr>
  </w:style>
  <w:style w:type="paragraph" w:customStyle="1" w:styleId="688">
    <w:name w:val="xl10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0"/>
      <w:szCs w:val="20"/>
    </w:rPr>
  </w:style>
  <w:style w:type="paragraph" w:customStyle="1" w:styleId="689">
    <w:name w:val="xl73"/>
    <w:basedOn w:val="1"/>
    <w:qFormat/>
    <w:uiPriority w:val="0"/>
    <w:pPr>
      <w:pBdr>
        <w:top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0"/>
      <w:szCs w:val="20"/>
    </w:rPr>
  </w:style>
  <w:style w:type="paragraph" w:customStyle="1" w:styleId="690">
    <w:name w:val="xl8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textAlignment w:val="center"/>
    </w:pPr>
    <w:rPr>
      <w:rFonts w:ascii="宋体" w:hAnsi="宋体" w:cs="宋体"/>
      <w:kern w:val="0"/>
      <w:sz w:val="20"/>
      <w:szCs w:val="20"/>
    </w:rPr>
  </w:style>
  <w:style w:type="paragraph" w:customStyle="1" w:styleId="691">
    <w:name w:val="Style36"/>
    <w:basedOn w:val="1"/>
    <w:unhideWhenUsed/>
    <w:qFormat/>
    <w:uiPriority w:val="0"/>
    <w:pPr>
      <w:widowControl w:val="0"/>
      <w:spacing w:line="240" w:lineRule="auto"/>
      <w:jc w:val="both"/>
    </w:pPr>
    <w:rPr>
      <w:rFonts w:ascii="Calibri" w:hAnsi="Calibri" w:eastAsia="微软雅黑"/>
    </w:rPr>
  </w:style>
  <w:style w:type="paragraph" w:customStyle="1" w:styleId="692">
    <w:name w:val="简单回函地址"/>
    <w:basedOn w:val="1"/>
    <w:qFormat/>
    <w:uiPriority w:val="0"/>
    <w:pPr>
      <w:widowControl w:val="0"/>
      <w:spacing w:line="240" w:lineRule="auto"/>
      <w:jc w:val="both"/>
    </w:pPr>
    <w:rPr>
      <w:rFonts w:ascii="Calibri" w:hAnsi="Calibri"/>
    </w:rPr>
  </w:style>
  <w:style w:type="paragraph" w:customStyle="1" w:styleId="693">
    <w:name w:val="Style9"/>
    <w:basedOn w:val="1"/>
    <w:unhideWhenUsed/>
    <w:qFormat/>
    <w:uiPriority w:val="0"/>
    <w:pPr>
      <w:widowControl w:val="0"/>
      <w:spacing w:line="240" w:lineRule="auto"/>
      <w:jc w:val="both"/>
    </w:pPr>
    <w:rPr>
      <w:rFonts w:ascii="Calibri" w:hAnsi="Calibri" w:eastAsia="微软雅黑"/>
    </w:rPr>
  </w:style>
  <w:style w:type="paragraph" w:customStyle="1" w:styleId="694">
    <w:name w:val="XW表名"/>
    <w:basedOn w:val="2"/>
    <w:qFormat/>
    <w:uiPriority w:val="0"/>
    <w:pPr>
      <w:keepLines w:val="0"/>
      <w:widowControl w:val="0"/>
      <w:adjustRightInd w:val="0"/>
      <w:spacing w:before="300" w:after="80" w:line="240" w:lineRule="auto"/>
      <w:jc w:val="center"/>
      <w:outlineLvl w:val="9"/>
    </w:pPr>
    <w:rPr>
      <w:rFonts w:ascii="Calibri" w:hAnsi="Calibri" w:eastAsia="黑体"/>
      <w:b w:val="0"/>
      <w:bCs w:val="0"/>
      <w:sz w:val="24"/>
      <w:szCs w:val="20"/>
    </w:rPr>
  </w:style>
  <w:style w:type="paragraph" w:customStyle="1" w:styleId="695">
    <w:name w:val="CM6"/>
    <w:basedOn w:val="255"/>
    <w:next w:val="255"/>
    <w:qFormat/>
    <w:uiPriority w:val="0"/>
    <w:pPr>
      <w:spacing w:line="318" w:lineRule="atLeast"/>
    </w:pPr>
    <w:rPr>
      <w:rFonts w:ascii="宋体" w:hAnsi="Times New Roman" w:eastAsia="宋体" w:cs="宋体"/>
      <w:sz w:val="24"/>
      <w:szCs w:val="24"/>
    </w:rPr>
  </w:style>
  <w:style w:type="paragraph" w:customStyle="1" w:styleId="696">
    <w:name w:val="p16"/>
    <w:basedOn w:val="1"/>
    <w:qFormat/>
    <w:uiPriority w:val="0"/>
    <w:pPr>
      <w:spacing w:line="240" w:lineRule="auto"/>
    </w:pPr>
    <w:rPr>
      <w:rFonts w:ascii="Calibri" w:hAnsi="Calibri" w:eastAsia="微软雅黑"/>
      <w:kern w:val="0"/>
      <w:szCs w:val="21"/>
    </w:rPr>
  </w:style>
  <w:style w:type="paragraph" w:customStyle="1" w:styleId="697">
    <w:name w:val="Style42"/>
    <w:basedOn w:val="1"/>
    <w:unhideWhenUsed/>
    <w:qFormat/>
    <w:uiPriority w:val="0"/>
    <w:pPr>
      <w:widowControl w:val="0"/>
      <w:spacing w:line="542" w:lineRule="exact"/>
      <w:ind w:firstLine="547"/>
      <w:jc w:val="both"/>
    </w:pPr>
    <w:rPr>
      <w:rFonts w:ascii="Calibri" w:hAnsi="Calibri" w:eastAsia="微软雅黑"/>
    </w:rPr>
  </w:style>
  <w:style w:type="paragraph" w:customStyle="1" w:styleId="698">
    <w:name w:val="样式3.1"/>
    <w:basedOn w:val="4"/>
    <w:qFormat/>
    <w:uiPriority w:val="0"/>
    <w:pPr>
      <w:keepLines/>
      <w:widowControl w:val="0"/>
      <w:snapToGrid w:val="0"/>
      <w:spacing w:line="240" w:lineRule="auto"/>
    </w:pPr>
    <w:rPr>
      <w:rFonts w:ascii="黑体" w:hAnsi="Calibri" w:eastAsia="黑体"/>
      <w:b w:val="0"/>
      <w:bCs w:val="0"/>
      <w:sz w:val="30"/>
      <w:szCs w:val="20"/>
    </w:rPr>
  </w:style>
  <w:style w:type="paragraph" w:customStyle="1" w:styleId="699">
    <w:name w:val="标准正文"/>
    <w:basedOn w:val="1"/>
    <w:qFormat/>
    <w:uiPriority w:val="0"/>
    <w:pPr>
      <w:widowControl w:val="0"/>
      <w:autoSpaceDE w:val="0"/>
      <w:autoSpaceDN w:val="0"/>
      <w:adjustRightInd w:val="0"/>
      <w:snapToGrid w:val="0"/>
      <w:spacing w:line="360" w:lineRule="auto"/>
      <w:ind w:firstLine="461" w:firstLineChars="192"/>
      <w:jc w:val="both"/>
    </w:pPr>
    <w:rPr>
      <w:rFonts w:ascii="宋体" w:hAnsi="宋体"/>
      <w:color w:val="000000"/>
      <w:kern w:val="0"/>
      <w:sz w:val="24"/>
    </w:rPr>
  </w:style>
  <w:style w:type="paragraph" w:customStyle="1" w:styleId="700">
    <w:name w:val="样式 小四 首行缩进:  0.75 厘米 行距: 多倍行距 1.4 字行"/>
    <w:basedOn w:val="1"/>
    <w:qFormat/>
    <w:uiPriority w:val="0"/>
    <w:pPr>
      <w:widowControl w:val="0"/>
      <w:spacing w:line="336" w:lineRule="auto"/>
      <w:ind w:firstLine="425"/>
      <w:jc w:val="both"/>
    </w:pPr>
    <w:rPr>
      <w:rFonts w:ascii="Calibri" w:hAnsi="Calibri" w:cs="宋体"/>
      <w:sz w:val="24"/>
      <w:szCs w:val="20"/>
    </w:rPr>
  </w:style>
  <w:style w:type="paragraph" w:customStyle="1" w:styleId="701">
    <w:name w:val="列表段落2"/>
    <w:basedOn w:val="1"/>
    <w:qFormat/>
    <w:uiPriority w:val="1"/>
    <w:pPr>
      <w:widowControl w:val="0"/>
      <w:spacing w:line="240" w:lineRule="auto"/>
      <w:ind w:firstLine="420" w:firstLineChars="200"/>
      <w:jc w:val="both"/>
    </w:pPr>
    <w:rPr>
      <w:rFonts w:ascii="Calibri" w:hAnsi="Calibri"/>
    </w:rPr>
  </w:style>
  <w:style w:type="paragraph" w:customStyle="1" w:styleId="702">
    <w:name w:val="修订2"/>
    <w:hidden/>
    <w:semiHidden/>
    <w:qFormat/>
    <w:uiPriority w:val="99"/>
    <w:rPr>
      <w:rFonts w:ascii="Calibri" w:hAnsi="Calibri" w:eastAsia="宋体" w:cs="Times New Roman"/>
      <w:kern w:val="2"/>
      <w:sz w:val="21"/>
      <w:szCs w:val="24"/>
      <w:lang w:val="en-US" w:eastAsia="zh-CN" w:bidi="ar-SA"/>
    </w:rPr>
  </w:style>
  <w:style w:type="paragraph" w:customStyle="1" w:styleId="703">
    <w:name w:val="修订3"/>
    <w:hidden/>
    <w:unhideWhenUsed/>
    <w:qFormat/>
    <w:uiPriority w:val="99"/>
    <w:rPr>
      <w:rFonts w:ascii="Calibri" w:hAnsi="Calibri" w:eastAsia="宋体" w:cs="Times New Roman"/>
      <w:kern w:val="2"/>
      <w:sz w:val="21"/>
      <w:szCs w:val="24"/>
      <w:lang w:val="en-US" w:eastAsia="zh-CN" w:bidi="ar-SA"/>
    </w:rPr>
  </w:style>
  <w:style w:type="paragraph" w:customStyle="1" w:styleId="704">
    <w:name w:val="样式"/>
    <w:qFormat/>
    <w:uiPriority w:val="0"/>
    <w:pPr>
      <w:widowControl w:val="0"/>
      <w:autoSpaceDE w:val="0"/>
      <w:autoSpaceDN w:val="0"/>
    </w:pPr>
    <w:rPr>
      <w:rFonts w:hint="eastAsia" w:ascii="Times New Roman" w:hAnsi="Times New Roman" w:eastAsia="宋体" w:cs="Times New Roman"/>
      <w:sz w:val="24"/>
      <w:lang w:val="en-US" w:eastAsia="zh-CN" w:bidi="ar-SA"/>
    </w:rPr>
  </w:style>
  <w:style w:type="paragraph" w:customStyle="1" w:styleId="705">
    <w:name w:val="第一条-3级"/>
    <w:basedOn w:val="1"/>
    <w:qFormat/>
    <w:uiPriority w:val="99"/>
    <w:pPr>
      <w:keepNext/>
      <w:keepLines/>
      <w:widowControl w:val="0"/>
      <w:adjustRightInd w:val="0"/>
      <w:snapToGrid w:val="0"/>
      <w:spacing w:before="240" w:afterLines="50" w:line="360" w:lineRule="auto"/>
      <w:outlineLvl w:val="2"/>
    </w:pPr>
    <w:rPr>
      <w:rFonts w:eastAsia="黑体"/>
      <w:sz w:val="28"/>
      <w:szCs w:val="20"/>
    </w:rPr>
  </w:style>
  <w:style w:type="paragraph" w:customStyle="1" w:styleId="706">
    <w:name w:val="Normal_2"/>
    <w:qFormat/>
    <w:uiPriority w:val="0"/>
    <w:rPr>
      <w:rFonts w:ascii="Times New Roman" w:hAnsi="Times New Roman" w:eastAsia="Times New Roman" w:cs="Times New Roman"/>
      <w:sz w:val="24"/>
      <w:szCs w:val="24"/>
      <w:lang w:val="en-US" w:eastAsia="zh-CN" w:bidi="ar-SA"/>
    </w:rPr>
  </w:style>
  <w:style w:type="paragraph" w:customStyle="1" w:styleId="707">
    <w:name w:val="正文_6"/>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08">
    <w:name w:val="正文_6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09">
    <w:name w:val="标题 3_0"/>
    <w:basedOn w:val="710"/>
    <w:next w:val="710"/>
    <w:unhideWhenUsed/>
    <w:qFormat/>
    <w:uiPriority w:val="0"/>
    <w:pPr>
      <w:keepNext/>
      <w:keepLines/>
      <w:tabs>
        <w:tab w:val="left" w:pos="1080"/>
      </w:tabs>
      <w:spacing w:before="260" w:after="260" w:line="412" w:lineRule="auto"/>
      <w:ind w:left="720" w:hanging="360"/>
      <w:outlineLvl w:val="2"/>
    </w:pPr>
    <w:rPr>
      <w:b/>
      <w:sz w:val="32"/>
      <w:szCs w:val="20"/>
    </w:rPr>
  </w:style>
  <w:style w:type="paragraph" w:customStyle="1" w:styleId="710">
    <w:name w:val="正文_0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11">
    <w:name w:val="标题 4_6"/>
    <w:basedOn w:val="712"/>
    <w:next w:val="712"/>
    <w:unhideWhenUsed/>
    <w:qFormat/>
    <w:uiPriority w:val="0"/>
    <w:pPr>
      <w:keepNext/>
      <w:keepLines/>
      <w:tabs>
        <w:tab w:val="left" w:pos="1800"/>
      </w:tabs>
      <w:spacing w:before="280" w:after="290" w:line="372" w:lineRule="auto"/>
      <w:ind w:left="1080" w:hanging="360"/>
      <w:outlineLvl w:val="3"/>
    </w:pPr>
    <w:rPr>
      <w:rFonts w:ascii="Arial" w:hAnsi="Arial" w:eastAsia="黑体"/>
      <w:b/>
      <w:sz w:val="28"/>
      <w:szCs w:val="20"/>
    </w:rPr>
  </w:style>
  <w:style w:type="paragraph" w:customStyle="1" w:styleId="712">
    <w:name w:val="正文_7"/>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13">
    <w:name w:val="标题 4_7"/>
    <w:basedOn w:val="714"/>
    <w:next w:val="714"/>
    <w:unhideWhenUsed/>
    <w:qFormat/>
    <w:uiPriority w:val="0"/>
    <w:pPr>
      <w:keepNext/>
      <w:keepLines/>
      <w:tabs>
        <w:tab w:val="left" w:pos="1800"/>
      </w:tabs>
      <w:spacing w:before="280" w:after="290" w:line="372" w:lineRule="auto"/>
      <w:ind w:left="1080" w:hanging="360"/>
      <w:outlineLvl w:val="3"/>
    </w:pPr>
    <w:rPr>
      <w:rFonts w:ascii="Arial" w:hAnsi="Arial" w:eastAsia="黑体"/>
      <w:b/>
      <w:sz w:val="28"/>
      <w:szCs w:val="20"/>
    </w:rPr>
  </w:style>
  <w:style w:type="paragraph" w:customStyle="1" w:styleId="714">
    <w:name w:val="正文_1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15">
    <w:name w:val="标题 3_3"/>
    <w:basedOn w:val="716"/>
    <w:next w:val="716"/>
    <w:unhideWhenUsed/>
    <w:qFormat/>
    <w:uiPriority w:val="0"/>
    <w:pPr>
      <w:keepNext/>
      <w:keepLines/>
      <w:tabs>
        <w:tab w:val="left" w:pos="1080"/>
      </w:tabs>
      <w:spacing w:before="260" w:after="260" w:line="412" w:lineRule="auto"/>
      <w:ind w:left="720" w:hanging="360"/>
      <w:outlineLvl w:val="2"/>
    </w:pPr>
    <w:rPr>
      <w:b/>
      <w:sz w:val="32"/>
      <w:szCs w:val="20"/>
    </w:rPr>
  </w:style>
  <w:style w:type="paragraph" w:customStyle="1" w:styleId="716">
    <w:name w:val="正文_4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17">
    <w:name w:val="样式 正文（首行缩进两字） + 宋体 小四"/>
    <w:basedOn w:val="20"/>
    <w:qFormat/>
    <w:uiPriority w:val="0"/>
    <w:pPr>
      <w:widowControl w:val="0"/>
      <w:spacing w:line="100" w:lineRule="atLeast"/>
      <w:ind w:firstLine="614" w:firstLineChars="192"/>
    </w:pPr>
    <w:rPr>
      <w:rFonts w:ascii="仿宋_GB2312" w:hAnsi="宋体" w:eastAsia="仿宋_GB2312"/>
      <w:sz w:val="32"/>
      <w:szCs w:val="20"/>
    </w:rPr>
  </w:style>
  <w:style w:type="paragraph" w:customStyle="1" w:styleId="718">
    <w:name w:val="正文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719">
    <w:name w:val="Body text (2)10"/>
    <w:basedOn w:val="1"/>
    <w:link w:val="927"/>
    <w:qFormat/>
    <w:uiPriority w:val="0"/>
    <w:pPr>
      <w:widowControl w:val="0"/>
      <w:shd w:val="clear" w:color="auto" w:fill="FFFFFF"/>
      <w:spacing w:line="551" w:lineRule="exact"/>
      <w:jc w:val="both"/>
    </w:pPr>
    <w:rPr>
      <w:rFonts w:ascii="MingLiU" w:hAnsi="MingLiU" w:eastAsia="MingLiU" w:cs="MingLiU"/>
      <w:szCs w:val="20"/>
    </w:rPr>
  </w:style>
  <w:style w:type="paragraph" w:customStyle="1" w:styleId="720">
    <w:name w:val="Body text (5)"/>
    <w:basedOn w:val="1"/>
    <w:qFormat/>
    <w:uiPriority w:val="0"/>
    <w:pPr>
      <w:widowControl w:val="0"/>
      <w:shd w:val="clear" w:color="auto" w:fill="FFFFFF"/>
      <w:spacing w:before="8040" w:line="0" w:lineRule="atLeast"/>
      <w:jc w:val="center"/>
    </w:pPr>
    <w:rPr>
      <w:rFonts w:hint="eastAsia" w:ascii="MingLiU" w:hAnsi="MingLiU" w:eastAsia="MingLiU" w:cs="MingLiU"/>
      <w:sz w:val="28"/>
      <w:szCs w:val="28"/>
    </w:rPr>
  </w:style>
  <w:style w:type="paragraph" w:customStyle="1" w:styleId="721">
    <w:name w:val="WPSOffice手动目录 1"/>
    <w:qFormat/>
    <w:uiPriority w:val="0"/>
    <w:rPr>
      <w:rFonts w:ascii="Calibri" w:hAnsi="Calibri" w:eastAsia="宋体" w:cs="Times New Roman"/>
      <w:lang w:val="en-US" w:eastAsia="zh-CN" w:bidi="ar-SA"/>
    </w:rPr>
  </w:style>
  <w:style w:type="paragraph" w:customStyle="1" w:styleId="722">
    <w:name w:val="footnote description"/>
    <w:next w:val="1"/>
    <w:qFormat/>
    <w:uiPriority w:val="0"/>
    <w:pPr>
      <w:spacing w:line="329" w:lineRule="auto"/>
      <w:ind w:left="90" w:hanging="90"/>
    </w:pPr>
    <w:rPr>
      <w:rFonts w:ascii="微软雅黑" w:hAnsi="微软雅黑" w:eastAsia="微软雅黑" w:cs="微软雅黑"/>
      <w:color w:val="000000"/>
      <w:kern w:val="2"/>
      <w:sz w:val="18"/>
      <w:szCs w:val="22"/>
      <w:lang w:val="en-US" w:eastAsia="zh-CN" w:bidi="ar-SA"/>
    </w:rPr>
  </w:style>
  <w:style w:type="paragraph" w:customStyle="1" w:styleId="723">
    <w:name w:val="正文aaaaa--"/>
    <w:basedOn w:val="1"/>
    <w:qFormat/>
    <w:uiPriority w:val="0"/>
    <w:pPr>
      <w:widowControl w:val="0"/>
      <w:spacing w:line="400" w:lineRule="exact"/>
      <w:ind w:firstLine="480" w:firstLineChars="200"/>
      <w:jc w:val="both"/>
    </w:pPr>
    <w:rPr>
      <w:rFonts w:hint="eastAsia" w:ascii="方正宋三简体" w:hAnsi="Calibri" w:eastAsia="方正宋三简体" w:cs="宋体"/>
      <w:b/>
      <w:sz w:val="24"/>
      <w:szCs w:val="32"/>
    </w:rPr>
  </w:style>
  <w:style w:type="paragraph" w:customStyle="1" w:styleId="724">
    <w:name w:val="List Paragraph1"/>
    <w:basedOn w:val="1"/>
    <w:qFormat/>
    <w:uiPriority w:val="1"/>
    <w:pPr>
      <w:widowControl w:val="0"/>
      <w:spacing w:line="240" w:lineRule="auto"/>
      <w:ind w:left="798" w:firstLine="372"/>
      <w:jc w:val="both"/>
    </w:pPr>
    <w:rPr>
      <w:rFonts w:hint="eastAsia" w:ascii="宋体" w:hAnsi="宋体" w:cs="宋体"/>
      <w:szCs w:val="20"/>
    </w:rPr>
  </w:style>
  <w:style w:type="paragraph" w:customStyle="1" w:styleId="725">
    <w:name w:val="TOC 标题2"/>
    <w:basedOn w:val="2"/>
    <w:next w:val="1"/>
    <w:unhideWhenUsed/>
    <w:qFormat/>
    <w:uiPriority w:val="39"/>
    <w:pPr>
      <w:spacing w:before="240" w:after="0" w:line="259" w:lineRule="auto"/>
      <w:outlineLvl w:val="9"/>
    </w:pPr>
    <w:rPr>
      <w:rFonts w:ascii="Cambria" w:hAnsi="Cambria" w:cs="黑体"/>
      <w:b w:val="0"/>
      <w:bCs w:val="0"/>
      <w:color w:val="365F90"/>
      <w:kern w:val="0"/>
      <w:sz w:val="32"/>
      <w:szCs w:val="32"/>
    </w:rPr>
  </w:style>
  <w:style w:type="paragraph" w:customStyle="1" w:styleId="726">
    <w:name w:val="样式 TOC 2 + 左侧:  2 字符"/>
    <w:basedOn w:val="58"/>
    <w:qFormat/>
    <w:uiPriority w:val="0"/>
    <w:pPr>
      <w:ind w:left="420"/>
    </w:pPr>
    <w:rPr>
      <w:rFonts w:cs="宋体"/>
      <w:szCs w:val="20"/>
    </w:rPr>
  </w:style>
  <w:style w:type="character" w:customStyle="1" w:styleId="727">
    <w:name w:val="标题 1 字符1"/>
    <w:link w:val="2"/>
    <w:qFormat/>
    <w:locked/>
    <w:uiPriority w:val="0"/>
    <w:rPr>
      <w:b/>
      <w:bCs/>
      <w:kern w:val="44"/>
      <w:sz w:val="44"/>
      <w:szCs w:val="44"/>
    </w:rPr>
  </w:style>
  <w:style w:type="character" w:customStyle="1" w:styleId="728">
    <w:name w:val="标题 3 字符"/>
    <w:link w:val="4"/>
    <w:qFormat/>
    <w:locked/>
    <w:uiPriority w:val="0"/>
    <w:rPr>
      <w:rFonts w:ascii="宋体" w:hAnsi="宋体"/>
      <w:b/>
      <w:bCs/>
      <w:kern w:val="2"/>
      <w:sz w:val="24"/>
      <w:szCs w:val="24"/>
    </w:rPr>
  </w:style>
  <w:style w:type="character" w:customStyle="1" w:styleId="729">
    <w:name w:val="标题 4 字符"/>
    <w:link w:val="5"/>
    <w:qFormat/>
    <w:locked/>
    <w:uiPriority w:val="9"/>
    <w:rPr>
      <w:rFonts w:asciiTheme="majorHAnsi" w:hAnsiTheme="majorHAnsi" w:eastAsiaTheme="majorEastAsia" w:cstheme="majorBidi"/>
      <w:b/>
      <w:bCs/>
      <w:kern w:val="2"/>
      <w:sz w:val="28"/>
      <w:szCs w:val="28"/>
    </w:rPr>
  </w:style>
  <w:style w:type="character" w:customStyle="1" w:styleId="730">
    <w:name w:val="正文缩进 字符"/>
    <w:link w:val="20"/>
    <w:qFormat/>
    <w:uiPriority w:val="0"/>
    <w:rPr>
      <w:kern w:val="2"/>
      <w:sz w:val="21"/>
      <w:szCs w:val="24"/>
    </w:rPr>
  </w:style>
  <w:style w:type="character" w:customStyle="1" w:styleId="731">
    <w:name w:val="正文文本 字符"/>
    <w:link w:val="33"/>
    <w:qFormat/>
    <w:uiPriority w:val="0"/>
    <w:rPr>
      <w:kern w:val="2"/>
      <w:sz w:val="21"/>
      <w:szCs w:val="24"/>
    </w:rPr>
  </w:style>
  <w:style w:type="character" w:customStyle="1" w:styleId="732">
    <w:name w:val="纯文本 字符1"/>
    <w:link w:val="44"/>
    <w:qFormat/>
    <w:locked/>
    <w:uiPriority w:val="0"/>
    <w:rPr>
      <w:rFonts w:ascii="宋体" w:hAnsi="Courier New" w:cs="Courier New"/>
      <w:kern w:val="2"/>
      <w:sz w:val="21"/>
      <w:szCs w:val="21"/>
    </w:rPr>
  </w:style>
  <w:style w:type="character" w:customStyle="1" w:styleId="733">
    <w:name w:val="日期 字符1"/>
    <w:link w:val="49"/>
    <w:qFormat/>
    <w:locked/>
    <w:uiPriority w:val="0"/>
    <w:rPr>
      <w:rFonts w:ascii="宋体" w:hAnsi="宋体"/>
      <w:kern w:val="2"/>
      <w:sz w:val="24"/>
    </w:rPr>
  </w:style>
  <w:style w:type="character" w:customStyle="1" w:styleId="734">
    <w:name w:val="页脚 字符"/>
    <w:link w:val="54"/>
    <w:qFormat/>
    <w:locked/>
    <w:uiPriority w:val="99"/>
    <w:rPr>
      <w:rFonts w:asciiTheme="minorHAnsi" w:hAnsiTheme="minorHAnsi" w:eastAsiaTheme="minorEastAsia" w:cstheme="minorBidi"/>
      <w:kern w:val="2"/>
      <w:sz w:val="18"/>
      <w:szCs w:val="18"/>
    </w:rPr>
  </w:style>
  <w:style w:type="character" w:customStyle="1" w:styleId="735">
    <w:name w:val="页眉 字符"/>
    <w:link w:val="56"/>
    <w:qFormat/>
    <w:locked/>
    <w:uiPriority w:val="99"/>
    <w:rPr>
      <w:kern w:val="2"/>
      <w:sz w:val="18"/>
      <w:szCs w:val="24"/>
    </w:rPr>
  </w:style>
  <w:style w:type="character" w:customStyle="1" w:styleId="736">
    <w:name w:val="普通(网站) 字符"/>
    <w:link w:val="80"/>
    <w:qFormat/>
    <w:uiPriority w:val="0"/>
    <w:rPr>
      <w:rFonts w:ascii="宋体" w:hAnsi="宋体" w:cs="宋体"/>
      <w:sz w:val="24"/>
      <w:szCs w:val="24"/>
    </w:rPr>
  </w:style>
  <w:style w:type="character" w:customStyle="1" w:styleId="737">
    <w:name w:val="正文文本首行缩进 字符"/>
    <w:link w:val="212"/>
    <w:qFormat/>
    <w:uiPriority w:val="0"/>
    <w:rPr>
      <w:rFonts w:ascii="Calibri" w:hAnsi="Calibri"/>
      <w:kern w:val="2"/>
      <w:sz w:val="21"/>
      <w:szCs w:val="24"/>
    </w:rPr>
  </w:style>
  <w:style w:type="character" w:customStyle="1" w:styleId="738">
    <w:name w:val="样式 样式 宋体 四号 行距: 1.5 倍行距 + 四号 Char"/>
    <w:link w:val="214"/>
    <w:qFormat/>
    <w:uiPriority w:val="0"/>
    <w:rPr>
      <w:rFonts w:ascii="宋体" w:hAnsi="宋体"/>
      <w:kern w:val="2"/>
      <w:sz w:val="24"/>
      <w:szCs w:val="24"/>
    </w:rPr>
  </w:style>
  <w:style w:type="character" w:customStyle="1" w:styleId="739">
    <w:name w:val="Font Style125"/>
    <w:unhideWhenUsed/>
    <w:qFormat/>
    <w:uiPriority w:val="0"/>
    <w:rPr>
      <w:rFonts w:hint="eastAsia" w:ascii="宋体" w:hAnsi="宋体" w:eastAsia="宋体"/>
      <w:b/>
      <w:sz w:val="26"/>
    </w:rPr>
  </w:style>
  <w:style w:type="character" w:customStyle="1" w:styleId="740">
    <w:name w:val="正文文本 Char1"/>
    <w:qFormat/>
    <w:uiPriority w:val="0"/>
    <w:rPr>
      <w:kern w:val="2"/>
      <w:sz w:val="21"/>
      <w:szCs w:val="24"/>
    </w:rPr>
  </w:style>
  <w:style w:type="character" w:customStyle="1" w:styleId="741">
    <w:name w:val="apple-converted-space"/>
    <w:qFormat/>
    <w:uiPriority w:val="0"/>
  </w:style>
  <w:style w:type="character" w:customStyle="1" w:styleId="742">
    <w:name w:val="加重文字 Char"/>
    <w:link w:val="215"/>
    <w:qFormat/>
    <w:uiPriority w:val="0"/>
    <w:rPr>
      <w:rFonts w:ascii="Calibri" w:hAnsi="Calibri"/>
      <w:b/>
      <w:szCs w:val="24"/>
      <w:u w:val="thick"/>
      <w:lang w:val="zh-CN"/>
    </w:rPr>
  </w:style>
  <w:style w:type="character" w:customStyle="1" w:styleId="743">
    <w:name w:val="标题 1 Char1"/>
    <w:qFormat/>
    <w:uiPriority w:val="0"/>
    <w:rPr>
      <w:rFonts w:ascii="Times New Roman" w:hAnsi="Times New Roman" w:eastAsia="宋体" w:cs="Times New Roman"/>
      <w:b/>
      <w:bCs/>
      <w:sz w:val="24"/>
      <w:szCs w:val="20"/>
    </w:rPr>
  </w:style>
  <w:style w:type="character" w:customStyle="1" w:styleId="744">
    <w:name w:val="标题 2 Char1"/>
    <w:qFormat/>
    <w:uiPriority w:val="0"/>
    <w:rPr>
      <w:rFonts w:ascii="Arial" w:hAnsi="Arial" w:eastAsia="宋体" w:cs="Times New Roman"/>
      <w:b/>
      <w:bCs/>
      <w:sz w:val="24"/>
      <w:szCs w:val="32"/>
    </w:rPr>
  </w:style>
  <w:style w:type="character" w:customStyle="1" w:styleId="745">
    <w:name w:val="Char Char6"/>
    <w:qFormat/>
    <w:uiPriority w:val="0"/>
    <w:rPr>
      <w:rFonts w:ascii="Arial" w:hAnsi="Arial" w:eastAsia="黑体"/>
      <w:sz w:val="24"/>
      <w:szCs w:val="24"/>
      <w:lang w:val="en-US" w:eastAsia="zh-CN" w:bidi="ar-SA"/>
    </w:rPr>
  </w:style>
  <w:style w:type="character" w:customStyle="1" w:styleId="746">
    <w:name w:val="extended-address"/>
    <w:qFormat/>
    <w:uiPriority w:val="0"/>
  </w:style>
  <w:style w:type="character" w:customStyle="1" w:styleId="747">
    <w:name w:val="font5 Char Char"/>
    <w:link w:val="216"/>
    <w:qFormat/>
    <w:locked/>
    <w:uiPriority w:val="0"/>
    <w:rPr>
      <w:rFonts w:ascii="宋体" w:hAnsi="宋体"/>
      <w:sz w:val="24"/>
      <w:szCs w:val="24"/>
    </w:rPr>
  </w:style>
  <w:style w:type="character" w:customStyle="1" w:styleId="748">
    <w:name w:val="Font Style119"/>
    <w:unhideWhenUsed/>
    <w:qFormat/>
    <w:uiPriority w:val="0"/>
    <w:rPr>
      <w:rFonts w:hint="eastAsia" w:ascii="宋体" w:hAnsi="宋体" w:eastAsia="宋体"/>
      <w:sz w:val="24"/>
    </w:rPr>
  </w:style>
  <w:style w:type="character" w:customStyle="1" w:styleId="749">
    <w:name w:val="称呼 Char1"/>
    <w:qFormat/>
    <w:uiPriority w:val="0"/>
    <w:rPr>
      <w:kern w:val="2"/>
      <w:sz w:val="21"/>
      <w:szCs w:val="24"/>
    </w:rPr>
  </w:style>
  <w:style w:type="character" w:customStyle="1" w:styleId="750">
    <w:name w:val="标题 7 Char1"/>
    <w:qFormat/>
    <w:uiPriority w:val="0"/>
    <w:rPr>
      <w:rFonts w:ascii="Times New Roman" w:hAnsi="Times New Roman" w:eastAsia="宋体" w:cs="Times New Roman"/>
      <w:b/>
      <w:bCs/>
      <w:kern w:val="0"/>
      <w:sz w:val="24"/>
      <w:szCs w:val="24"/>
    </w:rPr>
  </w:style>
  <w:style w:type="character" w:customStyle="1" w:styleId="751">
    <w:name w:val="font31"/>
    <w:qFormat/>
    <w:uiPriority w:val="0"/>
    <w:rPr>
      <w:rFonts w:hint="eastAsia" w:ascii="宋体" w:hAnsi="宋体" w:eastAsia="宋体" w:cs="宋体"/>
      <w:color w:val="000000"/>
      <w:sz w:val="21"/>
      <w:szCs w:val="21"/>
    </w:rPr>
  </w:style>
  <w:style w:type="character" w:customStyle="1" w:styleId="752">
    <w:name w:val="z-窗体底端 Char2"/>
    <w:semiHidden/>
    <w:qFormat/>
    <w:uiPriority w:val="99"/>
    <w:rPr>
      <w:rFonts w:ascii="Arial" w:hAnsi="Arial" w:cs="Arial"/>
      <w:vanish/>
      <w:kern w:val="2"/>
      <w:sz w:val="16"/>
      <w:szCs w:val="16"/>
    </w:rPr>
  </w:style>
  <w:style w:type="character" w:customStyle="1" w:styleId="753">
    <w:name w:val="标题 6 Char1"/>
    <w:qFormat/>
    <w:uiPriority w:val="0"/>
    <w:rPr>
      <w:rFonts w:ascii="Arial" w:hAnsi="Arial" w:eastAsia="黑体" w:cs="Times New Roman"/>
      <w:b/>
      <w:bCs/>
      <w:kern w:val="0"/>
      <w:sz w:val="24"/>
      <w:szCs w:val="24"/>
    </w:rPr>
  </w:style>
  <w:style w:type="character" w:customStyle="1" w:styleId="754">
    <w:name w:val="title_2"/>
    <w:qFormat/>
    <w:uiPriority w:val="0"/>
    <w:rPr>
      <w:b/>
      <w:sz w:val="19"/>
      <w:szCs w:val="19"/>
    </w:rPr>
  </w:style>
  <w:style w:type="character" w:customStyle="1" w:styleId="755">
    <w:name w:val="纯文本 Char2"/>
    <w:qFormat/>
    <w:uiPriority w:val="0"/>
    <w:rPr>
      <w:rFonts w:ascii="宋体" w:hAnsi="Courier New" w:eastAsia="宋体"/>
      <w:kern w:val="2"/>
      <w:sz w:val="21"/>
      <w:szCs w:val="21"/>
      <w:lang w:val="en-US" w:eastAsia="zh-CN" w:bidi="ar-SA"/>
    </w:rPr>
  </w:style>
  <w:style w:type="character" w:customStyle="1" w:styleId="756">
    <w:name w:val="content_3"/>
    <w:qFormat/>
    <w:uiPriority w:val="0"/>
    <w:rPr>
      <w:sz w:val="19"/>
      <w:szCs w:val="19"/>
    </w:rPr>
  </w:style>
  <w:style w:type="character" w:customStyle="1" w:styleId="757">
    <w:name w:val="sort1"/>
    <w:qFormat/>
    <w:uiPriority w:val="0"/>
    <w:rPr>
      <w:rFonts w:ascii="Times New Roman" w:hAnsi="Times New Roman" w:eastAsia="宋体"/>
    </w:rPr>
  </w:style>
  <w:style w:type="character" w:customStyle="1" w:styleId="758">
    <w:name w:val="引用 Char2"/>
    <w:qFormat/>
    <w:uiPriority w:val="99"/>
    <w:rPr>
      <w:i/>
      <w:iCs/>
      <w:color w:val="000000"/>
      <w:kern w:val="2"/>
      <w:sz w:val="21"/>
      <w:szCs w:val="24"/>
    </w:rPr>
  </w:style>
  <w:style w:type="character" w:customStyle="1" w:styleId="759">
    <w:name w:val="font41"/>
    <w:qFormat/>
    <w:uiPriority w:val="0"/>
    <w:rPr>
      <w:rFonts w:hint="eastAsia" w:ascii="宋体" w:hAnsi="宋体" w:eastAsia="宋体" w:cs="宋体"/>
      <w:color w:val="000000"/>
      <w:sz w:val="18"/>
      <w:szCs w:val="18"/>
    </w:rPr>
  </w:style>
  <w:style w:type="character" w:customStyle="1" w:styleId="760">
    <w:name w:val="正文(条款) Char"/>
    <w:link w:val="217"/>
    <w:qFormat/>
    <w:uiPriority w:val="0"/>
    <w:rPr>
      <w:rFonts w:ascii="Calibri" w:hAnsi="Calibri"/>
      <w:sz w:val="24"/>
      <w:szCs w:val="24"/>
    </w:rPr>
  </w:style>
  <w:style w:type="character" w:customStyle="1" w:styleId="761">
    <w:name w:val="plus"/>
    <w:qFormat/>
    <w:uiPriority w:val="0"/>
    <w:rPr>
      <w:rFonts w:ascii="Times New Roman" w:hAnsi="Times New Roman" w:eastAsia="宋体"/>
      <w:b/>
      <w:vanish/>
      <w:color w:val="1F8DEF"/>
      <w:sz w:val="24"/>
      <w:szCs w:val="24"/>
    </w:rPr>
  </w:style>
  <w:style w:type="character" w:customStyle="1" w:styleId="762">
    <w:name w:val="title_1"/>
    <w:qFormat/>
    <w:uiPriority w:val="0"/>
    <w:rPr>
      <w:b/>
      <w:sz w:val="30"/>
      <w:szCs w:val="30"/>
    </w:rPr>
  </w:style>
  <w:style w:type="character" w:customStyle="1" w:styleId="763">
    <w:name w:val="polysemyexp"/>
    <w:qFormat/>
    <w:uiPriority w:val="0"/>
    <w:rPr>
      <w:rFonts w:ascii="Times New Roman" w:hAnsi="Times New Roman" w:eastAsia="宋体"/>
      <w:color w:val="AAAAAA"/>
      <w:sz w:val="18"/>
      <w:szCs w:val="18"/>
    </w:rPr>
  </w:style>
  <w:style w:type="character" w:customStyle="1" w:styleId="764">
    <w:name w:val="标题 1 字符"/>
    <w:qFormat/>
    <w:uiPriority w:val="0"/>
    <w:rPr>
      <w:b/>
      <w:bCs/>
      <w:kern w:val="2"/>
      <w:sz w:val="24"/>
    </w:rPr>
  </w:style>
  <w:style w:type="character" w:customStyle="1" w:styleId="765">
    <w:name w:val="javascript"/>
    <w:qFormat/>
    <w:uiPriority w:val="0"/>
  </w:style>
  <w:style w:type="character" w:customStyle="1" w:styleId="766">
    <w:name w:val="Font Style126"/>
    <w:unhideWhenUsed/>
    <w:qFormat/>
    <w:uiPriority w:val="0"/>
    <w:rPr>
      <w:rFonts w:hint="eastAsia" w:ascii="宋体" w:hAnsi="宋体" w:eastAsia="宋体"/>
      <w:b/>
      <w:spacing w:val="-30"/>
      <w:sz w:val="28"/>
    </w:rPr>
  </w:style>
  <w:style w:type="character" w:customStyle="1" w:styleId="767">
    <w:name w:val="批注文字 Char Char"/>
    <w:qFormat/>
    <w:uiPriority w:val="0"/>
    <w:rPr>
      <w:kern w:val="2"/>
      <w:sz w:val="21"/>
      <w:szCs w:val="24"/>
      <w:lang w:bidi="ar-SA"/>
    </w:rPr>
  </w:style>
  <w:style w:type="character" w:customStyle="1" w:styleId="768">
    <w:name w:val="font121"/>
    <w:qFormat/>
    <w:uiPriority w:val="0"/>
    <w:rPr>
      <w:rFonts w:hint="default" w:ascii="Times New Roman" w:hAnsi="Times New Roman" w:cs="Times New Roman"/>
      <w:color w:val="000000"/>
      <w:sz w:val="20"/>
      <w:szCs w:val="20"/>
    </w:rPr>
  </w:style>
  <w:style w:type="character" w:customStyle="1" w:styleId="769">
    <w:name w:val="标题 Char1"/>
    <w:qFormat/>
    <w:uiPriority w:val="0"/>
    <w:rPr>
      <w:rFonts w:ascii="Cambria" w:hAnsi="Cambria" w:eastAsia="宋体" w:cs="Times New Roman"/>
      <w:b/>
      <w:bCs/>
      <w:sz w:val="32"/>
      <w:szCs w:val="32"/>
    </w:rPr>
  </w:style>
  <w:style w:type="character" w:customStyle="1" w:styleId="770">
    <w:name w:val="Font Style105"/>
    <w:unhideWhenUsed/>
    <w:qFormat/>
    <w:uiPriority w:val="0"/>
    <w:rPr>
      <w:rFonts w:hint="eastAsia" w:ascii="Times New Roman" w:hAnsi="Times New Roman" w:eastAsia="Times New Roman"/>
      <w:w w:val="60"/>
      <w:sz w:val="26"/>
    </w:rPr>
  </w:style>
  <w:style w:type="character" w:customStyle="1" w:styleId="771">
    <w:name w:val="sidecatalog-index1"/>
    <w:qFormat/>
    <w:uiPriority w:val="0"/>
    <w:rPr>
      <w:rFonts w:ascii="Arial" w:hAnsi="Arial" w:eastAsia="宋体" w:cs="Arial"/>
      <w:b/>
      <w:color w:val="999999"/>
      <w:sz w:val="21"/>
      <w:szCs w:val="21"/>
    </w:rPr>
  </w:style>
  <w:style w:type="character" w:customStyle="1" w:styleId="772">
    <w:name w:val="标题 3 Char11"/>
    <w:qFormat/>
    <w:uiPriority w:val="0"/>
    <w:rPr>
      <w:rFonts w:eastAsia="宋体"/>
      <w:kern w:val="2"/>
      <w:sz w:val="24"/>
      <w:szCs w:val="32"/>
      <w:lang w:val="en-US" w:eastAsia="zh-CN" w:bidi="ar-SA"/>
    </w:rPr>
  </w:style>
  <w:style w:type="character" w:customStyle="1" w:styleId="773">
    <w:name w:val="表格 Char"/>
    <w:link w:val="218"/>
    <w:qFormat/>
    <w:uiPriority w:val="0"/>
    <w:rPr>
      <w:rFonts w:ascii="宋体" w:hAnsi="宋体"/>
      <w:kern w:val="2"/>
      <w:sz w:val="21"/>
      <w:szCs w:val="21"/>
    </w:rPr>
  </w:style>
  <w:style w:type="character" w:customStyle="1" w:styleId="774">
    <w:name w:val="表名 Char"/>
    <w:link w:val="219"/>
    <w:qFormat/>
    <w:uiPriority w:val="0"/>
    <w:rPr>
      <w:rFonts w:ascii="黑体" w:eastAsia="黑体"/>
      <w:kern w:val="2"/>
      <w:sz w:val="21"/>
      <w:szCs w:val="24"/>
    </w:rPr>
  </w:style>
  <w:style w:type="character" w:customStyle="1" w:styleId="775">
    <w:name w:val="title_3"/>
    <w:qFormat/>
    <w:uiPriority w:val="0"/>
    <w:rPr>
      <w:b/>
      <w:sz w:val="15"/>
      <w:szCs w:val="15"/>
    </w:rPr>
  </w:style>
  <w:style w:type="character" w:customStyle="1" w:styleId="776">
    <w:name w:val="四 Char Char"/>
    <w:qFormat/>
    <w:uiPriority w:val="0"/>
    <w:rPr>
      <w:rFonts w:ascii="Arial" w:hAnsi="Arial" w:eastAsia="黑体"/>
      <w:b/>
      <w:bCs/>
      <w:kern w:val="2"/>
      <w:sz w:val="28"/>
      <w:szCs w:val="28"/>
      <w:lang w:val="en-US" w:eastAsia="zh-CN" w:bidi="ar-SA"/>
    </w:rPr>
  </w:style>
  <w:style w:type="character" w:customStyle="1" w:styleId="777">
    <w:name w:val="scyzw0 Char"/>
    <w:link w:val="220"/>
    <w:qFormat/>
    <w:uiPriority w:val="0"/>
    <w:rPr>
      <w:rFonts w:ascii="仿宋_GB2312" w:hAnsi="宋体" w:eastAsia="仿宋_GB2312"/>
      <w:bCs/>
      <w:sz w:val="28"/>
      <w:szCs w:val="18"/>
    </w:rPr>
  </w:style>
  <w:style w:type="character" w:customStyle="1" w:styleId="778">
    <w:name w:val="Plain Text Char"/>
    <w:qFormat/>
    <w:locked/>
    <w:uiPriority w:val="0"/>
    <w:rPr>
      <w:rFonts w:ascii="宋体" w:hAnsi="Courier New" w:eastAsia="宋体"/>
      <w:kern w:val="2"/>
      <w:sz w:val="21"/>
      <w:lang w:val="en-US" w:eastAsia="zh-CN"/>
    </w:rPr>
  </w:style>
  <w:style w:type="character" w:customStyle="1" w:styleId="779">
    <w:name w:val="脚注文本 Char1"/>
    <w:qFormat/>
    <w:uiPriority w:val="0"/>
    <w:rPr>
      <w:kern w:val="2"/>
      <w:sz w:val="18"/>
      <w:szCs w:val="18"/>
    </w:rPr>
  </w:style>
  <w:style w:type="character" w:customStyle="1" w:styleId="780">
    <w:name w:val="样式7 Char"/>
    <w:link w:val="221"/>
    <w:qFormat/>
    <w:uiPriority w:val="0"/>
    <w:rPr>
      <w:rFonts w:ascii="宋体" w:hAnsi="Calibri"/>
      <w:kern w:val="2"/>
      <w:sz w:val="24"/>
      <w:szCs w:val="24"/>
    </w:rPr>
  </w:style>
  <w:style w:type="character" w:customStyle="1" w:styleId="781">
    <w:name w:val="lemmatitleh12"/>
    <w:qFormat/>
    <w:uiPriority w:val="0"/>
    <w:rPr>
      <w:rFonts w:ascii="Times New Roman" w:hAnsi="Times New Roman" w:eastAsia="宋体"/>
    </w:rPr>
  </w:style>
  <w:style w:type="character" w:customStyle="1" w:styleId="782">
    <w:name w:val="bds_more10"/>
    <w:qFormat/>
    <w:uiPriority w:val="0"/>
    <w:rPr>
      <w:rFonts w:ascii="Times New Roman" w:hAnsi="Times New Roman" w:eastAsia="宋体"/>
    </w:rPr>
  </w:style>
  <w:style w:type="character" w:customStyle="1" w:styleId="783">
    <w:name w:val="样式2 Char Char"/>
    <w:qFormat/>
    <w:uiPriority w:val="0"/>
    <w:rPr>
      <w:rFonts w:eastAsia="宋体"/>
      <w:kern w:val="2"/>
      <w:sz w:val="18"/>
      <w:szCs w:val="18"/>
      <w:lang w:val="en-US" w:eastAsia="zh-CN" w:bidi="ar-SA"/>
    </w:rPr>
  </w:style>
  <w:style w:type="character" w:customStyle="1" w:styleId="784">
    <w:name w:val="Char Char22"/>
    <w:qFormat/>
    <w:uiPriority w:val="0"/>
    <w:rPr>
      <w:rFonts w:eastAsia="宋体"/>
      <w:b/>
      <w:bCs/>
      <w:kern w:val="44"/>
      <w:sz w:val="44"/>
      <w:szCs w:val="44"/>
      <w:lang w:val="en-US" w:eastAsia="zh-CN" w:bidi="ar-SA"/>
    </w:rPr>
  </w:style>
  <w:style w:type="character" w:customStyle="1" w:styleId="785">
    <w:name w:val="标题4 Char"/>
    <w:link w:val="222"/>
    <w:qFormat/>
    <w:uiPriority w:val="0"/>
    <w:rPr>
      <w:rFonts w:ascii="宋体" w:hAnsi="宋体"/>
      <w:kern w:val="2"/>
      <w:sz w:val="24"/>
      <w:szCs w:val="24"/>
    </w:rPr>
  </w:style>
  <w:style w:type="character" w:customStyle="1" w:styleId="786">
    <w:name w:val="标题 3 Char Char1"/>
    <w:qFormat/>
    <w:uiPriority w:val="0"/>
    <w:rPr>
      <w:rFonts w:eastAsia="宋体"/>
      <w:b/>
      <w:bCs/>
      <w:kern w:val="2"/>
      <w:sz w:val="32"/>
      <w:szCs w:val="32"/>
      <w:lang w:val="en-US" w:eastAsia="zh-CN" w:bidi="ar-SA"/>
    </w:rPr>
  </w:style>
  <w:style w:type="character" w:customStyle="1" w:styleId="787">
    <w:name w:val="z-窗体底端 Char"/>
    <w:link w:val="223"/>
    <w:qFormat/>
    <w:uiPriority w:val="0"/>
    <w:rPr>
      <w:rFonts w:ascii="Arial" w:hAnsi="Arial"/>
      <w:vanish/>
      <w:sz w:val="16"/>
      <w:szCs w:val="16"/>
    </w:rPr>
  </w:style>
  <w:style w:type="character" w:customStyle="1" w:styleId="788">
    <w:name w:val="样式1 Char"/>
    <w:link w:val="224"/>
    <w:qFormat/>
    <w:uiPriority w:val="0"/>
    <w:rPr>
      <w:rFonts w:ascii="宋体" w:hAnsi="宋体"/>
      <w:szCs w:val="21"/>
    </w:rPr>
  </w:style>
  <w:style w:type="character" w:customStyle="1" w:styleId="789">
    <w:name w:val="content_1"/>
    <w:qFormat/>
    <w:uiPriority w:val="0"/>
    <w:rPr>
      <w:sz w:val="19"/>
      <w:szCs w:val="19"/>
    </w:rPr>
  </w:style>
  <w:style w:type="character" w:customStyle="1" w:styleId="790">
    <w:name w:val="ca-121"/>
    <w:qFormat/>
    <w:uiPriority w:val="0"/>
    <w:rPr>
      <w:rFonts w:hint="default" w:ascii="Times New Roman" w:hAnsi="Times New Roman" w:cs="Times New Roman"/>
      <w:sz w:val="24"/>
      <w:szCs w:val="24"/>
    </w:rPr>
  </w:style>
  <w:style w:type="character" w:customStyle="1" w:styleId="791">
    <w:name w:val="标题 4 Char Char"/>
    <w:qFormat/>
    <w:uiPriority w:val="0"/>
    <w:rPr>
      <w:rFonts w:ascii="Arial" w:hAnsi="Arial" w:eastAsia="宋体"/>
      <w:b/>
      <w:bCs/>
      <w:kern w:val="2"/>
      <w:sz w:val="21"/>
      <w:szCs w:val="28"/>
      <w:lang w:val="en-US" w:eastAsia="zh-CN" w:bidi="ar-SA"/>
    </w:rPr>
  </w:style>
  <w:style w:type="character" w:customStyle="1" w:styleId="792">
    <w:name w:val="z-窗体底端 Char1"/>
    <w:qFormat/>
    <w:uiPriority w:val="0"/>
    <w:rPr>
      <w:rFonts w:ascii="Arial" w:hAnsi="Arial" w:cs="Arial"/>
      <w:vanish/>
      <w:kern w:val="2"/>
      <w:sz w:val="16"/>
      <w:szCs w:val="16"/>
    </w:rPr>
  </w:style>
  <w:style w:type="character" w:customStyle="1" w:styleId="793">
    <w:name w:val="bds_more6"/>
    <w:qFormat/>
    <w:uiPriority w:val="0"/>
    <w:rPr>
      <w:rFonts w:hint="eastAsia" w:ascii="宋体" w:hAnsi="宋体" w:eastAsia="宋体" w:cs="宋体"/>
    </w:rPr>
  </w:style>
  <w:style w:type="character" w:customStyle="1" w:styleId="794">
    <w:name w:val="Font Style133"/>
    <w:unhideWhenUsed/>
    <w:qFormat/>
    <w:uiPriority w:val="0"/>
    <w:rPr>
      <w:rFonts w:hint="eastAsia" w:ascii="宋体" w:hAnsi="宋体" w:eastAsia="宋体"/>
      <w:spacing w:val="30"/>
      <w:sz w:val="24"/>
    </w:rPr>
  </w:style>
  <w:style w:type="character" w:customStyle="1" w:styleId="795">
    <w:name w:val="副标题 Char1"/>
    <w:qFormat/>
    <w:uiPriority w:val="0"/>
    <w:rPr>
      <w:rFonts w:ascii="Cambria" w:hAnsi="Cambria" w:cs="Times New Roman"/>
      <w:b/>
      <w:bCs/>
      <w:kern w:val="28"/>
      <w:sz w:val="32"/>
      <w:szCs w:val="32"/>
    </w:rPr>
  </w:style>
  <w:style w:type="character" w:customStyle="1" w:styleId="796">
    <w:name w:val="headline-content"/>
    <w:qFormat/>
    <w:uiPriority w:val="0"/>
  </w:style>
  <w:style w:type="character" w:customStyle="1" w:styleId="797">
    <w:name w:val="content_2"/>
    <w:qFormat/>
    <w:uiPriority w:val="0"/>
    <w:rPr>
      <w:sz w:val="19"/>
      <w:szCs w:val="19"/>
    </w:rPr>
  </w:style>
  <w:style w:type="character" w:customStyle="1" w:styleId="798">
    <w:name w:val="样式 样式 首行缩进:  2 字符1 + 首行缩进:  2 字符 Char"/>
    <w:link w:val="225"/>
    <w:qFormat/>
    <w:uiPriority w:val="0"/>
    <w:rPr>
      <w:rFonts w:ascii="宋体" w:hAnsi="宋体"/>
      <w:kern w:val="2"/>
      <w:sz w:val="24"/>
    </w:rPr>
  </w:style>
  <w:style w:type="character" w:customStyle="1" w:styleId="799">
    <w:name w:val="Font Style134"/>
    <w:unhideWhenUsed/>
    <w:qFormat/>
    <w:uiPriority w:val="0"/>
    <w:rPr>
      <w:rFonts w:hint="eastAsia" w:ascii="宋体" w:hAnsi="宋体" w:eastAsia="宋体"/>
      <w:spacing w:val="20"/>
      <w:sz w:val="22"/>
    </w:rPr>
  </w:style>
  <w:style w:type="character" w:customStyle="1" w:styleId="800">
    <w:name w:val="content_11"/>
    <w:qFormat/>
    <w:uiPriority w:val="0"/>
    <w:rPr>
      <w:sz w:val="19"/>
      <w:szCs w:val="19"/>
    </w:rPr>
  </w:style>
  <w:style w:type="character" w:customStyle="1" w:styleId="801">
    <w:name w:val="标题 8 Char1"/>
    <w:qFormat/>
    <w:uiPriority w:val="0"/>
    <w:rPr>
      <w:rFonts w:ascii="Arial" w:hAnsi="Arial" w:eastAsia="黑体" w:cs="Times New Roman"/>
      <w:kern w:val="0"/>
      <w:sz w:val="24"/>
      <w:szCs w:val="24"/>
    </w:rPr>
  </w:style>
  <w:style w:type="character" w:customStyle="1" w:styleId="802">
    <w:name w:val="ca-0"/>
    <w:qFormat/>
    <w:uiPriority w:val="0"/>
  </w:style>
  <w:style w:type="character" w:customStyle="1" w:styleId="803">
    <w:name w:val="p21"/>
    <w:qFormat/>
    <w:uiPriority w:val="0"/>
    <w:rPr>
      <w:sz w:val="9"/>
      <w:szCs w:val="9"/>
    </w:rPr>
  </w:style>
  <w:style w:type="character" w:customStyle="1" w:styleId="804">
    <w:name w:val="font21"/>
    <w:qFormat/>
    <w:uiPriority w:val="0"/>
    <w:rPr>
      <w:rFonts w:hint="default" w:ascii="Times New Roman" w:hAnsi="Times New Roman" w:cs="Times New Roman"/>
      <w:b/>
      <w:color w:val="000000"/>
      <w:sz w:val="20"/>
      <w:szCs w:val="20"/>
    </w:rPr>
  </w:style>
  <w:style w:type="character" w:customStyle="1" w:styleId="805">
    <w:name w:val="new1"/>
    <w:qFormat/>
    <w:uiPriority w:val="0"/>
    <w:rPr>
      <w:color w:val="274F00"/>
      <w:sz w:val="18"/>
      <w:szCs w:val="18"/>
    </w:rPr>
  </w:style>
  <w:style w:type="character" w:customStyle="1" w:styleId="806">
    <w:name w:val="正文文本缩进 3 Char1"/>
    <w:qFormat/>
    <w:uiPriority w:val="0"/>
    <w:rPr>
      <w:rFonts w:ascii="Times New Roman" w:hAnsi="Times New Roman" w:eastAsia="宋体" w:cs="Times New Roman"/>
      <w:sz w:val="16"/>
      <w:szCs w:val="16"/>
    </w:rPr>
  </w:style>
  <w:style w:type="character" w:customStyle="1" w:styleId="807">
    <w:name w:val="样式 宋体 小四"/>
    <w:qFormat/>
    <w:uiPriority w:val="0"/>
    <w:rPr>
      <w:rFonts w:ascii="Times New Roman" w:hAnsi="Times New Roman" w:eastAsia="宋体"/>
      <w:sz w:val="24"/>
    </w:rPr>
  </w:style>
  <w:style w:type="character" w:customStyle="1" w:styleId="808">
    <w:name w:val="Char Char17"/>
    <w:qFormat/>
    <w:uiPriority w:val="0"/>
    <w:rPr>
      <w:rFonts w:ascii="宋体" w:hAnsi="Times New Roman" w:eastAsia="宋体"/>
      <w:b/>
      <w:sz w:val="28"/>
      <w:lang w:val="en-US" w:eastAsia="zh-CN" w:bidi="ar-SA"/>
    </w:rPr>
  </w:style>
  <w:style w:type="character" w:customStyle="1" w:styleId="809">
    <w:name w:val="Char Char15"/>
    <w:qFormat/>
    <w:uiPriority w:val="0"/>
    <w:rPr>
      <w:b/>
      <w:bCs/>
      <w:sz w:val="24"/>
      <w:szCs w:val="24"/>
    </w:rPr>
  </w:style>
  <w:style w:type="character" w:customStyle="1" w:styleId="810">
    <w:name w:val="p0 Char"/>
    <w:link w:val="226"/>
    <w:qFormat/>
    <w:locked/>
    <w:uiPriority w:val="99"/>
    <w:rPr>
      <w:rFonts w:ascii="宋体" w:hAnsi="宋体"/>
      <w:sz w:val="21"/>
      <w:szCs w:val="21"/>
    </w:rPr>
  </w:style>
  <w:style w:type="character" w:customStyle="1" w:styleId="811">
    <w:name w:val="font5 Char"/>
    <w:qFormat/>
    <w:uiPriority w:val="0"/>
    <w:rPr>
      <w:rFonts w:ascii="宋体" w:hAnsi="宋体" w:eastAsia="宋体"/>
      <w:sz w:val="18"/>
      <w:szCs w:val="18"/>
      <w:lang w:val="en-US" w:eastAsia="zh-CN" w:bidi="ar-SA"/>
    </w:rPr>
  </w:style>
  <w:style w:type="character" w:customStyle="1" w:styleId="812">
    <w:name w:val="章 Char Char1"/>
    <w:qFormat/>
    <w:uiPriority w:val="0"/>
    <w:rPr>
      <w:rFonts w:eastAsia="宋体"/>
      <w:b/>
      <w:bCs/>
      <w:kern w:val="44"/>
      <w:sz w:val="44"/>
      <w:szCs w:val="44"/>
      <w:lang w:val="en-US" w:eastAsia="zh-CN" w:bidi="ar-SA"/>
    </w:rPr>
  </w:style>
  <w:style w:type="character" w:customStyle="1" w:styleId="813">
    <w:name w:val="Font Style115"/>
    <w:unhideWhenUsed/>
    <w:qFormat/>
    <w:uiPriority w:val="0"/>
    <w:rPr>
      <w:rFonts w:hint="eastAsia" w:ascii="Times New Roman" w:hAnsi="Times New Roman" w:eastAsia="Times New Roman"/>
      <w:sz w:val="16"/>
    </w:rPr>
  </w:style>
  <w:style w:type="character" w:customStyle="1" w:styleId="814">
    <w:name w:val="textcontents"/>
    <w:qFormat/>
    <w:uiPriority w:val="0"/>
  </w:style>
  <w:style w:type="character" w:customStyle="1" w:styleId="815">
    <w:name w:val="font101"/>
    <w:qFormat/>
    <w:uiPriority w:val="0"/>
    <w:rPr>
      <w:rFonts w:hint="default" w:ascii="Times New Roman" w:hAnsi="Times New Roman" w:cs="Times New Roman"/>
      <w:color w:val="000000"/>
      <w:sz w:val="18"/>
      <w:szCs w:val="18"/>
      <w:vertAlign w:val="superscript"/>
    </w:rPr>
  </w:style>
  <w:style w:type="character" w:customStyle="1" w:styleId="816">
    <w:name w:val="content_table1"/>
    <w:qFormat/>
    <w:uiPriority w:val="0"/>
    <w:rPr>
      <w:sz w:val="19"/>
      <w:szCs w:val="19"/>
    </w:rPr>
  </w:style>
  <w:style w:type="character" w:customStyle="1" w:styleId="817">
    <w:name w:val="正文小4号字 Char"/>
    <w:link w:val="227"/>
    <w:qFormat/>
    <w:uiPriority w:val="0"/>
    <w:rPr>
      <w:rFonts w:ascii="宋体" w:hAnsi="宋体"/>
      <w:position w:val="-14"/>
      <w:sz w:val="28"/>
      <w:szCs w:val="30"/>
    </w:rPr>
  </w:style>
  <w:style w:type="character" w:customStyle="1" w:styleId="818">
    <w:name w:val="style181"/>
    <w:qFormat/>
    <w:uiPriority w:val="0"/>
    <w:rPr>
      <w:rFonts w:hint="eastAsia" w:ascii="宋体" w:hAnsi="宋体" w:eastAsia="宋体"/>
      <w:color w:val="666666"/>
    </w:rPr>
  </w:style>
  <w:style w:type="character" w:customStyle="1" w:styleId="819">
    <w:name w:val="样式 首行缩进:  2 字符1 Char"/>
    <w:link w:val="228"/>
    <w:qFormat/>
    <w:uiPriority w:val="0"/>
    <w:rPr>
      <w:rFonts w:ascii="Arial" w:hAnsi="Arial"/>
      <w:kern w:val="2"/>
      <w:sz w:val="24"/>
    </w:rPr>
  </w:style>
  <w:style w:type="character" w:customStyle="1" w:styleId="820">
    <w:name w:val="表头"/>
    <w:qFormat/>
    <w:uiPriority w:val="0"/>
    <w:rPr>
      <w:rFonts w:ascii="黑体" w:eastAsia="黑体"/>
      <w:color w:val="auto"/>
      <w:sz w:val="24"/>
      <w:szCs w:val="24"/>
    </w:rPr>
  </w:style>
  <w:style w:type="character" w:customStyle="1" w:styleId="821">
    <w:name w:val="不明显强调1"/>
    <w:qFormat/>
    <w:uiPriority w:val="19"/>
    <w:rPr>
      <w:i/>
      <w:iCs/>
      <w:color w:val="808080"/>
    </w:rPr>
  </w:style>
  <w:style w:type="character" w:customStyle="1" w:styleId="822">
    <w:name w:val="标题 4 Char1"/>
    <w:qFormat/>
    <w:uiPriority w:val="0"/>
    <w:rPr>
      <w:rFonts w:ascii="Arial" w:hAnsi="Arial" w:eastAsia="黑体" w:cs="Times New Roman"/>
      <w:b/>
      <w:bCs/>
      <w:sz w:val="28"/>
      <w:szCs w:val="28"/>
    </w:rPr>
  </w:style>
  <w:style w:type="character" w:customStyle="1" w:styleId="823">
    <w:name w:val="style1171"/>
    <w:qFormat/>
    <w:uiPriority w:val="0"/>
    <w:rPr>
      <w:b/>
      <w:bCs/>
      <w:sz w:val="20"/>
      <w:szCs w:val="20"/>
    </w:rPr>
  </w:style>
  <w:style w:type="character" w:customStyle="1" w:styleId="824">
    <w:name w:val="bds_nopic"/>
    <w:qFormat/>
    <w:uiPriority w:val="0"/>
    <w:rPr>
      <w:rFonts w:ascii="Times New Roman" w:hAnsi="Times New Roman" w:eastAsia="宋体"/>
    </w:rPr>
  </w:style>
  <w:style w:type="character" w:customStyle="1" w:styleId="825">
    <w:name w:val="content"/>
    <w:qFormat/>
    <w:uiPriority w:val="0"/>
    <w:rPr>
      <w:sz w:val="19"/>
      <w:szCs w:val="19"/>
    </w:rPr>
  </w:style>
  <w:style w:type="character" w:customStyle="1" w:styleId="826">
    <w:name w:val="Font Style127"/>
    <w:unhideWhenUsed/>
    <w:qFormat/>
    <w:uiPriority w:val="0"/>
    <w:rPr>
      <w:rFonts w:hint="eastAsia" w:ascii="Times New Roman" w:hAnsi="Times New Roman" w:eastAsia="Times New Roman"/>
      <w:sz w:val="20"/>
    </w:rPr>
  </w:style>
  <w:style w:type="character" w:customStyle="1" w:styleId="827">
    <w:name w:val="sidecatalog-dot"/>
    <w:qFormat/>
    <w:uiPriority w:val="0"/>
    <w:rPr>
      <w:rFonts w:ascii="Times New Roman" w:hAnsi="Times New Roman" w:eastAsia="宋体"/>
    </w:rPr>
  </w:style>
  <w:style w:type="character" w:customStyle="1" w:styleId="828">
    <w:name w:val="font111"/>
    <w:qFormat/>
    <w:uiPriority w:val="0"/>
    <w:rPr>
      <w:rFonts w:hint="default" w:ascii="Times New Roman" w:hAnsi="Times New Roman" w:cs="Times New Roman"/>
      <w:color w:val="000000"/>
      <w:sz w:val="20"/>
      <w:szCs w:val="20"/>
      <w:vertAlign w:val="superscript"/>
    </w:rPr>
  </w:style>
  <w:style w:type="character" w:customStyle="1" w:styleId="829">
    <w:name w:val="Char Char14"/>
    <w:qFormat/>
    <w:uiPriority w:val="0"/>
    <w:rPr>
      <w:rFonts w:ascii="Arial" w:hAnsi="Arial" w:eastAsia="黑体"/>
      <w:b/>
      <w:bCs/>
      <w:sz w:val="28"/>
      <w:szCs w:val="28"/>
      <w:lang w:val="en-US" w:eastAsia="zh-CN" w:bidi="ar-SA"/>
    </w:rPr>
  </w:style>
  <w:style w:type="character" w:customStyle="1" w:styleId="830">
    <w:name w:val="Char Char16"/>
    <w:qFormat/>
    <w:uiPriority w:val="0"/>
    <w:rPr>
      <w:rFonts w:ascii="宋体" w:hAnsi="Times New Roman" w:eastAsia="宋体"/>
      <w:b/>
      <w:sz w:val="24"/>
      <w:lang w:val="en-US" w:eastAsia="zh-CN" w:bidi="ar-SA"/>
    </w:rPr>
  </w:style>
  <w:style w:type="character" w:customStyle="1" w:styleId="831">
    <w:name w:val="bds_nopic1"/>
    <w:qFormat/>
    <w:uiPriority w:val="0"/>
    <w:rPr>
      <w:rFonts w:ascii="Times New Roman" w:hAnsi="Times New Roman" w:eastAsia="宋体"/>
    </w:rPr>
  </w:style>
  <w:style w:type="character" w:customStyle="1" w:styleId="832">
    <w:name w:val="polysemyred"/>
    <w:qFormat/>
    <w:uiPriority w:val="0"/>
    <w:rPr>
      <w:rFonts w:ascii="Times New Roman" w:hAnsi="Times New Roman" w:eastAsia="宋体"/>
      <w:color w:val="FF6666"/>
      <w:sz w:val="18"/>
      <w:szCs w:val="18"/>
    </w:rPr>
  </w:style>
  <w:style w:type="character" w:customStyle="1" w:styleId="833">
    <w:name w:val="样式 宋体 四号 行距: 1.5 倍行距 Char"/>
    <w:link w:val="229"/>
    <w:qFormat/>
    <w:uiPriority w:val="0"/>
    <w:rPr>
      <w:rFonts w:ascii="宋体" w:hAnsi="宋体"/>
      <w:kern w:val="2"/>
      <w:sz w:val="24"/>
      <w:szCs w:val="24"/>
    </w:rPr>
  </w:style>
  <w:style w:type="character" w:customStyle="1" w:styleId="834">
    <w:name w:val="批注文字 Char1"/>
    <w:semiHidden/>
    <w:qFormat/>
    <w:uiPriority w:val="0"/>
    <w:rPr>
      <w:rFonts w:ascii="Times New Roman" w:hAnsi="Times New Roman" w:eastAsia="宋体" w:cs="Times New Roman"/>
      <w:szCs w:val="24"/>
    </w:rPr>
  </w:style>
  <w:style w:type="character" w:customStyle="1" w:styleId="835">
    <w:name w:val="Font Style128"/>
    <w:unhideWhenUsed/>
    <w:qFormat/>
    <w:uiPriority w:val="0"/>
    <w:rPr>
      <w:rFonts w:hint="eastAsia" w:ascii="Times New Roman" w:hAnsi="Times New Roman" w:eastAsia="Times New Roman"/>
      <w:sz w:val="16"/>
    </w:rPr>
  </w:style>
  <w:style w:type="character" w:customStyle="1" w:styleId="836">
    <w:name w:val="样式 粉红 下划线"/>
    <w:qFormat/>
    <w:uiPriority w:val="0"/>
    <w:rPr>
      <w:color w:val="auto"/>
      <w:u w:val="none"/>
    </w:rPr>
  </w:style>
  <w:style w:type="character" w:customStyle="1" w:styleId="837">
    <w:name w:val="标题 4 Char Char1"/>
    <w:qFormat/>
    <w:uiPriority w:val="0"/>
    <w:rPr>
      <w:rFonts w:ascii="Arial" w:hAnsi="Arial" w:eastAsia="黑体"/>
      <w:b/>
      <w:bCs/>
      <w:kern w:val="2"/>
      <w:sz w:val="28"/>
      <w:szCs w:val="28"/>
      <w:lang w:val="en-US" w:eastAsia="zh-CN" w:bidi="ar-SA"/>
    </w:rPr>
  </w:style>
  <w:style w:type="character" w:customStyle="1" w:styleId="838">
    <w:name w:val="正文文字4 Char Char"/>
    <w:qFormat/>
    <w:uiPriority w:val="0"/>
    <w:rPr>
      <w:rFonts w:eastAsia="宋体"/>
      <w:kern w:val="2"/>
      <w:sz w:val="21"/>
      <w:szCs w:val="24"/>
      <w:lang w:val="en-US" w:eastAsia="zh-CN" w:bidi="ar-SA"/>
    </w:rPr>
  </w:style>
  <w:style w:type="character" w:customStyle="1" w:styleId="839">
    <w:name w:val="ca-3"/>
    <w:qFormat/>
    <w:uiPriority w:val="0"/>
  </w:style>
  <w:style w:type="character" w:customStyle="1" w:styleId="840">
    <w:name w:val="font91"/>
    <w:qFormat/>
    <w:uiPriority w:val="0"/>
    <w:rPr>
      <w:rFonts w:hint="default" w:ascii="Times New Roman" w:hAnsi="Times New Roman" w:cs="Times New Roman"/>
      <w:color w:val="000000"/>
      <w:sz w:val="21"/>
      <w:szCs w:val="21"/>
    </w:rPr>
  </w:style>
  <w:style w:type="character" w:customStyle="1" w:styleId="841">
    <w:name w:val="HTML 预设格式 Char1"/>
    <w:qFormat/>
    <w:uiPriority w:val="0"/>
    <w:rPr>
      <w:rFonts w:ascii="Courier New" w:hAnsi="Courier New" w:cs="Courier New"/>
      <w:kern w:val="2"/>
    </w:rPr>
  </w:style>
  <w:style w:type="character" w:customStyle="1" w:styleId="842">
    <w:name w:val="sort"/>
    <w:qFormat/>
    <w:uiPriority w:val="0"/>
    <w:rPr>
      <w:rFonts w:ascii="Times New Roman" w:hAnsi="Times New Roman" w:eastAsia="宋体"/>
      <w:color w:val="FFFFFF"/>
      <w:bdr w:val="single" w:color="auto" w:sz="24" w:space="0"/>
    </w:rPr>
  </w:style>
  <w:style w:type="character" w:customStyle="1" w:styleId="843">
    <w:name w:val="标题 9 Char1"/>
    <w:qFormat/>
    <w:uiPriority w:val="0"/>
    <w:rPr>
      <w:rFonts w:ascii="Arial" w:hAnsi="Arial" w:eastAsia="黑体" w:cs="Times New Roman"/>
      <w:kern w:val="0"/>
      <w:szCs w:val="21"/>
    </w:rPr>
  </w:style>
  <w:style w:type="character" w:customStyle="1" w:styleId="844">
    <w:name w:val="样式38 Char"/>
    <w:link w:val="230"/>
    <w:qFormat/>
    <w:uiPriority w:val="0"/>
    <w:rPr>
      <w:color w:val="000000"/>
      <w:sz w:val="24"/>
      <w:szCs w:val="24"/>
    </w:rPr>
  </w:style>
  <w:style w:type="character" w:customStyle="1" w:styleId="845">
    <w:name w:val="标题 3 Char1"/>
    <w:qFormat/>
    <w:uiPriority w:val="0"/>
    <w:rPr>
      <w:rFonts w:ascii="Times New Roman" w:hAnsi="Times New Roman" w:eastAsia="宋体" w:cs="Times New Roman"/>
      <w:b/>
      <w:bCs/>
      <w:sz w:val="32"/>
      <w:szCs w:val="32"/>
    </w:rPr>
  </w:style>
  <w:style w:type="character" w:customStyle="1" w:styleId="846">
    <w:name w:val="正文缩进两字 Char Char Char Char Char"/>
    <w:qFormat/>
    <w:uiPriority w:val="0"/>
    <w:rPr>
      <w:rFonts w:ascii="宋体" w:hAnsi="宋体" w:eastAsia="宋体"/>
      <w:kern w:val="2"/>
      <w:sz w:val="21"/>
      <w:lang w:val="en-US" w:eastAsia="zh-CN" w:bidi="ar-SA"/>
    </w:rPr>
  </w:style>
  <w:style w:type="character" w:customStyle="1" w:styleId="847">
    <w:name w:val="手改 Char Char"/>
    <w:qFormat/>
    <w:uiPriority w:val="0"/>
    <w:rPr>
      <w:rFonts w:eastAsia="宋体"/>
      <w:kern w:val="2"/>
      <w:sz w:val="21"/>
      <w:szCs w:val="24"/>
      <w:lang w:val="en-US" w:eastAsia="zh-CN" w:bidi="ar-SA"/>
    </w:rPr>
  </w:style>
  <w:style w:type="character" w:customStyle="1" w:styleId="848">
    <w:name w:val="日期 Char1"/>
    <w:qFormat/>
    <w:uiPriority w:val="0"/>
    <w:rPr>
      <w:rFonts w:ascii="Times New Roman" w:hAnsi="Times New Roman" w:eastAsia="宋体" w:cs="Times New Roman"/>
      <w:sz w:val="24"/>
      <w:szCs w:val="20"/>
    </w:rPr>
  </w:style>
  <w:style w:type="character" w:customStyle="1" w:styleId="849">
    <w:name w:val="Font Style116"/>
    <w:unhideWhenUsed/>
    <w:qFormat/>
    <w:uiPriority w:val="0"/>
    <w:rPr>
      <w:rFonts w:hint="eastAsia" w:ascii="宋体" w:hAnsi="宋体" w:eastAsia="宋体"/>
      <w:spacing w:val="-20"/>
      <w:sz w:val="24"/>
    </w:rPr>
  </w:style>
  <w:style w:type="character" w:customStyle="1" w:styleId="850">
    <w:name w:val="正文文本 2 Char1"/>
    <w:qFormat/>
    <w:uiPriority w:val="0"/>
    <w:rPr>
      <w:kern w:val="2"/>
      <w:sz w:val="21"/>
      <w:szCs w:val="24"/>
    </w:rPr>
  </w:style>
  <w:style w:type="character" w:customStyle="1" w:styleId="851">
    <w:name w:val="样式8 Char"/>
    <w:link w:val="232"/>
    <w:qFormat/>
    <w:uiPriority w:val="0"/>
    <w:rPr>
      <w:sz w:val="21"/>
      <w:szCs w:val="21"/>
      <w:lang w:val="zh-CN"/>
    </w:rPr>
  </w:style>
  <w:style w:type="character" w:customStyle="1" w:styleId="852">
    <w:name w:val="样式 标题 4 + 宋体 段前: 0.5 行 行距: 单倍行距 Char"/>
    <w:link w:val="233"/>
    <w:qFormat/>
    <w:uiPriority w:val="0"/>
    <w:rPr>
      <w:rFonts w:ascii="宋体" w:hAnsi="宋体"/>
      <w:sz w:val="24"/>
    </w:rPr>
  </w:style>
  <w:style w:type="character" w:customStyle="1" w:styleId="853">
    <w:name w:val="desc"/>
    <w:qFormat/>
    <w:uiPriority w:val="0"/>
    <w:rPr>
      <w:rFonts w:ascii="Times New Roman" w:hAnsi="Times New Roman" w:eastAsia="宋体"/>
      <w:color w:val="000000"/>
      <w:sz w:val="18"/>
      <w:szCs w:val="18"/>
    </w:rPr>
  </w:style>
  <w:style w:type="character" w:customStyle="1" w:styleId="854">
    <w:name w:val="font61"/>
    <w:basedOn w:val="128"/>
    <w:qFormat/>
    <w:uiPriority w:val="0"/>
    <w:rPr>
      <w:rFonts w:hint="eastAsia" w:ascii="宋体" w:hAnsi="宋体" w:eastAsia="宋体" w:cs="宋体"/>
      <w:color w:val="000000"/>
      <w:sz w:val="20"/>
      <w:szCs w:val="20"/>
    </w:rPr>
  </w:style>
  <w:style w:type="character" w:customStyle="1" w:styleId="855">
    <w:name w:val="样式 首行缩进:  2 字符2 Char"/>
    <w:link w:val="234"/>
    <w:qFormat/>
    <w:uiPriority w:val="0"/>
    <w:rPr>
      <w:rFonts w:ascii="宋体" w:hAnsi="宋体"/>
      <w:kern w:val="18"/>
      <w:sz w:val="24"/>
    </w:rPr>
  </w:style>
  <w:style w:type="character" w:customStyle="1" w:styleId="856">
    <w:name w:val="表头 Char"/>
    <w:qFormat/>
    <w:uiPriority w:val="0"/>
    <w:rPr>
      <w:rFonts w:eastAsia="黑体"/>
      <w:sz w:val="28"/>
      <w:lang w:val="en-US" w:eastAsia="zh-CN" w:bidi="ar-SA"/>
    </w:rPr>
  </w:style>
  <w:style w:type="character" w:customStyle="1" w:styleId="857">
    <w:name w:val="Font Style122"/>
    <w:unhideWhenUsed/>
    <w:qFormat/>
    <w:uiPriority w:val="0"/>
    <w:rPr>
      <w:rFonts w:hint="eastAsia" w:ascii="宋体" w:hAnsi="宋体" w:eastAsia="宋体"/>
      <w:spacing w:val="20"/>
      <w:sz w:val="24"/>
    </w:rPr>
  </w:style>
  <w:style w:type="character" w:customStyle="1" w:styleId="858">
    <w:name w:val="表格1 Char"/>
    <w:link w:val="235"/>
    <w:qFormat/>
    <w:locked/>
    <w:uiPriority w:val="0"/>
    <w:rPr>
      <w:rFonts w:ascii="宋体" w:hAnsi="宋体"/>
      <w:spacing w:val="-20"/>
      <w:sz w:val="21"/>
      <w:szCs w:val="21"/>
    </w:rPr>
  </w:style>
  <w:style w:type="character" w:customStyle="1" w:styleId="859">
    <w:name w:val="样式 标题 3 + 红色 Char"/>
    <w:link w:val="236"/>
    <w:qFormat/>
    <w:uiPriority w:val="0"/>
    <w:rPr>
      <w:rFonts w:ascii="宋体" w:hAnsi="Calibri"/>
      <w:b/>
      <w:color w:val="FF0000"/>
      <w:sz w:val="24"/>
      <w:szCs w:val="32"/>
    </w:rPr>
  </w:style>
  <w:style w:type="character" w:customStyle="1" w:styleId="860">
    <w:name w:val="引用 字符"/>
    <w:link w:val="237"/>
    <w:qFormat/>
    <w:uiPriority w:val="29"/>
    <w:rPr>
      <w:rFonts w:ascii="Calibri" w:hAnsi="Calibri"/>
      <w:i/>
      <w:iCs/>
      <w:color w:val="000000"/>
      <w:kern w:val="2"/>
      <w:sz w:val="21"/>
      <w:szCs w:val="24"/>
    </w:rPr>
  </w:style>
  <w:style w:type="character" w:customStyle="1" w:styleId="861">
    <w:name w:val="font131"/>
    <w:qFormat/>
    <w:uiPriority w:val="0"/>
    <w:rPr>
      <w:rFonts w:hint="default" w:ascii="Times New Roman" w:hAnsi="Times New Roman" w:cs="Times New Roman"/>
      <w:color w:val="000000"/>
      <w:sz w:val="20"/>
      <w:szCs w:val="20"/>
      <w:vertAlign w:val="superscript"/>
    </w:rPr>
  </w:style>
  <w:style w:type="character" w:customStyle="1" w:styleId="862">
    <w:name w:val="标题 5 Char1"/>
    <w:qFormat/>
    <w:uiPriority w:val="0"/>
    <w:rPr>
      <w:rFonts w:ascii="Times New Roman" w:hAnsi="Times New Roman" w:eastAsia="宋体" w:cs="Times New Roman"/>
      <w:b/>
      <w:bCs/>
      <w:kern w:val="0"/>
      <w:sz w:val="28"/>
      <w:szCs w:val="28"/>
    </w:rPr>
  </w:style>
  <w:style w:type="character" w:customStyle="1" w:styleId="863">
    <w:name w:val="font71"/>
    <w:qFormat/>
    <w:uiPriority w:val="0"/>
    <w:rPr>
      <w:rFonts w:hint="default" w:ascii="Times New Roman" w:hAnsi="Times New Roman" w:cs="Times New Roman"/>
      <w:color w:val="000000"/>
      <w:sz w:val="18"/>
      <w:szCs w:val="18"/>
    </w:rPr>
  </w:style>
  <w:style w:type="character" w:customStyle="1" w:styleId="864">
    <w:name w:val="小标题 Char"/>
    <w:qFormat/>
    <w:uiPriority w:val="0"/>
    <w:rPr>
      <w:rFonts w:ascii="仿宋_GB2312" w:eastAsia="仿宋_GB2312"/>
      <w:b/>
      <w:sz w:val="28"/>
      <w:szCs w:val="28"/>
      <w:lang w:val="en-US" w:eastAsia="zh-CN" w:bidi="ar-SA"/>
    </w:rPr>
  </w:style>
  <w:style w:type="character" w:customStyle="1" w:styleId="865">
    <w:name w:val="样式 标题 3 + 宋体 段前: 0.5 行 行距: 单倍行距 Char"/>
    <w:link w:val="238"/>
    <w:qFormat/>
    <w:uiPriority w:val="0"/>
    <w:rPr>
      <w:rFonts w:ascii="宋体" w:hAnsi="宋体"/>
      <w:sz w:val="24"/>
      <w:lang w:val="zh-CN"/>
    </w:rPr>
  </w:style>
  <w:style w:type="character" w:customStyle="1" w:styleId="866">
    <w:name w:val="标题 Char2"/>
    <w:qFormat/>
    <w:uiPriority w:val="0"/>
    <w:rPr>
      <w:rFonts w:ascii="Cambria" w:hAnsi="Cambria" w:cs="Times New Roman"/>
      <w:b/>
      <w:bCs/>
      <w:kern w:val="2"/>
      <w:sz w:val="32"/>
      <w:szCs w:val="32"/>
    </w:rPr>
  </w:style>
  <w:style w:type="character" w:customStyle="1" w:styleId="867">
    <w:name w:val="标题 2XW Char"/>
    <w:qFormat/>
    <w:uiPriority w:val="0"/>
    <w:rPr>
      <w:rFonts w:ascii="Arial" w:hAnsi="Arial" w:eastAsia="黑体"/>
      <w:b/>
      <w:bCs/>
      <w:kern w:val="2"/>
      <w:sz w:val="32"/>
      <w:szCs w:val="32"/>
      <w:lang w:val="en-US" w:eastAsia="zh-CN" w:bidi="ar-SA"/>
    </w:rPr>
  </w:style>
  <w:style w:type="character" w:customStyle="1" w:styleId="868">
    <w:name w:val="正  文 Char"/>
    <w:link w:val="239"/>
    <w:qFormat/>
    <w:uiPriority w:val="0"/>
    <w:rPr>
      <w:rFonts w:ascii="宋体" w:hAnsi="Calibri"/>
      <w:kern w:val="2"/>
      <w:sz w:val="24"/>
      <w:szCs w:val="24"/>
    </w:rPr>
  </w:style>
  <w:style w:type="character" w:customStyle="1" w:styleId="869">
    <w:name w:val="morelink-item"/>
    <w:qFormat/>
    <w:uiPriority w:val="0"/>
    <w:rPr>
      <w:rFonts w:ascii="Times New Roman" w:hAnsi="Times New Roman" w:eastAsia="宋体"/>
    </w:rPr>
  </w:style>
  <w:style w:type="character" w:customStyle="1" w:styleId="870">
    <w:name w:val="font51"/>
    <w:basedOn w:val="128"/>
    <w:qFormat/>
    <w:uiPriority w:val="0"/>
    <w:rPr>
      <w:rFonts w:hint="default" w:ascii="Times New Roman" w:hAnsi="Times New Roman" w:cs="Times New Roman"/>
      <w:color w:val="000000"/>
      <w:sz w:val="20"/>
      <w:szCs w:val="20"/>
    </w:rPr>
  </w:style>
  <w:style w:type="character" w:customStyle="1" w:styleId="871">
    <w:name w:val="Char Char10"/>
    <w:qFormat/>
    <w:uiPriority w:val="0"/>
    <w:rPr>
      <w:rFonts w:ascii="Times New Roman" w:hAnsi="Times New Roman" w:eastAsia="宋体"/>
      <w:sz w:val="18"/>
    </w:rPr>
  </w:style>
  <w:style w:type="character" w:customStyle="1" w:styleId="872">
    <w:name w:val="纯文本 Char1"/>
    <w:qFormat/>
    <w:locked/>
    <w:uiPriority w:val="0"/>
    <w:rPr>
      <w:rFonts w:ascii="宋体" w:hAnsi="Courier New" w:eastAsia="宋体" w:cs="Courier New"/>
      <w:szCs w:val="21"/>
    </w:rPr>
  </w:style>
  <w:style w:type="character" w:customStyle="1" w:styleId="873">
    <w:name w:val="表格1 Char1"/>
    <w:qFormat/>
    <w:locked/>
    <w:uiPriority w:val="0"/>
    <w:rPr>
      <w:rFonts w:eastAsia="宋体"/>
      <w:kern w:val="2"/>
      <w:sz w:val="21"/>
      <w:szCs w:val="21"/>
      <w:lang w:val="en-US" w:eastAsia="zh-CN" w:bidi="ar-SA"/>
    </w:rPr>
  </w:style>
  <w:style w:type="character" w:customStyle="1" w:styleId="874">
    <w:name w:val="bds_more9"/>
    <w:qFormat/>
    <w:uiPriority w:val="0"/>
    <w:rPr>
      <w:rFonts w:ascii="Times New Roman" w:hAnsi="Times New Roman" w:eastAsia="宋体"/>
    </w:rPr>
  </w:style>
  <w:style w:type="character" w:customStyle="1" w:styleId="875">
    <w:name w:val="链接"/>
    <w:qFormat/>
    <w:uiPriority w:val="0"/>
    <w:rPr>
      <w:color w:val="0000FF"/>
      <w:u w:val="single" w:color="0000FF"/>
    </w:rPr>
  </w:style>
  <w:style w:type="character" w:customStyle="1" w:styleId="876">
    <w:name w:val="font81"/>
    <w:qFormat/>
    <w:uiPriority w:val="0"/>
    <w:rPr>
      <w:rFonts w:hint="eastAsia" w:ascii="宋体" w:hAnsi="宋体" w:eastAsia="宋体" w:cs="宋体"/>
      <w:color w:val="000000"/>
      <w:sz w:val="21"/>
      <w:szCs w:val="21"/>
    </w:rPr>
  </w:style>
  <w:style w:type="character" w:customStyle="1" w:styleId="877">
    <w:name w:val="all1"/>
    <w:qFormat/>
    <w:uiPriority w:val="0"/>
    <w:rPr>
      <w:sz w:val="18"/>
      <w:szCs w:val="18"/>
    </w:rPr>
  </w:style>
  <w:style w:type="character" w:customStyle="1" w:styleId="878">
    <w:name w:val="p0 Char Char"/>
    <w:qFormat/>
    <w:uiPriority w:val="0"/>
    <w:rPr>
      <w:rFonts w:eastAsia="宋体"/>
      <w:kern w:val="2"/>
      <w:sz w:val="21"/>
      <w:szCs w:val="21"/>
      <w:lang w:val="en-US" w:eastAsia="zh-CN" w:bidi="ar-SA"/>
    </w:rPr>
  </w:style>
  <w:style w:type="character" w:customStyle="1" w:styleId="879">
    <w:name w:val="Font Style121"/>
    <w:unhideWhenUsed/>
    <w:qFormat/>
    <w:uiPriority w:val="0"/>
    <w:rPr>
      <w:rFonts w:hint="eastAsia" w:ascii="宋体" w:hAnsi="宋体" w:eastAsia="宋体"/>
      <w:spacing w:val="-10"/>
      <w:sz w:val="30"/>
    </w:rPr>
  </w:style>
  <w:style w:type="character" w:customStyle="1" w:styleId="880">
    <w:name w:val="Font Style90"/>
    <w:unhideWhenUsed/>
    <w:qFormat/>
    <w:uiPriority w:val="0"/>
    <w:rPr>
      <w:rFonts w:hint="eastAsia" w:ascii="宋体" w:hAnsi="宋体" w:eastAsia="宋体"/>
      <w:b/>
      <w:spacing w:val="-20"/>
      <w:sz w:val="40"/>
    </w:rPr>
  </w:style>
  <w:style w:type="character" w:customStyle="1" w:styleId="881">
    <w:name w:val="sidecatalog-dot1"/>
    <w:qFormat/>
    <w:uiPriority w:val="0"/>
    <w:rPr>
      <w:rFonts w:ascii="Times New Roman" w:hAnsi="Times New Roman" w:eastAsia="宋体"/>
    </w:rPr>
  </w:style>
  <w:style w:type="character" w:customStyle="1" w:styleId="882">
    <w:name w:val="txt1"/>
    <w:qFormat/>
    <w:uiPriority w:val="0"/>
    <w:rPr>
      <w:rFonts w:hint="default" w:ascii="Verdana" w:hAnsi="Verdana"/>
      <w:color w:val="000000"/>
      <w:sz w:val="20"/>
      <w:szCs w:val="20"/>
    </w:rPr>
  </w:style>
  <w:style w:type="character" w:customStyle="1" w:styleId="883">
    <w:name w:val="正文文本 3 Char1"/>
    <w:qFormat/>
    <w:uiPriority w:val="0"/>
    <w:rPr>
      <w:kern w:val="2"/>
      <w:sz w:val="16"/>
      <w:szCs w:val="16"/>
    </w:rPr>
  </w:style>
  <w:style w:type="character" w:customStyle="1" w:styleId="884">
    <w:name w:val="Font Style94"/>
    <w:unhideWhenUsed/>
    <w:qFormat/>
    <w:uiPriority w:val="0"/>
    <w:rPr>
      <w:rFonts w:hint="eastAsia" w:ascii="Times New Roman" w:hAnsi="Times New Roman" w:eastAsia="Times New Roman"/>
      <w:sz w:val="28"/>
    </w:rPr>
  </w:style>
  <w:style w:type="character" w:customStyle="1" w:styleId="885">
    <w:name w:val="我编辑文档正文 Char"/>
    <w:link w:val="240"/>
    <w:qFormat/>
    <w:uiPriority w:val="0"/>
    <w:rPr>
      <w:rFonts w:ascii="Calibri" w:hAnsi="Calibri"/>
      <w:kern w:val="2"/>
      <w:sz w:val="24"/>
      <w:szCs w:val="24"/>
    </w:rPr>
  </w:style>
  <w:style w:type="character" w:customStyle="1" w:styleId="886">
    <w:name w:val="text1"/>
    <w:qFormat/>
    <w:uiPriority w:val="0"/>
    <w:rPr>
      <w:sz w:val="18"/>
      <w:szCs w:val="18"/>
      <w:u w:val="none"/>
    </w:rPr>
  </w:style>
  <w:style w:type="character" w:customStyle="1" w:styleId="887">
    <w:name w:val="lh22px1"/>
    <w:qFormat/>
    <w:uiPriority w:val="0"/>
  </w:style>
  <w:style w:type="character" w:customStyle="1" w:styleId="888">
    <w:name w:val="apple-style-span"/>
    <w:qFormat/>
    <w:uiPriority w:val="0"/>
  </w:style>
  <w:style w:type="character" w:customStyle="1" w:styleId="889">
    <w:name w:val="样式 标题 2 Char Char + (中文) 宋体"/>
    <w:qFormat/>
    <w:uiPriority w:val="0"/>
    <w:rPr>
      <w:rFonts w:ascii="Arial" w:hAnsi="Arial" w:eastAsia="Times New Roman"/>
      <w:b/>
      <w:bCs/>
      <w:kern w:val="2"/>
      <w:sz w:val="24"/>
      <w:szCs w:val="32"/>
      <w:lang w:val="en-US" w:eastAsia="zh-CN" w:bidi="ar-SA"/>
    </w:rPr>
  </w:style>
  <w:style w:type="character" w:customStyle="1" w:styleId="890">
    <w:name w:val="font01"/>
    <w:qFormat/>
    <w:uiPriority w:val="0"/>
    <w:rPr>
      <w:rFonts w:hint="eastAsia" w:ascii="宋体" w:hAnsi="宋体" w:eastAsia="宋体" w:cs="宋体"/>
      <w:b/>
      <w:color w:val="000000"/>
      <w:sz w:val="20"/>
      <w:szCs w:val="20"/>
    </w:rPr>
  </w:style>
  <w:style w:type="character" w:customStyle="1" w:styleId="891">
    <w:name w:val="ca-21"/>
    <w:qFormat/>
    <w:uiPriority w:val="0"/>
    <w:rPr>
      <w:rFonts w:hint="eastAsia" w:ascii="宋体" w:hAnsi="宋体" w:eastAsia="宋体"/>
      <w:sz w:val="24"/>
      <w:szCs w:val="24"/>
    </w:rPr>
  </w:style>
  <w:style w:type="character" w:customStyle="1" w:styleId="892">
    <w:name w:val="Font Style86"/>
    <w:unhideWhenUsed/>
    <w:qFormat/>
    <w:uiPriority w:val="0"/>
    <w:rPr>
      <w:rFonts w:hint="eastAsia" w:ascii="黑体" w:hAnsi="黑体" w:eastAsia="黑体"/>
      <w:spacing w:val="10"/>
      <w:sz w:val="30"/>
    </w:rPr>
  </w:style>
  <w:style w:type="character" w:customStyle="1" w:styleId="893">
    <w:name w:val="Char Char2"/>
    <w:qFormat/>
    <w:uiPriority w:val="0"/>
    <w:rPr>
      <w:rFonts w:eastAsia="黑体"/>
      <w:kern w:val="2"/>
      <w:sz w:val="24"/>
      <w:lang w:val="en-US" w:eastAsia="zh-CN" w:bidi="ar-SA"/>
    </w:rPr>
  </w:style>
  <w:style w:type="character" w:customStyle="1" w:styleId="894">
    <w:name w:val="页脚 Char1"/>
    <w:qFormat/>
    <w:uiPriority w:val="0"/>
    <w:rPr>
      <w:rFonts w:eastAsia="宋体"/>
      <w:kern w:val="2"/>
      <w:sz w:val="18"/>
      <w:szCs w:val="18"/>
      <w:lang w:val="en-US" w:eastAsia="zh-CN" w:bidi="ar-SA"/>
    </w:rPr>
  </w:style>
  <w:style w:type="character" w:customStyle="1" w:styleId="895">
    <w:name w:val="bds_nopic2"/>
    <w:qFormat/>
    <w:uiPriority w:val="0"/>
    <w:rPr>
      <w:rFonts w:ascii="Times New Roman" w:hAnsi="Times New Roman" w:eastAsia="宋体"/>
    </w:rPr>
  </w:style>
  <w:style w:type="character" w:customStyle="1" w:styleId="896">
    <w:name w:val="页眉 Char1"/>
    <w:link w:val="241"/>
    <w:qFormat/>
    <w:uiPriority w:val="0"/>
    <w:rPr>
      <w:rFonts w:ascii="Calibri" w:hAnsi="Calibri"/>
      <w:kern w:val="2"/>
      <w:sz w:val="18"/>
      <w:szCs w:val="18"/>
    </w:rPr>
  </w:style>
  <w:style w:type="character" w:customStyle="1" w:styleId="897">
    <w:name w:val="样式 粉红"/>
    <w:qFormat/>
    <w:uiPriority w:val="0"/>
    <w:rPr>
      <w:color w:val="auto"/>
      <w:u w:val="none"/>
    </w:rPr>
  </w:style>
  <w:style w:type="character" w:customStyle="1" w:styleId="898">
    <w:name w:val="正文文本缩进 2 Char1"/>
    <w:qFormat/>
    <w:uiPriority w:val="0"/>
    <w:rPr>
      <w:kern w:val="2"/>
      <w:sz w:val="21"/>
      <w:szCs w:val="24"/>
    </w:rPr>
  </w:style>
  <w:style w:type="character" w:customStyle="1" w:styleId="899">
    <w:name w:val="批注框文本 Char1"/>
    <w:qFormat/>
    <w:locked/>
    <w:uiPriority w:val="0"/>
    <w:rPr>
      <w:rFonts w:ascii="Calibri" w:hAnsi="Calibri" w:eastAsia="宋体"/>
      <w:sz w:val="18"/>
      <w:szCs w:val="18"/>
    </w:rPr>
  </w:style>
  <w:style w:type="character" w:customStyle="1" w:styleId="900">
    <w:name w:val="样式 样式 样式3 + + (西文) 宋体 Char"/>
    <w:link w:val="242"/>
    <w:qFormat/>
    <w:uiPriority w:val="0"/>
    <w:rPr>
      <w:rFonts w:ascii="宋体" w:hAnsi="宋体"/>
      <w:sz w:val="21"/>
      <w:szCs w:val="32"/>
    </w:rPr>
  </w:style>
  <w:style w:type="character" w:customStyle="1" w:styleId="901">
    <w:name w:val="Font Style123"/>
    <w:unhideWhenUsed/>
    <w:qFormat/>
    <w:uiPriority w:val="0"/>
    <w:rPr>
      <w:rFonts w:hint="eastAsia" w:ascii="宋体" w:hAnsi="宋体" w:eastAsia="宋体"/>
      <w:b/>
      <w:sz w:val="32"/>
    </w:rPr>
  </w:style>
  <w:style w:type="character" w:customStyle="1" w:styleId="902">
    <w:name w:val="bds_more7"/>
    <w:qFormat/>
    <w:uiPriority w:val="0"/>
    <w:rPr>
      <w:rFonts w:ascii="Times New Roman" w:hAnsi="Times New Roman" w:eastAsia="宋体"/>
    </w:rPr>
  </w:style>
  <w:style w:type="character" w:customStyle="1" w:styleId="903">
    <w:name w:val="Font Style104"/>
    <w:unhideWhenUsed/>
    <w:qFormat/>
    <w:uiPriority w:val="0"/>
    <w:rPr>
      <w:rFonts w:hint="eastAsia" w:ascii="宋体" w:hAnsi="宋体" w:eastAsia="宋体"/>
      <w:spacing w:val="30"/>
      <w:sz w:val="18"/>
    </w:rPr>
  </w:style>
  <w:style w:type="character" w:customStyle="1" w:styleId="904">
    <w:name w:val="样式 宋体 四号 行距: 最小值 25 磅 Char Char"/>
    <w:link w:val="243"/>
    <w:qFormat/>
    <w:locked/>
    <w:uiPriority w:val="0"/>
    <w:rPr>
      <w:rFonts w:ascii="Calibri" w:hAnsi="Calibri"/>
      <w:kern w:val="2"/>
      <w:sz w:val="24"/>
    </w:rPr>
  </w:style>
  <w:style w:type="character" w:customStyle="1" w:styleId="905">
    <w:name w:val="样式5 Char"/>
    <w:link w:val="244"/>
    <w:qFormat/>
    <w:uiPriority w:val="0"/>
    <w:rPr>
      <w:rFonts w:ascii="宋体" w:hAnsi="宋体"/>
      <w:bCs/>
      <w:kern w:val="2"/>
      <w:sz w:val="21"/>
      <w:szCs w:val="21"/>
    </w:rPr>
  </w:style>
  <w:style w:type="character" w:customStyle="1" w:styleId="906">
    <w:name w:val="表号 Char"/>
    <w:link w:val="245"/>
    <w:qFormat/>
    <w:uiPriority w:val="0"/>
    <w:rPr>
      <w:rFonts w:ascii="宋体" w:hAnsi="Calibri" w:eastAsia="仿宋_GB2312"/>
      <w:sz w:val="21"/>
      <w:szCs w:val="21"/>
    </w:rPr>
  </w:style>
  <w:style w:type="character" w:customStyle="1" w:styleId="907">
    <w:name w:val="批注主题 Char1"/>
    <w:qFormat/>
    <w:uiPriority w:val="0"/>
    <w:rPr>
      <w:rFonts w:ascii="Times New Roman" w:hAnsi="Times New Roman" w:eastAsia="宋体" w:cs="Times New Roman"/>
      <w:b/>
      <w:bCs/>
      <w:szCs w:val="24"/>
    </w:rPr>
  </w:style>
  <w:style w:type="character" w:customStyle="1" w:styleId="908">
    <w:name w:val="i1"/>
    <w:qFormat/>
    <w:uiPriority w:val="0"/>
    <w:rPr>
      <w:sz w:val="18"/>
      <w:szCs w:val="18"/>
    </w:rPr>
  </w:style>
  <w:style w:type="character" w:customStyle="1" w:styleId="909">
    <w:name w:val="font161"/>
    <w:qFormat/>
    <w:uiPriority w:val="0"/>
    <w:rPr>
      <w:b/>
      <w:bCs/>
      <w:sz w:val="32"/>
      <w:szCs w:val="32"/>
    </w:rPr>
  </w:style>
  <w:style w:type="character" w:customStyle="1" w:styleId="910">
    <w:name w:val="Char Char20"/>
    <w:qFormat/>
    <w:uiPriority w:val="0"/>
    <w:rPr>
      <w:rFonts w:ascii="Times New Roman" w:hAnsi="Times New Roman" w:eastAsia="宋体" w:cs="Times New Roman"/>
      <w:b/>
      <w:bCs/>
      <w:sz w:val="32"/>
      <w:szCs w:val="32"/>
    </w:rPr>
  </w:style>
  <w:style w:type="character" w:customStyle="1" w:styleId="911">
    <w:name w:val="Char Char21"/>
    <w:qFormat/>
    <w:uiPriority w:val="0"/>
    <w:rPr>
      <w:rFonts w:ascii="Arial" w:hAnsi="Arial" w:eastAsia="黑体" w:cs="Times New Roman"/>
      <w:b/>
      <w:bCs/>
      <w:sz w:val="32"/>
      <w:szCs w:val="32"/>
    </w:rPr>
  </w:style>
  <w:style w:type="character" w:customStyle="1" w:styleId="912">
    <w:name w:val="bfw"/>
    <w:qFormat/>
    <w:uiPriority w:val="0"/>
  </w:style>
  <w:style w:type="character" w:customStyle="1" w:styleId="913">
    <w:name w:val="明显强调1"/>
    <w:qFormat/>
    <w:uiPriority w:val="21"/>
    <w:rPr>
      <w:b/>
      <w:bCs/>
      <w:i/>
      <w:iCs/>
      <w:color w:val="4F81BD"/>
    </w:rPr>
  </w:style>
  <w:style w:type="character" w:customStyle="1" w:styleId="914">
    <w:name w:val="sidecatalog-index2"/>
    <w:qFormat/>
    <w:uiPriority w:val="0"/>
    <w:rPr>
      <w:rFonts w:ascii="Arail" w:hAnsi="Arail" w:eastAsia="Arail" w:cs="Arail"/>
      <w:color w:val="999999"/>
      <w:sz w:val="21"/>
      <w:szCs w:val="21"/>
    </w:rPr>
  </w:style>
  <w:style w:type="character" w:customStyle="1" w:styleId="915">
    <w:name w:val="文档结构图 Char1"/>
    <w:qFormat/>
    <w:uiPriority w:val="0"/>
    <w:rPr>
      <w:rFonts w:ascii="宋体"/>
      <w:kern w:val="2"/>
      <w:sz w:val="18"/>
      <w:szCs w:val="18"/>
    </w:rPr>
  </w:style>
  <w:style w:type="character" w:customStyle="1" w:styleId="916">
    <w:name w:val="标题4 Char Char"/>
    <w:qFormat/>
    <w:uiPriority w:val="0"/>
    <w:rPr>
      <w:rFonts w:ascii="仿宋_GB2312" w:hAnsi="Cambria" w:eastAsia="仿宋_GB2312"/>
      <w:bCs/>
      <w:kern w:val="28"/>
      <w:sz w:val="28"/>
      <w:szCs w:val="32"/>
      <w:lang w:val="en-US" w:eastAsia="zh-CN" w:bidi="ar-SA"/>
    </w:rPr>
  </w:style>
  <w:style w:type="character" w:customStyle="1" w:styleId="917">
    <w:name w:val="引用 Char1"/>
    <w:qFormat/>
    <w:uiPriority w:val="29"/>
    <w:rPr>
      <w:i/>
      <w:iCs/>
      <w:color w:val="000000"/>
      <w:kern w:val="2"/>
      <w:sz w:val="21"/>
      <w:szCs w:val="24"/>
    </w:rPr>
  </w:style>
  <w:style w:type="character" w:customStyle="1" w:styleId="918">
    <w:name w:val="font141"/>
    <w:qFormat/>
    <w:uiPriority w:val="0"/>
    <w:rPr>
      <w:rFonts w:hint="default" w:ascii="Times New Roman" w:hAnsi="Times New Roman" w:cs="Times New Roman"/>
      <w:b/>
      <w:color w:val="000000"/>
      <w:sz w:val="20"/>
      <w:szCs w:val="20"/>
      <w:u w:val="single"/>
    </w:rPr>
  </w:style>
  <w:style w:type="character" w:customStyle="1" w:styleId="919">
    <w:name w:val="章 Char Char"/>
    <w:qFormat/>
    <w:uiPriority w:val="0"/>
    <w:rPr>
      <w:rFonts w:eastAsia="宋体"/>
      <w:b/>
      <w:bCs/>
      <w:kern w:val="44"/>
      <w:sz w:val="44"/>
      <w:szCs w:val="44"/>
      <w:lang w:val="en-US" w:eastAsia="zh-CN" w:bidi="ar-SA"/>
    </w:rPr>
  </w:style>
  <w:style w:type="character" w:customStyle="1" w:styleId="920">
    <w:name w:val="listarticle1"/>
    <w:qFormat/>
    <w:uiPriority w:val="0"/>
    <w:rPr>
      <w:b/>
      <w:bCs/>
      <w:color w:val="05006C"/>
      <w:sz w:val="27"/>
      <w:szCs w:val="27"/>
    </w:rPr>
  </w:style>
  <w:style w:type="character" w:customStyle="1" w:styleId="921">
    <w:name w:val="Font Style124"/>
    <w:unhideWhenUsed/>
    <w:qFormat/>
    <w:uiPriority w:val="0"/>
    <w:rPr>
      <w:rFonts w:hint="eastAsia" w:ascii="宋体" w:hAnsi="宋体" w:eastAsia="宋体"/>
      <w:spacing w:val="30"/>
      <w:sz w:val="24"/>
    </w:rPr>
  </w:style>
  <w:style w:type="character" w:customStyle="1" w:styleId="922">
    <w:name w:val="Plain Text Char1 Char"/>
    <w:qFormat/>
    <w:uiPriority w:val="0"/>
    <w:rPr>
      <w:rFonts w:ascii="宋体" w:hAnsi="Courier New" w:eastAsia="宋体" w:cs="Courier New"/>
      <w:kern w:val="2"/>
      <w:sz w:val="21"/>
      <w:szCs w:val="21"/>
      <w:lang w:val="en-US" w:eastAsia="zh-CN" w:bidi="ar-SA"/>
    </w:rPr>
  </w:style>
  <w:style w:type="character" w:customStyle="1" w:styleId="923">
    <w:name w:val="bds_more8"/>
    <w:qFormat/>
    <w:uiPriority w:val="0"/>
    <w:rPr>
      <w:rFonts w:ascii="Times New Roman" w:hAnsi="Times New Roman" w:eastAsia="宋体"/>
    </w:rPr>
  </w:style>
  <w:style w:type="character" w:customStyle="1" w:styleId="924">
    <w:name w:val="Font Style131"/>
    <w:unhideWhenUsed/>
    <w:qFormat/>
    <w:uiPriority w:val="0"/>
    <w:rPr>
      <w:rFonts w:hint="eastAsia" w:ascii="Times New Roman" w:hAnsi="Times New Roman" w:eastAsia="Times New Roman"/>
      <w:sz w:val="18"/>
    </w:rPr>
  </w:style>
  <w:style w:type="character" w:customStyle="1" w:styleId="925">
    <w:name w:val="Font Style117"/>
    <w:unhideWhenUsed/>
    <w:qFormat/>
    <w:uiPriority w:val="0"/>
    <w:rPr>
      <w:rFonts w:hint="eastAsia" w:ascii="宋体" w:hAnsi="宋体" w:eastAsia="宋体"/>
      <w:spacing w:val="20"/>
      <w:sz w:val="24"/>
    </w:rPr>
  </w:style>
  <w:style w:type="character" w:customStyle="1" w:styleId="926">
    <w:name w:val="正文文本首行缩进 2 字符1"/>
    <w:basedOn w:val="155"/>
    <w:qFormat/>
    <w:uiPriority w:val="0"/>
    <w:rPr>
      <w:rFonts w:hint="default" w:ascii="Times New Roman" w:hAnsi="Times New Roman" w:eastAsia="宋体" w:cs="Times New Roman"/>
      <w:kern w:val="2"/>
      <w:sz w:val="21"/>
      <w:szCs w:val="24"/>
      <w:lang w:val="en-US" w:eastAsia="zh-CN" w:bidi="ar-SA"/>
    </w:rPr>
  </w:style>
  <w:style w:type="character" w:customStyle="1" w:styleId="927">
    <w:name w:val="Body text (2)_"/>
    <w:link w:val="719"/>
    <w:qFormat/>
    <w:uiPriority w:val="0"/>
    <w:rPr>
      <w:rFonts w:ascii="MingLiU" w:hAnsi="MingLiU" w:eastAsia="MingLiU" w:cs="MingLiU"/>
      <w:kern w:val="2"/>
      <w:sz w:val="21"/>
      <w:shd w:val="clear" w:color="auto" w:fill="FFFFFF"/>
    </w:rPr>
  </w:style>
  <w:style w:type="character" w:customStyle="1" w:styleId="928">
    <w:name w:val="Body text (2) + 9.5 pt2"/>
    <w:qFormat/>
    <w:uiPriority w:val="0"/>
    <w:rPr>
      <w:color w:val="000000"/>
      <w:spacing w:val="0"/>
      <w:w w:val="100"/>
      <w:position w:val="0"/>
      <w:sz w:val="19"/>
      <w:szCs w:val="19"/>
      <w:lang w:val="zh-CN" w:eastAsia="zh-CN" w:bidi="zh-CN"/>
    </w:rPr>
  </w:style>
  <w:style w:type="character" w:customStyle="1" w:styleId="929">
    <w:name w:val="占位符文本1"/>
    <w:semiHidden/>
    <w:qFormat/>
    <w:uiPriority w:val="99"/>
    <w:rPr>
      <w:color w:val="808080"/>
    </w:rPr>
  </w:style>
  <w:style w:type="character" w:customStyle="1" w:styleId="930">
    <w:name w:val="border_color"/>
    <w:qFormat/>
    <w:uiPriority w:val="0"/>
  </w:style>
  <w:style w:type="character" w:customStyle="1" w:styleId="931">
    <w:name w:val="border_color1"/>
    <w:qFormat/>
    <w:uiPriority w:val="0"/>
  </w:style>
  <w:style w:type="character" w:customStyle="1" w:styleId="932">
    <w:name w:val="pay_price"/>
    <w:qFormat/>
    <w:uiPriority w:val="0"/>
    <w:rPr>
      <w:color w:val="C30909"/>
      <w:sz w:val="28"/>
      <w:szCs w:val="28"/>
    </w:rPr>
  </w:style>
  <w:style w:type="character" w:customStyle="1" w:styleId="933">
    <w:name w:val="hover19"/>
    <w:qFormat/>
    <w:uiPriority w:val="0"/>
    <w:rPr>
      <w:color w:val="10A710"/>
    </w:rPr>
  </w:style>
  <w:style w:type="character" w:customStyle="1" w:styleId="934">
    <w:name w:val="hover20"/>
    <w:qFormat/>
    <w:uiPriority w:val="0"/>
    <w:rPr>
      <w:color w:val="763696"/>
    </w:rPr>
  </w:style>
  <w:style w:type="character" w:customStyle="1" w:styleId="935">
    <w:name w:val="hover21"/>
    <w:qFormat/>
    <w:uiPriority w:val="0"/>
  </w:style>
  <w:style w:type="character" w:customStyle="1" w:styleId="936">
    <w:name w:val="hover22"/>
    <w:qFormat/>
    <w:uiPriority w:val="0"/>
    <w:rPr>
      <w:color w:val="5DB7F6"/>
    </w:rPr>
  </w:style>
  <w:style w:type="character" w:customStyle="1" w:styleId="937">
    <w:name w:val="on1"/>
    <w:qFormat/>
    <w:uiPriority w:val="0"/>
  </w:style>
  <w:style w:type="character" w:customStyle="1" w:styleId="938">
    <w:name w:val="on"/>
    <w:qFormat/>
    <w:uiPriority w:val="0"/>
  </w:style>
  <w:style w:type="character" w:customStyle="1" w:styleId="939">
    <w:name w:val="hover"/>
    <w:qFormat/>
    <w:uiPriority w:val="0"/>
    <w:rPr>
      <w:color w:val="763696"/>
    </w:rPr>
  </w:style>
  <w:style w:type="character" w:customStyle="1" w:styleId="940">
    <w:name w:val="hover1"/>
    <w:qFormat/>
    <w:uiPriority w:val="0"/>
    <w:rPr>
      <w:color w:val="10A710"/>
    </w:rPr>
  </w:style>
  <w:style w:type="character" w:customStyle="1" w:styleId="941">
    <w:name w:val="hover2"/>
    <w:qFormat/>
    <w:uiPriority w:val="0"/>
  </w:style>
  <w:style w:type="character" w:customStyle="1" w:styleId="942">
    <w:name w:val="hover3"/>
    <w:qFormat/>
    <w:uiPriority w:val="0"/>
    <w:rPr>
      <w:color w:val="5DB7F6"/>
    </w:rPr>
  </w:style>
  <w:style w:type="character" w:customStyle="1" w:styleId="943">
    <w:name w:val="footnote mark"/>
    <w:qFormat/>
    <w:uiPriority w:val="0"/>
    <w:rPr>
      <w:rFonts w:ascii="微软雅黑" w:hAnsi="微软雅黑" w:eastAsia="微软雅黑" w:cs="微软雅黑"/>
      <w:color w:val="000000"/>
      <w:sz w:val="14"/>
      <w:vertAlign w:val="superscript"/>
    </w:rPr>
  </w:style>
  <w:style w:type="character" w:customStyle="1" w:styleId="944">
    <w:name w:val="Chapter head"/>
    <w:qFormat/>
    <w:uiPriority w:val="0"/>
    <w:rPr>
      <w:b/>
      <w:sz w:val="36"/>
    </w:rPr>
  </w:style>
  <w:style w:type="character" w:customStyle="1" w:styleId="945">
    <w:name w:val="font22"/>
    <w:qFormat/>
    <w:uiPriority w:val="0"/>
    <w:rPr>
      <w:rFonts w:hint="eastAsia" w:ascii="宋体" w:hAnsi="宋体" w:eastAsia="宋体" w:cs="宋体"/>
      <w:b/>
      <w:bCs/>
      <w:color w:val="000000"/>
      <w:sz w:val="28"/>
      <w:szCs w:val="28"/>
      <w:u w:val="none"/>
    </w:rPr>
  </w:style>
  <w:style w:type="character" w:customStyle="1" w:styleId="946">
    <w:name w:val="font171"/>
    <w:qFormat/>
    <w:uiPriority w:val="0"/>
    <w:rPr>
      <w:rFonts w:hint="eastAsia" w:ascii="宋体" w:hAnsi="宋体" w:eastAsia="宋体" w:cs="宋体"/>
      <w:color w:val="000000"/>
      <w:sz w:val="18"/>
      <w:szCs w:val="18"/>
      <w:u w:val="none"/>
    </w:rPr>
  </w:style>
  <w:style w:type="character" w:customStyle="1" w:styleId="947">
    <w:name w:val="font181"/>
    <w:qFormat/>
    <w:uiPriority w:val="0"/>
    <w:rPr>
      <w:rFonts w:hint="eastAsia" w:ascii="宋体" w:hAnsi="宋体" w:eastAsia="宋体" w:cs="宋体"/>
      <w:b/>
      <w:bCs/>
      <w:color w:val="000000"/>
      <w:sz w:val="18"/>
      <w:szCs w:val="18"/>
      <w:u w:val="none"/>
    </w:rPr>
  </w:style>
  <w:style w:type="character" w:customStyle="1" w:styleId="948">
    <w:name w:val="font191"/>
    <w:qFormat/>
    <w:uiPriority w:val="0"/>
    <w:rPr>
      <w:rFonts w:hint="eastAsia" w:ascii="宋体" w:hAnsi="宋体" w:eastAsia="宋体" w:cs="宋体"/>
      <w:color w:val="000000"/>
      <w:sz w:val="18"/>
      <w:szCs w:val="18"/>
      <w:u w:val="none"/>
    </w:rPr>
  </w:style>
  <w:style w:type="character" w:customStyle="1" w:styleId="949">
    <w:name w:val="font201"/>
    <w:qFormat/>
    <w:uiPriority w:val="0"/>
    <w:rPr>
      <w:rFonts w:hint="default" w:ascii="Times New Roman" w:hAnsi="Times New Roman" w:cs="Times New Roman"/>
      <w:color w:val="000000"/>
      <w:sz w:val="18"/>
      <w:szCs w:val="18"/>
      <w:u w:val="none"/>
      <w:vertAlign w:val="superscript"/>
    </w:rPr>
  </w:style>
  <w:style w:type="character" w:customStyle="1" w:styleId="950">
    <w:name w:val="font211"/>
    <w:qFormat/>
    <w:uiPriority w:val="0"/>
    <w:rPr>
      <w:rFonts w:hint="eastAsia" w:ascii="宋体" w:hAnsi="宋体" w:eastAsia="宋体" w:cs="宋体"/>
      <w:color w:val="FF0000"/>
      <w:sz w:val="18"/>
      <w:szCs w:val="18"/>
      <w:u w:val="none"/>
    </w:rPr>
  </w:style>
  <w:style w:type="character" w:customStyle="1" w:styleId="951">
    <w:name w:val="font112"/>
    <w:qFormat/>
    <w:uiPriority w:val="0"/>
    <w:rPr>
      <w:rFonts w:hint="default" w:ascii="Times New Roman" w:hAnsi="Times New Roman" w:cs="Times New Roman"/>
      <w:color w:val="FF0000"/>
      <w:sz w:val="18"/>
      <w:szCs w:val="18"/>
      <w:u w:val="none"/>
    </w:rPr>
  </w:style>
  <w:style w:type="character" w:customStyle="1" w:styleId="952">
    <w:name w:val="font151"/>
    <w:qFormat/>
    <w:uiPriority w:val="0"/>
    <w:rPr>
      <w:rFonts w:hint="eastAsia" w:ascii="宋体" w:hAnsi="宋体" w:eastAsia="宋体" w:cs="宋体"/>
      <w:color w:val="FF0000"/>
      <w:sz w:val="18"/>
      <w:szCs w:val="18"/>
      <w:u w:val="none"/>
    </w:rPr>
  </w:style>
  <w:style w:type="table" w:customStyle="1" w:styleId="953">
    <w:name w:val="表三维效果 11"/>
    <w:basedOn w:val="86"/>
    <w:qFormat/>
    <w:uiPriority w:val="0"/>
    <w:pPr>
      <w:widowControl w:val="0"/>
      <w:jc w:val="both"/>
    </w:pPr>
    <w:rPr>
      <w:rFonts w:ascii="Calibri" w:hAnsi="Calibri" w:cs="Calibri"/>
    </w:rPr>
    <w:tcPr>
      <w:shd w:val="solid" w:color="C0C0C0" w:fill="FFFFFF"/>
    </w:tcPr>
    <w:tblStylePr w:type="firstRow">
      <w:rPr>
        <w:b/>
        <w:bCs/>
        <w:color w:val="800080"/>
      </w:rPr>
      <w:tcPr>
        <w:tcBorders>
          <w:top w:val="nil"/>
          <w:left w:val="nil"/>
          <w:bottom w:val="single" w:color="808080" w:sz="6" w:space="0"/>
          <w:right w:val="nil"/>
          <w:insideH w:val="nil"/>
          <w:insideV w:val="nil"/>
          <w:tl2br w:val="nil"/>
          <w:tr2bl w:val="nil"/>
        </w:tcBorders>
      </w:tcPr>
    </w:tblStylePr>
    <w:tblStylePr w:type="lastRow">
      <w:tcPr>
        <w:tcBorders>
          <w:top w:val="single" w:color="FFFFFF" w:sz="6" w:space="0"/>
          <w:left w:val="nil"/>
          <w:bottom w:val="nil"/>
          <w:right w:val="nil"/>
          <w:insideH w:val="nil"/>
          <w:insideV w:val="nil"/>
          <w:tl2br w:val="nil"/>
          <w:tr2bl w:val="nil"/>
        </w:tcBorders>
      </w:tcPr>
    </w:tblStylePr>
    <w:tblStylePr w:type="firstCol">
      <w:rPr>
        <w:b/>
        <w:bCs/>
      </w:rPr>
      <w:tcPr>
        <w:tcBorders>
          <w:top w:val="nil"/>
          <w:left w:val="nil"/>
          <w:bottom w:val="nil"/>
          <w:right w:val="single" w:color="808080" w:sz="6" w:space="0"/>
          <w:insideH w:val="nil"/>
          <w:insideV w:val="nil"/>
          <w:tl2br w:val="nil"/>
          <w:tr2bl w:val="nil"/>
        </w:tcBorders>
      </w:tcPr>
    </w:tblStylePr>
    <w:tblStylePr w:type="lastCol">
      <w:tcPr>
        <w:tcBorders>
          <w:top w:val="nil"/>
          <w:left w:val="single" w:color="FFFFFF" w:sz="6" w:space="0"/>
          <w:bottom w:val="nil"/>
          <w:right w:val="nil"/>
          <w:insideH w:val="nil"/>
          <w:insideV w:val="nil"/>
          <w:tl2br w:val="nil"/>
          <w:tr2bl w:val="nil"/>
        </w:tcBorders>
      </w:tcPr>
    </w:tblStylePr>
    <w:tblStylePr w:type="neCell">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nil"/>
          <w:tr2bl w:val="nil"/>
        </w:tcBorders>
      </w:tcPr>
    </w:tblStylePr>
    <w:tblStylePr w:type="seCell">
      <w:tcPr>
        <w:tcBorders>
          <w:top w:val="nil"/>
          <w:left w:val="nil"/>
          <w:bottom w:val="nil"/>
          <w:right w:val="nil"/>
          <w:insideH w:val="nil"/>
          <w:insideV w:val="nil"/>
          <w:tl2br w:val="nil"/>
          <w:tr2bl w:val="nil"/>
        </w:tcBorders>
      </w:tcPr>
    </w:tblStylePr>
    <w:tblStylePr w:type="swCell">
      <w:rPr>
        <w:color w:val="000080"/>
      </w:rPr>
      <w:tcPr>
        <w:tcBorders>
          <w:top w:val="nil"/>
          <w:left w:val="nil"/>
          <w:bottom w:val="nil"/>
          <w:right w:val="nil"/>
          <w:insideH w:val="nil"/>
          <w:insideV w:val="nil"/>
          <w:tl2br w:val="nil"/>
          <w:tr2bl w:val="nil"/>
        </w:tcBorders>
      </w:tcPr>
    </w:tblStylePr>
  </w:style>
  <w:style w:type="table" w:customStyle="1" w:styleId="954">
    <w:name w:val="表三维效果 21"/>
    <w:basedOn w:val="86"/>
    <w:qFormat/>
    <w:uiPriority w:val="0"/>
    <w:pPr>
      <w:widowControl w:val="0"/>
      <w:jc w:val="both"/>
    </w:pPr>
    <w:rPr>
      <w:rFonts w:ascii="Calibri" w:hAnsi="Calibri" w:cs="Calibri"/>
    </w:rPr>
    <w:tcPr>
      <w:shd w:val="solid" w:color="C0C0C0" w:fill="FFFFFF"/>
    </w:tcPr>
    <w:tblStylePr w:type="firstRow">
      <w:rPr>
        <w:b/>
        <w:bCs/>
      </w:rPr>
      <w:tcPr>
        <w:tcBorders>
          <w:top w:val="nil"/>
          <w:left w:val="nil"/>
          <w:bottom w:val="nil"/>
          <w:right w:val="nil"/>
          <w:insideH w:val="nil"/>
          <w:insideV w:val="nil"/>
          <w:tl2br w:val="nil"/>
          <w:tr2bl w:val="nil"/>
        </w:tcBorders>
      </w:tcPr>
    </w:tblStylePr>
    <w:tblStylePr w:type="firstCol">
      <w:tcPr>
        <w:tcBorders>
          <w:top w:val="nil"/>
          <w:left w:val="nil"/>
          <w:bottom w:val="nil"/>
          <w:right w:val="single" w:color="808080" w:sz="6" w:space="0"/>
          <w:insideH w:val="nil"/>
          <w:insideV w:val="nil"/>
          <w:tl2br w:val="nil"/>
          <w:tr2bl w:val="nil"/>
        </w:tcBorders>
      </w:tcPr>
    </w:tblStylePr>
    <w:tblStylePr w:type="lastCol">
      <w:tcPr>
        <w:tcBorders>
          <w:top w:val="nil"/>
          <w:left w:val="nil"/>
          <w:bottom w:val="nil"/>
          <w:right w:val="single" w:color="FFFFFF" w:sz="6" w:space="0"/>
          <w:insideH w:val="nil"/>
          <w:insideV w:val="nil"/>
          <w:tl2br w:val="nil"/>
          <w:tr2bl w:val="nil"/>
        </w:tcBorders>
      </w:tcPr>
    </w:tblStylePr>
    <w:tblStylePr w:type="band1Horz">
      <w:tcPr>
        <w:tcBorders>
          <w:top w:val="single" w:color="808080" w:sz="6" w:space="0"/>
          <w:left w:val="nil"/>
          <w:bottom w:val="single" w:color="FFFFFF" w:sz="6" w:space="0"/>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955">
    <w:name w:val="表三维效果 31"/>
    <w:basedOn w:val="86"/>
    <w:qFormat/>
    <w:uiPriority w:val="0"/>
    <w:pPr>
      <w:widowControl w:val="0"/>
      <w:jc w:val="both"/>
    </w:pPr>
    <w:rPr>
      <w:rFonts w:ascii="Calibri" w:hAnsi="Calibri" w:cs="Calibri"/>
    </w:rPr>
    <w:tblStylePr w:type="firstRow">
      <w:rPr>
        <w:b/>
        <w:bCs/>
      </w:rPr>
      <w:tcPr>
        <w:tcBorders>
          <w:top w:val="nil"/>
          <w:left w:val="nil"/>
          <w:bottom w:val="nil"/>
          <w:right w:val="nil"/>
          <w:insideH w:val="nil"/>
          <w:insideV w:val="nil"/>
          <w:tl2br w:val="nil"/>
          <w:tr2bl w:val="nil"/>
        </w:tcBorders>
      </w:tcPr>
    </w:tblStylePr>
    <w:tblStylePr w:type="firstCol">
      <w:tcPr>
        <w:tcBorders>
          <w:top w:val="nil"/>
          <w:left w:val="nil"/>
          <w:bottom w:val="nil"/>
          <w:right w:val="single" w:color="808080" w:sz="6" w:space="0"/>
          <w:insideH w:val="nil"/>
          <w:insideV w:val="nil"/>
          <w:tl2br w:val="nil"/>
          <w:tr2bl w:val="nil"/>
        </w:tcBorders>
      </w:tcPr>
    </w:tblStylePr>
    <w:tblStylePr w:type="lastCol">
      <w:tcPr>
        <w:tcBorders>
          <w:top w:val="nil"/>
          <w:left w:val="nil"/>
          <w:bottom w:val="nil"/>
          <w:right w:val="single" w:color="FFFFFF" w:sz="6" w:space="0"/>
          <w:insideH w:val="nil"/>
          <w:insideV w:val="nil"/>
          <w:tl2br w:val="nil"/>
          <w:tr2bl w:val="nil"/>
        </w:tcBorders>
      </w:tcPr>
    </w:tblStylePr>
    <w:tblStylePr w:type="band1Vert">
      <w:rPr>
        <w:color w:val="auto"/>
      </w:rPr>
      <w:tcPr>
        <w:shd w:val="solid" w:color="C0C0C0" w:fill="FFFFFF"/>
      </w:tcPr>
    </w:tblStylePr>
    <w:tblStylePr w:type="band2Vert">
      <w:rPr>
        <w:color w:val="auto"/>
      </w:rPr>
      <w:tcPr>
        <w:shd w:val="pct50" w:color="C0C0C0" w:fill="FFFFFF"/>
      </w:tcPr>
    </w:tblStylePr>
    <w:tblStylePr w:type="band1Horz">
      <w:tcPr>
        <w:tcBorders>
          <w:top w:val="single" w:color="808080" w:sz="6" w:space="0"/>
          <w:left w:val="nil"/>
          <w:bottom w:val="single" w:color="FFFFFF" w:sz="6" w:space="0"/>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956">
    <w:name w:val="网格型1"/>
    <w:basedOn w:val="86"/>
    <w:qFormat/>
    <w:uiPriority w:val="0"/>
    <w:rPr>
      <w:rFonts w:ascii="Calibri" w:hAnsi="Calibri" w:cs="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957">
    <w:name w:val="Normal_28_0"/>
    <w:qFormat/>
    <w:uiPriority w:val="0"/>
    <w:pPr>
      <w:spacing w:before="120" w:after="240"/>
      <w:jc w:val="both"/>
    </w:pPr>
    <w:rPr>
      <w:rFonts w:ascii="Calibri" w:hAnsi="Calibri" w:eastAsia="Calibri" w:cs="Times New Roman"/>
      <w:sz w:val="22"/>
      <w:szCs w:val="22"/>
      <w:lang w:val="en-US" w:eastAsia="en-US" w:bidi="ar-SA"/>
    </w:rPr>
  </w:style>
  <w:style w:type="table" w:customStyle="1" w:styleId="958">
    <w:name w:val="网格型_0"/>
    <w:basedOn w:val="86"/>
    <w:qFormat/>
    <w:uiPriority w:val="39"/>
    <w:pPr>
      <w:widowControl w:val="0"/>
      <w:jc w:val="both"/>
    </w:pPr>
    <w:rPr>
      <w:rFonts w:ascii="Calibri" w:hAnsi="Calibri"/>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59">
    <w:name w:val="正文_55"/>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960">
    <w:name w:val="正文_57"/>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961">
    <w:name w:val="正文_58"/>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962">
    <w:name w:val="正文_59"/>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963">
    <w:name w:val="正文_6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964">
    <w:name w:val="正文_6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965">
    <w:name w:val="正文_62"/>
    <w:qFormat/>
    <w:uiPriority w:val="0"/>
    <w:pPr>
      <w:widowControl w:val="0"/>
      <w:jc w:val="both"/>
    </w:pPr>
    <w:rPr>
      <w:rFonts w:ascii="Times New Roman" w:hAnsi="Times New Roman" w:eastAsia="宋体" w:cs="Times New Roman"/>
      <w:kern w:val="2"/>
      <w:sz w:val="21"/>
      <w:szCs w:val="22"/>
      <w:lang w:val="en-US" w:eastAsia="zh-CN" w:bidi="ar-SA"/>
    </w:rPr>
  </w:style>
  <w:style w:type="table" w:customStyle="1" w:styleId="966">
    <w:name w:val="Table Normal"/>
    <w:semiHidden/>
    <w:unhideWhenUsed/>
    <w:qFormat/>
    <w:uiPriority w:val="0"/>
    <w:tblPr>
      <w:tblCellMar>
        <w:top w:w="0" w:type="dxa"/>
        <w:left w:w="0" w:type="dxa"/>
        <w:bottom w:w="0" w:type="dxa"/>
        <w:right w:w="0" w:type="dxa"/>
      </w:tblCellMar>
    </w:tblPr>
  </w:style>
  <w:style w:type="paragraph" w:customStyle="1" w:styleId="967">
    <w:name w:val="Table Text"/>
    <w:basedOn w:val="1"/>
    <w:semiHidden/>
    <w:qFormat/>
    <w:uiPriority w:val="0"/>
    <w:rPr>
      <w:rFonts w:ascii="Times New Roman" w:hAnsi="Times New Roman" w:eastAsia="Times New Roman" w:cs="Times New Roman"/>
      <w:sz w:val="15"/>
      <w:szCs w:val="15"/>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113</Pages>
  <Words>2142</Words>
  <Characters>2229</Characters>
  <Lines>445</Lines>
  <Paragraphs>125</Paragraphs>
  <TotalTime>65</TotalTime>
  <ScaleCrop>false</ScaleCrop>
  <LinksUpToDate>false</LinksUpToDate>
  <CharactersWithSpaces>2251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2024-08-26T02:36:00Z</dcterms:created>
  <dc:creator>lemon</dc:creator>
  <cp:lastModifiedBy>Administrator</cp:lastModifiedBy>
  <cp:lastPrinted>2021-10-27T03:23:00Z</cp:lastPrinted>
  <dcterms:modified xsi:type="dcterms:W3CDTF">2026-01-28T01:29:36Z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A1C0BE55AB934622A8F57161017845FC_13</vt:lpwstr>
  </property>
  <property fmtid="{D5CDD505-2E9C-101B-9397-08002B2CF9AE}" pid="4" name="KSOTemplateDocerSaveRecord">
    <vt:lpwstr>eyJoZGlkIjoiZGQyODJhMWVhYzkyMzg2ZmU1NWNiMTIxODkyNmE4YjUiLCJ1c2VySWQiOiI5NDY1ODMxMDkifQ==</vt:lpwstr>
  </property>
</Properties>
</file>