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2EA9">
      <w:pPr>
        <w:spacing w:line="800" w:lineRule="exact"/>
        <w:jc w:val="right"/>
        <w:rPr>
          <w:rFonts w:hint="eastAsia" w:ascii="楷体" w:hAnsi="楷体" w:eastAsia="楷体" w:cs="微软雅黑"/>
          <w:b/>
          <w:sz w:val="56"/>
          <w:szCs w:val="72"/>
          <w:highlight w:val="none"/>
        </w:rPr>
      </w:pPr>
    </w:p>
    <w:p w14:paraId="57CAF73B">
      <w:pPr>
        <w:spacing w:line="240" w:lineRule="auto"/>
        <w:jc w:val="center"/>
        <w:rPr>
          <w:rFonts w:hint="eastAsia" w:ascii="宋体" w:hAnsi="宋体" w:cs="微软雅黑"/>
          <w:b/>
          <w:sz w:val="48"/>
          <w:szCs w:val="48"/>
          <w:highlight w:val="none"/>
        </w:rPr>
      </w:pPr>
      <w:bookmarkStart w:id="0" w:name="_Hlk107492878"/>
      <w:r>
        <w:rPr>
          <w:rFonts w:hint="eastAsia" w:ascii="宋体" w:hAnsi="宋体" w:cs="微软雅黑"/>
          <w:b/>
          <w:sz w:val="48"/>
          <w:szCs w:val="48"/>
          <w:highlight w:val="none"/>
        </w:rPr>
        <w:t>湖南省新新张官高速公路建设开发有限公司</w:t>
      </w:r>
      <w:bookmarkEnd w:id="0"/>
      <w:r>
        <w:rPr>
          <w:rFonts w:hint="eastAsia" w:ascii="宋体" w:hAnsi="宋体" w:cs="微软雅黑"/>
          <w:b/>
          <w:sz w:val="48"/>
          <w:szCs w:val="48"/>
          <w:highlight w:val="none"/>
        </w:rPr>
        <w:t xml:space="preserve"> </w:t>
      </w:r>
    </w:p>
    <w:p w14:paraId="68689490">
      <w:pPr>
        <w:jc w:val="center"/>
        <w:rPr>
          <w:rFonts w:hint="eastAsia" w:ascii="宋体" w:hAnsi="宋体" w:cs="微软雅黑"/>
          <w:b/>
          <w:sz w:val="72"/>
          <w:szCs w:val="72"/>
          <w:highlight w:val="none"/>
        </w:rPr>
      </w:pPr>
    </w:p>
    <w:p w14:paraId="1D83A815">
      <w:pPr>
        <w:jc w:val="center"/>
        <w:rPr>
          <w:rFonts w:hint="eastAsia" w:ascii="宋体" w:hAnsi="宋体" w:cs="微软雅黑"/>
          <w:b/>
          <w:sz w:val="72"/>
          <w:szCs w:val="72"/>
          <w:highlight w:val="none"/>
        </w:rPr>
      </w:pPr>
    </w:p>
    <w:p w14:paraId="67F119D0">
      <w:pPr>
        <w:jc w:val="center"/>
        <w:rPr>
          <w:rFonts w:hint="eastAsia" w:ascii="宋体" w:hAnsi="宋体" w:cs="微软雅黑"/>
          <w:b/>
          <w:sz w:val="72"/>
          <w:szCs w:val="72"/>
          <w:highlight w:val="none"/>
        </w:rPr>
      </w:pPr>
    </w:p>
    <w:p w14:paraId="1A212C55">
      <w:pPr>
        <w:jc w:val="center"/>
        <w:rPr>
          <w:rFonts w:hint="eastAsia" w:ascii="宋体" w:hAnsi="宋体" w:cs="微软雅黑"/>
          <w:b/>
          <w:sz w:val="72"/>
          <w:szCs w:val="72"/>
          <w:highlight w:val="none"/>
        </w:rPr>
      </w:pPr>
    </w:p>
    <w:p w14:paraId="19550DF4">
      <w:pPr>
        <w:spacing w:line="240" w:lineRule="auto"/>
        <w:jc w:val="center"/>
        <w:rPr>
          <w:rFonts w:hint="eastAsia" w:ascii="宋体" w:hAnsi="宋体"/>
          <w:b/>
          <w:sz w:val="92"/>
          <w:szCs w:val="72"/>
          <w:highlight w:val="none"/>
        </w:rPr>
      </w:pPr>
      <w:r>
        <w:rPr>
          <w:rFonts w:hint="eastAsia" w:ascii="宋体" w:hAnsi="宋体" w:cs="微软雅黑"/>
          <w:b/>
          <w:sz w:val="92"/>
          <w:szCs w:val="72"/>
          <w:highlight w:val="none"/>
        </w:rPr>
        <w:t>采购文件</w:t>
      </w:r>
    </w:p>
    <w:p w14:paraId="6D7DC4A3">
      <w:pPr>
        <w:spacing w:line="240" w:lineRule="auto"/>
        <w:jc w:val="center"/>
        <w:rPr>
          <w:rFonts w:hint="eastAsia" w:ascii="宋体" w:hAnsi="宋体" w:cs="宋体"/>
          <w:b/>
          <w:kern w:val="0"/>
          <w:sz w:val="40"/>
          <w:szCs w:val="40"/>
          <w:highlight w:val="none"/>
        </w:rPr>
      </w:pPr>
    </w:p>
    <w:p w14:paraId="348BC38B">
      <w:pPr>
        <w:spacing w:line="240" w:lineRule="auto"/>
        <w:jc w:val="center"/>
        <w:rPr>
          <w:rFonts w:hint="eastAsia" w:ascii="宋体" w:hAnsi="宋体" w:cs="宋体"/>
          <w:b/>
          <w:kern w:val="0"/>
          <w:sz w:val="40"/>
          <w:szCs w:val="40"/>
          <w:highlight w:val="none"/>
        </w:rPr>
      </w:pPr>
    </w:p>
    <w:p w14:paraId="63CEB256">
      <w:pPr>
        <w:spacing w:line="240" w:lineRule="auto"/>
        <w:jc w:val="center"/>
        <w:rPr>
          <w:highlight w:val="none"/>
        </w:rPr>
      </w:pPr>
    </w:p>
    <w:p w14:paraId="028555B9">
      <w:pPr>
        <w:spacing w:line="360" w:lineRule="auto"/>
        <w:ind w:firstLine="1077" w:firstLineChars="298"/>
        <w:rPr>
          <w:b/>
          <w:bCs/>
          <w:sz w:val="36"/>
          <w:highlight w:val="none"/>
        </w:rPr>
      </w:pPr>
    </w:p>
    <w:p w14:paraId="01DEDE7E">
      <w:pPr>
        <w:spacing w:line="360" w:lineRule="auto"/>
        <w:ind w:firstLine="1077" w:firstLineChars="298"/>
        <w:rPr>
          <w:b/>
          <w:bCs/>
          <w:sz w:val="36"/>
          <w:highlight w:val="none"/>
        </w:rPr>
      </w:pPr>
    </w:p>
    <w:p w14:paraId="743A7E40">
      <w:pPr>
        <w:spacing w:line="360" w:lineRule="auto"/>
        <w:ind w:firstLine="1077" w:firstLineChars="298"/>
        <w:rPr>
          <w:b/>
          <w:bCs/>
          <w:sz w:val="36"/>
          <w:highlight w:val="none"/>
        </w:rPr>
      </w:pPr>
    </w:p>
    <w:p w14:paraId="7225CEFF">
      <w:pPr>
        <w:spacing w:line="360" w:lineRule="auto"/>
        <w:ind w:firstLine="1077" w:firstLineChars="298"/>
        <w:rPr>
          <w:b/>
          <w:bCs/>
          <w:sz w:val="36"/>
          <w:highlight w:val="none"/>
        </w:rPr>
      </w:pPr>
    </w:p>
    <w:p w14:paraId="613894DD">
      <w:pPr>
        <w:spacing w:line="360" w:lineRule="auto"/>
        <w:ind w:firstLine="1077" w:firstLineChars="298"/>
        <w:rPr>
          <w:b/>
          <w:bCs/>
          <w:sz w:val="36"/>
          <w:highlight w:val="none"/>
        </w:rPr>
      </w:pPr>
    </w:p>
    <w:p w14:paraId="536D51FE">
      <w:pPr>
        <w:spacing w:line="360" w:lineRule="auto"/>
        <w:ind w:firstLine="1124" w:firstLineChars="400"/>
        <w:rPr>
          <w:rFonts w:hint="eastAsia" w:ascii="宋体" w:hAnsi="宋体" w:cs="宋体"/>
          <w:b/>
          <w:kern w:val="0"/>
          <w:sz w:val="28"/>
          <w:szCs w:val="28"/>
          <w:highlight w:val="none"/>
        </w:rPr>
      </w:pPr>
      <w:r>
        <w:rPr>
          <w:rFonts w:hint="eastAsia" w:ascii="宋体" w:hAnsi="宋体" w:cs="宋体"/>
          <w:b/>
          <w:kern w:val="0"/>
          <w:sz w:val="28"/>
          <w:szCs w:val="28"/>
          <w:highlight w:val="none"/>
        </w:rPr>
        <w:t>采购项目名称：G59</w:t>
      </w:r>
      <w:r>
        <w:rPr>
          <w:rFonts w:hint="eastAsia" w:ascii="宋体" w:hAnsi="宋体" w:cs="宋体"/>
          <w:b/>
          <w:kern w:val="0"/>
          <w:sz w:val="28"/>
          <w:szCs w:val="28"/>
          <w:highlight w:val="none"/>
          <w:lang w:val="en-US" w:eastAsia="zh-CN"/>
        </w:rPr>
        <w:t>张官</w:t>
      </w:r>
      <w:r>
        <w:rPr>
          <w:rFonts w:hint="eastAsia" w:ascii="宋体" w:hAnsi="宋体" w:cs="宋体"/>
          <w:b/>
          <w:kern w:val="0"/>
          <w:sz w:val="28"/>
          <w:szCs w:val="28"/>
          <w:highlight w:val="none"/>
        </w:rPr>
        <w:t>高速公路</w:t>
      </w:r>
      <w:r>
        <w:rPr>
          <w:rFonts w:hint="eastAsia" w:ascii="宋体" w:hAnsi="宋体" w:cs="宋体"/>
          <w:b/>
          <w:kern w:val="0"/>
          <w:sz w:val="28"/>
          <w:szCs w:val="28"/>
          <w:highlight w:val="none"/>
          <w:lang w:val="en-US" w:eastAsia="zh-CN"/>
        </w:rPr>
        <w:t>第二标段</w:t>
      </w:r>
      <w:r>
        <w:rPr>
          <w:rFonts w:hint="eastAsia" w:ascii="宋体" w:hAnsi="宋体" w:cs="宋体"/>
          <w:b/>
          <w:kern w:val="0"/>
          <w:sz w:val="28"/>
          <w:szCs w:val="28"/>
          <w:highlight w:val="none"/>
        </w:rPr>
        <w:t>房建工程</w:t>
      </w:r>
    </w:p>
    <w:p w14:paraId="265C3446">
      <w:pPr>
        <w:spacing w:line="360" w:lineRule="auto"/>
        <w:ind w:firstLine="3092" w:firstLineChars="1100"/>
        <w:rPr>
          <w:rFonts w:hint="eastAsia" w:ascii="宋体" w:hAnsi="宋体" w:cs="宋体"/>
          <w:b/>
          <w:kern w:val="0"/>
          <w:sz w:val="28"/>
          <w:szCs w:val="28"/>
          <w:highlight w:val="none"/>
        </w:rPr>
      </w:pPr>
      <w:r>
        <w:rPr>
          <w:rFonts w:hint="eastAsia" w:ascii="宋体" w:hAnsi="宋体" w:cs="宋体"/>
          <w:b/>
          <w:kern w:val="0"/>
          <w:sz w:val="28"/>
          <w:szCs w:val="28"/>
          <w:highlight w:val="none"/>
        </w:rPr>
        <w:t>竣工质量检测技术服务项目</w:t>
      </w:r>
    </w:p>
    <w:p w14:paraId="40F9D6C7">
      <w:pPr>
        <w:spacing w:line="360" w:lineRule="auto"/>
        <w:ind w:firstLine="1124" w:firstLineChars="400"/>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采购项目编号：2025-</w:t>
      </w:r>
      <w:r>
        <w:rPr>
          <w:rFonts w:hint="eastAsia" w:ascii="宋体" w:hAnsi="宋体" w:cs="宋体"/>
          <w:b/>
          <w:kern w:val="0"/>
          <w:sz w:val="28"/>
          <w:szCs w:val="28"/>
          <w:highlight w:val="none"/>
          <w:lang w:val="en-US" w:eastAsia="zh-CN"/>
        </w:rPr>
        <w:t>张家界</w:t>
      </w:r>
      <w:r>
        <w:rPr>
          <w:rFonts w:hint="eastAsia" w:ascii="宋体" w:hAnsi="宋体" w:cs="宋体"/>
          <w:b/>
          <w:kern w:val="0"/>
          <w:sz w:val="28"/>
          <w:szCs w:val="28"/>
          <w:highlight w:val="none"/>
        </w:rPr>
        <w:t>分公司-服务-00</w:t>
      </w:r>
      <w:r>
        <w:rPr>
          <w:rFonts w:hint="eastAsia" w:ascii="宋体" w:hAnsi="宋体" w:cs="宋体"/>
          <w:b/>
          <w:kern w:val="0"/>
          <w:sz w:val="28"/>
          <w:szCs w:val="28"/>
          <w:highlight w:val="none"/>
          <w:lang w:val="en-US" w:eastAsia="zh-CN"/>
        </w:rPr>
        <w:t>8</w:t>
      </w:r>
    </w:p>
    <w:p w14:paraId="4C91470B">
      <w:pPr>
        <w:spacing w:line="360" w:lineRule="auto"/>
        <w:ind w:firstLine="1124" w:firstLineChars="400"/>
        <w:rPr>
          <w:rFonts w:hint="eastAsia" w:ascii="宋体" w:hAnsi="宋体" w:cs="宋体"/>
          <w:b/>
          <w:kern w:val="0"/>
          <w:sz w:val="28"/>
          <w:szCs w:val="28"/>
          <w:highlight w:val="none"/>
        </w:rPr>
      </w:pPr>
      <w:r>
        <w:rPr>
          <w:rFonts w:hint="eastAsia" w:ascii="宋体" w:hAnsi="宋体" w:cs="宋体"/>
          <w:b/>
          <w:kern w:val="0"/>
          <w:sz w:val="28"/>
          <w:szCs w:val="28"/>
          <w:highlight w:val="none"/>
        </w:rPr>
        <w:t>采购单位全称：湖南省新新张官高速公路建设开发有限公司</w:t>
      </w:r>
    </w:p>
    <w:p w14:paraId="7A7AECF5">
      <w:pPr>
        <w:spacing w:line="360" w:lineRule="auto"/>
        <w:ind w:firstLine="3092" w:firstLineChars="1100"/>
        <w:rPr>
          <w:rFonts w:hint="eastAsia" w:ascii="宋体" w:hAnsi="宋体" w:cs="宋体"/>
          <w:b/>
          <w:kern w:val="0"/>
          <w:sz w:val="28"/>
          <w:szCs w:val="28"/>
          <w:highlight w:val="none"/>
        </w:rPr>
      </w:pPr>
      <w:r>
        <w:rPr>
          <w:rFonts w:hint="eastAsia" w:ascii="宋体" w:hAnsi="宋体" w:cs="宋体"/>
          <w:b/>
          <w:kern w:val="0"/>
          <w:sz w:val="28"/>
          <w:szCs w:val="28"/>
          <w:highlight w:val="none"/>
          <w:lang w:val="en-US" w:eastAsia="zh-CN"/>
        </w:rPr>
        <w:t>张家界</w:t>
      </w:r>
      <w:r>
        <w:rPr>
          <w:rFonts w:hint="eastAsia" w:ascii="宋体" w:hAnsi="宋体" w:cs="宋体"/>
          <w:b/>
          <w:kern w:val="0"/>
          <w:sz w:val="28"/>
          <w:szCs w:val="28"/>
          <w:highlight w:val="none"/>
        </w:rPr>
        <w:t>分公司</w:t>
      </w:r>
    </w:p>
    <w:p w14:paraId="71C86649">
      <w:pPr>
        <w:spacing w:line="360" w:lineRule="auto"/>
        <w:ind w:firstLine="1124" w:firstLineChars="400"/>
        <w:rPr>
          <w:rFonts w:hint="eastAsia" w:ascii="宋体" w:hAnsi="宋体" w:cs="宋体"/>
          <w:b/>
          <w:kern w:val="0"/>
          <w:sz w:val="28"/>
          <w:szCs w:val="28"/>
          <w:highlight w:val="none"/>
        </w:rPr>
      </w:pPr>
      <w:r>
        <w:rPr>
          <w:rFonts w:hint="eastAsia" w:ascii="宋体" w:hAnsi="宋体" w:cs="宋体"/>
          <w:b/>
          <w:kern w:val="0"/>
          <w:sz w:val="28"/>
          <w:szCs w:val="28"/>
          <w:highlight w:val="none"/>
        </w:rPr>
        <w:t>采购单位简称：新新张官</w:t>
      </w:r>
      <w:r>
        <w:rPr>
          <w:rFonts w:hint="eastAsia" w:ascii="宋体" w:hAnsi="宋体" w:cs="宋体"/>
          <w:b/>
          <w:kern w:val="0"/>
          <w:sz w:val="28"/>
          <w:szCs w:val="28"/>
          <w:highlight w:val="none"/>
          <w:lang w:val="en-US" w:eastAsia="zh-CN"/>
        </w:rPr>
        <w:t>张家界</w:t>
      </w:r>
      <w:r>
        <w:rPr>
          <w:rFonts w:hint="eastAsia" w:ascii="宋体" w:hAnsi="宋体" w:cs="宋体"/>
          <w:b/>
          <w:kern w:val="0"/>
          <w:sz w:val="28"/>
          <w:szCs w:val="28"/>
          <w:highlight w:val="none"/>
        </w:rPr>
        <w:t>分公司</w:t>
      </w:r>
    </w:p>
    <w:p w14:paraId="2333806F">
      <w:pPr>
        <w:spacing w:line="360" w:lineRule="auto"/>
        <w:ind w:firstLine="1124" w:firstLineChars="400"/>
        <w:rPr>
          <w:rFonts w:hint="eastAsia" w:ascii="宋体" w:hAnsi="宋体" w:cs="宋体"/>
          <w:b/>
          <w:kern w:val="0"/>
          <w:sz w:val="28"/>
          <w:szCs w:val="28"/>
          <w:highlight w:val="none"/>
        </w:rPr>
      </w:pPr>
      <w:r>
        <w:rPr>
          <w:rFonts w:hint="eastAsia" w:ascii="宋体" w:hAnsi="宋体" w:cs="宋体"/>
          <w:b/>
          <w:kern w:val="0"/>
          <w:sz w:val="28"/>
          <w:szCs w:val="28"/>
          <w:highlight w:val="none"/>
        </w:rPr>
        <w:t>采购代理机构：中科高盛咨询集团有限公司</w:t>
      </w:r>
    </w:p>
    <w:p w14:paraId="29D15DD4">
      <w:pPr>
        <w:spacing w:line="360" w:lineRule="auto"/>
        <w:ind w:firstLine="422" w:firstLineChars="150"/>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2025年</w:t>
      </w:r>
      <w:r>
        <w:rPr>
          <w:rFonts w:hint="eastAsia" w:ascii="宋体" w:hAnsi="宋体" w:cs="宋体"/>
          <w:b/>
          <w:kern w:val="0"/>
          <w:sz w:val="28"/>
          <w:szCs w:val="28"/>
          <w:highlight w:val="none"/>
          <w:lang w:val="en-US" w:eastAsia="zh-CN"/>
        </w:rPr>
        <w:t>11</w:t>
      </w:r>
      <w:r>
        <w:rPr>
          <w:rFonts w:hint="eastAsia" w:ascii="宋体" w:hAnsi="宋体" w:cs="宋体"/>
          <w:b/>
          <w:kern w:val="0"/>
          <w:sz w:val="28"/>
          <w:szCs w:val="28"/>
          <w:highlight w:val="none"/>
        </w:rPr>
        <w:t>月</w:t>
      </w:r>
    </w:p>
    <w:p w14:paraId="6C52317A">
      <w:pPr>
        <w:pStyle w:val="149"/>
        <w:spacing w:line="320" w:lineRule="exact"/>
        <w:ind w:firstLine="0" w:firstLineChars="0"/>
        <w:jc w:val="center"/>
        <w:rPr>
          <w:rFonts w:hint="eastAsia" w:hAnsi="宋体"/>
          <w:b/>
          <w:szCs w:val="21"/>
          <w:highlight w:val="none"/>
        </w:rPr>
      </w:pPr>
    </w:p>
    <w:p w14:paraId="37C7FF6C">
      <w:pPr>
        <w:pStyle w:val="149"/>
        <w:spacing w:line="320" w:lineRule="exact"/>
        <w:ind w:firstLine="0" w:firstLineChars="0"/>
        <w:jc w:val="center"/>
        <w:rPr>
          <w:rFonts w:hint="eastAsia" w:hAnsi="宋体"/>
          <w:b/>
          <w:szCs w:val="21"/>
          <w:highlight w:val="none"/>
        </w:rPr>
      </w:pPr>
    </w:p>
    <w:p w14:paraId="06DC9BA0">
      <w:pPr>
        <w:pStyle w:val="149"/>
        <w:spacing w:line="320" w:lineRule="exact"/>
        <w:ind w:firstLine="0" w:firstLineChars="0"/>
        <w:jc w:val="center"/>
        <w:rPr>
          <w:rFonts w:hint="eastAsia" w:hAnsi="宋体"/>
          <w:b/>
          <w:szCs w:val="21"/>
          <w:highlight w:val="none"/>
        </w:rPr>
        <w:sectPr>
          <w:pgSz w:w="11906" w:h="16838"/>
          <w:pgMar w:top="1134" w:right="1134" w:bottom="1134" w:left="1134" w:header="851" w:footer="1240" w:gutter="0"/>
          <w:cols w:space="720" w:num="1"/>
          <w:docGrid w:linePitch="312" w:charSpace="0"/>
        </w:sectPr>
      </w:pPr>
    </w:p>
    <w:p w14:paraId="10FA74D1">
      <w:pPr>
        <w:spacing w:line="520" w:lineRule="exact"/>
        <w:jc w:val="center"/>
        <w:rPr>
          <w:rFonts w:hint="eastAsia" w:ascii="宋体" w:hAnsi="宋体" w:cs="宋体"/>
          <w:sz w:val="42"/>
          <w:szCs w:val="30"/>
          <w:highlight w:val="none"/>
        </w:rPr>
      </w:pPr>
      <w:r>
        <w:rPr>
          <w:rFonts w:hint="eastAsia" w:ascii="宋体" w:hAnsi="宋体" w:cs="宋体"/>
          <w:sz w:val="42"/>
          <w:szCs w:val="30"/>
          <w:highlight w:val="none"/>
        </w:rPr>
        <w:t>编制说明</w:t>
      </w:r>
    </w:p>
    <w:p w14:paraId="46EEB190">
      <w:pPr>
        <w:numPr>
          <w:ilvl w:val="0"/>
          <w:numId w:val="13"/>
        </w:numPr>
        <w:spacing w:line="520" w:lineRule="exact"/>
        <w:rPr>
          <w:rFonts w:hint="eastAsia" w:ascii="宋体" w:hAnsi="宋体" w:cs="宋体"/>
          <w:b/>
          <w:bCs/>
          <w:sz w:val="24"/>
          <w:highlight w:val="none"/>
        </w:rPr>
      </w:pPr>
      <w:r>
        <w:rPr>
          <w:rFonts w:hint="eastAsia" w:ascii="宋体" w:hAnsi="宋体" w:cs="宋体"/>
          <w:b/>
          <w:bCs/>
          <w:sz w:val="24"/>
          <w:highlight w:val="none"/>
        </w:rPr>
        <w:t>《标准采购文件》运用</w:t>
      </w:r>
    </w:p>
    <w:p w14:paraId="7DD000DE">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为了便于供应商高效阅览，《标准采购文件》第一章“采购公告”、第二章中“供应商须知前附表”和第三章中“评审办法前附表”的空格选择内容，采购人在编制采购文件时，应根据采购项目实际需要，采用画勾“√”或涂黑的方式选择填写“□”。采购文件第二章“供应商须知”和第三章“评审办法”的正文内容编制时不应修改，所有需要修改和补充的内容都应在前附表中选择和补充列明。</w:t>
      </w:r>
    </w:p>
    <w:p w14:paraId="7647D299">
      <w:pPr>
        <w:numPr>
          <w:ilvl w:val="0"/>
          <w:numId w:val="13"/>
        </w:numPr>
        <w:spacing w:line="520" w:lineRule="exact"/>
        <w:rPr>
          <w:rFonts w:hint="eastAsia" w:ascii="宋体" w:hAnsi="宋体" w:cs="宋体"/>
          <w:b/>
          <w:bCs/>
          <w:sz w:val="24"/>
          <w:highlight w:val="none"/>
        </w:rPr>
      </w:pPr>
      <w:r>
        <w:rPr>
          <w:rFonts w:hint="eastAsia" w:ascii="宋体" w:hAnsi="宋体" w:cs="宋体"/>
          <w:b/>
          <w:bCs/>
          <w:sz w:val="24"/>
          <w:highlight w:val="none"/>
        </w:rPr>
        <w:t>通用货物类采购文件简化结构</w:t>
      </w:r>
    </w:p>
    <w:p w14:paraId="0EA01559">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2515D9CE">
      <w:pPr>
        <w:numPr>
          <w:ilvl w:val="0"/>
          <w:numId w:val="13"/>
        </w:numPr>
        <w:spacing w:line="520" w:lineRule="exact"/>
        <w:rPr>
          <w:rFonts w:hint="eastAsia" w:ascii="宋体" w:hAnsi="宋体" w:cs="宋体"/>
          <w:b/>
          <w:bCs/>
          <w:sz w:val="24"/>
          <w:highlight w:val="none"/>
        </w:rPr>
      </w:pPr>
      <w:r>
        <w:rPr>
          <w:rFonts w:hint="eastAsia" w:ascii="宋体" w:hAnsi="宋体" w:cs="宋体"/>
          <w:b/>
          <w:bCs/>
          <w:sz w:val="24"/>
          <w:highlight w:val="none"/>
        </w:rPr>
        <w:t>工程、货物和服务三类项目</w:t>
      </w:r>
    </w:p>
    <w:p w14:paraId="721436F2">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《标准采购文件》中同一序号的条款后标记(A)、(B)、(C)的分别适用工程、货物和服务三类采购项目，采购文件可根据采购项目的类别，选择适用的分类条款。</w:t>
      </w:r>
    </w:p>
    <w:p w14:paraId="0B649602">
      <w:pPr>
        <w:numPr>
          <w:ilvl w:val="0"/>
          <w:numId w:val="13"/>
        </w:numPr>
        <w:spacing w:line="520" w:lineRule="exact"/>
        <w:rPr>
          <w:rFonts w:hint="eastAsia" w:ascii="宋体" w:hAnsi="宋体" w:cs="宋体"/>
          <w:b/>
          <w:bCs/>
          <w:sz w:val="24"/>
          <w:highlight w:val="none"/>
        </w:rPr>
      </w:pPr>
      <w:r>
        <w:rPr>
          <w:rFonts w:hint="eastAsia" w:ascii="宋体" w:hAnsi="宋体" w:cs="宋体"/>
          <w:b/>
          <w:bCs/>
          <w:sz w:val="24"/>
          <w:highlight w:val="none"/>
        </w:rPr>
        <w:t>选择合适评审办法和评审程序</w:t>
      </w:r>
    </w:p>
    <w:p w14:paraId="1FDC057D">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7E33F49A">
      <w:pPr>
        <w:numPr>
          <w:ilvl w:val="0"/>
          <w:numId w:val="13"/>
        </w:numPr>
        <w:spacing w:line="520" w:lineRule="exact"/>
        <w:rPr>
          <w:rFonts w:hint="eastAsia" w:ascii="宋体" w:hAnsi="宋体" w:cs="宋体"/>
          <w:b/>
          <w:bCs/>
          <w:sz w:val="24"/>
          <w:highlight w:val="none"/>
        </w:rPr>
      </w:pPr>
      <w:r>
        <w:rPr>
          <w:rFonts w:hint="eastAsia" w:ascii="宋体" w:hAnsi="宋体" w:cs="宋体"/>
          <w:b/>
          <w:bCs/>
          <w:sz w:val="24"/>
          <w:highlight w:val="none"/>
        </w:rPr>
        <w:t>《标准采购文件》提示条款</w:t>
      </w:r>
    </w:p>
    <w:p w14:paraId="73CB9127">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《标准采购文件》标注的内容属于提示编制采购文件的注意事项，采购文件编制时，应删除标注的内容。采购文件第六章“响应文件格式”中的标注内容是提示响应供应商的，采购文件编制时不必删除。</w:t>
      </w:r>
    </w:p>
    <w:p w14:paraId="5DFB650F">
      <w:pPr>
        <w:numPr>
          <w:ilvl w:val="0"/>
          <w:numId w:val="13"/>
        </w:numPr>
        <w:spacing w:line="520" w:lineRule="exact"/>
        <w:rPr>
          <w:rFonts w:hint="eastAsia" w:ascii="宋体" w:hAnsi="宋体" w:cs="宋体"/>
          <w:b/>
          <w:bCs/>
          <w:sz w:val="24"/>
          <w:highlight w:val="none"/>
        </w:rPr>
      </w:pPr>
      <w:r>
        <w:rPr>
          <w:rFonts w:hint="eastAsia" w:ascii="宋体" w:hAnsi="宋体" w:cs="宋体"/>
          <w:b/>
          <w:bCs/>
          <w:sz w:val="24"/>
          <w:highlight w:val="none"/>
        </w:rPr>
        <w:t>转换采购方式</w:t>
      </w:r>
    </w:p>
    <w:p w14:paraId="38321152">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46C2D8C4">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a.终止询价重新组织采购。</w:t>
      </w:r>
    </w:p>
    <w:p w14:paraId="796BF896">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采购项目响应供应商没有达到规定数量，并存在以下影响公平竞争情形的，采购人应当及时在相应阶段终止询价采购， 并根据不同情形和原因，采取相应纠正措施，重新组织采购：</w:t>
      </w:r>
    </w:p>
    <w:p w14:paraId="28D64DFF">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1）未发布采购公告，或者限额以上的采购项目未在中国招标投标公共服务平台或省级招标投标公共服务平台发布采购公告的；</w:t>
      </w:r>
    </w:p>
    <w:p w14:paraId="030AC9E5">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2）采购文件发售时间过短，或者设置不合理限制条件，以致潜在供应商无法获取采购文件的；</w:t>
      </w:r>
    </w:p>
    <w:p w14:paraId="3D1297D0">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3)采购文件发出到提交响应文件截止时间过短，潜在供应商编制响应文件时间不足的；</w:t>
      </w:r>
    </w:p>
    <w:p w14:paraId="48C298CB">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4)采购文件设置的项目需求技术标准要求或者供应商资格条件指向特定供应商，存在排斥歧视情形的；</w:t>
      </w:r>
    </w:p>
    <w:p w14:paraId="7CE0B76D">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5)采购文件的评审办法和标准以及合同条件存在不公平或者不合理要求的；</w:t>
      </w:r>
    </w:p>
    <w:p w14:paraId="7C7041BE">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6)采购文件设置的最高限价过低，供应商无法完成履约的；</w:t>
      </w:r>
    </w:p>
    <w:p w14:paraId="0D19AF27">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7)采购人其他违规和失误情形导致响应供应商数量不满足规定要求的。</w:t>
      </w:r>
    </w:p>
    <w:p w14:paraId="3D608E3B">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采购项目响应供应商没有达到规定数量，但是不存在上述影响公平竞争情形的，采购人也可以选择终止询价采购，采取相应完善措施，重新组织采购。</w:t>
      </w:r>
    </w:p>
    <w:p w14:paraId="2F6D74C1">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b.继续询价采购。</w:t>
      </w:r>
    </w:p>
    <w:p w14:paraId="1861FF2C">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采购项目不存在应该终止询价的情形，且采购人也没有自行选择终止询价采购的，采购人可以按照询价采购文件约定程序和规则，继续开启响应文件和组织评审，完成询价采购后续程序。</w:t>
      </w:r>
    </w:p>
    <w:p w14:paraId="4AD64DBC">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24D1DD5E">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29B1B814">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除了采购人与响应供应商双方同意修改补充并接受新的条件和要求外，原询价采购文件与原响应文件对采购人和供应商仍然具有相应约束力。</w:t>
      </w:r>
    </w:p>
    <w:p w14:paraId="6BD60969">
      <w:pPr>
        <w:spacing w:line="520" w:lineRule="exact"/>
        <w:ind w:firstLine="600" w:firstLineChars="200"/>
        <w:rPr>
          <w:rFonts w:hint="eastAsia" w:ascii="仿宋" w:hAnsi="仿宋" w:eastAsia="仿宋"/>
          <w:sz w:val="30"/>
          <w:szCs w:val="30"/>
          <w:highlight w:val="none"/>
        </w:rPr>
      </w:pPr>
    </w:p>
    <w:p w14:paraId="7B1C5818">
      <w:pPr>
        <w:spacing w:line="240" w:lineRule="auto"/>
        <w:rPr>
          <w:highlight w:val="none"/>
        </w:rPr>
      </w:pPr>
      <w:r>
        <w:rPr>
          <w:highlight w:val="none"/>
        </w:rPr>
        <w:br w:type="page"/>
      </w:r>
    </w:p>
    <w:p w14:paraId="29B59EEB">
      <w:pPr>
        <w:spacing w:line="600" w:lineRule="exact"/>
        <w:jc w:val="center"/>
        <w:rPr>
          <w:rFonts w:hint="eastAsia" w:hAnsi="宋体"/>
          <w:b/>
          <w:sz w:val="24"/>
          <w:highlight w:val="none"/>
        </w:rPr>
      </w:pPr>
    </w:p>
    <w:p w14:paraId="3FB63B5D">
      <w:pPr>
        <w:spacing w:line="600" w:lineRule="exact"/>
        <w:jc w:val="center"/>
        <w:rPr>
          <w:rFonts w:hint="eastAsia" w:hAnsi="宋体"/>
          <w:b/>
          <w:sz w:val="24"/>
          <w:highlight w:val="none"/>
        </w:rPr>
      </w:pPr>
    </w:p>
    <w:p w14:paraId="7B445BEC">
      <w:pPr>
        <w:spacing w:line="600" w:lineRule="exact"/>
        <w:jc w:val="center"/>
        <w:rPr>
          <w:rFonts w:hint="eastAsia" w:hAnsi="宋体"/>
          <w:b/>
          <w:sz w:val="24"/>
          <w:highlight w:val="none"/>
        </w:rPr>
      </w:pPr>
    </w:p>
    <w:p w14:paraId="4BF52F41">
      <w:pPr>
        <w:spacing w:line="600" w:lineRule="exact"/>
        <w:jc w:val="center"/>
        <w:rPr>
          <w:rFonts w:hint="eastAsia" w:hAnsi="宋体"/>
          <w:b/>
          <w:sz w:val="24"/>
          <w:highlight w:val="none"/>
        </w:rPr>
      </w:pPr>
    </w:p>
    <w:p w14:paraId="707123CA">
      <w:pPr>
        <w:spacing w:line="600" w:lineRule="exact"/>
        <w:jc w:val="center"/>
        <w:rPr>
          <w:rFonts w:hint="eastAsia" w:hAnsi="宋体"/>
          <w:b/>
          <w:sz w:val="24"/>
          <w:highlight w:val="none"/>
        </w:rPr>
      </w:pPr>
    </w:p>
    <w:p w14:paraId="6163606F">
      <w:pPr>
        <w:spacing w:line="600" w:lineRule="exact"/>
        <w:jc w:val="center"/>
        <w:rPr>
          <w:rFonts w:hint="eastAsia" w:ascii="黑体" w:hAnsi="黑体" w:eastAsia="黑体" w:cs="仿宋"/>
          <w:b/>
          <w:sz w:val="44"/>
          <w:szCs w:val="44"/>
          <w:highlight w:val="none"/>
        </w:rPr>
      </w:pPr>
    </w:p>
    <w:p w14:paraId="6A29DA5D">
      <w:pPr>
        <w:spacing w:line="600" w:lineRule="exact"/>
        <w:jc w:val="center"/>
        <w:rPr>
          <w:rFonts w:hint="eastAsia" w:ascii="黑体" w:hAnsi="黑体" w:eastAsia="黑体" w:cs="仿宋"/>
          <w:b/>
          <w:sz w:val="44"/>
          <w:szCs w:val="44"/>
          <w:highlight w:val="none"/>
        </w:rPr>
      </w:pPr>
    </w:p>
    <w:p w14:paraId="4B9E3C33">
      <w:pPr>
        <w:spacing w:line="600" w:lineRule="exact"/>
        <w:jc w:val="center"/>
        <w:rPr>
          <w:rFonts w:hint="eastAsia" w:ascii="黑体" w:hAnsi="黑体" w:eastAsia="黑体" w:cs="仿宋"/>
          <w:b/>
          <w:sz w:val="44"/>
          <w:szCs w:val="44"/>
          <w:highlight w:val="none"/>
        </w:rPr>
      </w:pPr>
    </w:p>
    <w:p w14:paraId="440B647A">
      <w:pPr>
        <w:spacing w:line="600" w:lineRule="exact"/>
        <w:jc w:val="center"/>
        <w:rPr>
          <w:rFonts w:hint="eastAsia" w:ascii="黑体" w:hAnsi="黑体" w:eastAsia="黑体" w:cs="仿宋"/>
          <w:b/>
          <w:sz w:val="44"/>
          <w:szCs w:val="44"/>
          <w:highlight w:val="none"/>
        </w:rPr>
      </w:pPr>
      <w:r>
        <w:rPr>
          <w:rFonts w:hint="eastAsia" w:ascii="黑体" w:hAnsi="黑体" w:eastAsia="黑体" w:cs="仿宋"/>
          <w:b/>
          <w:sz w:val="44"/>
          <w:szCs w:val="44"/>
          <w:highlight w:val="none"/>
        </w:rPr>
        <w:t>第一章  采购公告</w:t>
      </w:r>
    </w:p>
    <w:p w14:paraId="1CCF642F">
      <w:pPr>
        <w:pStyle w:val="84"/>
        <w:spacing w:before="0" w:beforeAutospacing="0" w:after="0" w:afterAutospacing="0" w:line="360" w:lineRule="auto"/>
        <w:jc w:val="center"/>
        <w:rPr>
          <w:rFonts w:hint="eastAsia" w:ascii="黑体" w:hAnsi="黑体" w:eastAsia="黑体"/>
          <w:sz w:val="32"/>
          <w:szCs w:val="32"/>
          <w:highlight w:val="none"/>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658370D1">
      <w:pPr>
        <w:pStyle w:val="84"/>
        <w:spacing w:before="0" w:beforeAutospacing="0" w:after="0" w:afterAutospacing="0" w:line="360" w:lineRule="auto"/>
        <w:jc w:val="center"/>
        <w:rPr>
          <w:rFonts w:hint="eastAsia" w:ascii="黑体" w:hAnsi="黑体" w:eastAsia="黑体"/>
          <w:sz w:val="32"/>
          <w:szCs w:val="32"/>
          <w:highlight w:val="none"/>
        </w:rPr>
      </w:pPr>
      <w:r>
        <w:rPr>
          <w:rFonts w:hint="eastAsia" w:ascii="黑体" w:hAnsi="黑体" w:eastAsia="黑体"/>
          <w:sz w:val="32"/>
          <w:szCs w:val="32"/>
          <w:highlight w:val="none"/>
        </w:rPr>
        <w:t>G59</w:t>
      </w:r>
      <w:r>
        <w:rPr>
          <w:rFonts w:hint="eastAsia" w:ascii="黑体" w:hAnsi="黑体" w:eastAsia="黑体"/>
          <w:sz w:val="32"/>
          <w:szCs w:val="32"/>
          <w:highlight w:val="none"/>
          <w:lang w:val="en-US" w:eastAsia="zh-CN"/>
        </w:rPr>
        <w:t>张官</w:t>
      </w:r>
      <w:r>
        <w:rPr>
          <w:rFonts w:hint="eastAsia" w:ascii="黑体" w:hAnsi="黑体" w:eastAsia="黑体"/>
          <w:sz w:val="32"/>
          <w:szCs w:val="32"/>
          <w:highlight w:val="none"/>
        </w:rPr>
        <w:t>高速公路</w:t>
      </w:r>
      <w:r>
        <w:rPr>
          <w:rFonts w:hint="eastAsia" w:ascii="黑体" w:hAnsi="黑体" w:eastAsia="黑体"/>
          <w:sz w:val="32"/>
          <w:szCs w:val="32"/>
          <w:highlight w:val="none"/>
          <w:lang w:val="en-US" w:eastAsia="zh-CN"/>
        </w:rPr>
        <w:t>第二标</w:t>
      </w:r>
      <w:r>
        <w:rPr>
          <w:rFonts w:hint="eastAsia" w:ascii="黑体" w:hAnsi="黑体" w:eastAsia="黑体"/>
          <w:sz w:val="32"/>
          <w:szCs w:val="32"/>
          <w:highlight w:val="none"/>
        </w:rPr>
        <w:t>段房建工程竣工质量检测技术服务项目</w:t>
      </w:r>
    </w:p>
    <w:p w14:paraId="09D2E91A">
      <w:pPr>
        <w:pStyle w:val="84"/>
        <w:spacing w:before="0" w:beforeAutospacing="0" w:after="0" w:afterAutospacing="0" w:line="360" w:lineRule="auto"/>
        <w:jc w:val="center"/>
        <w:rPr>
          <w:rFonts w:hint="eastAsia" w:ascii="黑体" w:hAnsi="黑体" w:eastAsia="黑体"/>
          <w:sz w:val="32"/>
          <w:szCs w:val="32"/>
          <w:highlight w:val="none"/>
        </w:rPr>
      </w:pPr>
      <w:r>
        <w:rPr>
          <w:rFonts w:hint="eastAsia" w:ascii="黑体" w:hAnsi="黑体" w:eastAsia="黑体"/>
          <w:sz w:val="32"/>
          <w:szCs w:val="32"/>
          <w:highlight w:val="none"/>
        </w:rPr>
        <w:t>竞争性磋商采购公告</w:t>
      </w:r>
    </w:p>
    <w:p w14:paraId="09EBC378">
      <w:pPr>
        <w:pStyle w:val="84"/>
        <w:spacing w:before="0" w:beforeAutospacing="0" w:after="0" w:afterAutospacing="0" w:line="360" w:lineRule="auto"/>
        <w:ind w:firstLine="2880" w:firstLineChars="1200"/>
        <w:rPr>
          <w:rFonts w:hint="eastAsia"/>
          <w:highlight w:val="none"/>
        </w:rPr>
      </w:pPr>
      <w:r>
        <w:rPr>
          <w:rFonts w:hint="eastAsia"/>
          <w:highlight w:val="none"/>
        </w:rPr>
        <w:t xml:space="preserve"> </w:t>
      </w:r>
    </w:p>
    <w:p w14:paraId="51C2F5CD">
      <w:pPr>
        <w:autoSpaceDE w:val="0"/>
        <w:spacing w:line="360" w:lineRule="auto"/>
        <w:rPr>
          <w:rFonts w:hint="eastAsia" w:ascii="宋体" w:hAnsi="宋体"/>
          <w:sz w:val="24"/>
          <w:highlight w:val="none"/>
        </w:rPr>
      </w:pPr>
      <w:r>
        <w:rPr>
          <w:rFonts w:hint="eastAsia" w:ascii="宋体" w:hAnsi="宋体"/>
          <w:highlight w:val="none"/>
        </w:rPr>
        <w:t xml:space="preserve">   </w:t>
      </w:r>
      <w:r>
        <w:rPr>
          <w:rFonts w:hint="eastAsia" w:ascii="宋体" w:hAnsi="宋体"/>
          <w:sz w:val="24"/>
          <w:highlight w:val="none"/>
        </w:rPr>
        <w:t xml:space="preserve"> G59</w:t>
      </w:r>
      <w:r>
        <w:rPr>
          <w:rFonts w:hint="eastAsia" w:ascii="宋体" w:hAnsi="宋体"/>
          <w:sz w:val="24"/>
          <w:highlight w:val="none"/>
          <w:lang w:val="en-US" w:eastAsia="zh-CN"/>
        </w:rPr>
        <w:t>张官</w:t>
      </w:r>
      <w:r>
        <w:rPr>
          <w:rFonts w:hint="eastAsia" w:ascii="宋体" w:hAnsi="宋体"/>
          <w:sz w:val="24"/>
          <w:highlight w:val="none"/>
        </w:rPr>
        <w:t>高速公路</w:t>
      </w:r>
      <w:r>
        <w:rPr>
          <w:rFonts w:hint="eastAsia" w:ascii="宋体" w:hAnsi="宋体"/>
          <w:sz w:val="24"/>
          <w:highlight w:val="none"/>
          <w:lang w:val="en-US" w:eastAsia="zh-CN"/>
        </w:rPr>
        <w:t>第二标</w:t>
      </w:r>
      <w:r>
        <w:rPr>
          <w:rFonts w:hint="eastAsia" w:ascii="宋体" w:hAnsi="宋体"/>
          <w:sz w:val="24"/>
          <w:highlight w:val="none"/>
        </w:rPr>
        <w:t xml:space="preserve">段房建工程竣工质量检测技术服务项目已具备采购条件，现公开邀请供应商参加采购活动。 </w:t>
      </w:r>
    </w:p>
    <w:p w14:paraId="0ADC6FAA">
      <w:pPr>
        <w:pStyle w:val="7"/>
        <w:rPr>
          <w:rFonts w:ascii="Arial" w:hAnsi="Arial"/>
          <w:highlight w:val="none"/>
        </w:rPr>
      </w:pPr>
      <w:r>
        <w:rPr>
          <w:rFonts w:hint="eastAsia"/>
          <w:highlight w:val="none"/>
        </w:rPr>
        <w:t xml:space="preserve">1 </w:t>
      </w:r>
      <w:r>
        <w:rPr>
          <w:rFonts w:hint="eastAsia" w:ascii="黑体" w:hAnsi="黑体"/>
          <w:highlight w:val="none"/>
        </w:rPr>
        <w:t xml:space="preserve">采购项目简介 </w:t>
      </w:r>
    </w:p>
    <w:p w14:paraId="7E8B3425">
      <w:pPr>
        <w:autoSpaceDE w:val="0"/>
        <w:spacing w:line="360" w:lineRule="auto"/>
        <w:rPr>
          <w:rFonts w:hint="eastAsia" w:ascii="宋体" w:hAnsi="宋体"/>
          <w:sz w:val="24"/>
          <w:highlight w:val="none"/>
        </w:rPr>
      </w:pPr>
      <w:r>
        <w:rPr>
          <w:rFonts w:hint="eastAsia" w:ascii="宋体" w:hAnsi="宋体"/>
          <w:b/>
          <w:bCs/>
          <w:sz w:val="24"/>
          <w:highlight w:val="none"/>
        </w:rPr>
        <w:t>1.1</w:t>
      </w:r>
      <w:r>
        <w:rPr>
          <w:rFonts w:hint="eastAsia" w:ascii="宋体" w:hAnsi="宋体"/>
          <w:sz w:val="24"/>
          <w:highlight w:val="none"/>
        </w:rPr>
        <w:t xml:space="preserve"> 采购项目名称：</w:t>
      </w:r>
      <w:r>
        <w:rPr>
          <w:rFonts w:hint="eastAsia" w:ascii="宋体" w:hAnsi="宋体"/>
          <w:sz w:val="24"/>
          <w:highlight w:val="none"/>
          <w:u w:val="single"/>
        </w:rPr>
        <w:t>G59</w:t>
      </w:r>
      <w:r>
        <w:rPr>
          <w:rFonts w:hint="eastAsia" w:ascii="宋体" w:hAnsi="宋体"/>
          <w:sz w:val="24"/>
          <w:highlight w:val="none"/>
          <w:u w:val="single"/>
          <w:lang w:val="en-US" w:eastAsia="zh-CN"/>
        </w:rPr>
        <w:t>张官</w:t>
      </w:r>
      <w:r>
        <w:rPr>
          <w:rFonts w:hint="eastAsia" w:ascii="宋体" w:hAnsi="宋体"/>
          <w:sz w:val="24"/>
          <w:highlight w:val="none"/>
          <w:u w:val="single"/>
        </w:rPr>
        <w:t>高速公路</w:t>
      </w:r>
      <w:r>
        <w:rPr>
          <w:rFonts w:hint="eastAsia" w:ascii="宋体" w:hAnsi="宋体"/>
          <w:sz w:val="24"/>
          <w:highlight w:val="none"/>
          <w:u w:val="single"/>
          <w:lang w:val="en-US" w:eastAsia="zh-CN"/>
        </w:rPr>
        <w:t>第二标</w:t>
      </w:r>
      <w:r>
        <w:rPr>
          <w:rFonts w:hint="eastAsia" w:ascii="宋体" w:hAnsi="宋体"/>
          <w:sz w:val="24"/>
          <w:highlight w:val="none"/>
          <w:u w:val="single"/>
        </w:rPr>
        <w:t>段房建工程竣工质量检测技术服务项目</w:t>
      </w:r>
    </w:p>
    <w:p w14:paraId="290168C4">
      <w:pPr>
        <w:autoSpaceDE w:val="0"/>
        <w:spacing w:line="360" w:lineRule="auto"/>
        <w:rPr>
          <w:rFonts w:hint="eastAsia" w:ascii="宋体" w:hAnsi="宋体"/>
          <w:sz w:val="24"/>
          <w:highlight w:val="none"/>
        </w:rPr>
      </w:pPr>
      <w:r>
        <w:rPr>
          <w:rFonts w:hint="eastAsia" w:ascii="宋体" w:hAnsi="宋体"/>
          <w:b/>
          <w:bCs/>
          <w:sz w:val="24"/>
          <w:highlight w:val="none"/>
        </w:rPr>
        <w:t>1.2</w:t>
      </w:r>
      <w:r>
        <w:rPr>
          <w:rFonts w:hint="eastAsia" w:ascii="宋体" w:hAnsi="宋体"/>
          <w:sz w:val="24"/>
          <w:highlight w:val="none"/>
        </w:rPr>
        <w:t xml:space="preserve"> 采购人：</w:t>
      </w:r>
      <w:r>
        <w:rPr>
          <w:rFonts w:hint="eastAsia" w:ascii="宋体" w:hAnsi="宋体"/>
          <w:sz w:val="24"/>
          <w:highlight w:val="none"/>
          <w:u w:val="single"/>
        </w:rPr>
        <w:t>湖南省新新张官高速公路建设开发有限公司</w:t>
      </w:r>
      <w:r>
        <w:rPr>
          <w:rFonts w:hint="eastAsia" w:ascii="宋体" w:hAnsi="宋体"/>
          <w:sz w:val="24"/>
          <w:highlight w:val="none"/>
          <w:u w:val="single"/>
          <w:lang w:val="en-US" w:eastAsia="zh-CN"/>
        </w:rPr>
        <w:t>张家界</w:t>
      </w:r>
      <w:r>
        <w:rPr>
          <w:rFonts w:hint="eastAsia" w:ascii="宋体" w:hAnsi="宋体"/>
          <w:sz w:val="24"/>
          <w:highlight w:val="none"/>
          <w:u w:val="single"/>
        </w:rPr>
        <w:t>分公司</w:t>
      </w:r>
    </w:p>
    <w:p w14:paraId="5BD6777C">
      <w:pPr>
        <w:autoSpaceDE w:val="0"/>
        <w:spacing w:line="360" w:lineRule="auto"/>
        <w:rPr>
          <w:rFonts w:hint="eastAsia" w:ascii="宋体" w:hAnsi="宋体"/>
          <w:sz w:val="24"/>
          <w:highlight w:val="none"/>
        </w:rPr>
      </w:pPr>
      <w:r>
        <w:rPr>
          <w:rFonts w:hint="eastAsia" w:ascii="宋体" w:hAnsi="宋体"/>
          <w:b/>
          <w:bCs/>
          <w:sz w:val="24"/>
          <w:highlight w:val="none"/>
        </w:rPr>
        <w:t>1.3</w:t>
      </w:r>
      <w:r>
        <w:rPr>
          <w:rFonts w:hint="eastAsia" w:ascii="宋体" w:hAnsi="宋体"/>
          <w:sz w:val="24"/>
          <w:highlight w:val="none"/>
        </w:rPr>
        <w:t xml:space="preserve"> 采购代理机构：</w:t>
      </w:r>
      <w:r>
        <w:rPr>
          <w:rFonts w:hint="eastAsia" w:ascii="宋体" w:hAnsi="宋体"/>
          <w:sz w:val="24"/>
          <w:highlight w:val="none"/>
          <w:u w:val="single"/>
        </w:rPr>
        <w:t>中科高盛咨询集团有限公司</w:t>
      </w:r>
    </w:p>
    <w:p w14:paraId="216F2130">
      <w:pPr>
        <w:autoSpaceDE w:val="0"/>
        <w:spacing w:line="360" w:lineRule="auto"/>
        <w:rPr>
          <w:rFonts w:hint="eastAsia" w:ascii="宋体" w:hAnsi="宋体"/>
          <w:sz w:val="24"/>
          <w:highlight w:val="none"/>
        </w:rPr>
      </w:pPr>
      <w:r>
        <w:rPr>
          <w:rFonts w:hint="eastAsia" w:ascii="宋体" w:hAnsi="宋体"/>
          <w:b/>
          <w:bCs/>
          <w:sz w:val="24"/>
          <w:highlight w:val="none"/>
        </w:rPr>
        <w:t xml:space="preserve">1.4 </w:t>
      </w:r>
      <w:r>
        <w:rPr>
          <w:rFonts w:hint="eastAsia" w:ascii="宋体" w:hAnsi="宋体"/>
          <w:sz w:val="24"/>
          <w:highlight w:val="none"/>
        </w:rPr>
        <w:t>采购项目资金落实情况：</w:t>
      </w:r>
      <w:r>
        <w:rPr>
          <w:rFonts w:hint="eastAsia" w:ascii="宋体" w:hAnsi="宋体"/>
          <w:sz w:val="24"/>
          <w:highlight w:val="none"/>
          <w:u w:val="single"/>
        </w:rPr>
        <w:t>自筹已落实</w:t>
      </w:r>
    </w:p>
    <w:p w14:paraId="769FBE19">
      <w:pPr>
        <w:autoSpaceDE w:val="0"/>
        <w:spacing w:line="360" w:lineRule="auto"/>
        <w:rPr>
          <w:rFonts w:hint="eastAsia" w:ascii="宋体" w:hAnsi="宋体"/>
          <w:sz w:val="24"/>
          <w:highlight w:val="none"/>
        </w:rPr>
      </w:pPr>
      <w:r>
        <w:rPr>
          <w:rFonts w:hint="eastAsia" w:ascii="宋体" w:hAnsi="宋体"/>
          <w:b/>
          <w:bCs/>
          <w:sz w:val="24"/>
          <w:highlight w:val="none"/>
        </w:rPr>
        <w:t xml:space="preserve">1.5 </w:t>
      </w:r>
      <w:r>
        <w:rPr>
          <w:rFonts w:hint="eastAsia" w:ascii="宋体" w:hAnsi="宋体"/>
          <w:sz w:val="24"/>
          <w:highlight w:val="none"/>
        </w:rPr>
        <w:t>采购项目概况：</w:t>
      </w:r>
    </w:p>
    <w:p w14:paraId="79400AC3">
      <w:pPr>
        <w:autoSpaceDE w:val="0"/>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G59呼北高速张家界至官庄段第二合同段路线全长27.33km，其中张家界市境内12.488km，怀化市境内14.842km，按双向四车道高速公路标准建设，设计速度100km/h，路基宽度26m。</w:t>
      </w:r>
    </w:p>
    <w:p w14:paraId="3FB6C814">
      <w:pPr>
        <w:autoSpaceDE w:val="0"/>
        <w:spacing w:line="360" w:lineRule="auto"/>
        <w:ind w:firstLine="480" w:firstLineChars="20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主线共设桥梁30座，桥梁总长7.808km；设隧道6座，总长6.11km，项目主线桥隧占比51%。合同段含连接线2条，南滩岗连接线6.2km、清浪连接线17.9km，连接线共设桥梁5座，其中特大桥380m/1座。本标段房建项目包含1处服务区（沅古坪服务区）、收费站3处，其中收费站1处（沅古坪收费大站），匝道收费小站2处（沅古坪匝道收费站、南滩岗匝道收费站），隧道变电所7处、水泵房3处。</w:t>
      </w:r>
    </w:p>
    <w:p w14:paraId="3FA1A9B0">
      <w:pPr>
        <w:autoSpaceDE w:val="0"/>
        <w:spacing w:line="360" w:lineRule="auto"/>
        <w:rPr>
          <w:rFonts w:hint="eastAsia" w:ascii="宋体" w:hAnsi="宋体"/>
          <w:b/>
          <w:bCs/>
          <w:sz w:val="24"/>
          <w:highlight w:val="none"/>
        </w:rPr>
      </w:pPr>
      <w:r>
        <w:rPr>
          <w:rFonts w:hint="eastAsia" w:ascii="宋体" w:hAnsi="宋体"/>
          <w:b/>
          <w:bCs/>
          <w:sz w:val="24"/>
          <w:highlight w:val="none"/>
        </w:rPr>
        <w:t xml:space="preserve">1.6 </w:t>
      </w:r>
      <w:r>
        <w:rPr>
          <w:rFonts w:hint="eastAsia" w:ascii="宋体" w:hAnsi="宋体"/>
          <w:sz w:val="24"/>
          <w:highlight w:val="none"/>
        </w:rPr>
        <w:t>成交供应商数量及成交份额：</w:t>
      </w:r>
    </w:p>
    <w:p w14:paraId="43155906">
      <w:pPr>
        <w:autoSpaceDE w:val="0"/>
        <w:spacing w:line="400" w:lineRule="exact"/>
        <w:rPr>
          <w:rFonts w:hint="eastAsia" w:ascii="宋体" w:hAnsi="宋体"/>
          <w:b/>
          <w:bCs/>
          <w:sz w:val="24"/>
          <w:highlight w:val="none"/>
        </w:rPr>
      </w:pPr>
      <w:r>
        <w:rPr>
          <w:rStyle w:val="132"/>
          <w:rFonts w:hint="eastAsia"/>
          <w:highlight w:val="none"/>
        </w:rPr>
        <w:sym w:font="Wingdings 2" w:char="0052"/>
      </w:r>
      <w:r>
        <w:rPr>
          <w:rFonts w:hint="eastAsia" w:ascii="宋体" w:hAnsi="宋体"/>
          <w:b/>
          <w:bCs/>
          <w:sz w:val="24"/>
          <w:highlight w:val="none"/>
        </w:rPr>
        <w:t>一家</w:t>
      </w:r>
    </w:p>
    <w:p w14:paraId="6D00ABDF">
      <w:pPr>
        <w:pStyle w:val="7"/>
        <w:rPr>
          <w:rFonts w:ascii="Arial" w:hAnsi="Arial"/>
          <w:highlight w:val="none"/>
        </w:rPr>
      </w:pPr>
      <w:r>
        <w:rPr>
          <w:rFonts w:hint="eastAsia"/>
          <w:highlight w:val="none"/>
        </w:rPr>
        <w:t xml:space="preserve">2 </w:t>
      </w:r>
      <w:r>
        <w:rPr>
          <w:rFonts w:hint="eastAsia" w:ascii="黑体" w:hAnsi="黑体"/>
          <w:highlight w:val="none"/>
        </w:rPr>
        <w:t xml:space="preserve">采购范围及相关要求 </w:t>
      </w:r>
    </w:p>
    <w:p w14:paraId="17465BDF">
      <w:pPr>
        <w:autoSpaceDE w:val="0"/>
        <w:spacing w:line="400" w:lineRule="exact"/>
        <w:rPr>
          <w:rFonts w:hint="eastAsia" w:ascii="宋体" w:hAnsi="宋体"/>
          <w:sz w:val="24"/>
          <w:highlight w:val="none"/>
        </w:rPr>
      </w:pPr>
      <w:r>
        <w:rPr>
          <w:rFonts w:hint="eastAsia" w:ascii="宋体" w:hAnsi="宋体"/>
          <w:b/>
          <w:bCs/>
          <w:sz w:val="24"/>
          <w:highlight w:val="none"/>
        </w:rPr>
        <w:t xml:space="preserve">2.1 </w:t>
      </w:r>
      <w:r>
        <w:rPr>
          <w:rFonts w:hint="eastAsia" w:ascii="宋体" w:hAnsi="宋体"/>
          <w:sz w:val="24"/>
          <w:highlight w:val="none"/>
        </w:rPr>
        <w:t>采购范围：本次采购分为1个标包。其标包划分及采购内容等见下表。</w:t>
      </w:r>
    </w:p>
    <w:tbl>
      <w:tblPr>
        <w:tblStyle w:val="90"/>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393"/>
        <w:gridCol w:w="1618"/>
        <w:gridCol w:w="3244"/>
        <w:gridCol w:w="1811"/>
      </w:tblGrid>
      <w:tr w14:paraId="05B1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60D580B8">
            <w:pPr>
              <w:widowControl w:val="0"/>
              <w:jc w:val="center"/>
              <w:rPr>
                <w:rFonts w:hint="eastAsia" w:ascii="宋体" w:hAnsi="宋体" w:cs="宋体"/>
                <w:bCs/>
                <w:szCs w:val="21"/>
                <w:highlight w:val="none"/>
              </w:rPr>
            </w:pPr>
            <w:r>
              <w:rPr>
                <w:rFonts w:hint="eastAsia" w:ascii="宋体" w:hAnsi="宋体" w:cs="宋体"/>
                <w:bCs/>
                <w:szCs w:val="21"/>
                <w:highlight w:val="none"/>
              </w:rPr>
              <w:t>标段</w:t>
            </w:r>
          </w:p>
        </w:tc>
        <w:tc>
          <w:tcPr>
            <w:tcW w:w="1214" w:type="pct"/>
            <w:vAlign w:val="center"/>
          </w:tcPr>
          <w:p w14:paraId="5592BF2C">
            <w:pPr>
              <w:widowControl w:val="0"/>
              <w:jc w:val="center"/>
              <w:rPr>
                <w:szCs w:val="21"/>
                <w:highlight w:val="none"/>
              </w:rPr>
            </w:pPr>
            <w:r>
              <w:rPr>
                <w:rFonts w:hint="eastAsia"/>
                <w:szCs w:val="21"/>
                <w:highlight w:val="none"/>
              </w:rPr>
              <w:t>工作内容</w:t>
            </w:r>
          </w:p>
        </w:tc>
        <w:tc>
          <w:tcPr>
            <w:tcW w:w="821" w:type="pct"/>
            <w:vAlign w:val="center"/>
          </w:tcPr>
          <w:p w14:paraId="3E7BEAD0">
            <w:pPr>
              <w:widowControl w:val="0"/>
              <w:jc w:val="center"/>
              <w:rPr>
                <w:szCs w:val="21"/>
                <w:highlight w:val="none"/>
              </w:rPr>
            </w:pPr>
            <w:r>
              <w:rPr>
                <w:rFonts w:hint="eastAsia"/>
                <w:szCs w:val="21"/>
                <w:highlight w:val="none"/>
              </w:rPr>
              <w:t>数 量</w:t>
            </w:r>
          </w:p>
          <w:p w14:paraId="4A3A6C58">
            <w:pPr>
              <w:widowControl w:val="0"/>
              <w:jc w:val="center"/>
              <w:rPr>
                <w:szCs w:val="21"/>
                <w:highlight w:val="none"/>
              </w:rPr>
            </w:pPr>
            <w:r>
              <w:rPr>
                <w:rFonts w:hint="eastAsia"/>
                <w:szCs w:val="21"/>
                <w:highlight w:val="none"/>
              </w:rPr>
              <w:t>（单位：项）</w:t>
            </w:r>
          </w:p>
        </w:tc>
        <w:tc>
          <w:tcPr>
            <w:tcW w:w="1646" w:type="pct"/>
            <w:vAlign w:val="center"/>
          </w:tcPr>
          <w:p w14:paraId="46CC521F">
            <w:pPr>
              <w:widowControl w:val="0"/>
              <w:jc w:val="center"/>
              <w:rPr>
                <w:szCs w:val="21"/>
                <w:highlight w:val="none"/>
              </w:rPr>
            </w:pPr>
            <w:r>
              <w:rPr>
                <w:rFonts w:hint="eastAsia"/>
                <w:szCs w:val="21"/>
                <w:highlight w:val="none"/>
              </w:rPr>
              <w:t>服务范围</w:t>
            </w:r>
          </w:p>
        </w:tc>
        <w:tc>
          <w:tcPr>
            <w:tcW w:w="919" w:type="pct"/>
            <w:vAlign w:val="center"/>
          </w:tcPr>
          <w:p w14:paraId="3736E4DD">
            <w:pPr>
              <w:widowControl w:val="0"/>
              <w:jc w:val="center"/>
              <w:rPr>
                <w:szCs w:val="21"/>
                <w:highlight w:val="none"/>
              </w:rPr>
            </w:pPr>
            <w:r>
              <w:rPr>
                <w:rFonts w:hint="eastAsia"/>
                <w:szCs w:val="21"/>
                <w:highlight w:val="none"/>
              </w:rPr>
              <w:t>上限价</w:t>
            </w:r>
          </w:p>
          <w:p w14:paraId="528864C1">
            <w:pPr>
              <w:widowControl w:val="0"/>
              <w:jc w:val="center"/>
              <w:rPr>
                <w:szCs w:val="21"/>
                <w:highlight w:val="none"/>
              </w:rPr>
            </w:pPr>
            <w:r>
              <w:rPr>
                <w:rFonts w:hint="eastAsia"/>
                <w:szCs w:val="21"/>
                <w:highlight w:val="none"/>
              </w:rPr>
              <w:t>（万元）</w:t>
            </w:r>
          </w:p>
        </w:tc>
      </w:tr>
      <w:tr w14:paraId="65A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8" w:type="pct"/>
            <w:vAlign w:val="center"/>
          </w:tcPr>
          <w:p w14:paraId="2C9DF247">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1</w:t>
            </w:r>
          </w:p>
        </w:tc>
        <w:tc>
          <w:tcPr>
            <w:tcW w:w="1214" w:type="pct"/>
            <w:vAlign w:val="center"/>
          </w:tcPr>
          <w:p w14:paraId="0F674711">
            <w:pPr>
              <w:widowControl w:val="0"/>
              <w:spacing w:line="360" w:lineRule="auto"/>
              <w:jc w:val="both"/>
              <w:rPr>
                <w:rFonts w:hint="eastAsia" w:ascii="宋体" w:hAnsi="宋体" w:cs="宋体"/>
                <w:bCs/>
                <w:szCs w:val="21"/>
                <w:highlight w:val="none"/>
                <w:shd w:val="clear" w:color="auto" w:fill="FFFFFF"/>
              </w:rPr>
            </w:pPr>
            <w:r>
              <w:rPr>
                <w:rFonts w:hint="eastAsia" w:ascii="宋体" w:hAnsi="宋体" w:cs="宋体"/>
                <w:bCs/>
                <w:szCs w:val="21"/>
                <w:highlight w:val="none"/>
                <w:shd w:val="clear" w:color="auto" w:fill="FFFFFF"/>
              </w:rPr>
              <w:t>G59</w:t>
            </w:r>
            <w:r>
              <w:rPr>
                <w:rFonts w:hint="eastAsia" w:ascii="宋体" w:hAnsi="宋体" w:cs="宋体"/>
                <w:bCs/>
                <w:szCs w:val="21"/>
                <w:highlight w:val="none"/>
                <w:shd w:val="clear" w:color="auto" w:fill="FFFFFF"/>
                <w:lang w:val="en-US" w:eastAsia="zh-CN"/>
              </w:rPr>
              <w:t>张官</w:t>
            </w:r>
            <w:r>
              <w:rPr>
                <w:rFonts w:hint="eastAsia" w:ascii="宋体" w:hAnsi="宋体" w:cs="宋体"/>
                <w:bCs/>
                <w:szCs w:val="21"/>
                <w:highlight w:val="none"/>
                <w:shd w:val="clear" w:color="auto" w:fill="FFFFFF"/>
              </w:rPr>
              <w:t>高速公路</w:t>
            </w:r>
            <w:r>
              <w:rPr>
                <w:rFonts w:hint="eastAsia" w:ascii="宋体" w:hAnsi="宋体" w:cs="宋体"/>
                <w:bCs/>
                <w:szCs w:val="21"/>
                <w:highlight w:val="none"/>
                <w:shd w:val="clear" w:color="auto" w:fill="FFFFFF"/>
                <w:lang w:val="en-US" w:eastAsia="zh-CN"/>
              </w:rPr>
              <w:t>第二标</w:t>
            </w:r>
            <w:r>
              <w:rPr>
                <w:rFonts w:hint="eastAsia" w:ascii="宋体" w:hAnsi="宋体" w:cs="宋体"/>
                <w:bCs/>
                <w:szCs w:val="21"/>
                <w:highlight w:val="none"/>
                <w:shd w:val="clear" w:color="auto" w:fill="FFFFFF"/>
              </w:rPr>
              <w:t>段房建工程竣工质量检测技术服务项目</w:t>
            </w:r>
          </w:p>
        </w:tc>
        <w:tc>
          <w:tcPr>
            <w:tcW w:w="821" w:type="pct"/>
            <w:vAlign w:val="center"/>
          </w:tcPr>
          <w:p w14:paraId="1E254038">
            <w:pPr>
              <w:widowControl w:val="0"/>
              <w:tabs>
                <w:tab w:val="left" w:pos="438"/>
              </w:tabs>
              <w:spacing w:line="360" w:lineRule="auto"/>
              <w:jc w:val="center"/>
              <w:rPr>
                <w:rFonts w:hint="eastAsia" w:ascii="宋体" w:hAnsi="宋体" w:cs="宋体"/>
                <w:bCs/>
                <w:szCs w:val="21"/>
                <w:highlight w:val="none"/>
                <w:shd w:val="clear" w:color="auto" w:fill="FFFFFF"/>
              </w:rPr>
            </w:pPr>
            <w:r>
              <w:rPr>
                <w:rFonts w:hint="eastAsia" w:ascii="宋体" w:hAnsi="宋体" w:cs="宋体"/>
                <w:bCs/>
                <w:szCs w:val="21"/>
                <w:highlight w:val="none"/>
                <w:shd w:val="clear" w:color="auto" w:fill="FFFFFF"/>
              </w:rPr>
              <w:t>1</w:t>
            </w:r>
          </w:p>
        </w:tc>
        <w:tc>
          <w:tcPr>
            <w:tcW w:w="1646" w:type="pct"/>
            <w:vAlign w:val="center"/>
          </w:tcPr>
          <w:p w14:paraId="15283450">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 xml:space="preserve"> 服务内容包括但不限于:</w:t>
            </w:r>
          </w:p>
          <w:p w14:paraId="61DB1BD5">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1）全线房屋建筑工程的竣工验收质量检测，出具相关竣工验收质量检测和质量鉴定检测报告(包含消防设施、电气防火、防雷检测)，并负责与审查专家和相关主管部门的解释、修改和完善直至最终完成房屋竣工验收备案，通过项目竣工验收；</w:t>
            </w:r>
          </w:p>
          <w:p w14:paraId="0689FDE8">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（2）向采购人提出所检测的房屋质量缺陷及安全隐患问题，以及整改修复后的检测；</w:t>
            </w:r>
          </w:p>
          <w:p w14:paraId="7844A629">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（3）负责资料查阅复核，配合采购人完成竣工文件相关数据汇总等；</w:t>
            </w:r>
          </w:p>
          <w:p w14:paraId="2940CB6B">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（4）协助采购人管理本工程相关检测工作，组织施工承包人、监理人参加有关检测问题的协调会，解决试验检测过程中遇到的各种技术问题及争议，及时纠正施工承包人自检、监理人抽检过程中存在的问题。</w:t>
            </w:r>
          </w:p>
        </w:tc>
        <w:tc>
          <w:tcPr>
            <w:tcW w:w="919" w:type="pct"/>
            <w:vAlign w:val="center"/>
          </w:tcPr>
          <w:p w14:paraId="0C61511F">
            <w:pPr>
              <w:widowControl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99.7</w:t>
            </w:r>
          </w:p>
        </w:tc>
      </w:tr>
    </w:tbl>
    <w:p w14:paraId="1BC178D9">
      <w:pPr>
        <w:autoSpaceDE w:val="0"/>
        <w:spacing w:line="400" w:lineRule="exact"/>
        <w:rPr>
          <w:rFonts w:hint="eastAsia" w:ascii="宋体" w:hAnsi="宋体"/>
          <w:sz w:val="24"/>
          <w:highlight w:val="none"/>
        </w:rPr>
      </w:pPr>
    </w:p>
    <w:p w14:paraId="462FC488">
      <w:pPr>
        <w:pStyle w:val="76"/>
        <w:ind w:left="0" w:leftChars="0" w:firstLine="0" w:firstLineChars="0"/>
        <w:rPr>
          <w:highlight w:val="none"/>
        </w:rPr>
      </w:pPr>
    </w:p>
    <w:p w14:paraId="177CDED9">
      <w:pPr>
        <w:autoSpaceDE w:val="0"/>
        <w:spacing w:line="360" w:lineRule="auto"/>
        <w:rPr>
          <w:rFonts w:hint="eastAsia" w:ascii="宋体" w:hAnsi="宋体"/>
          <w:sz w:val="24"/>
          <w:highlight w:val="none"/>
        </w:rPr>
      </w:pPr>
      <w:r>
        <w:rPr>
          <w:rFonts w:hint="eastAsia" w:ascii="宋体" w:hAnsi="宋体"/>
          <w:b/>
          <w:bCs/>
          <w:sz w:val="24"/>
          <w:highlight w:val="none"/>
        </w:rPr>
        <w:t xml:space="preserve">2.2 </w:t>
      </w:r>
      <w:r>
        <w:rPr>
          <w:rFonts w:hint="eastAsia" w:ascii="宋体" w:hAnsi="宋体"/>
          <w:sz w:val="24"/>
          <w:highlight w:val="none"/>
        </w:rPr>
        <w:t>服务期限：自合同签订之日起至本项目通过全线房屋竣工验收备案之日止。</w:t>
      </w:r>
    </w:p>
    <w:p w14:paraId="42F6A20A">
      <w:pPr>
        <w:autoSpaceDE w:val="0"/>
        <w:spacing w:line="360" w:lineRule="auto"/>
        <w:rPr>
          <w:rFonts w:hint="eastAsia" w:ascii="宋体" w:hAnsi="宋体"/>
          <w:sz w:val="24"/>
          <w:highlight w:val="none"/>
        </w:rPr>
      </w:pPr>
      <w:r>
        <w:rPr>
          <w:rFonts w:hint="eastAsia" w:ascii="宋体" w:hAnsi="宋体"/>
          <w:b/>
          <w:bCs/>
          <w:sz w:val="24"/>
          <w:highlight w:val="none"/>
        </w:rPr>
        <w:t xml:space="preserve">2.3 </w:t>
      </w:r>
      <w:r>
        <w:rPr>
          <w:rFonts w:hint="eastAsia" w:ascii="宋体" w:hAnsi="宋体"/>
          <w:sz w:val="24"/>
          <w:highlight w:val="none"/>
        </w:rPr>
        <w:t>服务地点：湖南省</w:t>
      </w:r>
      <w:r>
        <w:rPr>
          <w:rFonts w:hint="eastAsia" w:ascii="宋体" w:hAnsi="宋体" w:eastAsia="宋体" w:cs="Times New Roman"/>
          <w:sz w:val="24"/>
          <w:highlight w:val="none"/>
          <w:lang w:val="en-US" w:eastAsia="zh-CN"/>
        </w:rPr>
        <w:t>张家界市境内、怀化市境内</w:t>
      </w:r>
      <w:r>
        <w:rPr>
          <w:rFonts w:hint="eastAsia" w:ascii="宋体" w:hAnsi="宋体"/>
          <w:sz w:val="24"/>
          <w:highlight w:val="none"/>
        </w:rPr>
        <w:t>。</w:t>
      </w:r>
    </w:p>
    <w:p w14:paraId="4754948B">
      <w:pPr>
        <w:autoSpaceDE w:val="0"/>
        <w:spacing w:line="360" w:lineRule="auto"/>
        <w:rPr>
          <w:rFonts w:hint="eastAsia" w:ascii="宋体" w:hAnsi="宋体"/>
          <w:sz w:val="24"/>
          <w:highlight w:val="none"/>
        </w:rPr>
      </w:pPr>
      <w:r>
        <w:rPr>
          <w:rFonts w:hint="eastAsia" w:ascii="宋体" w:hAnsi="宋体" w:cs="宋体"/>
          <w:b/>
          <w:bCs/>
          <w:sz w:val="24"/>
          <w:highlight w:val="none"/>
        </w:rPr>
        <w:t xml:space="preserve">2.4 </w:t>
      </w:r>
      <w:r>
        <w:rPr>
          <w:rFonts w:hint="eastAsia" w:ascii="宋体" w:hAnsi="宋体"/>
          <w:sz w:val="24"/>
          <w:highlight w:val="none"/>
        </w:rPr>
        <w:t>质量要求或服务标准：</w:t>
      </w:r>
    </w:p>
    <w:p w14:paraId="407E11D6">
      <w:pPr>
        <w:autoSpaceDE w:val="0"/>
        <w:spacing w:line="360" w:lineRule="auto"/>
        <w:rPr>
          <w:rFonts w:hint="eastAsia" w:ascii="宋体" w:hAnsi="宋体"/>
          <w:sz w:val="24"/>
          <w:highlight w:val="none"/>
        </w:rPr>
      </w:pPr>
      <w:r>
        <w:rPr>
          <w:rFonts w:hint="eastAsia" w:ascii="宋体" w:hAnsi="宋体"/>
          <w:sz w:val="24"/>
          <w:highlight w:val="none"/>
        </w:rPr>
        <w:t>（1）供应商应按照相关法律法规、技术标准和规范要求，根据采购人需求，开展G59</w:t>
      </w:r>
      <w:r>
        <w:rPr>
          <w:rFonts w:hint="eastAsia" w:ascii="宋体" w:hAnsi="宋体"/>
          <w:sz w:val="24"/>
          <w:highlight w:val="none"/>
          <w:lang w:val="en-US" w:eastAsia="zh-CN"/>
        </w:rPr>
        <w:t>张官</w:t>
      </w:r>
      <w:r>
        <w:rPr>
          <w:rFonts w:hint="eastAsia" w:ascii="宋体" w:hAnsi="宋体"/>
          <w:sz w:val="24"/>
          <w:highlight w:val="none"/>
        </w:rPr>
        <w:t>高速公路</w:t>
      </w:r>
      <w:r>
        <w:rPr>
          <w:rFonts w:hint="eastAsia" w:ascii="宋体" w:hAnsi="宋体"/>
          <w:sz w:val="24"/>
          <w:highlight w:val="none"/>
          <w:lang w:val="en-US" w:eastAsia="zh-CN"/>
        </w:rPr>
        <w:t>第二标段</w:t>
      </w:r>
      <w:r>
        <w:rPr>
          <w:rFonts w:hint="eastAsia" w:ascii="宋体" w:hAnsi="宋体"/>
          <w:sz w:val="24"/>
          <w:highlight w:val="none"/>
        </w:rPr>
        <w:t>房建工程竣工质量检测技术服务工作。</w:t>
      </w:r>
    </w:p>
    <w:p w14:paraId="256FC23D">
      <w:pPr>
        <w:autoSpaceDE w:val="0"/>
        <w:spacing w:line="360" w:lineRule="auto"/>
        <w:rPr>
          <w:rFonts w:hint="eastAsia" w:ascii="宋体" w:hAnsi="宋体"/>
          <w:sz w:val="24"/>
          <w:highlight w:val="none"/>
        </w:rPr>
      </w:pPr>
      <w:r>
        <w:rPr>
          <w:rFonts w:hint="eastAsia" w:ascii="宋体" w:hAnsi="宋体"/>
          <w:sz w:val="24"/>
          <w:highlight w:val="none"/>
        </w:rPr>
        <w:t>（2）供应商应按期、按质、按量地完成双方商定的各项工作内容，并对成果报告的质量负责。</w:t>
      </w:r>
    </w:p>
    <w:p w14:paraId="2F313056">
      <w:pPr>
        <w:autoSpaceDE w:val="0"/>
        <w:spacing w:line="360" w:lineRule="auto"/>
        <w:rPr>
          <w:rFonts w:hint="eastAsia" w:ascii="宋体" w:hAnsi="宋体"/>
          <w:sz w:val="24"/>
          <w:highlight w:val="none"/>
        </w:rPr>
      </w:pPr>
      <w:r>
        <w:rPr>
          <w:rFonts w:hint="eastAsia" w:ascii="宋体" w:hAnsi="宋体"/>
          <w:sz w:val="24"/>
          <w:highlight w:val="none"/>
        </w:rPr>
        <w:t>（3）在编制过程中，供应商应主动和采购人保持密切联系。</w:t>
      </w:r>
    </w:p>
    <w:p w14:paraId="7236E7A8">
      <w:pPr>
        <w:autoSpaceDE w:val="0"/>
        <w:spacing w:line="360" w:lineRule="auto"/>
        <w:rPr>
          <w:rFonts w:hint="eastAsia" w:ascii="宋体" w:hAnsi="宋体"/>
          <w:sz w:val="24"/>
          <w:highlight w:val="none"/>
        </w:rPr>
      </w:pPr>
      <w:r>
        <w:rPr>
          <w:rFonts w:hint="eastAsia" w:ascii="宋体" w:hAnsi="宋体"/>
          <w:sz w:val="24"/>
          <w:highlight w:val="none"/>
        </w:rPr>
        <w:t>（4）供应商的工作进度没有达到响应文件中承诺的进度计划时，采购人有权向供应商提出要求增加服务人员，供应商应无条件满足。</w:t>
      </w:r>
    </w:p>
    <w:p w14:paraId="0BB64481">
      <w:pPr>
        <w:pStyle w:val="7"/>
        <w:rPr>
          <w:rFonts w:ascii="Arial" w:hAnsi="Arial"/>
          <w:highlight w:val="none"/>
        </w:rPr>
      </w:pPr>
      <w:r>
        <w:rPr>
          <w:rFonts w:hint="eastAsia"/>
          <w:highlight w:val="none"/>
        </w:rPr>
        <w:t xml:space="preserve">3 </w:t>
      </w:r>
      <w:r>
        <w:rPr>
          <w:rFonts w:hint="eastAsia" w:ascii="黑体" w:hAnsi="黑体"/>
          <w:highlight w:val="none"/>
        </w:rPr>
        <w:t>供应商资格要求</w:t>
      </w:r>
    </w:p>
    <w:p w14:paraId="35D62409">
      <w:pPr>
        <w:autoSpaceDE w:val="0"/>
        <w:spacing w:line="360" w:lineRule="auto"/>
        <w:ind w:firstLine="241" w:firstLineChars="100"/>
        <w:rPr>
          <w:rFonts w:hint="eastAsia" w:ascii="宋体" w:hAnsi="宋体"/>
          <w:sz w:val="24"/>
          <w:highlight w:val="none"/>
        </w:rPr>
      </w:pPr>
      <w:r>
        <w:rPr>
          <w:rFonts w:hint="eastAsia" w:ascii="宋体" w:hAnsi="宋体"/>
          <w:b/>
          <w:bCs/>
          <w:sz w:val="24"/>
          <w:highlight w:val="none"/>
        </w:rPr>
        <w:t>3.1</w:t>
      </w:r>
      <w:r>
        <w:rPr>
          <w:rFonts w:hint="eastAsia" w:ascii="宋体" w:hAnsi="宋体"/>
          <w:sz w:val="24"/>
          <w:highlight w:val="none"/>
        </w:rPr>
        <w:t>供应商不得存在下列情形之一：</w:t>
      </w:r>
    </w:p>
    <w:p w14:paraId="7D215F7C">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（1）处于被责令停产停业、暂扣或者吊销执照、暂扣或者吊销许可证、吊销资质证书状态; </w:t>
      </w:r>
    </w:p>
    <w:p w14:paraId="77D7A066">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（2）进入清算程序，或被宣告破产，或其他丧失履约能力的情形; </w:t>
      </w:r>
    </w:p>
    <w:p w14:paraId="36736AA0">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（3）在国家企业信用信息公示系统（http://www.gsxt.gov.cn）中被列入严重违法失信企业名单的或在“信用中国网站”（http://www.creditchina.gov.cn）被列入失信被执行人名单的； </w:t>
      </w:r>
    </w:p>
    <w:p w14:paraId="47C71D79">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（4）与采购人有利害关系且可能影响采购公正性； </w:t>
      </w:r>
    </w:p>
    <w:p w14:paraId="56E29524">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（5）被采购人或采购人上级单位纳入黑名单； </w:t>
      </w:r>
    </w:p>
    <w:p w14:paraId="6C9A7922">
      <w:pPr>
        <w:autoSpaceDE w:val="0"/>
        <w:spacing w:line="360" w:lineRule="auto"/>
        <w:ind w:firstLine="240" w:firstLineChars="100"/>
        <w:rPr>
          <w:rFonts w:hint="eastAsia" w:ascii="宋体" w:hAnsi="宋体"/>
          <w:sz w:val="24"/>
          <w:highlight w:val="none"/>
          <w:u w:val="single"/>
        </w:rPr>
      </w:pPr>
      <w:r>
        <w:rPr>
          <w:rFonts w:hint="eastAsia" w:ascii="宋体" w:hAnsi="宋体"/>
          <w:sz w:val="24"/>
          <w:highlight w:val="none"/>
        </w:rPr>
        <w:t>（6）其他: 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43759393">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3.2供应商应满足如下要求：</w:t>
      </w:r>
    </w:p>
    <w:tbl>
      <w:tblPr>
        <w:tblStyle w:val="90"/>
        <w:tblpPr w:leftFromText="180" w:rightFromText="180" w:vertAnchor="text" w:horzAnchor="page" w:tblpX="1121" w:tblpY="40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3E22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FB283D5">
            <w:pPr>
              <w:widowControl w:val="0"/>
              <w:spacing w:line="360" w:lineRule="auto"/>
              <w:jc w:val="center"/>
              <w:rPr>
                <w:rFonts w:hint="eastAsia" w:ascii="宋体" w:hAnsi="宋体" w:cs="宋体"/>
                <w:bCs/>
                <w:szCs w:val="21"/>
                <w:highlight w:val="none"/>
              </w:rPr>
            </w:pPr>
            <w:r>
              <w:rPr>
                <w:rFonts w:hint="eastAsia" w:ascii="宋体" w:hAnsi="宋体" w:cs="宋体"/>
                <w:bCs/>
                <w:szCs w:val="21"/>
                <w:highlight w:val="none"/>
              </w:rPr>
              <w:t>资格条件</w:t>
            </w:r>
          </w:p>
        </w:tc>
        <w:tc>
          <w:tcPr>
            <w:tcW w:w="4112" w:type="dxa"/>
          </w:tcPr>
          <w:p w14:paraId="1C94B5EB">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 xml:space="preserve">对供应商要求 </w:t>
            </w:r>
          </w:p>
        </w:tc>
        <w:tc>
          <w:tcPr>
            <w:tcW w:w="3117" w:type="dxa"/>
          </w:tcPr>
          <w:p w14:paraId="7C3631BC">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证明材料要求</w:t>
            </w:r>
          </w:p>
        </w:tc>
      </w:tr>
      <w:tr w14:paraId="4441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EF7509B">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（1）依法设立</w:t>
            </w:r>
          </w:p>
        </w:tc>
        <w:tc>
          <w:tcPr>
            <w:tcW w:w="4112" w:type="dxa"/>
          </w:tcPr>
          <w:p w14:paraId="55717F2C">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55F8317F">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☑适用</w:t>
            </w:r>
          </w:p>
          <w:p w14:paraId="2C49CC66">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71FBBF22">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29A5B5D6">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☑适用，见采购文件供应商须知前附表3.5（1）。</w:t>
            </w:r>
          </w:p>
        </w:tc>
      </w:tr>
      <w:tr w14:paraId="1F09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1174930">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（2）资质要求</w:t>
            </w:r>
          </w:p>
        </w:tc>
        <w:tc>
          <w:tcPr>
            <w:tcW w:w="4112" w:type="dxa"/>
          </w:tcPr>
          <w:p w14:paraId="62B2E161">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47B7D0E8">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☑适用</w:t>
            </w:r>
          </w:p>
          <w:p w14:paraId="3C27815C">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响应人应同时具备以下资质：</w:t>
            </w:r>
          </w:p>
          <w:p w14:paraId="73A46B44">
            <w:pPr>
              <w:widowControl w:val="0"/>
              <w:tabs>
                <w:tab w:val="left" w:pos="312"/>
              </w:tabs>
              <w:spacing w:line="360" w:lineRule="auto"/>
              <w:jc w:val="both"/>
              <w:rPr>
                <w:rFonts w:hint="eastAsia" w:ascii="宋体" w:hAnsi="宋体" w:cs="宋体"/>
                <w:bCs/>
                <w:szCs w:val="21"/>
                <w:highlight w:val="none"/>
                <w:u w:val="single"/>
              </w:rPr>
            </w:pPr>
            <w:r>
              <w:rPr>
                <w:rFonts w:hint="eastAsia" w:ascii="宋体" w:hAnsi="宋体" w:cs="宋体"/>
                <w:bCs/>
                <w:szCs w:val="21"/>
                <w:highlight w:val="none"/>
              </w:rPr>
              <w:t>1.</w:t>
            </w:r>
            <w:r>
              <w:rPr>
                <w:rFonts w:hint="eastAsia" w:ascii="宋体" w:hAnsi="宋体" w:cs="宋体"/>
                <w:bCs/>
                <w:szCs w:val="21"/>
                <w:highlight w:val="none"/>
                <w:u w:val="single"/>
              </w:rPr>
              <w:t>具有省级及以上住房和城乡建设主管部门颁发的有效期内的建设工程质量检测机构综合资质或专项资质（含建筑材料及构配件、主体结构及装饰装修、钢结构、地基基础及建筑节能）。</w:t>
            </w:r>
          </w:p>
          <w:p w14:paraId="15B8F465">
            <w:pPr>
              <w:widowControl w:val="0"/>
              <w:tabs>
                <w:tab w:val="left" w:pos="312"/>
              </w:tabs>
              <w:spacing w:line="360" w:lineRule="auto"/>
              <w:jc w:val="both"/>
              <w:rPr>
                <w:rFonts w:hint="eastAsia" w:ascii="宋体" w:hAnsi="宋体" w:eastAsia="仿宋" w:cs="宋体"/>
                <w:bCs/>
                <w:szCs w:val="21"/>
                <w:highlight w:val="none"/>
                <w:lang w:eastAsia="zh-CN"/>
              </w:rPr>
            </w:pPr>
            <w:r>
              <w:rPr>
                <w:rFonts w:hint="eastAsia" w:ascii="宋体" w:hAnsi="宋体" w:cs="宋体"/>
                <w:bCs/>
                <w:szCs w:val="21"/>
                <w:highlight w:val="none"/>
              </w:rPr>
              <w:t>2.</w:t>
            </w:r>
            <w:r>
              <w:rPr>
                <w:rFonts w:hint="eastAsia" w:ascii="宋体" w:hAnsi="宋体" w:cs="宋体"/>
                <w:bCs/>
                <w:szCs w:val="21"/>
                <w:highlight w:val="none"/>
                <w:u w:val="single"/>
              </w:rPr>
              <w:t>具有省级及以上质量技术监督部门颁发的CMA计量认证证书。</w:t>
            </w:r>
          </w:p>
        </w:tc>
        <w:tc>
          <w:tcPr>
            <w:tcW w:w="3117" w:type="dxa"/>
          </w:tcPr>
          <w:p w14:paraId="6CAB6A01">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16BF3E07">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☑适用，见采购文件供应商须知前附表3.5（2）。</w:t>
            </w:r>
          </w:p>
        </w:tc>
      </w:tr>
      <w:tr w14:paraId="3D93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60" w:type="dxa"/>
            <w:vAlign w:val="center"/>
          </w:tcPr>
          <w:p w14:paraId="2E79E82E">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（3）财务要求</w:t>
            </w:r>
          </w:p>
        </w:tc>
        <w:tc>
          <w:tcPr>
            <w:tcW w:w="4112" w:type="dxa"/>
          </w:tcPr>
          <w:p w14:paraId="53DA4F7C">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650CAF7A">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w:t>
            </w:r>
          </w:p>
        </w:tc>
        <w:tc>
          <w:tcPr>
            <w:tcW w:w="3117" w:type="dxa"/>
          </w:tcPr>
          <w:p w14:paraId="2A9C5C63">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1DD2225A">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□适用，见采购文件供应商须知前附表3.5（3）。</w:t>
            </w:r>
          </w:p>
        </w:tc>
      </w:tr>
      <w:tr w14:paraId="3D8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3BCD182">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（4）业绩要求</w:t>
            </w:r>
          </w:p>
        </w:tc>
        <w:tc>
          <w:tcPr>
            <w:tcW w:w="4112" w:type="dxa"/>
          </w:tcPr>
          <w:p w14:paraId="295A4DB8">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 xml:space="preserve">不适用  </w:t>
            </w:r>
          </w:p>
          <w:p w14:paraId="11D07538">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适用</w:t>
            </w:r>
          </w:p>
          <w:p w14:paraId="3C9192F1">
            <w:pPr>
              <w:widowControl w:val="0"/>
              <w:spacing w:line="360" w:lineRule="auto"/>
              <w:jc w:val="both"/>
              <w:rPr>
                <w:rFonts w:hint="eastAsia" w:ascii="宋体" w:hAnsi="宋体" w:cs="宋体"/>
                <w:szCs w:val="21"/>
                <w:highlight w:val="none"/>
              </w:rPr>
            </w:pPr>
            <w:r>
              <w:rPr>
                <w:rFonts w:hint="eastAsia" w:ascii="宋体" w:hAnsi="宋体" w:cs="宋体"/>
                <w:szCs w:val="21"/>
                <w:highlight w:val="none"/>
                <w:u w:val="single"/>
              </w:rPr>
              <w:t>近5年（指递交响应文件截止之日前一日回溯 5年，以合同签订时间为</w:t>
            </w:r>
            <w:r>
              <w:rPr>
                <w:rFonts w:hint="eastAsia" w:ascii="宋体" w:hAnsi="宋体" w:cs="宋体"/>
                <w:szCs w:val="21"/>
                <w:highlight w:val="none"/>
                <w:u w:val="single"/>
                <w:lang w:val="zh-CN"/>
              </w:rPr>
              <w:t>准</w:t>
            </w:r>
            <w:r>
              <w:rPr>
                <w:rFonts w:hint="eastAsia" w:ascii="宋体" w:hAnsi="宋体" w:cs="宋体"/>
                <w:szCs w:val="21"/>
                <w:highlight w:val="none"/>
                <w:u w:val="single"/>
              </w:rPr>
              <w:t>）至少独立完成1个建筑面积6000m²以上的房建工程质量竣工检测技术服务业绩。</w:t>
            </w:r>
          </w:p>
        </w:tc>
        <w:tc>
          <w:tcPr>
            <w:tcW w:w="3117" w:type="dxa"/>
          </w:tcPr>
          <w:p w14:paraId="429A8253">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6C9C1147">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☑适用，见采购文件供应商须知前附表3.5（4）。</w:t>
            </w:r>
          </w:p>
        </w:tc>
      </w:tr>
      <w:tr w14:paraId="53E8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208EBA2">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（5）信誉要求</w:t>
            </w:r>
          </w:p>
        </w:tc>
        <w:tc>
          <w:tcPr>
            <w:tcW w:w="4112" w:type="dxa"/>
          </w:tcPr>
          <w:p w14:paraId="511D4243">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11C8A6A4">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☑适用</w:t>
            </w:r>
          </w:p>
          <w:p w14:paraId="5A6C27C6">
            <w:pPr>
              <w:widowControl w:val="0"/>
              <w:numPr>
                <w:ilvl w:val="0"/>
                <w:numId w:val="14"/>
              </w:numPr>
              <w:spacing w:line="360" w:lineRule="auto"/>
              <w:ind w:left="105" w:leftChars="0" w:firstLine="0" w:firstLineChars="0"/>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在全国企业信用信息公示系统（http://www.gsxt.gov.cn）中被列入严重违法失信企业名单的或在“信用中国”网站（www.creditchina.gov.cn）中被列入失信被执行人名单的。</w:t>
            </w:r>
          </w:p>
          <w:p w14:paraId="6DF2F42B">
            <w:pPr>
              <w:widowControl w:val="0"/>
              <w:numPr>
                <w:ilvl w:val="0"/>
                <w:numId w:val="0"/>
              </w:numPr>
              <w:spacing w:line="360" w:lineRule="auto"/>
              <w:ind w:left="105" w:leftChars="0"/>
              <w:jc w:val="both"/>
              <w:rPr>
                <w:rStyle w:val="132"/>
                <w:rFonts w:hint="eastAsia" w:ascii="宋体" w:hAnsi="宋体" w:cs="宋体"/>
                <w:b w:val="0"/>
                <w:szCs w:val="21"/>
                <w:highlight w:val="none"/>
                <w:u w:val="single"/>
              </w:rPr>
            </w:pPr>
            <w:r>
              <w:rPr>
                <w:rStyle w:val="132"/>
                <w:rFonts w:hint="eastAsia" w:ascii="宋体" w:hAnsi="宋体" w:eastAsia="宋体" w:cs="宋体"/>
                <w:b w:val="0"/>
                <w:szCs w:val="21"/>
                <w:highlight w:val="none"/>
                <w:u w:val="single"/>
                <w:lang w:val="en-US" w:eastAsia="zh-CN"/>
              </w:rPr>
              <w:t>2</w:t>
            </w:r>
            <w:r>
              <w:rPr>
                <w:rStyle w:val="132"/>
                <w:rFonts w:hint="eastAsia" w:ascii="宋体" w:hAnsi="宋体" w:eastAsia="宋体" w:cs="宋体"/>
                <w:b w:val="0"/>
                <w:szCs w:val="21"/>
                <w:highlight w:val="none"/>
                <w:u w:val="single"/>
              </w:rPr>
              <w:t>.响应人不存在第一章3.1款情形的</w:t>
            </w:r>
            <w:r>
              <w:rPr>
                <w:rStyle w:val="132"/>
                <w:rFonts w:hint="eastAsia" w:ascii="宋体" w:hAnsi="宋体" w:eastAsia="宋体" w:cs="宋体"/>
                <w:b w:val="0"/>
                <w:szCs w:val="21"/>
                <w:highlight w:val="none"/>
                <w:u w:val="single"/>
                <w:lang w:eastAsia="zh-CN"/>
              </w:rPr>
              <w:t>。</w:t>
            </w:r>
          </w:p>
        </w:tc>
        <w:tc>
          <w:tcPr>
            <w:tcW w:w="3117" w:type="dxa"/>
          </w:tcPr>
          <w:p w14:paraId="22A85B9E">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4BF53FC8">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☑适用，见采购文件供应商须知前附表3.5（5）。</w:t>
            </w:r>
          </w:p>
        </w:tc>
      </w:tr>
      <w:tr w14:paraId="230C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68898B5">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（6）承担本项目的主要人员要求</w:t>
            </w:r>
          </w:p>
        </w:tc>
        <w:tc>
          <w:tcPr>
            <w:tcW w:w="4112" w:type="dxa"/>
          </w:tcPr>
          <w:p w14:paraId="1AF5DADF">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 xml:space="preserve">不适用  </w:t>
            </w:r>
          </w:p>
          <w:p w14:paraId="239DD615">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适用</w:t>
            </w:r>
          </w:p>
          <w:p w14:paraId="090575BF">
            <w:pPr>
              <w:widowControl w:val="0"/>
              <w:spacing w:line="360" w:lineRule="auto"/>
              <w:jc w:val="both"/>
              <w:rPr>
                <w:rFonts w:hint="eastAsia" w:ascii="宋体" w:hAnsi="宋体" w:cs="宋体"/>
                <w:szCs w:val="21"/>
                <w:highlight w:val="none"/>
                <w:u w:val="single"/>
              </w:rPr>
            </w:pPr>
            <w:bookmarkStart w:id="1" w:name="EB9a6470c35e3a470f957788a5ce823d0d"/>
            <w:r>
              <w:rPr>
                <w:rFonts w:hint="eastAsia" w:ascii="宋体" w:hAnsi="宋体" w:cs="宋体"/>
                <w:szCs w:val="21"/>
                <w:highlight w:val="none"/>
                <w:u w:val="single"/>
              </w:rPr>
              <w:t>拟委派本项目的项目负责人应具备：</w:t>
            </w:r>
          </w:p>
          <w:bookmarkEnd w:id="1"/>
          <w:p w14:paraId="1EBFC971">
            <w:pPr>
              <w:widowControl w:val="0"/>
              <w:numPr>
                <w:ilvl w:val="0"/>
                <w:numId w:val="15"/>
              </w:numPr>
              <w:spacing w:line="360" w:lineRule="auto"/>
              <w:jc w:val="both"/>
              <w:rPr>
                <w:rFonts w:hint="eastAsia" w:ascii="宋体" w:hAnsi="宋体" w:eastAsia="宋体" w:cs="宋体"/>
                <w:szCs w:val="21"/>
                <w:highlight w:val="none"/>
                <w:u w:val="single"/>
                <w:lang w:eastAsia="zh-CN"/>
              </w:rPr>
            </w:pPr>
            <w:r>
              <w:rPr>
                <w:rFonts w:hint="eastAsia" w:ascii="宋体" w:hAnsi="宋体" w:eastAsia="宋体" w:cs="宋体"/>
                <w:szCs w:val="21"/>
                <w:highlight w:val="none"/>
                <w:u w:val="single"/>
              </w:rPr>
              <w:t>具有建筑工程相关专业</w:t>
            </w:r>
            <w:r>
              <w:rPr>
                <w:rFonts w:hint="eastAsia" w:ascii="宋体" w:hAnsi="宋体" w:eastAsia="宋体" w:cs="宋体"/>
                <w:szCs w:val="21"/>
                <w:highlight w:val="none"/>
                <w:u w:val="single"/>
                <w:lang w:val="en-US" w:eastAsia="zh-CN"/>
              </w:rPr>
              <w:t>高</w:t>
            </w:r>
            <w:r>
              <w:rPr>
                <w:rFonts w:hint="eastAsia" w:ascii="宋体" w:hAnsi="宋体" w:eastAsia="宋体" w:cs="宋体"/>
                <w:szCs w:val="21"/>
                <w:highlight w:val="none"/>
                <w:u w:val="single"/>
              </w:rPr>
              <w:t>级及以上职称（建筑工程相关专业职称包括：给排水、暖通、电气、土木工程、工民建、结构、建筑施工、建筑工程等专业</w:t>
            </w:r>
            <w:r>
              <w:rPr>
                <w:rFonts w:hint="eastAsia" w:ascii="宋体" w:hAnsi="宋体" w:eastAsia="宋体" w:cs="宋体"/>
                <w:szCs w:val="21"/>
                <w:highlight w:val="none"/>
                <w:u w:val="single"/>
                <w:lang w:eastAsia="zh-CN"/>
              </w:rPr>
              <w:t>）；</w:t>
            </w:r>
          </w:p>
          <w:p w14:paraId="733FE41A">
            <w:pPr>
              <w:widowControl w:val="0"/>
              <w:spacing w:line="360" w:lineRule="auto"/>
              <w:jc w:val="both"/>
              <w:rPr>
                <w:rFonts w:hint="eastAsia" w:ascii="宋体" w:hAnsi="宋体" w:cs="宋体"/>
                <w:szCs w:val="21"/>
                <w:highlight w:val="none"/>
              </w:rPr>
            </w:pPr>
            <w:r>
              <w:rPr>
                <w:rFonts w:hint="eastAsia" w:ascii="宋体" w:hAnsi="宋体" w:cs="宋体"/>
                <w:szCs w:val="21"/>
                <w:highlight w:val="none"/>
                <w:u w:val="single"/>
              </w:rPr>
              <w:t>2、最近5年(指报价截止之日前一日回溯5年)至少担任过1个房建工程质量竣工检测技术服务项目的项目负责人或技术负责人职务。</w:t>
            </w:r>
          </w:p>
        </w:tc>
        <w:tc>
          <w:tcPr>
            <w:tcW w:w="3117" w:type="dxa"/>
          </w:tcPr>
          <w:p w14:paraId="152FC324">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5F243534">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☑适用，见采购文件供应商须知前附表3.5（6）。</w:t>
            </w:r>
          </w:p>
        </w:tc>
      </w:tr>
      <w:tr w14:paraId="059D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33ED34A">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（7）其他要求</w:t>
            </w:r>
          </w:p>
        </w:tc>
        <w:tc>
          <w:tcPr>
            <w:tcW w:w="4112" w:type="dxa"/>
          </w:tcPr>
          <w:p w14:paraId="5E8AB72A">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0F4442E4">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□适用</w:t>
            </w:r>
          </w:p>
        </w:tc>
        <w:tc>
          <w:tcPr>
            <w:tcW w:w="3117" w:type="dxa"/>
          </w:tcPr>
          <w:p w14:paraId="7B8CC0CD">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1A4D57E4">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□适用，见采购文件供应商须知前附表3.5（7）。</w:t>
            </w:r>
          </w:p>
        </w:tc>
      </w:tr>
      <w:tr w14:paraId="0546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6B5617C">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（8）供应商不存在第一章3.1款情形的证明材料</w:t>
            </w:r>
          </w:p>
        </w:tc>
        <w:tc>
          <w:tcPr>
            <w:tcW w:w="4112" w:type="dxa"/>
          </w:tcPr>
          <w:p w14:paraId="2DE8BBF2">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321EF0FC">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w:t>
            </w:r>
          </w:p>
          <w:p w14:paraId="17DCDA1D">
            <w:pPr>
              <w:widowControl w:val="0"/>
              <w:spacing w:line="360" w:lineRule="auto"/>
              <w:jc w:val="both"/>
              <w:rPr>
                <w:rFonts w:hint="eastAsia" w:ascii="宋体" w:hAnsi="宋体" w:cs="宋体"/>
                <w:bCs/>
                <w:szCs w:val="21"/>
                <w:highlight w:val="none"/>
              </w:rPr>
            </w:pPr>
          </w:p>
        </w:tc>
        <w:tc>
          <w:tcPr>
            <w:tcW w:w="3117" w:type="dxa"/>
          </w:tcPr>
          <w:p w14:paraId="44F87A23">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7581AF8C">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☑适用，见采购文件供应商须知前附表3.5（8）。</w:t>
            </w:r>
          </w:p>
        </w:tc>
      </w:tr>
      <w:tr w14:paraId="3AC4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A6467E4">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（9）联合体要求的证明材料</w:t>
            </w:r>
          </w:p>
        </w:tc>
        <w:tc>
          <w:tcPr>
            <w:tcW w:w="4112" w:type="dxa"/>
          </w:tcPr>
          <w:p w14:paraId="283D8530">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76243682">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w:t>
            </w:r>
          </w:p>
          <w:p w14:paraId="461DB478">
            <w:pPr>
              <w:widowControl w:val="0"/>
              <w:spacing w:line="360" w:lineRule="auto"/>
              <w:jc w:val="both"/>
              <w:rPr>
                <w:rFonts w:hint="eastAsia" w:ascii="宋体" w:hAnsi="宋体" w:cs="宋体"/>
                <w:bCs/>
                <w:szCs w:val="21"/>
                <w:highlight w:val="none"/>
              </w:rPr>
            </w:pPr>
          </w:p>
        </w:tc>
        <w:tc>
          <w:tcPr>
            <w:tcW w:w="3117" w:type="dxa"/>
          </w:tcPr>
          <w:p w14:paraId="098F23F3">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 xml:space="preserve">☑不适用  </w:t>
            </w:r>
          </w:p>
          <w:p w14:paraId="5A7325BD">
            <w:pPr>
              <w:widowControl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□适用，见采购文件供应商须知前附表3.5（9）。</w:t>
            </w:r>
          </w:p>
        </w:tc>
      </w:tr>
    </w:tbl>
    <w:p w14:paraId="133822C6">
      <w:pPr>
        <w:autoSpaceDE w:val="0"/>
        <w:spacing w:line="400" w:lineRule="exact"/>
        <w:ind w:firstLine="240" w:firstLineChars="100"/>
        <w:rPr>
          <w:rFonts w:hint="eastAsia" w:ascii="宋体" w:hAnsi="宋体"/>
          <w:sz w:val="24"/>
          <w:highlight w:val="none"/>
        </w:rPr>
      </w:pPr>
    </w:p>
    <w:p w14:paraId="42A89841">
      <w:pPr>
        <w:pStyle w:val="7"/>
        <w:rPr>
          <w:rFonts w:ascii="Arial" w:hAnsi="Arial"/>
          <w:highlight w:val="none"/>
        </w:rPr>
      </w:pPr>
      <w:r>
        <w:rPr>
          <w:rFonts w:hint="eastAsia"/>
          <w:highlight w:val="none"/>
        </w:rPr>
        <w:t xml:space="preserve">4 </w:t>
      </w:r>
      <w:r>
        <w:rPr>
          <w:rFonts w:hint="eastAsia" w:ascii="黑体" w:hAnsi="黑体"/>
          <w:highlight w:val="none"/>
        </w:rPr>
        <w:t>响应保证金</w:t>
      </w:r>
    </w:p>
    <w:tbl>
      <w:tblPr>
        <w:tblStyle w:val="9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28D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4" w:type="dxa"/>
          </w:tcPr>
          <w:p w14:paraId="43BFE3F7">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响应保证金的递交</w:t>
            </w:r>
          </w:p>
        </w:tc>
        <w:tc>
          <w:tcPr>
            <w:tcW w:w="3437" w:type="dxa"/>
          </w:tcPr>
          <w:p w14:paraId="1050769D">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不退还响应保证金的其他情形</w:t>
            </w:r>
          </w:p>
        </w:tc>
        <w:tc>
          <w:tcPr>
            <w:tcW w:w="3133" w:type="dxa"/>
          </w:tcPr>
          <w:p w14:paraId="1C8BE909">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退还响应保证金的时间</w:t>
            </w:r>
          </w:p>
        </w:tc>
      </w:tr>
      <w:tr w14:paraId="4D81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02EF4A90">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不要求递交</w:t>
            </w:r>
          </w:p>
          <w:p w14:paraId="0D9BCE7A">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要求递交</w:t>
            </w:r>
          </w:p>
          <w:p w14:paraId="4FD5D836">
            <w:pPr>
              <w:widowControl w:val="0"/>
              <w:autoSpaceDE w:val="0"/>
              <w:spacing w:line="360" w:lineRule="auto"/>
              <w:ind w:firstLine="210" w:firstLineChars="100"/>
              <w:jc w:val="left"/>
              <w:rPr>
                <w:rFonts w:hint="eastAsia" w:ascii="宋体" w:hAnsi="宋体" w:cs="宋体"/>
                <w:bCs/>
                <w:szCs w:val="21"/>
                <w:highlight w:val="none"/>
              </w:rPr>
            </w:pPr>
          </w:p>
        </w:tc>
        <w:tc>
          <w:tcPr>
            <w:tcW w:w="3437" w:type="dxa"/>
          </w:tcPr>
          <w:p w14:paraId="46E83030">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Style w:val="132"/>
                <w:rFonts w:hint="eastAsia" w:ascii="宋体" w:hAnsi="宋体" w:cs="宋体"/>
                <w:b w:val="0"/>
                <w:szCs w:val="21"/>
                <w:highlight w:val="none"/>
              </w:rPr>
              <w:t>不</w:t>
            </w:r>
            <w:r>
              <w:rPr>
                <w:rFonts w:hint="eastAsia" w:ascii="宋体" w:hAnsi="宋体" w:cs="宋体"/>
                <w:bCs/>
                <w:szCs w:val="21"/>
                <w:highlight w:val="none"/>
              </w:rPr>
              <w:t>适用</w:t>
            </w:r>
          </w:p>
          <w:p w14:paraId="03850FC8">
            <w:pPr>
              <w:widowControl w:val="0"/>
              <w:autoSpaceDE w:val="0"/>
              <w:spacing w:line="360" w:lineRule="auto"/>
              <w:ind w:right="42" w:rightChars="20"/>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适用，具体如下：</w:t>
            </w:r>
          </w:p>
          <w:p w14:paraId="3F469A5A">
            <w:pPr>
              <w:widowControl w:val="0"/>
              <w:autoSpaceDE w:val="0"/>
              <w:spacing w:line="360" w:lineRule="auto"/>
              <w:jc w:val="both"/>
              <w:rPr>
                <w:rFonts w:hint="eastAsia" w:ascii="宋体" w:hAnsi="宋体" w:cs="宋体"/>
                <w:bCs/>
                <w:szCs w:val="21"/>
                <w:highlight w:val="none"/>
              </w:rPr>
            </w:pPr>
          </w:p>
        </w:tc>
        <w:tc>
          <w:tcPr>
            <w:tcW w:w="3133" w:type="dxa"/>
          </w:tcPr>
          <w:p w14:paraId="2BFBA9E2">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不适用</w:t>
            </w:r>
          </w:p>
          <w:p w14:paraId="454968DF">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u w:val="single"/>
              </w:rPr>
              <w:t>□</w:t>
            </w:r>
            <w:r>
              <w:rPr>
                <w:rFonts w:hint="eastAsia" w:ascii="宋体" w:hAnsi="宋体" w:cs="宋体"/>
                <w:bCs/>
                <w:szCs w:val="21"/>
                <w:highlight w:val="none"/>
              </w:rPr>
              <w:t>适用，具体如下：</w:t>
            </w:r>
          </w:p>
          <w:p w14:paraId="0FF32FDA">
            <w:pPr>
              <w:widowControl w:val="0"/>
              <w:autoSpaceDE w:val="0"/>
              <w:spacing w:line="360" w:lineRule="auto"/>
              <w:jc w:val="both"/>
              <w:rPr>
                <w:rFonts w:hint="eastAsia" w:ascii="宋体" w:hAnsi="宋体" w:cs="宋体"/>
                <w:bCs/>
                <w:szCs w:val="21"/>
                <w:highlight w:val="none"/>
              </w:rPr>
            </w:pPr>
          </w:p>
        </w:tc>
      </w:tr>
    </w:tbl>
    <w:p w14:paraId="1CE3B9EF">
      <w:pPr>
        <w:pStyle w:val="7"/>
        <w:rPr>
          <w:rFonts w:ascii="Arial" w:hAnsi="Arial"/>
          <w:highlight w:val="none"/>
        </w:rPr>
      </w:pPr>
      <w:r>
        <w:rPr>
          <w:rFonts w:hint="eastAsia"/>
          <w:highlight w:val="none"/>
        </w:rPr>
        <w:t xml:space="preserve">5 </w:t>
      </w:r>
      <w:r>
        <w:rPr>
          <w:rFonts w:hint="eastAsia" w:ascii="黑体" w:hAnsi="黑体"/>
          <w:highlight w:val="none"/>
        </w:rPr>
        <w:t>确定成交供应商的方法</w:t>
      </w:r>
    </w:p>
    <w:p w14:paraId="09915F17">
      <w:pPr>
        <w:autoSpaceDE w:val="0"/>
        <w:spacing w:line="360" w:lineRule="auto"/>
        <w:rPr>
          <w:rFonts w:hint="eastAsia" w:ascii="宋体" w:hAnsi="宋体"/>
          <w:sz w:val="24"/>
          <w:highlight w:val="none"/>
        </w:rPr>
      </w:pPr>
      <w:r>
        <w:rPr>
          <w:rFonts w:hint="eastAsia" w:ascii="宋体" w:hAnsi="宋体"/>
          <w:b/>
          <w:bCs/>
          <w:sz w:val="24"/>
          <w:highlight w:val="none"/>
        </w:rPr>
        <w:t xml:space="preserve">5.1 </w:t>
      </w:r>
      <w:r>
        <w:rPr>
          <w:rStyle w:val="132"/>
          <w:rFonts w:hint="eastAsia"/>
          <w:highlight w:val="none"/>
        </w:rPr>
        <w:t>综合评分法；</w:t>
      </w:r>
    </w:p>
    <w:p w14:paraId="48AF5233">
      <w:pPr>
        <w:autoSpaceDE w:val="0"/>
        <w:spacing w:line="360" w:lineRule="auto"/>
        <w:rPr>
          <w:rFonts w:hint="eastAsia" w:ascii="宋体" w:hAnsi="宋体"/>
          <w:sz w:val="24"/>
          <w:highlight w:val="none"/>
        </w:rPr>
      </w:pPr>
      <w:r>
        <w:rPr>
          <w:rFonts w:hint="eastAsia" w:ascii="宋体" w:hAnsi="宋体"/>
          <w:b/>
          <w:bCs/>
          <w:sz w:val="24"/>
          <w:highlight w:val="none"/>
        </w:rPr>
        <w:t>5.2</w:t>
      </w:r>
      <w:r>
        <w:rPr>
          <w:rFonts w:hint="eastAsia" w:ascii="宋体" w:hAnsi="宋体"/>
          <w:sz w:val="24"/>
          <w:highlight w:val="none"/>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55B4DD8E">
      <w:pPr>
        <w:pStyle w:val="7"/>
        <w:rPr>
          <w:rFonts w:ascii="Arial" w:hAnsi="Arial"/>
          <w:highlight w:val="none"/>
        </w:rPr>
      </w:pPr>
      <w:r>
        <w:rPr>
          <w:rFonts w:hint="eastAsia"/>
          <w:highlight w:val="none"/>
        </w:rPr>
        <w:t>6</w:t>
      </w:r>
      <w:r>
        <w:rPr>
          <w:rFonts w:hint="eastAsia" w:ascii="黑体" w:hAnsi="黑体"/>
          <w:highlight w:val="none"/>
        </w:rPr>
        <w:t>采购文件获取及响应文件递交</w:t>
      </w:r>
    </w:p>
    <w:p w14:paraId="40FAABE5">
      <w:pPr>
        <w:autoSpaceDE w:val="0"/>
        <w:spacing w:line="360" w:lineRule="auto"/>
        <w:rPr>
          <w:rFonts w:hint="eastAsia" w:ascii="宋体" w:hAnsi="宋体"/>
          <w:sz w:val="24"/>
          <w:highlight w:val="none"/>
        </w:rPr>
      </w:pPr>
      <w:r>
        <w:rPr>
          <w:rFonts w:hint="eastAsia" w:ascii="宋体" w:hAnsi="宋体"/>
          <w:b/>
          <w:bCs/>
          <w:sz w:val="24"/>
          <w:highlight w:val="none"/>
        </w:rPr>
        <w:t>6.1</w:t>
      </w:r>
      <w:r>
        <w:rPr>
          <w:rFonts w:hint="eastAsia" w:ascii="宋体" w:hAnsi="宋体"/>
          <w:sz w:val="24"/>
          <w:highlight w:val="none"/>
        </w:rPr>
        <w:t xml:space="preserve"> 凡有意参加响应的单位，请登录</w:t>
      </w:r>
      <w:r>
        <w:rPr>
          <w:rFonts w:hint="eastAsia" w:ascii="宋体" w:hAnsi="宋体" w:cs="宋体"/>
          <w:bCs/>
          <w:sz w:val="24"/>
          <w:highlight w:val="none"/>
          <w:shd w:val="clear" w:color="auto" w:fill="FFFFFF"/>
        </w:rPr>
        <w:t>中科高盛咨询集团有限公司网站（http://www.zkgscg.com/）</w:t>
      </w:r>
      <w:r>
        <w:rPr>
          <w:rFonts w:hint="eastAsia" w:ascii="宋体" w:hAnsi="宋体"/>
          <w:sz w:val="24"/>
          <w:highlight w:val="none"/>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7507DC6E">
      <w:pPr>
        <w:autoSpaceDE w:val="0"/>
        <w:spacing w:line="360" w:lineRule="auto"/>
        <w:rPr>
          <w:rFonts w:hint="eastAsia" w:ascii="宋体" w:hAnsi="宋体"/>
          <w:sz w:val="24"/>
          <w:highlight w:val="none"/>
        </w:rPr>
      </w:pPr>
      <w:r>
        <w:rPr>
          <w:rFonts w:hint="eastAsia" w:ascii="宋体" w:hAnsi="宋体"/>
          <w:b/>
          <w:bCs/>
          <w:sz w:val="24"/>
          <w:highlight w:val="none"/>
        </w:rPr>
        <w:t>6.2</w:t>
      </w:r>
      <w:r>
        <w:rPr>
          <w:rFonts w:hint="eastAsia" w:ascii="宋体" w:hAnsi="宋体"/>
          <w:sz w:val="24"/>
          <w:highlight w:val="none"/>
        </w:rPr>
        <w:t xml:space="preserve"> 采购人不组织进行现场踏勘，不召开采购预备会。</w:t>
      </w:r>
    </w:p>
    <w:p w14:paraId="037FE84F">
      <w:pPr>
        <w:autoSpaceDE w:val="0"/>
        <w:spacing w:line="360" w:lineRule="auto"/>
        <w:rPr>
          <w:rFonts w:hint="eastAsia" w:ascii="宋体" w:hAnsi="宋体"/>
          <w:sz w:val="24"/>
          <w:highlight w:val="none"/>
        </w:rPr>
      </w:pPr>
      <w:r>
        <w:rPr>
          <w:rFonts w:hint="eastAsia" w:ascii="宋体" w:hAnsi="宋体"/>
          <w:b/>
          <w:bCs/>
          <w:sz w:val="24"/>
          <w:highlight w:val="none"/>
        </w:rPr>
        <w:t>6.3</w:t>
      </w:r>
      <w:r>
        <w:rPr>
          <w:rFonts w:hint="eastAsia" w:ascii="宋体" w:hAnsi="宋体"/>
          <w:sz w:val="24"/>
          <w:highlight w:val="none"/>
        </w:rPr>
        <w:t xml:space="preserve"> 响应文件递交截止时间为</w:t>
      </w:r>
      <w:r>
        <w:rPr>
          <w:rFonts w:hint="eastAsia" w:ascii="宋体" w:hAnsi="宋体"/>
          <w:sz w:val="24"/>
          <w:highlight w:val="none"/>
        </w:rPr>
        <w:t>2025年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21</w:t>
      </w:r>
      <w:r>
        <w:rPr>
          <w:rFonts w:hint="eastAsia" w:ascii="宋体" w:hAnsi="宋体"/>
          <w:sz w:val="24"/>
          <w:highlight w:val="none"/>
        </w:rPr>
        <w:t>日</w:t>
      </w:r>
      <w:r>
        <w:rPr>
          <w:rFonts w:hint="eastAsia" w:ascii="宋体" w:hAnsi="宋体"/>
          <w:sz w:val="24"/>
          <w:highlight w:val="none"/>
          <w:lang w:val="en-US" w:eastAsia="zh-CN"/>
        </w:rPr>
        <w:t>09</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分(北京时间)</w:t>
      </w:r>
      <w:r>
        <w:rPr>
          <w:rFonts w:hint="eastAsia" w:ascii="宋体" w:hAnsi="宋体"/>
          <w:sz w:val="24"/>
          <w:highlight w:val="none"/>
        </w:rPr>
        <w:t>，供应商应当在采购人要求的响应文件递交截止时间前，按采购文件要求制作好响应文件，签字盖章完成后扫描成pdf格式文件，用WinRAR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545826559@qq.com，时间以收到邮件时间为准，邮件中留联系人及手机号码。在截止时间后上传或未按要求发送至指定邮箱的响应文件，采购人将拒绝接收。</w:t>
      </w:r>
    </w:p>
    <w:p w14:paraId="315A8B93">
      <w:pPr>
        <w:autoSpaceDE w:val="0"/>
        <w:spacing w:line="360" w:lineRule="auto"/>
        <w:rPr>
          <w:rFonts w:hint="eastAsia" w:ascii="宋体" w:hAnsi="宋体"/>
          <w:sz w:val="24"/>
          <w:highlight w:val="none"/>
        </w:rPr>
      </w:pPr>
      <w:r>
        <w:rPr>
          <w:rFonts w:hint="eastAsia" w:ascii="宋体" w:hAnsi="宋体"/>
          <w:b/>
          <w:bCs/>
          <w:sz w:val="24"/>
          <w:highlight w:val="none"/>
        </w:rPr>
        <w:t>6.4</w:t>
      </w:r>
      <w:r>
        <w:rPr>
          <w:rFonts w:hint="eastAsia" w:ascii="宋体" w:hAnsi="宋体"/>
          <w:sz w:val="24"/>
          <w:highlight w:val="none"/>
        </w:rPr>
        <w:t xml:space="preserve"> 采购人通过“</w:t>
      </w:r>
      <w:r>
        <w:rPr>
          <w:rFonts w:hint="eastAsia" w:ascii="宋体" w:hAnsi="宋体" w:cs="宋体"/>
          <w:bCs/>
          <w:sz w:val="24"/>
          <w:highlight w:val="none"/>
        </w:rPr>
        <w:t>腾讯会议</w:t>
      </w:r>
      <w:r>
        <w:rPr>
          <w:rFonts w:hint="eastAsia" w:ascii="宋体" w:hAnsi="宋体"/>
          <w:sz w:val="24"/>
          <w:highlight w:val="none"/>
        </w:rPr>
        <w:t>”APP进行远程开标，所有供应商的法定代表人（单位负责人）或其委托代理人应当提前下载“</w:t>
      </w:r>
      <w:r>
        <w:rPr>
          <w:rFonts w:hint="eastAsia" w:ascii="宋体" w:hAnsi="宋体" w:cs="宋体"/>
          <w:bCs/>
          <w:sz w:val="24"/>
          <w:highlight w:val="none"/>
        </w:rPr>
        <w:t>腾讯会议</w:t>
      </w:r>
      <w:r>
        <w:rPr>
          <w:rFonts w:hint="eastAsia" w:ascii="宋体" w:hAnsi="宋体"/>
          <w:sz w:val="24"/>
          <w:highlight w:val="none"/>
        </w:rPr>
        <w:t>”APP并准时参加远程开标会议。供应商若未派法定代表人或委托代理人出席开标活动，视为该供应商默认开标结果。</w:t>
      </w:r>
    </w:p>
    <w:p w14:paraId="476A0D6F">
      <w:pPr>
        <w:autoSpaceDE w:val="0"/>
        <w:spacing w:line="360" w:lineRule="auto"/>
        <w:ind w:left="241" w:hanging="241" w:hangingChars="100"/>
        <w:rPr>
          <w:rFonts w:hint="eastAsia" w:ascii="宋体" w:hAnsi="宋体"/>
          <w:sz w:val="24"/>
          <w:highlight w:val="none"/>
        </w:rPr>
      </w:pPr>
      <w:r>
        <w:rPr>
          <w:rFonts w:hint="eastAsia" w:ascii="宋体" w:hAnsi="宋体"/>
          <w:b/>
          <w:bCs/>
          <w:sz w:val="24"/>
          <w:highlight w:val="none"/>
        </w:rPr>
        <w:t>6.5</w:t>
      </w:r>
      <w:r>
        <w:rPr>
          <w:rFonts w:hint="eastAsia" w:ascii="宋体" w:hAnsi="宋体"/>
          <w:sz w:val="24"/>
          <w:highlight w:val="none"/>
        </w:rPr>
        <w:t xml:space="preserve"> 供应商若对本项目采购需求、资格要求等有疑问的，应当于 </w:t>
      </w:r>
      <w:r>
        <w:rPr>
          <w:rFonts w:hint="eastAsia" w:ascii="宋体" w:hAnsi="宋体"/>
          <w:sz w:val="24"/>
          <w:highlight w:val="none"/>
        </w:rPr>
        <w:t>2025年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w:t>
      </w:r>
      <w:r>
        <w:rPr>
          <w:rFonts w:hint="eastAsia" w:ascii="宋体" w:hAnsi="宋体"/>
          <w:sz w:val="24"/>
          <w:highlight w:val="none"/>
        </w:rPr>
        <w:t>以不署名电子档形式发送至邮箱545826559@qq.com。</w:t>
      </w:r>
    </w:p>
    <w:p w14:paraId="1C6C6F9E">
      <w:pPr>
        <w:pStyle w:val="7"/>
        <w:rPr>
          <w:rFonts w:ascii="Arial" w:hAnsi="Arial"/>
          <w:highlight w:val="none"/>
        </w:rPr>
      </w:pPr>
      <w:r>
        <w:rPr>
          <w:rFonts w:hint="eastAsia"/>
          <w:highlight w:val="none"/>
        </w:rPr>
        <w:t xml:space="preserve">7 </w:t>
      </w:r>
      <w:r>
        <w:rPr>
          <w:rFonts w:hint="eastAsia" w:ascii="黑体" w:hAnsi="黑体"/>
          <w:highlight w:val="none"/>
        </w:rPr>
        <w:t>项目公告和公示</w:t>
      </w:r>
    </w:p>
    <w:p w14:paraId="673AED45">
      <w:pPr>
        <w:autoSpaceDE w:val="0"/>
        <w:spacing w:line="360" w:lineRule="auto"/>
        <w:ind w:left="241" w:hanging="241" w:hangingChars="100"/>
        <w:rPr>
          <w:rFonts w:hint="eastAsia" w:ascii="宋体" w:hAnsi="宋体"/>
          <w:sz w:val="24"/>
          <w:highlight w:val="none"/>
        </w:rPr>
      </w:pPr>
      <w:r>
        <w:rPr>
          <w:rFonts w:hint="eastAsia" w:ascii="宋体" w:hAnsi="宋体"/>
          <w:b/>
          <w:bCs/>
          <w:sz w:val="24"/>
          <w:highlight w:val="none"/>
        </w:rPr>
        <w:t xml:space="preserve">7.1 </w:t>
      </w:r>
      <w:r>
        <w:rPr>
          <w:rFonts w:hint="eastAsia" w:ascii="宋体" w:hAnsi="宋体"/>
          <w:sz w:val="24"/>
          <w:highlight w:val="none"/>
        </w:rPr>
        <w:t>发布采购公告、预成交结果公示和成交公告的媒介：中科高盛咨询集团有限公司网站（http://www.zkgscg.com/）</w:t>
      </w:r>
    </w:p>
    <w:p w14:paraId="57837FCD">
      <w:pPr>
        <w:autoSpaceDE w:val="0"/>
        <w:spacing w:line="360" w:lineRule="auto"/>
        <w:rPr>
          <w:rFonts w:hint="eastAsia" w:ascii="宋体" w:hAnsi="宋体"/>
          <w:sz w:val="24"/>
          <w:highlight w:val="none"/>
        </w:rPr>
      </w:pPr>
      <w:r>
        <w:rPr>
          <w:rFonts w:hint="eastAsia" w:ascii="宋体" w:hAnsi="宋体"/>
          <w:b/>
          <w:bCs/>
          <w:sz w:val="24"/>
          <w:highlight w:val="none"/>
        </w:rPr>
        <w:t xml:space="preserve">7.2 </w:t>
      </w:r>
      <w:r>
        <w:rPr>
          <w:rFonts w:hint="eastAsia" w:ascii="宋体" w:hAnsi="宋体"/>
          <w:sz w:val="24"/>
          <w:highlight w:val="none"/>
        </w:rPr>
        <w:t xml:space="preserve">预成交结果公示的期限： </w:t>
      </w:r>
      <w:r>
        <w:rPr>
          <w:rFonts w:hint="eastAsia" w:ascii="宋体" w:hAnsi="宋体"/>
          <w:sz w:val="24"/>
          <w:highlight w:val="none"/>
          <w:u w:val="single"/>
        </w:rPr>
        <w:t>3日。</w:t>
      </w:r>
    </w:p>
    <w:p w14:paraId="3911DB4A">
      <w:pPr>
        <w:autoSpaceDE w:val="0"/>
        <w:spacing w:line="360" w:lineRule="auto"/>
        <w:rPr>
          <w:rFonts w:hint="eastAsia" w:ascii="宋体" w:hAnsi="宋体"/>
          <w:sz w:val="24"/>
          <w:highlight w:val="none"/>
        </w:rPr>
      </w:pPr>
      <w:r>
        <w:rPr>
          <w:rFonts w:hint="eastAsia" w:ascii="宋体" w:hAnsi="宋体"/>
          <w:b/>
          <w:bCs/>
          <w:sz w:val="24"/>
          <w:highlight w:val="none"/>
        </w:rPr>
        <w:t xml:space="preserve">7.3 </w:t>
      </w:r>
      <w:r>
        <w:rPr>
          <w:rFonts w:hint="eastAsia" w:ascii="宋体" w:hAnsi="宋体"/>
          <w:sz w:val="24"/>
          <w:highlight w:val="none"/>
        </w:rPr>
        <w:t xml:space="preserve">预成交结果公示的其他内容： </w:t>
      </w:r>
      <w:r>
        <w:rPr>
          <w:rFonts w:hint="eastAsia" w:ascii="宋体" w:hAnsi="宋体"/>
          <w:sz w:val="24"/>
          <w:highlight w:val="none"/>
          <w:u w:val="single"/>
        </w:rPr>
        <w:t>/</w:t>
      </w:r>
    </w:p>
    <w:p w14:paraId="502B752C">
      <w:pPr>
        <w:pStyle w:val="7"/>
        <w:rPr>
          <w:rFonts w:ascii="Arial" w:hAnsi="Arial"/>
          <w:highlight w:val="none"/>
        </w:rPr>
      </w:pPr>
      <w:r>
        <w:rPr>
          <w:rFonts w:hint="eastAsia"/>
          <w:highlight w:val="none"/>
        </w:rPr>
        <w:t xml:space="preserve">8 </w:t>
      </w:r>
      <w:r>
        <w:rPr>
          <w:rFonts w:hint="eastAsia" w:ascii="黑体" w:hAnsi="黑体"/>
          <w:highlight w:val="none"/>
        </w:rPr>
        <w:t>其他</w:t>
      </w:r>
    </w:p>
    <w:p w14:paraId="56DE95E7">
      <w:pPr>
        <w:autoSpaceDE w:val="0"/>
        <w:spacing w:line="400" w:lineRule="exact"/>
        <w:rPr>
          <w:rFonts w:hint="eastAsia" w:ascii="宋体" w:hAnsi="宋体"/>
          <w:sz w:val="24"/>
          <w:highlight w:val="none"/>
        </w:rPr>
      </w:pPr>
      <w:r>
        <w:rPr>
          <w:rFonts w:hint="eastAsia" w:ascii="宋体" w:hAnsi="宋体"/>
          <w:b/>
          <w:bCs/>
          <w:sz w:val="24"/>
          <w:highlight w:val="none"/>
        </w:rPr>
        <w:t>8.1</w:t>
      </w:r>
      <w:r>
        <w:rPr>
          <w:rFonts w:hint="eastAsia" w:ascii="宋体" w:hAnsi="宋体"/>
          <w:sz w:val="24"/>
          <w:highlight w:val="none"/>
        </w:rPr>
        <w:t xml:space="preserve"> 采购代理服务费：</w:t>
      </w:r>
    </w:p>
    <w:tbl>
      <w:tblPr>
        <w:tblStyle w:val="9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562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2ED933A9">
            <w:pPr>
              <w:widowControl w:val="0"/>
              <w:autoSpaceDE w:val="0"/>
              <w:spacing w:line="360" w:lineRule="auto"/>
              <w:jc w:val="center"/>
              <w:rPr>
                <w:rFonts w:hint="eastAsia" w:ascii="宋体" w:hAnsi="宋体" w:cs="宋体"/>
                <w:bCs/>
                <w:szCs w:val="21"/>
                <w:highlight w:val="none"/>
              </w:rPr>
            </w:pPr>
            <w:r>
              <w:rPr>
                <w:rFonts w:hint="eastAsia" w:ascii="宋体" w:hAnsi="宋体" w:cs="宋体"/>
                <w:bCs/>
                <w:szCs w:val="21"/>
                <w:highlight w:val="none"/>
              </w:rPr>
              <w:t>采购代理服务费</w:t>
            </w:r>
          </w:p>
        </w:tc>
        <w:tc>
          <w:tcPr>
            <w:tcW w:w="2328" w:type="dxa"/>
          </w:tcPr>
          <w:p w14:paraId="20AFCADA">
            <w:pPr>
              <w:widowControl w:val="0"/>
              <w:autoSpaceDE w:val="0"/>
              <w:spacing w:line="360" w:lineRule="auto"/>
              <w:jc w:val="center"/>
              <w:rPr>
                <w:rFonts w:hint="eastAsia" w:ascii="宋体" w:hAnsi="宋体" w:cs="宋体"/>
                <w:bCs/>
                <w:szCs w:val="21"/>
                <w:highlight w:val="none"/>
              </w:rPr>
            </w:pPr>
            <w:r>
              <w:rPr>
                <w:rFonts w:hint="eastAsia" w:ascii="宋体" w:hAnsi="宋体" w:cs="宋体"/>
                <w:bCs/>
                <w:szCs w:val="21"/>
                <w:highlight w:val="none"/>
              </w:rPr>
              <w:t>费用标准或金额</w:t>
            </w:r>
          </w:p>
        </w:tc>
        <w:tc>
          <w:tcPr>
            <w:tcW w:w="1872" w:type="dxa"/>
          </w:tcPr>
          <w:p w14:paraId="121F74F5">
            <w:pPr>
              <w:widowControl w:val="0"/>
              <w:autoSpaceDE w:val="0"/>
              <w:spacing w:line="360" w:lineRule="auto"/>
              <w:jc w:val="center"/>
              <w:rPr>
                <w:rFonts w:hint="eastAsia" w:ascii="宋体" w:hAnsi="宋体" w:cs="宋体"/>
                <w:bCs/>
                <w:szCs w:val="21"/>
                <w:highlight w:val="none"/>
              </w:rPr>
            </w:pPr>
            <w:r>
              <w:rPr>
                <w:rFonts w:hint="eastAsia" w:ascii="宋体" w:hAnsi="宋体" w:cs="宋体"/>
                <w:bCs/>
                <w:szCs w:val="21"/>
                <w:highlight w:val="none"/>
              </w:rPr>
              <w:t>交费时间</w:t>
            </w:r>
          </w:p>
        </w:tc>
        <w:tc>
          <w:tcPr>
            <w:tcW w:w="3841" w:type="dxa"/>
          </w:tcPr>
          <w:p w14:paraId="137EF3C5">
            <w:pPr>
              <w:widowControl w:val="0"/>
              <w:autoSpaceDE w:val="0"/>
              <w:spacing w:line="360" w:lineRule="auto"/>
              <w:jc w:val="center"/>
              <w:rPr>
                <w:rFonts w:hint="eastAsia" w:ascii="宋体" w:hAnsi="宋体" w:cs="宋体"/>
                <w:bCs/>
                <w:szCs w:val="21"/>
                <w:highlight w:val="none"/>
              </w:rPr>
            </w:pPr>
            <w:r>
              <w:rPr>
                <w:rFonts w:hint="eastAsia" w:ascii="宋体" w:hAnsi="宋体" w:cs="宋体"/>
                <w:bCs/>
                <w:szCs w:val="21"/>
                <w:highlight w:val="none"/>
              </w:rPr>
              <w:t>交费方式</w:t>
            </w:r>
          </w:p>
        </w:tc>
      </w:tr>
      <w:tr w14:paraId="1615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30A242F1">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rPr>
              <w:t>□</w:t>
            </w:r>
            <w:r>
              <w:rPr>
                <w:rFonts w:hint="eastAsia" w:ascii="宋体" w:hAnsi="宋体" w:cs="宋体"/>
                <w:bCs/>
                <w:szCs w:val="21"/>
                <w:highlight w:val="none"/>
              </w:rPr>
              <w:t>不要求递交</w:t>
            </w:r>
          </w:p>
          <w:p w14:paraId="316784C4">
            <w:pPr>
              <w:widowControl w:val="0"/>
              <w:autoSpaceDE w:val="0"/>
              <w:spacing w:line="360" w:lineRule="auto"/>
              <w:jc w:val="both"/>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bCs/>
                <w:szCs w:val="21"/>
                <w:highlight w:val="none"/>
              </w:rPr>
              <w:t>要求递交</w:t>
            </w:r>
          </w:p>
        </w:tc>
        <w:tc>
          <w:tcPr>
            <w:tcW w:w="2328" w:type="dxa"/>
          </w:tcPr>
          <w:p w14:paraId="7899F4DB">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rPr>
              <w:t>□不</w:t>
            </w:r>
            <w:r>
              <w:rPr>
                <w:rFonts w:hint="eastAsia" w:ascii="宋体" w:hAnsi="宋体" w:cs="宋体"/>
                <w:bCs/>
                <w:szCs w:val="21"/>
                <w:highlight w:val="none"/>
              </w:rPr>
              <w:t>适用</w:t>
            </w:r>
          </w:p>
          <w:p w14:paraId="71D76C84">
            <w:pPr>
              <w:widowControl w:val="0"/>
              <w:autoSpaceDE w:val="0"/>
              <w:spacing w:line="360" w:lineRule="auto"/>
              <w:jc w:val="both"/>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bCs/>
                <w:szCs w:val="21"/>
                <w:highlight w:val="none"/>
              </w:rPr>
              <w:t xml:space="preserve">适用，具体如下：本项目采购代理费：               </w:t>
            </w:r>
            <w:r>
              <w:rPr>
                <w:rFonts w:hint="eastAsia" w:ascii="宋体" w:hAnsi="宋体" w:cs="宋体"/>
                <w:bCs/>
                <w:szCs w:val="21"/>
                <w:highlight w:val="none"/>
              </w:rPr>
              <w:t>4500</w:t>
            </w:r>
            <w:r>
              <w:rPr>
                <w:rFonts w:hint="eastAsia" w:ascii="宋体" w:hAnsi="宋体" w:cs="宋体"/>
                <w:bCs/>
                <w:szCs w:val="21"/>
                <w:highlight w:val="none"/>
              </w:rPr>
              <w:t>元由中标人承担；采购代理费包含在其投标总报价中，不单独计列。</w:t>
            </w:r>
          </w:p>
        </w:tc>
        <w:tc>
          <w:tcPr>
            <w:tcW w:w="1872" w:type="dxa"/>
          </w:tcPr>
          <w:p w14:paraId="047632B0">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rPr>
              <w:t>□</w:t>
            </w:r>
            <w:r>
              <w:rPr>
                <w:rFonts w:hint="eastAsia" w:ascii="宋体" w:hAnsi="宋体" w:cs="宋体"/>
                <w:bCs/>
                <w:szCs w:val="21"/>
                <w:highlight w:val="none"/>
              </w:rPr>
              <w:t>不适用</w:t>
            </w:r>
          </w:p>
          <w:p w14:paraId="13446688">
            <w:pPr>
              <w:widowControl w:val="0"/>
              <w:autoSpaceDE w:val="0"/>
              <w:spacing w:line="360" w:lineRule="auto"/>
              <w:jc w:val="both"/>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bCs/>
                <w:szCs w:val="21"/>
                <w:highlight w:val="none"/>
              </w:rPr>
              <w:t>适用，具体如下：</w:t>
            </w:r>
          </w:p>
          <w:p w14:paraId="155F5231">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采购代理费由成交供应商在领取成交通知书前支付。</w:t>
            </w:r>
          </w:p>
          <w:p w14:paraId="585C4719">
            <w:pPr>
              <w:widowControl w:val="0"/>
              <w:autoSpaceDE w:val="0"/>
              <w:spacing w:line="360" w:lineRule="auto"/>
              <w:jc w:val="both"/>
              <w:rPr>
                <w:rFonts w:hint="eastAsia" w:ascii="宋体" w:hAnsi="宋体" w:cs="宋体"/>
                <w:bCs/>
                <w:szCs w:val="21"/>
                <w:highlight w:val="none"/>
              </w:rPr>
            </w:pPr>
          </w:p>
        </w:tc>
        <w:tc>
          <w:tcPr>
            <w:tcW w:w="3841" w:type="dxa"/>
          </w:tcPr>
          <w:p w14:paraId="22054E99">
            <w:pPr>
              <w:widowControl w:val="0"/>
              <w:autoSpaceDE w:val="0"/>
              <w:spacing w:line="360" w:lineRule="auto"/>
              <w:jc w:val="both"/>
              <w:rPr>
                <w:rFonts w:hint="eastAsia" w:ascii="宋体" w:hAnsi="宋体" w:cs="宋体"/>
                <w:bCs/>
                <w:szCs w:val="21"/>
                <w:highlight w:val="none"/>
              </w:rPr>
            </w:pPr>
            <w:r>
              <w:rPr>
                <w:rStyle w:val="132"/>
                <w:rFonts w:hint="eastAsia" w:ascii="宋体" w:hAnsi="宋体" w:cs="宋体"/>
                <w:b w:val="0"/>
                <w:szCs w:val="21"/>
                <w:highlight w:val="none"/>
              </w:rPr>
              <w:t>□</w:t>
            </w:r>
            <w:r>
              <w:rPr>
                <w:rFonts w:hint="eastAsia" w:ascii="宋体" w:hAnsi="宋体" w:cs="宋体"/>
                <w:bCs/>
                <w:szCs w:val="21"/>
                <w:highlight w:val="none"/>
              </w:rPr>
              <w:t>不适用</w:t>
            </w:r>
          </w:p>
          <w:p w14:paraId="672BD254">
            <w:pPr>
              <w:widowControl w:val="0"/>
              <w:autoSpaceDE w:val="0"/>
              <w:spacing w:line="360" w:lineRule="auto"/>
              <w:jc w:val="both"/>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bCs/>
                <w:szCs w:val="21"/>
                <w:highlight w:val="none"/>
              </w:rPr>
              <w:t>适用，具体如下：</w:t>
            </w:r>
          </w:p>
          <w:p w14:paraId="6C1ACD82">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成交供应商通过银行转账的方式转到以下指定账户：</w:t>
            </w:r>
          </w:p>
          <w:p w14:paraId="1C621D0B">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户名：中科高盛咨询集团有限公司</w:t>
            </w:r>
          </w:p>
          <w:p w14:paraId="6EFF7CF6">
            <w:pPr>
              <w:widowControl w:val="0"/>
              <w:autoSpaceDE w:val="0"/>
              <w:spacing w:line="360" w:lineRule="auto"/>
              <w:jc w:val="both"/>
              <w:rPr>
                <w:rFonts w:hint="eastAsia" w:ascii="宋体" w:hAnsi="宋体" w:cs="宋体"/>
                <w:bCs/>
                <w:szCs w:val="21"/>
                <w:highlight w:val="none"/>
              </w:rPr>
            </w:pPr>
            <w:r>
              <w:rPr>
                <w:rFonts w:hint="eastAsia" w:ascii="宋体" w:hAnsi="宋体" w:cs="宋体"/>
                <w:bCs/>
                <w:szCs w:val="21"/>
                <w:highlight w:val="none"/>
              </w:rPr>
              <w:t>开户银行：长沙银行信诚支行（行号3135 5109 8011）</w:t>
            </w:r>
          </w:p>
          <w:p w14:paraId="73000A8E">
            <w:pPr>
              <w:widowControl w:val="0"/>
              <w:autoSpaceDE w:val="0"/>
              <w:spacing w:line="360" w:lineRule="auto"/>
              <w:jc w:val="both"/>
              <w:rPr>
                <w:rStyle w:val="132"/>
                <w:rFonts w:hint="eastAsia" w:ascii="宋体" w:hAnsi="宋体" w:cs="宋体"/>
                <w:b w:val="0"/>
                <w:szCs w:val="21"/>
                <w:highlight w:val="none"/>
              </w:rPr>
            </w:pPr>
            <w:r>
              <w:rPr>
                <w:rFonts w:hint="eastAsia" w:ascii="宋体" w:hAnsi="宋体" w:cs="宋体"/>
                <w:bCs/>
                <w:szCs w:val="21"/>
                <w:highlight w:val="none"/>
              </w:rPr>
              <w:t>账号：8001 8938 3908 027</w:t>
            </w:r>
          </w:p>
        </w:tc>
      </w:tr>
    </w:tbl>
    <w:p w14:paraId="04B5F126">
      <w:pPr>
        <w:autoSpaceDE w:val="0"/>
        <w:spacing w:line="360" w:lineRule="auto"/>
        <w:rPr>
          <w:rFonts w:hint="eastAsia" w:ascii="宋体" w:hAnsi="宋体"/>
          <w:sz w:val="24"/>
          <w:highlight w:val="none"/>
        </w:rPr>
      </w:pPr>
      <w:r>
        <w:rPr>
          <w:rFonts w:hint="eastAsia" w:ascii="宋体" w:hAnsi="宋体"/>
          <w:b/>
          <w:bCs/>
          <w:sz w:val="24"/>
          <w:highlight w:val="none"/>
        </w:rPr>
        <w:t xml:space="preserve">8.2 </w:t>
      </w:r>
      <w:r>
        <w:rPr>
          <w:rFonts w:hint="eastAsia" w:ascii="宋体" w:hAnsi="宋体"/>
          <w:sz w:val="24"/>
          <w:highlight w:val="none"/>
        </w:rPr>
        <w:t>采购人在签署采购合同时及合同履行过程中，有权对采购标的的数量进行增加或减少的幅度：</w:t>
      </w:r>
      <w:r>
        <w:rPr>
          <w:rFonts w:hint="eastAsia" w:ascii="宋体" w:hAnsi="宋体"/>
          <w:sz w:val="24"/>
          <w:highlight w:val="none"/>
          <w:u w:val="single"/>
        </w:rPr>
        <w:t xml:space="preserve">/ </w:t>
      </w:r>
      <w:r>
        <w:rPr>
          <w:rFonts w:hint="eastAsia" w:ascii="宋体" w:hAnsi="宋体"/>
          <w:sz w:val="24"/>
          <w:highlight w:val="none"/>
        </w:rPr>
        <w:t>%。</w:t>
      </w:r>
    </w:p>
    <w:p w14:paraId="29D49E4D">
      <w:pPr>
        <w:autoSpaceDE w:val="0"/>
        <w:spacing w:line="360" w:lineRule="auto"/>
        <w:rPr>
          <w:rFonts w:hint="eastAsia" w:ascii="宋体" w:hAnsi="宋体"/>
          <w:sz w:val="24"/>
          <w:highlight w:val="none"/>
        </w:rPr>
      </w:pPr>
      <w:r>
        <w:rPr>
          <w:rFonts w:hint="eastAsia" w:ascii="宋体" w:hAnsi="宋体"/>
          <w:b/>
          <w:bCs/>
          <w:sz w:val="24"/>
          <w:highlight w:val="none"/>
        </w:rPr>
        <w:t xml:space="preserve">8.3 </w:t>
      </w:r>
      <w:r>
        <w:rPr>
          <w:rFonts w:hint="eastAsia" w:ascii="宋体" w:hAnsi="宋体"/>
          <w:sz w:val="24"/>
          <w:highlight w:val="none"/>
        </w:rPr>
        <w:t>如采购人上级机构对本项目进行了统一采购，采购人将按其采购结果执行，本项目中相关采购结果自行终止。</w:t>
      </w:r>
    </w:p>
    <w:p w14:paraId="2AB40243">
      <w:pPr>
        <w:pStyle w:val="7"/>
        <w:rPr>
          <w:rFonts w:ascii="Arial" w:hAnsi="Arial"/>
          <w:highlight w:val="none"/>
        </w:rPr>
      </w:pPr>
      <w:r>
        <w:rPr>
          <w:rFonts w:hint="eastAsia"/>
          <w:highlight w:val="none"/>
        </w:rPr>
        <w:t xml:space="preserve">9 </w:t>
      </w:r>
      <w:r>
        <w:rPr>
          <w:rFonts w:hint="eastAsia" w:ascii="黑体" w:hAnsi="黑体"/>
          <w:highlight w:val="none"/>
        </w:rPr>
        <w:t>联系方式</w:t>
      </w:r>
    </w:p>
    <w:p w14:paraId="130F67EB">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采 购 人： 湖南省新新张官高速公路建设开发有限公司新宁分公司     </w:t>
      </w:r>
    </w:p>
    <w:p w14:paraId="7E63D4BF">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地   址： 湖南省邵阳市新宁县金石镇新宁产业开发区管理委员会湘商产业园     </w:t>
      </w:r>
    </w:p>
    <w:p w14:paraId="5515E219">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 xml:space="preserve">联 系 人： </w:t>
      </w:r>
      <w:r>
        <w:rPr>
          <w:rFonts w:hint="eastAsia" w:ascii="宋体" w:hAnsi="宋体"/>
          <w:sz w:val="24"/>
          <w:highlight w:val="none"/>
          <w:lang w:val="en-US" w:eastAsia="zh-CN"/>
        </w:rPr>
        <w:t>盛</w:t>
      </w:r>
      <w:r>
        <w:rPr>
          <w:rFonts w:hint="eastAsia" w:ascii="宋体" w:hAnsi="宋体"/>
          <w:sz w:val="24"/>
          <w:highlight w:val="none"/>
        </w:rPr>
        <w:t xml:space="preserve">女士     </w:t>
      </w:r>
    </w:p>
    <w:p w14:paraId="5C8071CF">
      <w:pPr>
        <w:autoSpaceDE w:val="0"/>
        <w:spacing w:line="360" w:lineRule="auto"/>
        <w:ind w:firstLine="240" w:firstLineChars="100"/>
        <w:rPr>
          <w:rFonts w:hint="default" w:ascii="宋体" w:hAnsi="宋体" w:eastAsia="宋体"/>
          <w:sz w:val="24"/>
          <w:highlight w:val="none"/>
          <w:lang w:val="en-US" w:eastAsia="zh-CN"/>
        </w:rPr>
      </w:pPr>
      <w:r>
        <w:rPr>
          <w:rFonts w:hint="eastAsia" w:ascii="宋体" w:hAnsi="宋体"/>
          <w:sz w:val="24"/>
          <w:highlight w:val="none"/>
        </w:rPr>
        <w:t>电    话： 1</w:t>
      </w:r>
      <w:r>
        <w:rPr>
          <w:rFonts w:hint="eastAsia" w:ascii="宋体" w:hAnsi="宋体"/>
          <w:sz w:val="24"/>
          <w:highlight w:val="none"/>
          <w:lang w:val="en-US" w:eastAsia="zh-CN"/>
        </w:rPr>
        <w:t>3507200342</w:t>
      </w:r>
    </w:p>
    <w:p w14:paraId="60E5ECC2">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招标代理：中科高盛咨询集团有限公司</w:t>
      </w:r>
    </w:p>
    <w:p w14:paraId="5EAD3E43">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地    址：湖南省长沙市天心区友谊路413号运成大厦12楼</w:t>
      </w:r>
    </w:p>
    <w:p w14:paraId="7A232391">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联 系 人：彭晖、刘玉霜、罗洲</w:t>
      </w:r>
    </w:p>
    <w:p w14:paraId="6BDCF7E5">
      <w:pPr>
        <w:autoSpaceDE w:val="0"/>
        <w:spacing w:line="360" w:lineRule="auto"/>
        <w:ind w:firstLine="240" w:firstLineChars="100"/>
        <w:rPr>
          <w:rFonts w:hint="eastAsia" w:ascii="宋体" w:hAnsi="宋体"/>
          <w:sz w:val="24"/>
          <w:highlight w:val="none"/>
        </w:rPr>
      </w:pPr>
      <w:r>
        <w:rPr>
          <w:rFonts w:hint="eastAsia" w:ascii="宋体" w:hAnsi="宋体"/>
          <w:sz w:val="24"/>
          <w:highlight w:val="none"/>
        </w:rPr>
        <w:t>电    话：0731-84452818</w:t>
      </w:r>
    </w:p>
    <w:p w14:paraId="7EA6CD67">
      <w:pPr>
        <w:spacing w:line="240" w:lineRule="auto"/>
        <w:jc w:val="center"/>
        <w:rPr>
          <w:rStyle w:val="150"/>
          <w:rFonts w:hint="eastAsia" w:ascii="仿宋" w:hAnsi="仿宋" w:eastAsia="仿宋" w:cs="仿宋"/>
          <w:sz w:val="30"/>
          <w:szCs w:val="30"/>
          <w:highlight w:val="none"/>
        </w:rPr>
      </w:pPr>
      <w:r>
        <w:rPr>
          <w:rStyle w:val="150"/>
          <w:rFonts w:ascii="仿宋" w:hAnsi="仿宋" w:eastAsia="仿宋" w:cs="仿宋"/>
          <w:sz w:val="30"/>
          <w:szCs w:val="30"/>
          <w:highlight w:val="none"/>
        </w:rPr>
        <w:br w:type="page"/>
      </w:r>
    </w:p>
    <w:p w14:paraId="3D748CBF">
      <w:pPr>
        <w:spacing w:line="240" w:lineRule="auto"/>
        <w:jc w:val="center"/>
        <w:rPr>
          <w:rStyle w:val="150"/>
          <w:rFonts w:hint="eastAsia" w:ascii="仿宋" w:hAnsi="仿宋" w:eastAsia="仿宋" w:cs="仿宋"/>
          <w:sz w:val="30"/>
          <w:szCs w:val="30"/>
          <w:highlight w:val="none"/>
        </w:rPr>
      </w:pPr>
    </w:p>
    <w:p w14:paraId="6374761C">
      <w:pPr>
        <w:spacing w:line="600" w:lineRule="exact"/>
        <w:jc w:val="center"/>
        <w:rPr>
          <w:rFonts w:hint="eastAsia" w:hAnsi="宋体"/>
          <w:b/>
          <w:sz w:val="24"/>
          <w:highlight w:val="none"/>
        </w:rPr>
      </w:pPr>
      <w:bookmarkStart w:id="2" w:name="_Toc234832861"/>
      <w:bookmarkStart w:id="3" w:name="_Toc517787494"/>
    </w:p>
    <w:p w14:paraId="78AFD1B8">
      <w:pPr>
        <w:spacing w:line="600" w:lineRule="exact"/>
        <w:jc w:val="center"/>
        <w:rPr>
          <w:rFonts w:hint="eastAsia" w:hAnsi="宋体"/>
          <w:b/>
          <w:sz w:val="24"/>
          <w:highlight w:val="none"/>
        </w:rPr>
      </w:pPr>
    </w:p>
    <w:p w14:paraId="356247A7">
      <w:pPr>
        <w:spacing w:line="600" w:lineRule="exact"/>
        <w:jc w:val="center"/>
        <w:rPr>
          <w:rFonts w:hint="eastAsia" w:hAnsi="宋体"/>
          <w:b/>
          <w:sz w:val="24"/>
          <w:highlight w:val="none"/>
        </w:rPr>
      </w:pPr>
    </w:p>
    <w:p w14:paraId="0B611549">
      <w:pPr>
        <w:spacing w:line="600" w:lineRule="exact"/>
        <w:jc w:val="center"/>
        <w:rPr>
          <w:rFonts w:hint="eastAsia" w:hAnsi="宋体"/>
          <w:b/>
          <w:sz w:val="24"/>
          <w:highlight w:val="none"/>
        </w:rPr>
      </w:pPr>
    </w:p>
    <w:p w14:paraId="56035481">
      <w:pPr>
        <w:spacing w:line="600" w:lineRule="exact"/>
        <w:jc w:val="center"/>
        <w:rPr>
          <w:rFonts w:hint="eastAsia" w:ascii="黑体" w:hAnsi="黑体" w:eastAsia="黑体" w:cs="仿宋"/>
          <w:b/>
          <w:sz w:val="44"/>
          <w:szCs w:val="44"/>
          <w:highlight w:val="none"/>
        </w:rPr>
      </w:pPr>
    </w:p>
    <w:p w14:paraId="1ECD4C79">
      <w:pPr>
        <w:spacing w:line="600" w:lineRule="exact"/>
        <w:jc w:val="center"/>
        <w:rPr>
          <w:rFonts w:hint="eastAsia" w:ascii="黑体" w:hAnsi="黑体" w:eastAsia="黑体" w:cs="仿宋"/>
          <w:b/>
          <w:sz w:val="44"/>
          <w:szCs w:val="44"/>
          <w:highlight w:val="none"/>
        </w:rPr>
      </w:pPr>
    </w:p>
    <w:p w14:paraId="664A7FF7">
      <w:pPr>
        <w:spacing w:line="600" w:lineRule="exact"/>
        <w:jc w:val="center"/>
        <w:rPr>
          <w:rFonts w:hint="eastAsia" w:ascii="黑体" w:hAnsi="黑体" w:eastAsia="黑体" w:cs="仿宋"/>
          <w:b/>
          <w:sz w:val="44"/>
          <w:szCs w:val="44"/>
          <w:highlight w:val="none"/>
        </w:rPr>
      </w:pPr>
    </w:p>
    <w:p w14:paraId="010A0011">
      <w:pPr>
        <w:spacing w:line="600" w:lineRule="exact"/>
        <w:jc w:val="center"/>
        <w:rPr>
          <w:rFonts w:hint="eastAsia" w:ascii="黑体" w:hAnsi="黑体" w:eastAsia="黑体" w:cs="仿宋"/>
          <w:b/>
          <w:sz w:val="44"/>
          <w:szCs w:val="44"/>
          <w:highlight w:val="none"/>
        </w:rPr>
      </w:pPr>
      <w:r>
        <w:rPr>
          <w:rFonts w:hint="eastAsia" w:ascii="黑体" w:hAnsi="黑体" w:eastAsia="黑体" w:cs="仿宋"/>
          <w:b/>
          <w:sz w:val="44"/>
          <w:szCs w:val="44"/>
          <w:highlight w:val="none"/>
        </w:rPr>
        <w:t>第二章  供应商须知</w:t>
      </w:r>
    </w:p>
    <w:p w14:paraId="16F963D4">
      <w:pPr>
        <w:spacing w:line="240" w:lineRule="auto"/>
        <w:rPr>
          <w:rFonts w:hint="eastAsia" w:ascii="黑体" w:hAnsi="黑体" w:eastAsia="黑体" w:cs="仿宋"/>
          <w:b/>
          <w:sz w:val="44"/>
          <w:szCs w:val="44"/>
          <w:highlight w:val="none"/>
        </w:rPr>
      </w:pPr>
      <w:r>
        <w:rPr>
          <w:rFonts w:ascii="黑体" w:hAnsi="黑体" w:eastAsia="黑体" w:cs="仿宋"/>
          <w:b/>
          <w:sz w:val="44"/>
          <w:szCs w:val="44"/>
          <w:highlight w:val="none"/>
        </w:rPr>
        <w:br w:type="page"/>
      </w:r>
    </w:p>
    <w:p w14:paraId="3D6FC72E">
      <w:pPr>
        <w:spacing w:line="600" w:lineRule="exact"/>
        <w:jc w:val="center"/>
        <w:rPr>
          <w:rFonts w:hint="eastAsia" w:ascii="宋体" w:hAnsi="宋体" w:cs="宋体"/>
          <w:sz w:val="32"/>
          <w:szCs w:val="32"/>
          <w:highlight w:val="none"/>
        </w:rPr>
      </w:pPr>
      <w:r>
        <w:rPr>
          <w:rFonts w:hint="eastAsia" w:ascii="宋体" w:hAnsi="宋体" w:cs="宋体"/>
          <w:sz w:val="32"/>
          <w:szCs w:val="32"/>
          <w:highlight w:val="none"/>
        </w:rPr>
        <w:t>第二章  供应商须知</w:t>
      </w:r>
      <w:bookmarkEnd w:id="2"/>
      <w:bookmarkEnd w:id="3"/>
    </w:p>
    <w:p w14:paraId="2C938E33">
      <w:pPr>
        <w:pStyle w:val="4"/>
        <w:spacing w:before="240" w:after="240" w:line="240" w:lineRule="auto"/>
        <w:rPr>
          <w:rFonts w:hint="eastAsia" w:ascii="宋体" w:hAnsi="宋体" w:cs="宋体"/>
          <w:sz w:val="30"/>
          <w:szCs w:val="30"/>
          <w:highlight w:val="none"/>
        </w:rPr>
      </w:pPr>
      <w:bookmarkStart w:id="4" w:name="_Toc234832862"/>
      <w:bookmarkStart w:id="5" w:name="_Toc517787495"/>
      <w:r>
        <w:rPr>
          <w:rFonts w:hint="eastAsia" w:ascii="宋体" w:hAnsi="宋体" w:cs="宋体"/>
          <w:sz w:val="30"/>
          <w:szCs w:val="30"/>
          <w:highlight w:val="none"/>
        </w:rPr>
        <w:t>供应商须知前附表</w:t>
      </w:r>
      <w:bookmarkEnd w:id="4"/>
      <w:bookmarkEnd w:id="5"/>
    </w:p>
    <w:tbl>
      <w:tblPr>
        <w:tblStyle w:val="89"/>
        <w:tblW w:w="9854" w:type="dxa"/>
        <w:tblInd w:w="0" w:type="dxa"/>
        <w:tblLayout w:type="fixed"/>
        <w:tblCellMar>
          <w:top w:w="0" w:type="dxa"/>
          <w:left w:w="108" w:type="dxa"/>
          <w:bottom w:w="0" w:type="dxa"/>
          <w:right w:w="108" w:type="dxa"/>
        </w:tblCellMar>
      </w:tblPr>
      <w:tblGrid>
        <w:gridCol w:w="1415"/>
        <w:gridCol w:w="3090"/>
        <w:gridCol w:w="5349"/>
      </w:tblGrid>
      <w:tr w14:paraId="094F3768">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6FA8BBE">
            <w:pPr>
              <w:spacing w:line="360" w:lineRule="auto"/>
              <w:jc w:val="both"/>
              <w:rPr>
                <w:rFonts w:hint="eastAsia" w:ascii="宋体" w:hAnsi="宋体" w:cs="宋体"/>
                <w:b/>
                <w:szCs w:val="21"/>
                <w:highlight w:val="none"/>
              </w:rPr>
            </w:pPr>
            <w:r>
              <w:rPr>
                <w:rFonts w:hint="eastAsia" w:ascii="宋体" w:hAnsi="宋体" w:cs="宋体"/>
                <w:b/>
                <w:szCs w:val="21"/>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3A71A916">
            <w:pPr>
              <w:spacing w:line="360" w:lineRule="auto"/>
              <w:jc w:val="both"/>
              <w:rPr>
                <w:rFonts w:hint="eastAsia" w:ascii="宋体" w:hAnsi="宋体" w:cs="宋体"/>
                <w:b/>
                <w:szCs w:val="21"/>
                <w:highlight w:val="none"/>
              </w:rPr>
            </w:pPr>
            <w:r>
              <w:rPr>
                <w:rFonts w:hint="eastAsia" w:ascii="宋体" w:hAnsi="宋体" w:cs="宋体"/>
                <w:b/>
                <w:szCs w:val="21"/>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3027BE43">
            <w:pPr>
              <w:spacing w:line="360" w:lineRule="auto"/>
              <w:jc w:val="both"/>
              <w:rPr>
                <w:rFonts w:hint="eastAsia" w:ascii="宋体" w:hAnsi="宋体" w:cs="宋体"/>
                <w:b/>
                <w:szCs w:val="21"/>
                <w:highlight w:val="none"/>
              </w:rPr>
            </w:pPr>
            <w:r>
              <w:rPr>
                <w:rFonts w:hint="eastAsia" w:ascii="宋体" w:hAnsi="宋体" w:cs="宋体"/>
                <w:b/>
                <w:szCs w:val="21"/>
                <w:highlight w:val="none"/>
              </w:rPr>
              <w:t>编  列  内  容</w:t>
            </w:r>
          </w:p>
        </w:tc>
      </w:tr>
      <w:tr w14:paraId="793B43C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EE4C76">
            <w:pPr>
              <w:spacing w:line="360" w:lineRule="auto"/>
              <w:jc w:val="both"/>
              <w:rPr>
                <w:rFonts w:hint="eastAsia" w:ascii="宋体" w:hAnsi="宋体" w:cs="宋体"/>
                <w:szCs w:val="21"/>
                <w:highlight w:val="none"/>
              </w:rPr>
            </w:pPr>
            <w:r>
              <w:rPr>
                <w:rFonts w:hint="eastAsia" w:ascii="宋体" w:hAnsi="宋体" w:cs="宋体"/>
                <w:szCs w:val="21"/>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5EF3161E">
            <w:pPr>
              <w:spacing w:line="360" w:lineRule="auto"/>
              <w:jc w:val="both"/>
              <w:rPr>
                <w:rFonts w:hint="eastAsia" w:ascii="宋体" w:hAnsi="宋体" w:cs="宋体"/>
                <w:szCs w:val="21"/>
                <w:highlight w:val="none"/>
              </w:rPr>
            </w:pPr>
            <w:r>
              <w:rPr>
                <w:rFonts w:hint="eastAsia" w:ascii="宋体" w:hAnsi="宋体" w:cs="宋体"/>
                <w:szCs w:val="21"/>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3931821A">
            <w:pPr>
              <w:spacing w:line="360" w:lineRule="auto"/>
              <w:jc w:val="both"/>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询价</w:t>
            </w:r>
          </w:p>
          <w:p w14:paraId="1CA1FA92">
            <w:pPr>
              <w:spacing w:line="360" w:lineRule="auto"/>
              <w:jc w:val="both"/>
              <w:rPr>
                <w:rFonts w:hint="eastAsia" w:ascii="宋体" w:hAnsi="宋体" w:cs="宋体"/>
                <w:szCs w:val="21"/>
                <w:highlight w:val="none"/>
              </w:rPr>
            </w:pPr>
            <w:r>
              <w:rPr>
                <w:rFonts w:hint="eastAsia" w:ascii="宋体" w:hAnsi="宋体" w:cs="宋体"/>
                <w:szCs w:val="21"/>
                <w:highlight w:val="none"/>
              </w:rPr>
              <w:t>□竞争性谈判</w:t>
            </w:r>
          </w:p>
          <w:p w14:paraId="3BF9BFFE">
            <w:pPr>
              <w:spacing w:line="360" w:lineRule="auto"/>
              <w:jc w:val="both"/>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竞争性磋商</w:t>
            </w:r>
          </w:p>
          <w:p w14:paraId="3AB09F5D">
            <w:pPr>
              <w:spacing w:line="360" w:lineRule="auto"/>
              <w:jc w:val="both"/>
              <w:rPr>
                <w:rFonts w:hint="eastAsia" w:ascii="宋体" w:hAnsi="宋体" w:cs="宋体"/>
                <w:szCs w:val="21"/>
                <w:highlight w:val="none"/>
              </w:rPr>
            </w:pPr>
            <w:r>
              <w:rPr>
                <w:rFonts w:hint="eastAsia" w:ascii="宋体" w:hAnsi="宋体" w:cs="宋体"/>
                <w:szCs w:val="21"/>
                <w:highlight w:val="none"/>
              </w:rPr>
              <w:t>□单一来源</w:t>
            </w:r>
          </w:p>
          <w:p w14:paraId="2437EB1F">
            <w:pPr>
              <w:spacing w:line="360" w:lineRule="auto"/>
              <w:jc w:val="both"/>
              <w:rPr>
                <w:rFonts w:hint="eastAsia" w:ascii="宋体" w:hAnsi="宋体" w:cs="宋体"/>
                <w:szCs w:val="21"/>
                <w:highlight w:val="none"/>
              </w:rPr>
            </w:pPr>
            <w:r>
              <w:rPr>
                <w:rFonts w:hint="eastAsia" w:ascii="宋体" w:hAnsi="宋体" w:cs="宋体"/>
                <w:szCs w:val="21"/>
                <w:highlight w:val="none"/>
              </w:rPr>
              <w:t>□直接采购</w:t>
            </w:r>
          </w:p>
        </w:tc>
      </w:tr>
      <w:tr w14:paraId="160ACF3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1EE03F8">
            <w:pPr>
              <w:spacing w:line="360" w:lineRule="auto"/>
              <w:jc w:val="both"/>
              <w:rPr>
                <w:rFonts w:hint="eastAsia" w:ascii="宋体" w:hAnsi="宋体" w:cs="宋体"/>
                <w:szCs w:val="21"/>
                <w:highlight w:val="none"/>
              </w:rPr>
            </w:pPr>
            <w:r>
              <w:rPr>
                <w:rFonts w:hint="eastAsia" w:ascii="宋体" w:hAnsi="宋体" w:cs="宋体"/>
                <w:szCs w:val="21"/>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5312BE94">
            <w:pPr>
              <w:spacing w:line="360" w:lineRule="auto"/>
              <w:jc w:val="both"/>
              <w:rPr>
                <w:rFonts w:hint="eastAsia" w:ascii="宋体" w:hAnsi="宋体" w:cs="宋体"/>
                <w:szCs w:val="21"/>
                <w:highlight w:val="none"/>
              </w:rPr>
            </w:pPr>
            <w:r>
              <w:rPr>
                <w:rFonts w:hint="eastAsia" w:ascii="宋体" w:hAnsi="宋体" w:cs="宋体"/>
                <w:szCs w:val="21"/>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76959951">
            <w:pPr>
              <w:spacing w:line="360" w:lineRule="auto"/>
              <w:jc w:val="both"/>
              <w:rPr>
                <w:rFonts w:hint="eastAsia" w:ascii="宋体" w:hAnsi="宋体" w:cs="宋体"/>
                <w:szCs w:val="21"/>
                <w:highlight w:val="none"/>
              </w:rPr>
            </w:pPr>
            <w:r>
              <w:rPr>
                <w:rFonts w:hint="eastAsia" w:ascii="宋体" w:hAnsi="宋体" w:cs="宋体"/>
                <w:szCs w:val="21"/>
                <w:highlight w:val="none"/>
              </w:rPr>
              <w:t>□最低价法（同质比价法和同价比质法）</w:t>
            </w:r>
          </w:p>
          <w:p w14:paraId="20CAA10F">
            <w:pPr>
              <w:spacing w:line="360" w:lineRule="auto"/>
              <w:jc w:val="both"/>
              <w:rPr>
                <w:rFonts w:hint="eastAsia" w:ascii="宋体" w:hAnsi="宋体" w:cs="宋体"/>
                <w:szCs w:val="21"/>
                <w:highlight w:val="none"/>
              </w:rPr>
            </w:pPr>
            <w:r>
              <w:rPr>
                <w:rFonts w:hint="eastAsia" w:ascii="宋体" w:hAnsi="宋体" w:cs="宋体"/>
                <w:szCs w:val="21"/>
                <w:highlight w:val="none"/>
              </w:rPr>
              <w:t>☑综合评分法（性价比法）</w:t>
            </w:r>
          </w:p>
        </w:tc>
      </w:tr>
      <w:tr w14:paraId="05C8A92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8BDC23B">
            <w:pPr>
              <w:spacing w:line="360" w:lineRule="auto"/>
              <w:jc w:val="both"/>
              <w:rPr>
                <w:rFonts w:hint="eastAsia" w:ascii="宋体" w:hAnsi="宋体" w:cs="宋体"/>
                <w:szCs w:val="21"/>
                <w:highlight w:val="none"/>
              </w:rPr>
            </w:pPr>
            <w:r>
              <w:rPr>
                <w:rFonts w:hint="eastAsia" w:ascii="宋体" w:hAnsi="宋体" w:cs="宋体"/>
                <w:szCs w:val="21"/>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56303636">
            <w:pPr>
              <w:spacing w:line="360" w:lineRule="auto"/>
              <w:jc w:val="both"/>
              <w:rPr>
                <w:rFonts w:hint="eastAsia" w:ascii="宋体" w:hAnsi="宋体" w:cs="宋体"/>
                <w:szCs w:val="21"/>
                <w:highlight w:val="none"/>
              </w:rPr>
            </w:pPr>
            <w:r>
              <w:rPr>
                <w:rFonts w:hint="eastAsia" w:ascii="宋体" w:hAnsi="宋体" w:cs="宋体"/>
                <w:szCs w:val="21"/>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190CAF39">
            <w:pPr>
              <w:spacing w:line="360" w:lineRule="auto"/>
              <w:jc w:val="both"/>
              <w:rPr>
                <w:rFonts w:hint="eastAsia" w:ascii="宋体" w:hAnsi="宋体" w:cs="宋体"/>
                <w:szCs w:val="21"/>
                <w:highlight w:val="none"/>
              </w:rPr>
            </w:pPr>
            <w:r>
              <w:rPr>
                <w:rFonts w:hint="eastAsia" w:ascii="宋体" w:hAnsi="宋体" w:cs="宋体"/>
                <w:szCs w:val="21"/>
                <w:highlight w:val="none"/>
              </w:rPr>
              <w:t>☑不组织</w:t>
            </w:r>
          </w:p>
          <w:p w14:paraId="075DB7D5">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□组织，踏勘时间：              </w:t>
            </w:r>
          </w:p>
          <w:p w14:paraId="4DB505CD">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        踏勘集中地点：                                          </w:t>
            </w:r>
          </w:p>
        </w:tc>
      </w:tr>
      <w:tr w14:paraId="37C3CCC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393EDE8">
            <w:pPr>
              <w:spacing w:line="360" w:lineRule="auto"/>
              <w:jc w:val="both"/>
              <w:rPr>
                <w:rFonts w:hint="eastAsia" w:ascii="宋体" w:hAnsi="宋体" w:cs="宋体"/>
                <w:szCs w:val="21"/>
                <w:highlight w:val="none"/>
              </w:rPr>
            </w:pPr>
            <w:r>
              <w:rPr>
                <w:rFonts w:hint="eastAsia" w:ascii="宋体" w:hAnsi="宋体" w:cs="宋体"/>
                <w:szCs w:val="21"/>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14:paraId="65E0637B">
            <w:pPr>
              <w:spacing w:line="360" w:lineRule="auto"/>
              <w:jc w:val="both"/>
              <w:rPr>
                <w:rFonts w:hint="eastAsia" w:ascii="宋体" w:hAnsi="宋体" w:cs="宋体"/>
                <w:szCs w:val="21"/>
                <w:highlight w:val="none"/>
              </w:rPr>
            </w:pPr>
            <w:r>
              <w:rPr>
                <w:rFonts w:hint="eastAsia" w:ascii="宋体" w:hAnsi="宋体" w:cs="宋体"/>
                <w:szCs w:val="21"/>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00FBE674">
            <w:pPr>
              <w:spacing w:line="360" w:lineRule="auto"/>
              <w:jc w:val="both"/>
              <w:rPr>
                <w:rFonts w:hint="eastAsia" w:ascii="宋体" w:hAnsi="宋体" w:cs="宋体"/>
                <w:szCs w:val="21"/>
                <w:highlight w:val="none"/>
              </w:rPr>
            </w:pPr>
            <w:r>
              <w:rPr>
                <w:rFonts w:hint="eastAsia" w:ascii="宋体" w:hAnsi="宋体" w:cs="宋体"/>
                <w:szCs w:val="21"/>
                <w:highlight w:val="none"/>
              </w:rPr>
              <w:t>☑不召开</w:t>
            </w:r>
          </w:p>
          <w:p w14:paraId="3D41FD25">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□召开，召开时间：              </w:t>
            </w:r>
          </w:p>
          <w:p w14:paraId="188851AC">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        召开地点：                                              </w:t>
            </w:r>
          </w:p>
        </w:tc>
      </w:tr>
      <w:tr w14:paraId="13EE98E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A5C7D15">
            <w:pPr>
              <w:spacing w:line="360" w:lineRule="auto"/>
              <w:jc w:val="both"/>
              <w:rPr>
                <w:rFonts w:hint="eastAsia" w:ascii="宋体" w:hAnsi="宋体" w:cs="宋体"/>
                <w:szCs w:val="21"/>
                <w:highlight w:val="none"/>
              </w:rPr>
            </w:pPr>
            <w:r>
              <w:rPr>
                <w:rFonts w:hint="eastAsia" w:ascii="宋体" w:hAnsi="宋体" w:cs="宋体"/>
                <w:szCs w:val="21"/>
                <w:highlight w:val="none"/>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0F70C537">
            <w:pPr>
              <w:spacing w:line="360" w:lineRule="auto"/>
              <w:jc w:val="both"/>
              <w:rPr>
                <w:rFonts w:hint="eastAsia" w:ascii="宋体" w:hAnsi="宋体" w:cs="宋体"/>
                <w:szCs w:val="21"/>
                <w:highlight w:val="none"/>
              </w:rPr>
            </w:pPr>
            <w:r>
              <w:rPr>
                <w:rFonts w:hint="eastAsia" w:ascii="宋体" w:hAnsi="宋体" w:cs="宋体"/>
                <w:szCs w:val="21"/>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123026AA">
            <w:pPr>
              <w:spacing w:line="360" w:lineRule="auto"/>
              <w:jc w:val="both"/>
              <w:rPr>
                <w:rFonts w:hint="eastAsia" w:ascii="宋体" w:hAnsi="宋体" w:cs="宋体"/>
                <w:szCs w:val="21"/>
                <w:highlight w:val="none"/>
              </w:rPr>
            </w:pPr>
            <w:r>
              <w:rPr>
                <w:rFonts w:hint="eastAsia" w:ascii="宋体" w:hAnsi="宋体" w:cs="宋体"/>
                <w:szCs w:val="21"/>
                <w:highlight w:val="none"/>
              </w:rPr>
              <w:t>不得分包的内容：本项目不允许分包。</w:t>
            </w:r>
          </w:p>
          <w:p w14:paraId="1E900FC5">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对分包供应商的要求：                                            </w:t>
            </w:r>
          </w:p>
        </w:tc>
      </w:tr>
      <w:tr w14:paraId="04FDD5B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BF104D4">
            <w:pPr>
              <w:spacing w:line="360" w:lineRule="auto"/>
              <w:jc w:val="both"/>
              <w:rPr>
                <w:rFonts w:hint="eastAsia" w:ascii="宋体" w:hAnsi="宋体" w:cs="宋体"/>
                <w:szCs w:val="21"/>
                <w:highlight w:val="none"/>
              </w:rPr>
            </w:pPr>
            <w:r>
              <w:rPr>
                <w:rFonts w:hint="eastAsia" w:ascii="宋体" w:hAnsi="宋体" w:cs="宋体"/>
                <w:szCs w:val="21"/>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36D97FEF">
            <w:pPr>
              <w:spacing w:line="360" w:lineRule="auto"/>
              <w:jc w:val="both"/>
              <w:rPr>
                <w:rFonts w:hint="eastAsia" w:ascii="宋体" w:hAnsi="宋体" w:cs="宋体"/>
                <w:szCs w:val="21"/>
                <w:highlight w:val="none"/>
              </w:rPr>
            </w:pPr>
            <w:r>
              <w:rPr>
                <w:rFonts w:hint="eastAsia" w:ascii="宋体" w:hAnsi="宋体" w:cs="宋体"/>
                <w:szCs w:val="21"/>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3CA10AB8">
            <w:pPr>
              <w:spacing w:line="360" w:lineRule="auto"/>
              <w:jc w:val="both"/>
              <w:rPr>
                <w:rFonts w:hint="eastAsia" w:ascii="宋体" w:hAnsi="宋体" w:cs="宋体"/>
                <w:szCs w:val="21"/>
                <w:highlight w:val="none"/>
              </w:rPr>
            </w:pPr>
            <w:r>
              <w:rPr>
                <w:rFonts w:hint="eastAsia" w:ascii="宋体" w:hAnsi="宋体" w:cs="宋体"/>
                <w:szCs w:val="21"/>
                <w:highlight w:val="none"/>
              </w:rPr>
              <w:t>允许偏差的范围：允许</w:t>
            </w:r>
          </w:p>
          <w:p w14:paraId="445097C8">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允许偏差的项数：/                                                </w:t>
            </w:r>
          </w:p>
        </w:tc>
      </w:tr>
      <w:tr w14:paraId="6CC0799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CA16389">
            <w:pPr>
              <w:spacing w:line="360" w:lineRule="auto"/>
              <w:jc w:val="both"/>
              <w:rPr>
                <w:rFonts w:hint="eastAsia" w:ascii="宋体" w:hAnsi="宋体" w:cs="宋体"/>
                <w:szCs w:val="21"/>
                <w:highlight w:val="none"/>
              </w:rPr>
            </w:pPr>
            <w:r>
              <w:rPr>
                <w:rFonts w:hint="eastAsia" w:ascii="宋体" w:hAnsi="宋体" w:cs="宋体"/>
                <w:szCs w:val="21"/>
                <w:highlight w:val="none"/>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7C94BEDF">
            <w:pPr>
              <w:spacing w:line="360" w:lineRule="auto"/>
              <w:jc w:val="both"/>
              <w:rPr>
                <w:rFonts w:hint="eastAsia" w:ascii="宋体" w:hAnsi="宋体" w:cs="宋体"/>
                <w:szCs w:val="21"/>
                <w:highlight w:val="none"/>
              </w:rPr>
            </w:pPr>
            <w:r>
              <w:rPr>
                <w:rFonts w:hint="eastAsia" w:ascii="宋体" w:hAnsi="宋体" w:cs="宋体"/>
                <w:szCs w:val="21"/>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3E0E7F4A">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资料名称：补充通知（如有）                                                   </w:t>
            </w:r>
          </w:p>
        </w:tc>
      </w:tr>
      <w:tr w14:paraId="4F46B73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CF9FA0">
            <w:pPr>
              <w:spacing w:line="360" w:lineRule="auto"/>
              <w:jc w:val="both"/>
              <w:rPr>
                <w:rFonts w:hint="eastAsia" w:ascii="宋体" w:hAnsi="宋体" w:cs="宋体"/>
                <w:szCs w:val="21"/>
                <w:highlight w:val="none"/>
              </w:rPr>
            </w:pPr>
            <w:r>
              <w:rPr>
                <w:rFonts w:hint="eastAsia" w:ascii="宋体" w:hAnsi="宋体" w:cs="宋体"/>
                <w:szCs w:val="21"/>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729E6C37">
            <w:pPr>
              <w:spacing w:line="360" w:lineRule="auto"/>
              <w:jc w:val="both"/>
              <w:rPr>
                <w:rFonts w:hint="eastAsia" w:ascii="宋体" w:hAnsi="宋体" w:cs="宋体"/>
                <w:szCs w:val="21"/>
                <w:highlight w:val="none"/>
              </w:rPr>
            </w:pPr>
            <w:r>
              <w:rPr>
                <w:rFonts w:hint="eastAsia" w:ascii="宋体" w:hAnsi="宋体" w:cs="宋体"/>
                <w:szCs w:val="21"/>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0F455CB3">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截止时间：见采购公告                                </w:t>
            </w:r>
          </w:p>
        </w:tc>
      </w:tr>
      <w:tr w14:paraId="7D77001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922F63">
            <w:pPr>
              <w:spacing w:line="360" w:lineRule="auto"/>
              <w:jc w:val="both"/>
              <w:rPr>
                <w:rFonts w:hint="eastAsia" w:ascii="宋体" w:hAnsi="宋体" w:cs="宋体"/>
                <w:szCs w:val="21"/>
                <w:highlight w:val="none"/>
              </w:rPr>
            </w:pPr>
            <w:r>
              <w:rPr>
                <w:rFonts w:hint="eastAsia" w:ascii="宋体" w:hAnsi="宋体" w:cs="宋体"/>
                <w:szCs w:val="21"/>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244D6240">
            <w:pPr>
              <w:spacing w:line="360" w:lineRule="auto"/>
              <w:jc w:val="both"/>
              <w:rPr>
                <w:rFonts w:hint="eastAsia" w:ascii="宋体" w:hAnsi="宋体" w:cs="宋体"/>
                <w:szCs w:val="21"/>
                <w:highlight w:val="none"/>
              </w:rPr>
            </w:pPr>
            <w:r>
              <w:rPr>
                <w:rFonts w:hint="eastAsia" w:ascii="宋体" w:hAnsi="宋体" w:cs="宋体"/>
                <w:szCs w:val="21"/>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54498ADF">
            <w:pPr>
              <w:spacing w:line="360" w:lineRule="auto"/>
              <w:jc w:val="both"/>
              <w:rPr>
                <w:rFonts w:hint="eastAsia" w:ascii="宋体" w:hAnsi="宋体" w:cs="宋体"/>
                <w:szCs w:val="21"/>
                <w:highlight w:val="none"/>
              </w:rPr>
            </w:pPr>
            <w:r>
              <w:rPr>
                <w:rFonts w:hint="eastAsia" w:ascii="宋体" w:hAnsi="宋体" w:cs="宋体"/>
                <w:szCs w:val="21"/>
                <w:highlight w:val="none"/>
              </w:rPr>
              <w:t>确认的最晚时间：无需确认</w:t>
            </w:r>
          </w:p>
          <w:p w14:paraId="4014645F">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486D4E95">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672B7E2D">
            <w:pPr>
              <w:spacing w:line="360" w:lineRule="auto"/>
              <w:jc w:val="both"/>
              <w:rPr>
                <w:rFonts w:hint="eastAsia" w:ascii="宋体" w:hAnsi="宋体" w:cs="宋体"/>
                <w:szCs w:val="21"/>
                <w:highlight w:val="none"/>
              </w:rPr>
            </w:pPr>
            <w:r>
              <w:rPr>
                <w:rFonts w:hint="eastAsia" w:ascii="宋体" w:hAnsi="宋体" w:cs="宋体"/>
                <w:szCs w:val="21"/>
                <w:highlight w:val="none"/>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465D145F">
            <w:pPr>
              <w:spacing w:line="360" w:lineRule="auto"/>
              <w:jc w:val="both"/>
              <w:rPr>
                <w:rFonts w:hint="eastAsia" w:ascii="宋体" w:hAnsi="宋体" w:cs="宋体"/>
                <w:szCs w:val="21"/>
                <w:highlight w:val="none"/>
              </w:rPr>
            </w:pPr>
            <w:r>
              <w:rPr>
                <w:rFonts w:hint="eastAsia" w:ascii="宋体" w:hAnsi="宋体" w:cs="宋体"/>
                <w:szCs w:val="21"/>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776C882F">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资料名称：澄清（如有）                                             </w:t>
            </w:r>
          </w:p>
        </w:tc>
      </w:tr>
      <w:tr w14:paraId="1346ADCB">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6803BDF8">
            <w:pPr>
              <w:spacing w:line="360" w:lineRule="auto"/>
              <w:jc w:val="both"/>
              <w:rPr>
                <w:rFonts w:hint="eastAsia" w:ascii="宋体" w:hAnsi="宋体" w:cs="宋体"/>
                <w:szCs w:val="21"/>
                <w:highlight w:val="none"/>
              </w:rPr>
            </w:pPr>
            <w:r>
              <w:rPr>
                <w:rFonts w:hint="eastAsia" w:ascii="宋体" w:hAnsi="宋体" w:cs="宋体"/>
                <w:szCs w:val="21"/>
                <w:highlight w:val="none"/>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49219389">
            <w:pPr>
              <w:spacing w:line="360" w:lineRule="auto"/>
              <w:jc w:val="both"/>
              <w:rPr>
                <w:rFonts w:hint="eastAsia" w:ascii="宋体" w:hAnsi="宋体" w:cs="宋体"/>
                <w:szCs w:val="21"/>
                <w:highlight w:val="none"/>
              </w:rPr>
            </w:pPr>
            <w:r>
              <w:rPr>
                <w:rFonts w:hint="eastAsia" w:ascii="宋体" w:hAnsi="宋体" w:cs="宋体"/>
                <w:szCs w:val="21"/>
                <w:highlight w:val="none"/>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548BEF57">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采购标的数量增减幅度： /                                         </w:t>
            </w:r>
          </w:p>
        </w:tc>
      </w:tr>
      <w:tr w14:paraId="18A86C5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AA4DCA2">
            <w:pPr>
              <w:spacing w:line="360" w:lineRule="auto"/>
              <w:jc w:val="both"/>
              <w:rPr>
                <w:rFonts w:hint="eastAsia" w:ascii="宋体" w:hAnsi="宋体" w:cs="宋体"/>
                <w:szCs w:val="21"/>
                <w:highlight w:val="none"/>
              </w:rPr>
            </w:pPr>
            <w:r>
              <w:rPr>
                <w:rFonts w:hint="eastAsia" w:ascii="宋体" w:hAnsi="宋体" w:cs="宋体"/>
                <w:szCs w:val="21"/>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4BEE2BA7">
            <w:pPr>
              <w:spacing w:line="360" w:lineRule="auto"/>
              <w:jc w:val="both"/>
              <w:rPr>
                <w:rFonts w:hint="eastAsia" w:ascii="宋体" w:hAnsi="宋体" w:cs="宋体"/>
                <w:szCs w:val="21"/>
                <w:highlight w:val="none"/>
              </w:rPr>
            </w:pPr>
            <w:r>
              <w:rPr>
                <w:rFonts w:hint="eastAsia" w:ascii="宋体" w:hAnsi="宋体" w:cs="宋体"/>
                <w:szCs w:val="21"/>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4C9E4990">
            <w:pPr>
              <w:spacing w:line="360" w:lineRule="auto"/>
              <w:jc w:val="both"/>
              <w:rPr>
                <w:rFonts w:hint="eastAsia" w:ascii="宋体" w:hAnsi="宋体" w:cs="宋体"/>
                <w:szCs w:val="21"/>
                <w:highlight w:val="none"/>
              </w:rPr>
            </w:pPr>
            <w:r>
              <w:rPr>
                <w:rFonts w:hint="eastAsia" w:ascii="宋体" w:hAnsi="宋体" w:cs="宋体"/>
                <w:szCs w:val="21"/>
                <w:highlight w:val="none"/>
              </w:rPr>
              <w:t>□无</w:t>
            </w:r>
          </w:p>
          <w:p w14:paraId="7446E31D">
            <w:pPr>
              <w:spacing w:line="360" w:lineRule="auto"/>
              <w:jc w:val="both"/>
              <w:rPr>
                <w:rFonts w:hint="eastAsia" w:ascii="宋体" w:hAnsi="宋体" w:cs="宋体"/>
                <w:szCs w:val="21"/>
                <w:highlight w:val="none"/>
              </w:rPr>
            </w:pPr>
            <w:r>
              <w:rPr>
                <w:rFonts w:hint="eastAsia" w:ascii="宋体" w:hAnsi="宋体" w:cs="宋体"/>
                <w:szCs w:val="21"/>
                <w:highlight w:val="none"/>
              </w:rPr>
              <w:t>☑有，最高限价或其计算方法：</w:t>
            </w:r>
          </w:p>
          <w:p w14:paraId="2EABA56D">
            <w:pPr>
              <w:spacing w:line="360" w:lineRule="auto"/>
              <w:jc w:val="both"/>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b/>
                <w:bCs/>
                <w:szCs w:val="21"/>
                <w:highlight w:val="none"/>
                <w:u w:val="single"/>
                <w:lang w:val="en-US" w:eastAsia="zh-CN"/>
              </w:rPr>
              <w:t>99.7万</w:t>
            </w:r>
            <w:r>
              <w:rPr>
                <w:rFonts w:hint="eastAsia" w:ascii="宋体" w:hAnsi="宋体" w:cs="宋体"/>
                <w:b/>
                <w:bCs/>
                <w:szCs w:val="21"/>
                <w:highlight w:val="none"/>
              </w:rPr>
              <w:t>元，其中暂列金额0元；</w:t>
            </w:r>
          </w:p>
        </w:tc>
      </w:tr>
      <w:tr w14:paraId="6A7F630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A19643C">
            <w:pPr>
              <w:spacing w:line="360" w:lineRule="auto"/>
              <w:jc w:val="both"/>
              <w:rPr>
                <w:rFonts w:hint="eastAsia" w:ascii="宋体" w:hAnsi="宋体" w:cs="宋体"/>
                <w:szCs w:val="21"/>
                <w:highlight w:val="none"/>
              </w:rPr>
            </w:pPr>
            <w:r>
              <w:rPr>
                <w:rFonts w:hint="eastAsia" w:ascii="宋体" w:hAnsi="宋体" w:cs="宋体"/>
                <w:szCs w:val="21"/>
                <w:highlight w:val="none"/>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0A05DA3B">
            <w:pPr>
              <w:spacing w:line="360" w:lineRule="auto"/>
              <w:jc w:val="both"/>
              <w:rPr>
                <w:rFonts w:hint="eastAsia" w:ascii="宋体" w:hAnsi="宋体" w:cs="宋体"/>
                <w:szCs w:val="21"/>
                <w:highlight w:val="none"/>
              </w:rPr>
            </w:pPr>
            <w:r>
              <w:rPr>
                <w:rFonts w:hint="eastAsia" w:ascii="宋体" w:hAnsi="宋体" w:cs="宋体"/>
                <w:szCs w:val="21"/>
                <w:highlight w:val="none"/>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37120C1F">
            <w:pPr>
              <w:spacing w:line="360" w:lineRule="auto"/>
              <w:jc w:val="both"/>
              <w:rPr>
                <w:rFonts w:hint="eastAsia" w:ascii="宋体" w:hAnsi="宋体" w:cs="宋体"/>
                <w:szCs w:val="21"/>
                <w:highlight w:val="none"/>
              </w:rPr>
            </w:pPr>
            <w:r>
              <w:rPr>
                <w:rFonts w:hint="eastAsia" w:ascii="宋体" w:hAnsi="宋体" w:cs="宋体"/>
                <w:szCs w:val="21"/>
                <w:highlight w:val="none"/>
              </w:rPr>
              <w:t>/</w:t>
            </w:r>
          </w:p>
        </w:tc>
      </w:tr>
      <w:tr w14:paraId="1832741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24B5220">
            <w:pPr>
              <w:spacing w:line="360" w:lineRule="auto"/>
              <w:jc w:val="both"/>
              <w:rPr>
                <w:rFonts w:hint="eastAsia" w:ascii="宋体" w:hAnsi="宋体" w:cs="宋体"/>
                <w:szCs w:val="21"/>
                <w:highlight w:val="none"/>
              </w:rPr>
            </w:pPr>
            <w:r>
              <w:rPr>
                <w:rFonts w:hint="eastAsia" w:ascii="宋体" w:hAnsi="宋体" w:cs="宋体"/>
                <w:szCs w:val="21"/>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13EFECFA">
            <w:pPr>
              <w:spacing w:line="360" w:lineRule="auto"/>
              <w:jc w:val="both"/>
              <w:rPr>
                <w:rFonts w:hint="eastAsia" w:ascii="宋体" w:hAnsi="宋体" w:cs="宋体"/>
                <w:szCs w:val="21"/>
                <w:highlight w:val="none"/>
              </w:rPr>
            </w:pPr>
            <w:r>
              <w:rPr>
                <w:rFonts w:hint="eastAsia" w:ascii="宋体" w:hAnsi="宋体" w:cs="宋体"/>
                <w:szCs w:val="21"/>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5CEB3A4F">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递交响应文件截止之日起90日                                        </w:t>
            </w:r>
          </w:p>
        </w:tc>
      </w:tr>
      <w:tr w14:paraId="28A4120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2B62A01">
            <w:pPr>
              <w:spacing w:line="360" w:lineRule="auto"/>
              <w:jc w:val="both"/>
              <w:rPr>
                <w:rFonts w:hint="eastAsia" w:ascii="宋体" w:hAnsi="宋体" w:cs="宋体"/>
                <w:szCs w:val="21"/>
                <w:highlight w:val="none"/>
              </w:rPr>
            </w:pPr>
            <w:r>
              <w:rPr>
                <w:rFonts w:hint="eastAsia" w:ascii="宋体" w:hAnsi="宋体" w:cs="宋体"/>
                <w:szCs w:val="21"/>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76302D99">
            <w:pPr>
              <w:spacing w:line="360" w:lineRule="auto"/>
              <w:jc w:val="both"/>
              <w:rPr>
                <w:rFonts w:hint="eastAsia" w:ascii="宋体" w:hAnsi="宋体" w:cs="宋体"/>
                <w:szCs w:val="21"/>
                <w:highlight w:val="none"/>
              </w:rPr>
            </w:pPr>
            <w:r>
              <w:rPr>
                <w:rFonts w:hint="eastAsia" w:ascii="宋体" w:hAnsi="宋体" w:cs="宋体"/>
                <w:szCs w:val="21"/>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70D7CC70">
            <w:pPr>
              <w:spacing w:line="360" w:lineRule="auto"/>
              <w:jc w:val="both"/>
              <w:rPr>
                <w:rFonts w:hint="eastAsia" w:ascii="宋体" w:hAnsi="宋体" w:cs="宋体"/>
                <w:szCs w:val="21"/>
                <w:highlight w:val="none"/>
              </w:rPr>
            </w:pPr>
            <w:r>
              <w:rPr>
                <w:rFonts w:hint="eastAsia" w:ascii="宋体" w:hAnsi="宋体" w:cs="宋体"/>
                <w:szCs w:val="21"/>
                <w:highlight w:val="none"/>
              </w:rPr>
              <w:t>☑不要求递交</w:t>
            </w:r>
          </w:p>
          <w:p w14:paraId="5A88061F">
            <w:pPr>
              <w:spacing w:line="360" w:lineRule="auto"/>
              <w:jc w:val="both"/>
              <w:rPr>
                <w:rFonts w:hint="eastAsia" w:ascii="宋体" w:hAnsi="宋体" w:cs="宋体"/>
                <w:szCs w:val="21"/>
                <w:highlight w:val="none"/>
              </w:rPr>
            </w:pPr>
            <w:r>
              <w:rPr>
                <w:rFonts w:hint="eastAsia" w:ascii="宋体" w:hAnsi="宋体" w:cs="宋体"/>
                <w:szCs w:val="21"/>
                <w:highlight w:val="none"/>
              </w:rPr>
              <w:t>□要求递交，</w:t>
            </w:r>
          </w:p>
          <w:p w14:paraId="35C252FE">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见采购公告                                        </w:t>
            </w:r>
          </w:p>
        </w:tc>
      </w:tr>
      <w:tr w14:paraId="0DD4E9E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CECFB4E">
            <w:pPr>
              <w:spacing w:line="360" w:lineRule="auto"/>
              <w:jc w:val="both"/>
              <w:rPr>
                <w:rFonts w:hint="eastAsia" w:ascii="宋体" w:hAnsi="宋体" w:cs="宋体"/>
                <w:szCs w:val="21"/>
                <w:highlight w:val="none"/>
              </w:rPr>
            </w:pPr>
            <w:r>
              <w:rPr>
                <w:rFonts w:hint="eastAsia" w:ascii="宋体" w:hAnsi="宋体" w:cs="宋体"/>
                <w:szCs w:val="21"/>
                <w:highlight w:val="none"/>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3D192185">
            <w:pPr>
              <w:spacing w:line="360" w:lineRule="auto"/>
              <w:jc w:val="both"/>
              <w:rPr>
                <w:rFonts w:hint="eastAsia" w:ascii="宋体" w:hAnsi="宋体" w:cs="宋体"/>
                <w:szCs w:val="21"/>
                <w:highlight w:val="none"/>
              </w:rPr>
            </w:pPr>
            <w:r>
              <w:rPr>
                <w:rFonts w:hint="eastAsia" w:ascii="宋体" w:hAnsi="宋体" w:cs="宋体"/>
                <w:szCs w:val="21"/>
                <w:highlight w:val="none"/>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3E70F77">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见采购公告                                                             </w:t>
            </w:r>
          </w:p>
        </w:tc>
      </w:tr>
      <w:tr w14:paraId="6A241D7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C8E5FA0">
            <w:pPr>
              <w:spacing w:line="360" w:lineRule="auto"/>
              <w:jc w:val="both"/>
              <w:rPr>
                <w:rFonts w:hint="eastAsia" w:ascii="宋体" w:hAnsi="宋体" w:cs="宋体"/>
                <w:szCs w:val="21"/>
                <w:highlight w:val="none"/>
              </w:rPr>
            </w:pPr>
            <w:r>
              <w:rPr>
                <w:rFonts w:hint="eastAsia" w:ascii="宋体" w:hAnsi="宋体" w:cs="宋体"/>
                <w:szCs w:val="21"/>
                <w:highlight w:val="none"/>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4530E550">
            <w:pPr>
              <w:spacing w:line="360" w:lineRule="auto"/>
              <w:jc w:val="both"/>
              <w:rPr>
                <w:rFonts w:hint="eastAsia" w:ascii="宋体" w:hAnsi="宋体" w:cs="宋体"/>
                <w:szCs w:val="21"/>
                <w:highlight w:val="none"/>
              </w:rPr>
            </w:pPr>
            <w:r>
              <w:rPr>
                <w:rFonts w:hint="eastAsia" w:ascii="宋体" w:hAnsi="宋体" w:cs="宋体"/>
                <w:szCs w:val="21"/>
                <w:highlight w:val="none"/>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675BA233">
            <w:pPr>
              <w:spacing w:line="360" w:lineRule="auto"/>
              <w:jc w:val="both"/>
              <w:rPr>
                <w:rFonts w:hint="eastAsia" w:ascii="宋体" w:hAnsi="宋体" w:cs="宋体"/>
                <w:szCs w:val="21"/>
                <w:highlight w:val="none"/>
              </w:rPr>
            </w:pPr>
            <w:r>
              <w:rPr>
                <w:rFonts w:hint="eastAsia" w:ascii="宋体" w:hAnsi="宋体" w:cs="宋体"/>
                <w:szCs w:val="21"/>
                <w:highlight w:val="none"/>
              </w:rPr>
              <w:t xml:space="preserve">见采购公告                                                          </w:t>
            </w:r>
          </w:p>
        </w:tc>
      </w:tr>
      <w:tr w14:paraId="132A75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C64ACAA">
            <w:pPr>
              <w:spacing w:line="360" w:lineRule="auto"/>
              <w:jc w:val="both"/>
              <w:rPr>
                <w:rFonts w:hint="eastAsia" w:ascii="宋体" w:hAnsi="宋体" w:cs="宋体"/>
                <w:szCs w:val="21"/>
                <w:highlight w:val="none"/>
              </w:rPr>
            </w:pPr>
            <w:r>
              <w:rPr>
                <w:rFonts w:hint="eastAsia" w:ascii="宋体" w:hAnsi="宋体" w:cs="宋体"/>
                <w:szCs w:val="21"/>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60D6A0C3">
            <w:pPr>
              <w:wordWrap w:val="0"/>
              <w:spacing w:line="360" w:lineRule="auto"/>
              <w:jc w:val="both"/>
              <w:rPr>
                <w:rStyle w:val="132"/>
                <w:rFonts w:hint="eastAsia" w:ascii="宋体" w:hAnsi="宋体" w:cs="宋体"/>
                <w:b w:val="0"/>
                <w:bCs w:val="0"/>
                <w:szCs w:val="21"/>
                <w:highlight w:val="none"/>
              </w:rPr>
            </w:pPr>
            <w:r>
              <w:rPr>
                <w:rStyle w:val="132"/>
                <w:rFonts w:hint="eastAsia" w:ascii="宋体" w:hAnsi="宋体" w:cs="宋体"/>
                <w:b w:val="0"/>
                <w:bCs w:val="0"/>
                <w:szCs w:val="21"/>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9856D20">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73D4A49D">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☑适用。供应商应提供市场监管部门或其他行政机关颁发的可以合法开展业务的执照或证书。</w:t>
            </w:r>
          </w:p>
        </w:tc>
      </w:tr>
      <w:tr w14:paraId="45EB921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50E6744">
            <w:pPr>
              <w:spacing w:line="360" w:lineRule="auto"/>
              <w:jc w:val="both"/>
              <w:rPr>
                <w:rFonts w:hint="eastAsia" w:ascii="宋体" w:hAnsi="宋体" w:cs="宋体"/>
                <w:szCs w:val="21"/>
                <w:highlight w:val="none"/>
              </w:rPr>
            </w:pPr>
            <w:r>
              <w:rPr>
                <w:rFonts w:hint="eastAsia" w:ascii="宋体" w:hAnsi="宋体" w:cs="宋体"/>
                <w:szCs w:val="21"/>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65C84135">
            <w:pPr>
              <w:wordWrap w:val="0"/>
              <w:spacing w:line="360" w:lineRule="auto"/>
              <w:jc w:val="both"/>
              <w:rPr>
                <w:rFonts w:hint="eastAsia" w:ascii="宋体" w:hAnsi="宋体" w:cs="宋体"/>
                <w:szCs w:val="21"/>
                <w:highlight w:val="none"/>
              </w:rPr>
            </w:pPr>
            <w:r>
              <w:rPr>
                <w:rStyle w:val="132"/>
                <w:rFonts w:hint="eastAsia" w:ascii="宋体" w:hAnsi="宋体" w:cs="宋体"/>
                <w:b w:val="0"/>
                <w:bCs w:val="0"/>
                <w:szCs w:val="21"/>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F992E94">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7357AF17">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☑适用。供应商应提供相关资质证书副本的复印件，以证明供应商具有承担本项目要求的资质。</w:t>
            </w:r>
          </w:p>
          <w:p w14:paraId="256F9DA2">
            <w:pPr>
              <w:widowControl w:val="0"/>
              <w:spacing w:line="360" w:lineRule="auto"/>
              <w:jc w:val="both"/>
              <w:rPr>
                <w:rFonts w:hint="eastAsia" w:ascii="宋体" w:hAnsi="宋体" w:cs="宋体"/>
                <w:bCs/>
                <w:szCs w:val="21"/>
                <w:highlight w:val="none"/>
              </w:rPr>
            </w:pPr>
            <w:r>
              <w:rPr>
                <w:rFonts w:hint="eastAsia" w:ascii="宋体" w:hAnsi="宋体" w:cs="宋体"/>
                <w:szCs w:val="21"/>
                <w:highlight w:val="none"/>
              </w:rPr>
              <w:t>资质证书包括：</w:t>
            </w:r>
            <w:r>
              <w:rPr>
                <w:rFonts w:hint="eastAsia" w:ascii="宋体" w:hAnsi="宋体" w:cs="宋体"/>
                <w:bCs/>
                <w:szCs w:val="21"/>
                <w:highlight w:val="none"/>
              </w:rPr>
              <w:t>响应人应同时具备以下资质：</w:t>
            </w:r>
          </w:p>
          <w:p w14:paraId="6C1C911A">
            <w:pPr>
              <w:wordWrap w:val="0"/>
              <w:spacing w:line="360" w:lineRule="auto"/>
              <w:jc w:val="both"/>
              <w:rPr>
                <w:bCs/>
                <w:szCs w:val="21"/>
                <w:highlight w:val="none"/>
                <w:u w:val="single"/>
              </w:rPr>
            </w:pPr>
            <w:r>
              <w:rPr>
                <w:rFonts w:hint="eastAsia"/>
                <w:bCs/>
                <w:szCs w:val="21"/>
                <w:highlight w:val="none"/>
              </w:rPr>
              <w:t>1.</w:t>
            </w:r>
            <w:r>
              <w:rPr>
                <w:rFonts w:hint="eastAsia"/>
                <w:bCs/>
                <w:szCs w:val="21"/>
                <w:highlight w:val="none"/>
                <w:u w:val="single"/>
              </w:rPr>
              <w:t>具有省级及以上住房和城乡建设主管部门颁发的有效期内的建设工程质量检测机构综合资质或专项资质（含建筑材料及构配件、主体结构及装饰装修、钢结构、地基基础及建筑节能）。</w:t>
            </w:r>
          </w:p>
          <w:p w14:paraId="637BE1F2">
            <w:pPr>
              <w:wordWrap w:val="0"/>
              <w:spacing w:line="360" w:lineRule="auto"/>
              <w:jc w:val="both"/>
              <w:rPr>
                <w:rFonts w:hint="eastAsia" w:ascii="宋体" w:hAnsi="宋体" w:cs="宋体"/>
                <w:szCs w:val="21"/>
                <w:highlight w:val="none"/>
              </w:rPr>
            </w:pPr>
            <w:r>
              <w:rPr>
                <w:rFonts w:hint="eastAsia" w:ascii="宋体" w:hAnsi="宋体" w:cs="宋体"/>
                <w:bCs/>
                <w:szCs w:val="21"/>
                <w:highlight w:val="none"/>
              </w:rPr>
              <w:t>2.</w:t>
            </w:r>
            <w:r>
              <w:rPr>
                <w:rFonts w:hint="eastAsia" w:ascii="宋体" w:hAnsi="宋体" w:cs="宋体"/>
                <w:bCs/>
                <w:szCs w:val="21"/>
                <w:highlight w:val="none"/>
                <w:u w:val="single"/>
              </w:rPr>
              <w:t>具有省级及以上质量技术监督部门颁发的CMA计量认证证书。</w:t>
            </w:r>
          </w:p>
        </w:tc>
      </w:tr>
      <w:tr w14:paraId="1580C054">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098269">
            <w:pPr>
              <w:spacing w:line="360" w:lineRule="auto"/>
              <w:jc w:val="both"/>
              <w:rPr>
                <w:rFonts w:hint="eastAsia" w:ascii="宋体" w:hAnsi="宋体" w:cs="宋体"/>
                <w:szCs w:val="21"/>
                <w:highlight w:val="none"/>
              </w:rPr>
            </w:pPr>
            <w:r>
              <w:rPr>
                <w:rFonts w:hint="eastAsia" w:ascii="宋体" w:hAnsi="宋体" w:cs="宋体"/>
                <w:szCs w:val="21"/>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5449BC3D">
            <w:pPr>
              <w:wordWrap w:val="0"/>
              <w:spacing w:line="360" w:lineRule="auto"/>
              <w:jc w:val="both"/>
              <w:rPr>
                <w:rStyle w:val="132"/>
                <w:rFonts w:hint="eastAsia" w:ascii="宋体" w:hAnsi="宋体" w:cs="宋体"/>
                <w:b w:val="0"/>
                <w:bCs w:val="0"/>
                <w:szCs w:val="21"/>
                <w:highlight w:val="none"/>
              </w:rPr>
            </w:pPr>
            <w:r>
              <w:rPr>
                <w:rStyle w:val="132"/>
                <w:rFonts w:hint="eastAsia" w:ascii="宋体" w:hAnsi="宋体" w:cs="宋体"/>
                <w:b w:val="0"/>
                <w:bCs w:val="0"/>
                <w:szCs w:val="21"/>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56FE38C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2702B7C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□适用。供应商应提供经会计师事务所或审计机构审计的近年财务会计报表复印件，包括资产负债表，现金流量表、利润表等。近年财务会计报表年份是指：</w:t>
            </w:r>
            <w:r>
              <w:rPr>
                <w:rFonts w:hint="eastAsia" w:ascii="宋体" w:hAnsi="宋体" w:cs="宋体"/>
                <w:szCs w:val="21"/>
                <w:highlight w:val="none"/>
                <w:u w:val="single"/>
              </w:rPr>
              <w:t xml:space="preserve">     </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宋体"/>
                <w:szCs w:val="21"/>
                <w:highlight w:val="none"/>
              </w:rPr>
              <w:t>年（供应商的成立时间少于该规定年份的，应提供成立以来的财务会计报表）</w:t>
            </w:r>
          </w:p>
          <w:p w14:paraId="0D36A67E">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□适用。供应商应提供近年财务会计报表复印件，包括资产负债表，现金流量表、利润表等。近年财务会计报表年份是指：</w:t>
            </w:r>
            <w:r>
              <w:rPr>
                <w:rFonts w:hint="eastAsia" w:ascii="宋体" w:hAnsi="宋体" w:cs="宋体"/>
                <w:szCs w:val="21"/>
                <w:highlight w:val="none"/>
                <w:u w:val="single"/>
              </w:rPr>
              <w:t xml:space="preserve">     </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宋体"/>
                <w:szCs w:val="21"/>
                <w:highlight w:val="none"/>
              </w:rPr>
              <w:t>年（供应商的成立时间少于该规定年份的，应提供成立以来的财务会计报表）</w:t>
            </w:r>
          </w:p>
          <w:p w14:paraId="52DE64EE">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（注：有财务要求的，应选择两种财务会计报表中的一种作为财务证明资料。）</w:t>
            </w:r>
          </w:p>
        </w:tc>
      </w:tr>
      <w:tr w14:paraId="02B0710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56FA10F">
            <w:pPr>
              <w:spacing w:line="360" w:lineRule="auto"/>
              <w:jc w:val="both"/>
              <w:rPr>
                <w:rFonts w:hint="eastAsia" w:ascii="宋体" w:hAnsi="宋体" w:cs="宋体"/>
                <w:szCs w:val="21"/>
                <w:highlight w:val="none"/>
              </w:rPr>
            </w:pPr>
            <w:r>
              <w:rPr>
                <w:rFonts w:hint="eastAsia" w:ascii="宋体" w:hAnsi="宋体" w:cs="宋体"/>
                <w:szCs w:val="21"/>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056BA8A1">
            <w:pPr>
              <w:spacing w:line="360" w:lineRule="auto"/>
              <w:jc w:val="both"/>
              <w:rPr>
                <w:rFonts w:hint="eastAsia" w:ascii="宋体" w:hAnsi="宋体" w:cs="宋体"/>
                <w:szCs w:val="21"/>
                <w:highlight w:val="none"/>
              </w:rPr>
            </w:pPr>
            <w:r>
              <w:rPr>
                <w:rFonts w:hint="eastAsia" w:ascii="宋体" w:hAnsi="宋体" w:cs="宋体"/>
                <w:szCs w:val="21"/>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213EFD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39AC70E2">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☑适用。供应商应提供近年的类似项目情况表（格式见第六章“响应文件格式”七、资格审查资料（三）近年的类似项目情况表），以证明供应商具有承担本项目要求的业绩。</w:t>
            </w:r>
          </w:p>
          <w:p w14:paraId="22F5B550">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业绩证明材料：</w:t>
            </w:r>
          </w:p>
          <w:p w14:paraId="329B6076">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☑合同/订单</w:t>
            </w:r>
          </w:p>
          <w:p w14:paraId="354CC7E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☑中标通知书/成交通知书</w:t>
            </w:r>
          </w:p>
          <w:p w14:paraId="3177A41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☑竣工验收报告/验收证明</w:t>
            </w:r>
          </w:p>
          <w:p w14:paraId="1047558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☑业主证明</w:t>
            </w:r>
          </w:p>
          <w:p w14:paraId="3D54AF9D">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☑其他材料：</w:t>
            </w:r>
            <w:bookmarkStart w:id="6" w:name="EBac4e385c44bd47669c55daf7165a0ee6"/>
            <w:r>
              <w:rPr>
                <w:rFonts w:hint="eastAsia" w:ascii="宋体" w:hAnsi="宋体" w:cs="宋体"/>
                <w:szCs w:val="21"/>
                <w:highlight w:val="none"/>
              </w:rPr>
              <w:t>1、业绩证明材料须提供合同/订单，如合同/订单无法证实业绩满足采购文件要求，还须提供委托人出具的证明材料，证明材料应附联系人姓名及联系方式）。</w:t>
            </w:r>
          </w:p>
          <w:p w14:paraId="7326A1E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2、业绩计算以合同签订日期为准。</w:t>
            </w:r>
          </w:p>
          <w:p w14:paraId="432407A5">
            <w:pPr>
              <w:wordWrap w:val="0"/>
              <w:spacing w:line="360" w:lineRule="auto"/>
              <w:jc w:val="both"/>
              <w:rPr>
                <w:rFonts w:hint="eastAsia" w:ascii="宋体" w:hAnsi="宋体" w:cs="宋体"/>
                <w:szCs w:val="21"/>
                <w:highlight w:val="none"/>
              </w:rPr>
            </w:pPr>
            <w:r>
              <w:rPr>
                <w:rFonts w:hint="eastAsia" w:ascii="宋体" w:hAnsi="宋体" w:cs="宋体"/>
                <w:szCs w:val="21"/>
                <w:highlight w:val="none"/>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szCs w:val="21"/>
                <w:highlight w:val="none"/>
              </w:rPr>
              <w:t>业绩证明材料种类要求：</w:t>
            </w:r>
          </w:p>
          <w:p w14:paraId="2F0BF4B8">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☑提供上述勾选的任一项证明材料即可</w:t>
            </w:r>
          </w:p>
          <w:p w14:paraId="74CE026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□需同时提供上述勾选的所有证明材料</w:t>
            </w:r>
          </w:p>
          <w:p w14:paraId="20DAAEE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□其他要求：</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tc>
      </w:tr>
      <w:tr w14:paraId="13EDDE6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03BBEFF">
            <w:pPr>
              <w:spacing w:line="360" w:lineRule="auto"/>
              <w:jc w:val="both"/>
              <w:rPr>
                <w:rFonts w:hint="eastAsia" w:ascii="宋体" w:hAnsi="宋体" w:cs="宋体"/>
                <w:szCs w:val="21"/>
                <w:highlight w:val="none"/>
              </w:rPr>
            </w:pPr>
            <w:r>
              <w:rPr>
                <w:rFonts w:hint="eastAsia" w:ascii="宋体" w:hAnsi="宋体" w:cs="宋体"/>
                <w:szCs w:val="21"/>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253F9FF6">
            <w:pPr>
              <w:spacing w:line="360" w:lineRule="auto"/>
              <w:jc w:val="both"/>
              <w:rPr>
                <w:rFonts w:hint="eastAsia" w:ascii="宋体" w:hAnsi="宋体" w:cs="宋体"/>
                <w:szCs w:val="21"/>
                <w:highlight w:val="none"/>
              </w:rPr>
            </w:pPr>
            <w:r>
              <w:rPr>
                <w:rFonts w:hint="eastAsia" w:ascii="宋体" w:hAnsi="宋体" w:cs="宋体"/>
                <w:szCs w:val="21"/>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396241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1C0978B5">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☑适用。供应商应提供相关信誉情况的证明材料，包括：</w:t>
            </w:r>
          </w:p>
          <w:p w14:paraId="3C6E2662">
            <w:pPr>
              <w:widowControl w:val="0"/>
              <w:spacing w:line="360" w:lineRule="auto"/>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lang w:val="en-US" w:eastAsia="zh-CN"/>
              </w:rPr>
              <w:t xml:space="preserve"> 1.</w:t>
            </w:r>
            <w:r>
              <w:rPr>
                <w:rStyle w:val="132"/>
                <w:rFonts w:hint="eastAsia" w:ascii="宋体" w:hAnsi="宋体" w:cs="宋体"/>
                <w:b w:val="0"/>
                <w:szCs w:val="21"/>
                <w:highlight w:val="none"/>
                <w:u w:val="single"/>
              </w:rPr>
              <w:t>在全国企业信用信息公示系统（http://www.gsxt.gov.cn）中被列入严重违法失信企业名单的或在“信用中国”网站（www.creditchina.gov.cn）中被列入失信被执行人名单的。</w:t>
            </w:r>
          </w:p>
          <w:p w14:paraId="7F097DBD">
            <w:pPr>
              <w:widowControl w:val="0"/>
              <w:spacing w:line="360" w:lineRule="auto"/>
              <w:jc w:val="both"/>
              <w:rPr>
                <w:rFonts w:hint="eastAsia" w:ascii="宋体" w:hAnsi="宋体" w:eastAsia="宋体" w:cs="宋体"/>
                <w:szCs w:val="21"/>
                <w:highlight w:val="none"/>
                <w:lang w:eastAsia="zh-CN"/>
              </w:rPr>
            </w:pPr>
            <w:r>
              <w:rPr>
                <w:rStyle w:val="132"/>
                <w:rFonts w:hint="eastAsia" w:ascii="宋体" w:hAnsi="宋体" w:cs="宋体"/>
                <w:b w:val="0"/>
                <w:szCs w:val="21"/>
                <w:highlight w:val="none"/>
                <w:u w:val="single"/>
                <w:lang w:val="en-US" w:eastAsia="zh-CN"/>
              </w:rPr>
              <w:t>2</w:t>
            </w:r>
            <w:r>
              <w:rPr>
                <w:rStyle w:val="132"/>
                <w:rFonts w:hint="eastAsia" w:ascii="宋体" w:hAnsi="宋体" w:cs="宋体"/>
                <w:b w:val="0"/>
                <w:szCs w:val="21"/>
                <w:highlight w:val="none"/>
                <w:u w:val="single"/>
              </w:rPr>
              <w:t>.</w:t>
            </w:r>
            <w:bookmarkStart w:id="7" w:name="EBab2c8e3e568f41e3a02df5a79f02576f"/>
            <w:r>
              <w:rPr>
                <w:rStyle w:val="132"/>
                <w:rFonts w:hint="eastAsia" w:ascii="宋体" w:hAnsi="宋体" w:cs="宋体"/>
                <w:b w:val="0"/>
                <w:szCs w:val="21"/>
                <w:highlight w:val="none"/>
                <w:u w:val="single"/>
              </w:rPr>
              <w:t>响应人不存在第一章3.1款情形的</w:t>
            </w:r>
            <w:bookmarkEnd w:id="7"/>
            <w:r>
              <w:rPr>
                <w:rStyle w:val="132"/>
                <w:rFonts w:hint="eastAsia" w:ascii="宋体" w:hAnsi="宋体" w:cs="宋体"/>
                <w:b w:val="0"/>
                <w:szCs w:val="21"/>
                <w:highlight w:val="none"/>
                <w:u w:val="single"/>
                <w:lang w:eastAsia="zh-CN"/>
              </w:rPr>
              <w:t>。</w:t>
            </w:r>
          </w:p>
        </w:tc>
      </w:tr>
      <w:tr w14:paraId="52D0BC4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750B692">
            <w:pPr>
              <w:spacing w:line="360" w:lineRule="auto"/>
              <w:jc w:val="both"/>
              <w:rPr>
                <w:rFonts w:hint="eastAsia" w:ascii="宋体" w:hAnsi="宋体" w:cs="宋体"/>
                <w:szCs w:val="21"/>
                <w:highlight w:val="none"/>
              </w:rPr>
            </w:pPr>
            <w:r>
              <w:rPr>
                <w:rFonts w:hint="eastAsia" w:ascii="宋体" w:hAnsi="宋体" w:cs="宋体"/>
                <w:szCs w:val="21"/>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357B2719">
            <w:pPr>
              <w:spacing w:line="360" w:lineRule="auto"/>
              <w:jc w:val="both"/>
              <w:rPr>
                <w:rFonts w:hint="eastAsia" w:ascii="宋体" w:hAnsi="宋体" w:cs="宋体"/>
                <w:szCs w:val="21"/>
                <w:highlight w:val="none"/>
              </w:rPr>
            </w:pPr>
            <w:r>
              <w:rPr>
                <w:rFonts w:hint="eastAsia" w:ascii="宋体" w:hAnsi="宋体" w:cs="宋体"/>
                <w:szCs w:val="21"/>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63F4A4B">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6ADBDDF0">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szCs w:val="21"/>
                <w:highlight w:val="none"/>
                <w:u w:val="single"/>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咨询成果文件关键页等（如证明材料不能体现上述要求的业绩时，除附以上证明材料的复印件外，还必须另附委托人出具的业绩证明来补充说明）。</w:t>
            </w:r>
          </w:p>
        </w:tc>
      </w:tr>
      <w:tr w14:paraId="70CFC29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0AD7A1A">
            <w:pPr>
              <w:spacing w:line="360" w:lineRule="auto"/>
              <w:jc w:val="both"/>
              <w:rPr>
                <w:rFonts w:hint="eastAsia" w:ascii="宋体" w:hAnsi="宋体" w:cs="宋体"/>
                <w:szCs w:val="21"/>
                <w:highlight w:val="none"/>
              </w:rPr>
            </w:pPr>
            <w:r>
              <w:rPr>
                <w:rFonts w:hint="eastAsia" w:ascii="宋体" w:hAnsi="宋体" w:cs="宋体"/>
                <w:szCs w:val="21"/>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6B7D0C61">
            <w:pPr>
              <w:spacing w:line="360" w:lineRule="auto"/>
              <w:jc w:val="both"/>
              <w:rPr>
                <w:rFonts w:hint="eastAsia" w:ascii="宋体" w:hAnsi="宋体" w:cs="宋体"/>
                <w:szCs w:val="21"/>
                <w:highlight w:val="none"/>
              </w:rPr>
            </w:pPr>
            <w:r>
              <w:rPr>
                <w:rFonts w:hint="eastAsia" w:ascii="宋体" w:hAnsi="宋体" w:cs="宋体"/>
                <w:szCs w:val="21"/>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59EA4E2">
            <w:pPr>
              <w:wordWrap w:val="0"/>
              <w:spacing w:line="360" w:lineRule="auto"/>
              <w:jc w:val="both"/>
              <w:rPr>
                <w:rFonts w:hint="eastAsia" w:ascii="宋体" w:hAnsi="宋体" w:cs="宋体"/>
                <w:szCs w:val="21"/>
                <w:highlight w:val="none"/>
              </w:rPr>
            </w:pPr>
            <w:r>
              <w:rPr>
                <w:rFonts w:hint="eastAsia" w:ascii="宋体" w:hAnsi="宋体" w:cs="宋体"/>
                <w:szCs w:val="21"/>
                <w:highlight w:val="none"/>
              </w:rPr>
              <w:t>/</w:t>
            </w:r>
          </w:p>
        </w:tc>
      </w:tr>
      <w:tr w14:paraId="52F611B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D2EBFD">
            <w:pPr>
              <w:spacing w:line="360" w:lineRule="auto"/>
              <w:jc w:val="both"/>
              <w:rPr>
                <w:rFonts w:hint="eastAsia" w:ascii="宋体" w:hAnsi="宋体" w:cs="宋体"/>
                <w:szCs w:val="21"/>
                <w:highlight w:val="none"/>
              </w:rPr>
            </w:pPr>
            <w:r>
              <w:rPr>
                <w:rFonts w:hint="eastAsia" w:ascii="宋体" w:hAnsi="宋体" w:cs="宋体"/>
                <w:szCs w:val="21"/>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61BDA457">
            <w:pPr>
              <w:spacing w:line="360" w:lineRule="auto"/>
              <w:jc w:val="both"/>
              <w:rPr>
                <w:rFonts w:hint="eastAsia" w:ascii="宋体" w:hAnsi="宋体" w:cs="宋体"/>
                <w:szCs w:val="21"/>
                <w:highlight w:val="none"/>
              </w:rPr>
            </w:pPr>
            <w:r>
              <w:rPr>
                <w:rFonts w:hint="eastAsia" w:ascii="宋体" w:hAnsi="宋体" w:cs="宋体"/>
                <w:szCs w:val="21"/>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463A878">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□不需要提供证明材料</w:t>
            </w:r>
          </w:p>
          <w:p w14:paraId="703445D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需要提供证明材料，包括：提供未在国家企业信用信息公示系统（http://www.gsxt.gov.cn）中被列入严重违法失信企业名单的或未在“信用中国网站”（http://www.creditchina.gov.cn）被列入失信被执行人名单的截图证明材料。</w:t>
            </w:r>
          </w:p>
        </w:tc>
      </w:tr>
      <w:tr w14:paraId="04CEEF44">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791B7D75">
            <w:pPr>
              <w:spacing w:line="360" w:lineRule="auto"/>
              <w:jc w:val="both"/>
              <w:rPr>
                <w:rFonts w:hint="eastAsia" w:ascii="宋体" w:hAnsi="宋体" w:cs="宋体"/>
                <w:szCs w:val="21"/>
                <w:highlight w:val="none"/>
              </w:rPr>
            </w:pPr>
            <w:r>
              <w:rPr>
                <w:rFonts w:hint="eastAsia" w:ascii="宋体" w:hAnsi="宋体" w:cs="宋体"/>
                <w:szCs w:val="21"/>
                <w:highlight w:val="none"/>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4C5A77F4">
            <w:pPr>
              <w:spacing w:line="360" w:lineRule="auto"/>
              <w:jc w:val="both"/>
              <w:rPr>
                <w:rFonts w:hint="eastAsia" w:ascii="宋体" w:hAnsi="宋体" w:cs="宋体"/>
                <w:szCs w:val="21"/>
                <w:highlight w:val="none"/>
              </w:rPr>
            </w:pPr>
            <w:r>
              <w:rPr>
                <w:rFonts w:hint="eastAsia" w:ascii="宋体" w:hAnsi="宋体" w:cs="宋体"/>
                <w:szCs w:val="21"/>
                <w:highlight w:val="none"/>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29533D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498FE1B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□适用。供应商应按照采购文件提供的格式（格式见第六章“响应文件格式”三、联合体协议书）拟订联合体协议书，并提供联合体协议书的彩色扫描件。联合体协议书应明确联合体各方的分工</w:t>
            </w:r>
          </w:p>
        </w:tc>
      </w:tr>
      <w:tr w14:paraId="00FF12B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52EDAC0">
            <w:pPr>
              <w:spacing w:line="360" w:lineRule="auto"/>
              <w:jc w:val="both"/>
              <w:rPr>
                <w:rFonts w:hint="eastAsia" w:ascii="宋体" w:hAnsi="宋体" w:cs="宋体"/>
                <w:szCs w:val="21"/>
                <w:highlight w:val="none"/>
              </w:rPr>
            </w:pPr>
            <w:r>
              <w:rPr>
                <w:rFonts w:hint="eastAsia" w:ascii="宋体" w:hAnsi="宋体" w:cs="宋体"/>
                <w:szCs w:val="21"/>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56408237">
            <w:pPr>
              <w:spacing w:line="360" w:lineRule="auto"/>
              <w:jc w:val="both"/>
              <w:rPr>
                <w:rFonts w:hint="eastAsia" w:ascii="宋体" w:hAnsi="宋体" w:cs="宋体"/>
                <w:szCs w:val="21"/>
                <w:highlight w:val="none"/>
              </w:rPr>
            </w:pPr>
            <w:r>
              <w:rPr>
                <w:rFonts w:hint="eastAsia" w:ascii="宋体" w:hAnsi="宋体" w:cs="宋体"/>
                <w:szCs w:val="21"/>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58B3CC1D">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满足资格审查条件要求的证据或证明材料，格式参照第六章“响应文件格式”或自拟。</w:t>
            </w:r>
          </w:p>
        </w:tc>
      </w:tr>
      <w:tr w14:paraId="1E31085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D9651F6">
            <w:pPr>
              <w:spacing w:line="360" w:lineRule="auto"/>
              <w:jc w:val="both"/>
              <w:rPr>
                <w:rFonts w:hint="eastAsia" w:ascii="宋体" w:hAnsi="宋体" w:cs="宋体"/>
                <w:szCs w:val="21"/>
                <w:highlight w:val="none"/>
              </w:rPr>
            </w:pPr>
            <w:r>
              <w:rPr>
                <w:rFonts w:hint="eastAsia" w:ascii="宋体" w:hAnsi="宋体" w:cs="宋体"/>
                <w:szCs w:val="21"/>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53EEB1AD">
            <w:pPr>
              <w:spacing w:line="360" w:lineRule="auto"/>
              <w:jc w:val="both"/>
              <w:rPr>
                <w:rFonts w:hint="eastAsia" w:ascii="宋体" w:hAnsi="宋体" w:cs="宋体"/>
                <w:szCs w:val="21"/>
                <w:highlight w:val="none"/>
              </w:rPr>
            </w:pPr>
            <w:r>
              <w:rPr>
                <w:rFonts w:hint="eastAsia" w:ascii="宋体" w:hAnsi="宋体" w:cs="宋体"/>
                <w:szCs w:val="21"/>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5767EF0B">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☑供应商只能提出唯一响应方案</w:t>
            </w:r>
          </w:p>
          <w:p w14:paraId="684CF23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□供应商可提出多个响应方案</w:t>
            </w:r>
          </w:p>
        </w:tc>
      </w:tr>
      <w:tr w14:paraId="4A96BD0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D29240">
            <w:pPr>
              <w:spacing w:line="360" w:lineRule="auto"/>
              <w:jc w:val="both"/>
              <w:rPr>
                <w:rFonts w:hint="eastAsia" w:ascii="宋体" w:hAnsi="宋体" w:cs="宋体"/>
                <w:szCs w:val="21"/>
                <w:highlight w:val="none"/>
              </w:rPr>
            </w:pPr>
            <w:r>
              <w:rPr>
                <w:rFonts w:hint="eastAsia" w:ascii="宋体" w:hAnsi="宋体" w:cs="宋体"/>
                <w:szCs w:val="21"/>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3A4A8B45">
            <w:pPr>
              <w:spacing w:line="360" w:lineRule="auto"/>
              <w:jc w:val="both"/>
              <w:rPr>
                <w:rFonts w:hint="eastAsia" w:ascii="宋体" w:hAnsi="宋体" w:cs="宋体"/>
                <w:szCs w:val="21"/>
                <w:highlight w:val="none"/>
              </w:rPr>
            </w:pPr>
            <w:r>
              <w:rPr>
                <w:rFonts w:hint="eastAsia" w:ascii="宋体" w:hAnsi="宋体" w:cs="宋体"/>
                <w:szCs w:val="21"/>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60B176D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是否要求提供电子版响应文件：</w:t>
            </w:r>
          </w:p>
          <w:p w14:paraId="3787FFF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□不要求</w:t>
            </w:r>
          </w:p>
          <w:p w14:paraId="189A54F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545826559@qq.com，时间以收到邮件时间为准，邮件中留联系人及手机号码。在截止时间后上传或未按要求发送至指定邮箱的响应文件，采购人将拒绝接收。</w:t>
            </w:r>
          </w:p>
        </w:tc>
      </w:tr>
      <w:tr w14:paraId="6056112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BDA99F">
            <w:pPr>
              <w:spacing w:line="360" w:lineRule="auto"/>
              <w:jc w:val="both"/>
              <w:rPr>
                <w:rFonts w:hint="eastAsia" w:ascii="宋体" w:hAnsi="宋体" w:cs="宋体"/>
                <w:szCs w:val="21"/>
                <w:highlight w:val="none"/>
              </w:rPr>
            </w:pPr>
            <w:r>
              <w:rPr>
                <w:rFonts w:hint="eastAsia" w:ascii="宋体" w:hAnsi="宋体" w:cs="宋体"/>
                <w:szCs w:val="21"/>
                <w:highlight w:val="none"/>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228AFAED">
            <w:pPr>
              <w:spacing w:line="360" w:lineRule="auto"/>
              <w:jc w:val="both"/>
              <w:rPr>
                <w:rFonts w:hint="eastAsia" w:ascii="宋体" w:hAnsi="宋体" w:cs="宋体"/>
                <w:szCs w:val="21"/>
                <w:highlight w:val="none"/>
              </w:rPr>
            </w:pPr>
            <w:r>
              <w:rPr>
                <w:rFonts w:hint="eastAsia" w:ascii="宋体" w:hAnsi="宋体" w:cs="宋体"/>
                <w:szCs w:val="21"/>
                <w:highlight w:val="none"/>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022B10BD">
            <w:pPr>
              <w:wordWrap w:val="0"/>
              <w:spacing w:line="360" w:lineRule="auto"/>
              <w:jc w:val="both"/>
              <w:rPr>
                <w:rFonts w:hint="eastAsia" w:ascii="宋体" w:hAnsi="宋体" w:cs="宋体"/>
                <w:szCs w:val="21"/>
                <w:highlight w:val="none"/>
              </w:rPr>
            </w:pPr>
            <w:r>
              <w:rPr>
                <w:rFonts w:hint="eastAsia" w:ascii="宋体" w:hAnsi="宋体" w:cs="宋体"/>
                <w:szCs w:val="21"/>
                <w:highlight w:val="none"/>
              </w:rPr>
              <w:t>/</w:t>
            </w:r>
          </w:p>
        </w:tc>
      </w:tr>
      <w:tr w14:paraId="27A80A4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DD9025">
            <w:pPr>
              <w:spacing w:line="360" w:lineRule="auto"/>
              <w:jc w:val="both"/>
              <w:rPr>
                <w:rFonts w:hint="eastAsia" w:ascii="宋体" w:hAnsi="宋体" w:cs="宋体"/>
                <w:szCs w:val="21"/>
                <w:highlight w:val="none"/>
              </w:rPr>
            </w:pPr>
            <w:r>
              <w:rPr>
                <w:rFonts w:hint="eastAsia" w:ascii="宋体" w:hAnsi="宋体" w:cs="宋体"/>
                <w:szCs w:val="21"/>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50A28618">
            <w:pPr>
              <w:spacing w:line="360" w:lineRule="auto"/>
              <w:jc w:val="both"/>
              <w:rPr>
                <w:rFonts w:hint="eastAsia" w:ascii="宋体" w:hAnsi="宋体" w:cs="宋体"/>
                <w:szCs w:val="21"/>
                <w:highlight w:val="none"/>
              </w:rPr>
            </w:pPr>
            <w:r>
              <w:rPr>
                <w:rFonts w:hint="eastAsia" w:ascii="宋体" w:hAnsi="宋体" w:cs="宋体"/>
                <w:szCs w:val="21"/>
                <w:highlight w:val="none"/>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1B7DB2E0">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☑不需要密封</w:t>
            </w:r>
          </w:p>
          <w:p w14:paraId="5636400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□需要密封，密封要求：</w:t>
            </w:r>
            <w:r>
              <w:rPr>
                <w:rFonts w:hint="eastAsia" w:ascii="宋体" w:hAnsi="宋体" w:cs="宋体"/>
                <w:szCs w:val="21"/>
                <w:highlight w:val="none"/>
                <w:u w:val="single"/>
              </w:rPr>
              <w:t xml:space="preserve">                    </w:t>
            </w:r>
          </w:p>
        </w:tc>
      </w:tr>
      <w:tr w14:paraId="2D1C39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C49FB55">
            <w:pPr>
              <w:spacing w:line="360" w:lineRule="auto"/>
              <w:jc w:val="both"/>
              <w:rPr>
                <w:rFonts w:hint="eastAsia" w:ascii="宋体" w:hAnsi="宋体" w:cs="宋体"/>
                <w:szCs w:val="21"/>
                <w:highlight w:val="none"/>
              </w:rPr>
            </w:pPr>
            <w:r>
              <w:rPr>
                <w:rFonts w:hint="eastAsia" w:ascii="宋体" w:hAnsi="宋体" w:cs="宋体"/>
                <w:szCs w:val="21"/>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1347B9F3">
            <w:pPr>
              <w:spacing w:line="360" w:lineRule="auto"/>
              <w:jc w:val="both"/>
              <w:rPr>
                <w:rFonts w:hint="eastAsia" w:ascii="宋体" w:hAnsi="宋体" w:cs="宋体"/>
                <w:szCs w:val="21"/>
                <w:highlight w:val="none"/>
              </w:rPr>
            </w:pPr>
            <w:r>
              <w:rPr>
                <w:rFonts w:hint="eastAsia" w:ascii="宋体" w:hAnsi="宋体" w:cs="宋体"/>
                <w:szCs w:val="21"/>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540BE0F8">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p w14:paraId="20EF9922">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□适用，供应商名称：</w:t>
            </w:r>
            <w:r>
              <w:rPr>
                <w:rFonts w:hint="eastAsia" w:ascii="宋体" w:hAnsi="宋体" w:cs="宋体"/>
                <w:szCs w:val="21"/>
                <w:highlight w:val="none"/>
                <w:u w:val="single"/>
              </w:rPr>
              <w:t xml:space="preserve">                                        （项目名称）响应文件</w:t>
            </w:r>
          </w:p>
        </w:tc>
      </w:tr>
      <w:tr w14:paraId="360677F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D54732">
            <w:pPr>
              <w:spacing w:line="360" w:lineRule="auto"/>
              <w:jc w:val="both"/>
              <w:rPr>
                <w:rFonts w:hint="eastAsia" w:ascii="宋体" w:hAnsi="宋体" w:cs="宋体"/>
                <w:szCs w:val="21"/>
                <w:highlight w:val="none"/>
              </w:rPr>
            </w:pPr>
            <w:r>
              <w:rPr>
                <w:rFonts w:hint="eastAsia" w:ascii="宋体" w:hAnsi="宋体" w:cs="宋体"/>
                <w:szCs w:val="21"/>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755A1CC8">
            <w:pPr>
              <w:spacing w:line="360" w:lineRule="auto"/>
              <w:jc w:val="both"/>
              <w:rPr>
                <w:rFonts w:hint="eastAsia" w:ascii="宋体" w:hAnsi="宋体" w:cs="宋体"/>
                <w:szCs w:val="21"/>
                <w:highlight w:val="none"/>
              </w:rPr>
            </w:pPr>
            <w:r>
              <w:rPr>
                <w:rFonts w:hint="eastAsia" w:ascii="宋体" w:hAnsi="宋体" w:cs="宋体"/>
                <w:szCs w:val="21"/>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2BC910E2">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截止时间：</w:t>
            </w:r>
            <w:r>
              <w:rPr>
                <w:rFonts w:hint="eastAsia" w:ascii="宋体" w:hAnsi="宋体" w:cs="宋体"/>
                <w:szCs w:val="21"/>
                <w:highlight w:val="none"/>
                <w:u w:val="single"/>
              </w:rPr>
              <w:t xml:space="preserve">见采购公告 </w:t>
            </w:r>
          </w:p>
          <w:p w14:paraId="085D1A98">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递交响应文件的地点：</w:t>
            </w:r>
            <w:r>
              <w:rPr>
                <w:rFonts w:hint="eastAsia" w:ascii="宋体" w:hAnsi="宋体" w:cs="宋体"/>
                <w:szCs w:val="21"/>
                <w:highlight w:val="none"/>
                <w:u w:val="single"/>
              </w:rPr>
              <w:t>见采购公告</w:t>
            </w:r>
            <w:r>
              <w:rPr>
                <w:rFonts w:hint="eastAsia" w:ascii="宋体" w:hAnsi="宋体" w:cs="宋体"/>
                <w:szCs w:val="21"/>
                <w:highlight w:val="none"/>
              </w:rPr>
              <w:t xml:space="preserve">   </w:t>
            </w:r>
          </w:p>
        </w:tc>
      </w:tr>
      <w:tr w14:paraId="7EB8064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8DF57F">
            <w:pPr>
              <w:spacing w:line="360" w:lineRule="auto"/>
              <w:jc w:val="both"/>
              <w:rPr>
                <w:rFonts w:hint="eastAsia" w:ascii="宋体" w:hAnsi="宋体" w:cs="宋体"/>
                <w:szCs w:val="21"/>
                <w:highlight w:val="none"/>
              </w:rPr>
            </w:pPr>
            <w:r>
              <w:rPr>
                <w:rFonts w:hint="eastAsia" w:ascii="宋体" w:hAnsi="宋体" w:cs="宋体"/>
                <w:szCs w:val="21"/>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155B57F7">
            <w:pPr>
              <w:spacing w:line="360" w:lineRule="auto"/>
              <w:jc w:val="both"/>
              <w:rPr>
                <w:rFonts w:hint="eastAsia" w:ascii="宋体" w:hAnsi="宋体" w:cs="宋体"/>
                <w:szCs w:val="21"/>
                <w:highlight w:val="none"/>
              </w:rPr>
            </w:pPr>
            <w:r>
              <w:rPr>
                <w:rFonts w:hint="eastAsia" w:ascii="宋体" w:hAnsi="宋体" w:cs="宋体"/>
                <w:szCs w:val="21"/>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25403152">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☑否</w:t>
            </w:r>
          </w:p>
          <w:p w14:paraId="0291485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□是，退还时间：</w:t>
            </w:r>
            <w:r>
              <w:rPr>
                <w:rFonts w:hint="eastAsia" w:ascii="宋体" w:hAnsi="宋体" w:cs="宋体"/>
                <w:szCs w:val="21"/>
                <w:highlight w:val="none"/>
                <w:u w:val="single"/>
              </w:rPr>
              <w:t xml:space="preserve">                   </w:t>
            </w:r>
          </w:p>
        </w:tc>
      </w:tr>
      <w:tr w14:paraId="796C9E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A525003">
            <w:pPr>
              <w:spacing w:line="360" w:lineRule="auto"/>
              <w:jc w:val="both"/>
              <w:rPr>
                <w:rFonts w:hint="eastAsia" w:ascii="宋体" w:hAnsi="宋体" w:cs="宋体"/>
                <w:szCs w:val="21"/>
                <w:highlight w:val="none"/>
              </w:rPr>
            </w:pPr>
            <w:r>
              <w:rPr>
                <w:rFonts w:hint="eastAsia" w:ascii="宋体" w:hAnsi="宋体" w:cs="宋体"/>
                <w:szCs w:val="21"/>
                <w:highlight w:val="none"/>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46C6E61A">
            <w:pPr>
              <w:spacing w:line="360" w:lineRule="auto"/>
              <w:jc w:val="both"/>
              <w:rPr>
                <w:rFonts w:hint="eastAsia" w:ascii="宋体" w:hAnsi="宋体" w:cs="宋体"/>
                <w:szCs w:val="21"/>
                <w:highlight w:val="none"/>
              </w:rPr>
            </w:pPr>
            <w:r>
              <w:rPr>
                <w:rFonts w:hint="eastAsia" w:ascii="宋体" w:hAnsi="宋体" w:cs="宋体"/>
                <w:szCs w:val="21"/>
                <w:highlight w:val="none"/>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595F208E">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自采购人收到供应商递交的书面通知之日起</w:t>
            </w:r>
            <w:r>
              <w:rPr>
                <w:rFonts w:hint="eastAsia" w:ascii="宋体" w:hAnsi="宋体" w:cs="宋体"/>
                <w:szCs w:val="21"/>
                <w:highlight w:val="none"/>
                <w:u w:val="single"/>
              </w:rPr>
              <w:t>5</w:t>
            </w:r>
            <w:r>
              <w:rPr>
                <w:rFonts w:hint="eastAsia" w:ascii="宋体" w:hAnsi="宋体" w:cs="宋体"/>
                <w:szCs w:val="21"/>
                <w:highlight w:val="none"/>
              </w:rPr>
              <w:t>日内</w:t>
            </w:r>
          </w:p>
        </w:tc>
      </w:tr>
      <w:tr w14:paraId="6A077DA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380485">
            <w:pPr>
              <w:spacing w:line="360" w:lineRule="auto"/>
              <w:jc w:val="both"/>
              <w:rPr>
                <w:rFonts w:hint="eastAsia" w:ascii="宋体" w:hAnsi="宋体" w:cs="宋体"/>
                <w:szCs w:val="21"/>
                <w:highlight w:val="none"/>
              </w:rPr>
            </w:pPr>
            <w:r>
              <w:rPr>
                <w:rFonts w:hint="eastAsia" w:ascii="宋体" w:hAnsi="宋体" w:cs="宋体"/>
                <w:szCs w:val="21"/>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14:paraId="61DBA9E6">
            <w:pPr>
              <w:spacing w:line="360" w:lineRule="auto"/>
              <w:jc w:val="both"/>
              <w:rPr>
                <w:rFonts w:hint="eastAsia" w:ascii="宋体" w:hAnsi="宋体" w:cs="宋体"/>
                <w:szCs w:val="21"/>
                <w:highlight w:val="none"/>
              </w:rPr>
            </w:pPr>
            <w:r>
              <w:rPr>
                <w:rFonts w:hint="eastAsia" w:ascii="宋体" w:hAnsi="宋体" w:cs="宋体"/>
                <w:szCs w:val="21"/>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5EF0D6C6">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□否</w:t>
            </w:r>
          </w:p>
          <w:p w14:paraId="36ABC648">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☑是</w:t>
            </w:r>
          </w:p>
        </w:tc>
      </w:tr>
      <w:tr w14:paraId="7E8809E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ABEC10D">
            <w:pPr>
              <w:spacing w:line="360" w:lineRule="auto"/>
              <w:jc w:val="both"/>
              <w:rPr>
                <w:rFonts w:hint="eastAsia" w:ascii="宋体" w:hAnsi="宋体" w:cs="宋体"/>
                <w:szCs w:val="21"/>
                <w:highlight w:val="none"/>
              </w:rPr>
            </w:pPr>
            <w:r>
              <w:rPr>
                <w:rFonts w:hint="eastAsia" w:ascii="宋体" w:hAnsi="宋体" w:cs="宋体"/>
                <w:szCs w:val="21"/>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14:paraId="5D5BB67C">
            <w:pPr>
              <w:spacing w:line="360" w:lineRule="auto"/>
              <w:jc w:val="both"/>
              <w:rPr>
                <w:rFonts w:hint="eastAsia" w:ascii="宋体" w:hAnsi="宋体" w:cs="宋体"/>
                <w:szCs w:val="21"/>
                <w:highlight w:val="none"/>
              </w:rPr>
            </w:pPr>
            <w:r>
              <w:rPr>
                <w:rFonts w:hint="eastAsia" w:ascii="宋体" w:hAnsi="宋体" w:cs="宋体"/>
                <w:szCs w:val="21"/>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0B7011DA">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见采购公告</w:t>
            </w:r>
          </w:p>
        </w:tc>
      </w:tr>
      <w:tr w14:paraId="3CA12C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1233A1">
            <w:pPr>
              <w:spacing w:line="360" w:lineRule="auto"/>
              <w:jc w:val="both"/>
              <w:rPr>
                <w:rFonts w:hint="eastAsia" w:ascii="宋体" w:hAnsi="宋体" w:cs="宋体"/>
                <w:szCs w:val="21"/>
                <w:highlight w:val="none"/>
              </w:rPr>
            </w:pPr>
            <w:r>
              <w:rPr>
                <w:rFonts w:hint="eastAsia" w:ascii="宋体" w:hAnsi="宋体" w:cs="宋体"/>
                <w:szCs w:val="21"/>
                <w:highlight w:val="none"/>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551C5CB0">
            <w:pPr>
              <w:spacing w:line="360" w:lineRule="auto"/>
              <w:jc w:val="both"/>
              <w:rPr>
                <w:rFonts w:hint="eastAsia" w:ascii="宋体" w:hAnsi="宋体" w:cs="宋体"/>
                <w:szCs w:val="21"/>
                <w:highlight w:val="none"/>
              </w:rPr>
            </w:pPr>
            <w:r>
              <w:rPr>
                <w:rFonts w:hint="eastAsia" w:ascii="宋体" w:hAnsi="宋体" w:cs="宋体"/>
                <w:szCs w:val="21"/>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17D8346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开启顺序：</w:t>
            </w:r>
            <w:r>
              <w:rPr>
                <w:rFonts w:hint="eastAsia" w:ascii="宋体" w:hAnsi="宋体" w:cs="宋体"/>
                <w:szCs w:val="21"/>
                <w:highlight w:val="none"/>
                <w:u w:val="single"/>
              </w:rPr>
              <w:t>随机</w:t>
            </w:r>
          </w:p>
          <w:p w14:paraId="1E4B4D2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其他应公布的信息：/</w:t>
            </w:r>
          </w:p>
        </w:tc>
      </w:tr>
      <w:tr w14:paraId="02AF28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34E2AF7">
            <w:pPr>
              <w:spacing w:line="360" w:lineRule="auto"/>
              <w:jc w:val="both"/>
              <w:rPr>
                <w:rFonts w:hint="eastAsia" w:ascii="宋体" w:hAnsi="宋体" w:cs="宋体"/>
                <w:szCs w:val="21"/>
                <w:highlight w:val="none"/>
              </w:rPr>
            </w:pPr>
            <w:r>
              <w:rPr>
                <w:rFonts w:hint="eastAsia" w:ascii="宋体" w:hAnsi="宋体" w:cs="宋体"/>
                <w:szCs w:val="21"/>
                <w:highlight w:val="none"/>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1E24D58D">
            <w:pPr>
              <w:spacing w:line="360" w:lineRule="auto"/>
              <w:jc w:val="both"/>
              <w:rPr>
                <w:rFonts w:hint="eastAsia" w:ascii="宋体" w:hAnsi="宋体" w:cs="宋体"/>
                <w:szCs w:val="21"/>
                <w:highlight w:val="none"/>
              </w:rPr>
            </w:pPr>
            <w:r>
              <w:rPr>
                <w:rFonts w:hint="eastAsia" w:ascii="宋体" w:hAnsi="宋体" w:cs="宋体"/>
                <w:szCs w:val="21"/>
                <w:highlight w:val="none"/>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33F5A1C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谈判轮次：不适用</w:t>
            </w:r>
          </w:p>
          <w:p w14:paraId="5C7FB29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□本项目共进行</w:t>
            </w:r>
            <w:r>
              <w:rPr>
                <w:rFonts w:hint="eastAsia" w:ascii="宋体" w:hAnsi="宋体" w:cs="宋体"/>
                <w:szCs w:val="21"/>
                <w:highlight w:val="none"/>
                <w:u w:val="single"/>
              </w:rPr>
              <w:t xml:space="preserve">  </w:t>
            </w:r>
            <w:r>
              <w:rPr>
                <w:rFonts w:hint="eastAsia" w:ascii="宋体" w:hAnsi="宋体" w:cs="宋体"/>
                <w:szCs w:val="21"/>
                <w:highlight w:val="none"/>
              </w:rPr>
              <w:t>轮谈判</w:t>
            </w:r>
          </w:p>
          <w:p w14:paraId="17A5C41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（注：一般不超过3轮）</w:t>
            </w:r>
          </w:p>
          <w:p w14:paraId="0D4EF08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□谈判小组在首轮谈判前告知被邀请参加谈判的供应商谈判轮次</w:t>
            </w:r>
          </w:p>
          <w:p w14:paraId="0B21A477">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□本项目不事先确定谈判轮次，谈判小组根据谈判情况确定，并在最后一轮谈判前告知供应商</w:t>
            </w:r>
          </w:p>
          <w:p w14:paraId="516CFE6D">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谈判顺序：</w:t>
            </w:r>
            <w:r>
              <w:rPr>
                <w:rFonts w:hint="eastAsia" w:ascii="宋体" w:hAnsi="宋体" w:cs="宋体"/>
                <w:szCs w:val="21"/>
                <w:highlight w:val="none"/>
                <w:u w:val="single"/>
              </w:rPr>
              <w:t xml:space="preserve">                  </w:t>
            </w:r>
          </w:p>
        </w:tc>
      </w:tr>
      <w:tr w14:paraId="75791D6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BC1EEE">
            <w:pPr>
              <w:spacing w:line="360" w:lineRule="auto"/>
              <w:jc w:val="both"/>
              <w:rPr>
                <w:rFonts w:hint="eastAsia" w:ascii="宋体" w:hAnsi="宋体" w:cs="宋体"/>
                <w:szCs w:val="21"/>
                <w:highlight w:val="none"/>
              </w:rPr>
            </w:pPr>
            <w:r>
              <w:rPr>
                <w:rFonts w:hint="eastAsia" w:ascii="宋体" w:hAnsi="宋体" w:cs="宋体"/>
                <w:szCs w:val="21"/>
                <w:highlight w:val="none"/>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7AC10652">
            <w:pPr>
              <w:spacing w:line="360" w:lineRule="auto"/>
              <w:jc w:val="both"/>
              <w:rPr>
                <w:rFonts w:hint="eastAsia" w:ascii="宋体" w:hAnsi="宋体" w:cs="宋体"/>
                <w:szCs w:val="21"/>
                <w:highlight w:val="none"/>
              </w:rPr>
            </w:pPr>
            <w:r>
              <w:rPr>
                <w:rFonts w:hint="eastAsia" w:ascii="宋体" w:hAnsi="宋体" w:cs="宋体"/>
                <w:szCs w:val="21"/>
                <w:highlight w:val="none"/>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0A0AD01F">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预定参加谈判的供应商数量：</w:t>
            </w:r>
            <w:r>
              <w:rPr>
                <w:rFonts w:hint="eastAsia" w:ascii="宋体" w:hAnsi="宋体" w:cs="宋体"/>
                <w:szCs w:val="21"/>
                <w:highlight w:val="none"/>
                <w:u w:val="single"/>
              </w:rPr>
              <w:t>不适用</w:t>
            </w:r>
          </w:p>
          <w:p w14:paraId="109ABA47">
            <w:pPr>
              <w:wordWrap w:val="0"/>
              <w:spacing w:line="360" w:lineRule="auto"/>
              <w:jc w:val="both"/>
              <w:rPr>
                <w:rFonts w:hint="eastAsia" w:ascii="宋体" w:hAnsi="宋体" w:cs="宋体"/>
                <w:szCs w:val="21"/>
                <w:highlight w:val="none"/>
              </w:rPr>
            </w:pPr>
            <w:r>
              <w:rPr>
                <w:rFonts w:hint="eastAsia" w:ascii="宋体" w:hAnsi="宋体" w:cs="宋体"/>
                <w:szCs w:val="21"/>
                <w:highlight w:val="none"/>
              </w:rPr>
              <w:t xml:space="preserve">选择方法：                  </w:t>
            </w:r>
          </w:p>
          <w:p w14:paraId="326CDE33">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退还未被选择的供应商的响应保证金的时间：</w:t>
            </w:r>
          </w:p>
        </w:tc>
      </w:tr>
      <w:tr w14:paraId="71530BB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071DFD2">
            <w:pPr>
              <w:spacing w:line="360" w:lineRule="auto"/>
              <w:jc w:val="both"/>
              <w:rPr>
                <w:rFonts w:hint="eastAsia" w:ascii="宋体" w:hAnsi="宋体" w:cs="宋体"/>
                <w:szCs w:val="21"/>
                <w:highlight w:val="none"/>
              </w:rPr>
            </w:pPr>
            <w:r>
              <w:rPr>
                <w:rFonts w:hint="eastAsia" w:ascii="宋体" w:hAnsi="宋体" w:cs="宋体"/>
                <w:szCs w:val="21"/>
                <w:highlight w:val="none"/>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52B475CC">
            <w:pPr>
              <w:spacing w:line="360" w:lineRule="auto"/>
              <w:jc w:val="both"/>
              <w:rPr>
                <w:rFonts w:hint="eastAsia" w:ascii="宋体" w:hAnsi="宋体" w:cs="宋体"/>
                <w:szCs w:val="21"/>
                <w:highlight w:val="none"/>
              </w:rPr>
            </w:pPr>
            <w:r>
              <w:rPr>
                <w:rFonts w:hint="eastAsia" w:ascii="宋体" w:hAnsi="宋体" w:cs="宋体"/>
                <w:szCs w:val="21"/>
                <w:highlight w:val="none"/>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31B7FF17">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□允许</w:t>
            </w:r>
          </w:p>
          <w:p w14:paraId="39EF8EA6">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☑不允许</w:t>
            </w:r>
          </w:p>
        </w:tc>
      </w:tr>
      <w:tr w14:paraId="23A1EC8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9DDF2E8">
            <w:pPr>
              <w:spacing w:line="360" w:lineRule="auto"/>
              <w:jc w:val="both"/>
              <w:rPr>
                <w:rFonts w:hint="eastAsia" w:ascii="宋体" w:hAnsi="宋体" w:cs="宋体"/>
                <w:szCs w:val="21"/>
                <w:highlight w:val="none"/>
              </w:rPr>
            </w:pPr>
            <w:r>
              <w:rPr>
                <w:rFonts w:hint="eastAsia" w:ascii="宋体" w:hAnsi="宋体" w:cs="宋体"/>
                <w:szCs w:val="21"/>
                <w:highlight w:val="none"/>
              </w:rPr>
              <w:t>6.6</w:t>
            </w:r>
          </w:p>
        </w:tc>
        <w:tc>
          <w:tcPr>
            <w:tcW w:w="3090" w:type="dxa"/>
            <w:tcBorders>
              <w:top w:val="single" w:color="auto" w:sz="4" w:space="0"/>
              <w:left w:val="single" w:color="auto" w:sz="4" w:space="0"/>
              <w:bottom w:val="single" w:color="auto" w:sz="4" w:space="0"/>
              <w:right w:val="single" w:color="auto" w:sz="4" w:space="0"/>
            </w:tcBorders>
            <w:vAlign w:val="center"/>
          </w:tcPr>
          <w:p w14:paraId="5A9CFB57">
            <w:pPr>
              <w:spacing w:line="360" w:lineRule="auto"/>
              <w:jc w:val="both"/>
              <w:rPr>
                <w:rFonts w:hint="eastAsia" w:ascii="宋体" w:hAnsi="宋体" w:cs="宋体"/>
                <w:szCs w:val="21"/>
                <w:highlight w:val="none"/>
              </w:rPr>
            </w:pPr>
            <w:r>
              <w:rPr>
                <w:rFonts w:hint="eastAsia" w:ascii="宋体" w:hAnsi="宋体" w:cs="宋体"/>
                <w:szCs w:val="21"/>
                <w:highlight w:val="none"/>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601C8F4A">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□否</w:t>
            </w:r>
          </w:p>
          <w:p w14:paraId="326288FB">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☑是</w:t>
            </w:r>
          </w:p>
        </w:tc>
      </w:tr>
      <w:tr w14:paraId="1A038CE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4172682">
            <w:pPr>
              <w:spacing w:line="360" w:lineRule="auto"/>
              <w:jc w:val="both"/>
              <w:rPr>
                <w:rFonts w:hint="eastAsia" w:ascii="宋体" w:hAnsi="宋体" w:cs="宋体"/>
                <w:szCs w:val="21"/>
                <w:highlight w:val="none"/>
              </w:rPr>
            </w:pPr>
            <w:r>
              <w:rPr>
                <w:rFonts w:hint="eastAsia" w:ascii="宋体" w:hAnsi="宋体" w:cs="宋体"/>
                <w:szCs w:val="21"/>
                <w:highlight w:val="none"/>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6A8F81F0">
            <w:pPr>
              <w:spacing w:line="360" w:lineRule="auto"/>
              <w:jc w:val="both"/>
              <w:rPr>
                <w:rFonts w:hint="eastAsia" w:ascii="宋体" w:hAnsi="宋体" w:cs="宋体"/>
                <w:szCs w:val="21"/>
                <w:highlight w:val="none"/>
              </w:rPr>
            </w:pPr>
            <w:r>
              <w:rPr>
                <w:rFonts w:hint="eastAsia" w:ascii="宋体" w:hAnsi="宋体" w:cs="宋体"/>
                <w:szCs w:val="21"/>
                <w:highlight w:val="none"/>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6CC85D9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是否排序：</w:t>
            </w:r>
          </w:p>
          <w:p w14:paraId="5591580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☑排序</w:t>
            </w:r>
          </w:p>
          <w:p w14:paraId="29F2EE1B">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□不排序</w:t>
            </w:r>
          </w:p>
          <w:p w14:paraId="7B085263">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xml:space="preserve">1-3名   </w:t>
            </w:r>
          </w:p>
        </w:tc>
      </w:tr>
      <w:tr w14:paraId="0EE9504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10B008">
            <w:pPr>
              <w:spacing w:line="360" w:lineRule="auto"/>
              <w:jc w:val="both"/>
              <w:rPr>
                <w:rFonts w:hint="eastAsia" w:ascii="宋体" w:hAnsi="宋体" w:cs="宋体"/>
                <w:szCs w:val="21"/>
                <w:highlight w:val="none"/>
              </w:rPr>
            </w:pPr>
            <w:r>
              <w:rPr>
                <w:rFonts w:hint="eastAsia" w:ascii="宋体" w:hAnsi="宋体" w:cs="宋体"/>
                <w:szCs w:val="21"/>
                <w:highlight w:val="none"/>
              </w:rPr>
              <w:t>7.4</w:t>
            </w:r>
          </w:p>
        </w:tc>
        <w:tc>
          <w:tcPr>
            <w:tcW w:w="3090" w:type="dxa"/>
            <w:tcBorders>
              <w:top w:val="single" w:color="auto" w:sz="4" w:space="0"/>
              <w:left w:val="single" w:color="auto" w:sz="4" w:space="0"/>
              <w:bottom w:val="single" w:color="auto" w:sz="4" w:space="0"/>
              <w:right w:val="single" w:color="auto" w:sz="4" w:space="0"/>
            </w:tcBorders>
            <w:vAlign w:val="center"/>
          </w:tcPr>
          <w:p w14:paraId="52C7FEF3">
            <w:pPr>
              <w:spacing w:line="360" w:lineRule="auto"/>
              <w:jc w:val="both"/>
              <w:rPr>
                <w:rFonts w:hint="eastAsia" w:ascii="宋体" w:hAnsi="宋体" w:cs="宋体"/>
                <w:szCs w:val="21"/>
                <w:highlight w:val="none"/>
              </w:rPr>
            </w:pPr>
            <w:r>
              <w:rPr>
                <w:rFonts w:hint="eastAsia" w:ascii="宋体" w:hAnsi="宋体" w:cs="宋体"/>
                <w:szCs w:val="21"/>
                <w:highlight w:val="none"/>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553E8F96">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公示媒介：</w:t>
            </w:r>
            <w:r>
              <w:rPr>
                <w:rFonts w:hint="eastAsia" w:ascii="宋体" w:hAnsi="宋体" w:cs="宋体"/>
                <w:szCs w:val="21"/>
                <w:highlight w:val="none"/>
                <w:u w:val="single"/>
              </w:rPr>
              <w:t xml:space="preserve">同采购公告发布媒介 </w:t>
            </w:r>
          </w:p>
          <w:p w14:paraId="4D2B24AB">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公示期限：</w:t>
            </w:r>
            <w:r>
              <w:rPr>
                <w:rFonts w:hint="eastAsia" w:ascii="宋体" w:hAnsi="宋体" w:cs="宋体"/>
                <w:szCs w:val="21"/>
                <w:highlight w:val="none"/>
                <w:u w:val="single"/>
              </w:rPr>
              <w:t>3日</w:t>
            </w:r>
          </w:p>
          <w:p w14:paraId="4D197B7F">
            <w:pPr>
              <w:wordWrap w:val="0"/>
              <w:spacing w:line="360" w:lineRule="auto"/>
              <w:jc w:val="both"/>
              <w:rPr>
                <w:rFonts w:hint="eastAsia" w:ascii="宋体" w:hAnsi="宋体" w:cs="宋体"/>
                <w:szCs w:val="21"/>
                <w:highlight w:val="none"/>
              </w:rPr>
            </w:pPr>
            <w:r>
              <w:rPr>
                <w:rFonts w:hint="eastAsia" w:ascii="宋体" w:hAnsi="宋体" w:cs="宋体"/>
                <w:szCs w:val="21"/>
                <w:highlight w:val="none"/>
                <w:u w:val="single"/>
              </w:rPr>
              <w:t>其他应公示的内容</w:t>
            </w:r>
            <w:r>
              <w:rPr>
                <w:rFonts w:hint="eastAsia" w:ascii="宋体" w:hAnsi="宋体" w:cs="宋体"/>
                <w:szCs w:val="21"/>
                <w:highlight w:val="none"/>
              </w:rPr>
              <w:t>：</w:t>
            </w:r>
            <w:r>
              <w:rPr>
                <w:rFonts w:hint="eastAsia" w:ascii="宋体" w:hAnsi="宋体" w:cs="宋体"/>
                <w:szCs w:val="21"/>
                <w:highlight w:val="none"/>
                <w:u w:val="single"/>
              </w:rPr>
              <w:t xml:space="preserve">/ </w:t>
            </w:r>
          </w:p>
        </w:tc>
      </w:tr>
      <w:tr w14:paraId="677D917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DB0A249">
            <w:pPr>
              <w:spacing w:line="360" w:lineRule="auto"/>
              <w:jc w:val="both"/>
              <w:rPr>
                <w:rFonts w:hint="eastAsia" w:ascii="宋体" w:hAnsi="宋体" w:cs="宋体"/>
                <w:szCs w:val="21"/>
                <w:highlight w:val="none"/>
              </w:rPr>
            </w:pPr>
            <w:r>
              <w:rPr>
                <w:rFonts w:hint="eastAsia" w:ascii="宋体" w:hAnsi="宋体" w:cs="宋体"/>
                <w:szCs w:val="21"/>
                <w:highlight w:val="none"/>
              </w:rPr>
              <w:t>7.6</w:t>
            </w:r>
          </w:p>
        </w:tc>
        <w:tc>
          <w:tcPr>
            <w:tcW w:w="3090" w:type="dxa"/>
            <w:tcBorders>
              <w:top w:val="single" w:color="auto" w:sz="4" w:space="0"/>
              <w:left w:val="single" w:color="auto" w:sz="4" w:space="0"/>
              <w:bottom w:val="single" w:color="auto" w:sz="4" w:space="0"/>
              <w:right w:val="single" w:color="auto" w:sz="4" w:space="0"/>
            </w:tcBorders>
            <w:vAlign w:val="center"/>
          </w:tcPr>
          <w:p w14:paraId="0B06518A">
            <w:pPr>
              <w:spacing w:line="360" w:lineRule="auto"/>
              <w:jc w:val="both"/>
              <w:rPr>
                <w:rFonts w:hint="eastAsia" w:ascii="宋体" w:hAnsi="宋体" w:cs="宋体"/>
                <w:szCs w:val="21"/>
                <w:highlight w:val="none"/>
              </w:rPr>
            </w:pPr>
            <w:r>
              <w:rPr>
                <w:rFonts w:hint="eastAsia" w:ascii="宋体" w:hAnsi="宋体" w:cs="宋体"/>
                <w:szCs w:val="21"/>
                <w:highlight w:val="none"/>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06460547">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公告媒介：</w:t>
            </w:r>
            <w:r>
              <w:rPr>
                <w:rFonts w:hint="eastAsia" w:ascii="宋体" w:hAnsi="宋体" w:cs="宋体"/>
                <w:szCs w:val="21"/>
                <w:highlight w:val="none"/>
                <w:u w:val="single"/>
              </w:rPr>
              <w:t xml:space="preserve">同采购公告发布媒介 </w:t>
            </w:r>
          </w:p>
          <w:p w14:paraId="5CB7557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其他应公告的内容：</w:t>
            </w:r>
            <w:r>
              <w:rPr>
                <w:rFonts w:hint="eastAsia" w:ascii="宋体" w:hAnsi="宋体" w:cs="宋体"/>
                <w:szCs w:val="21"/>
                <w:highlight w:val="none"/>
                <w:u w:val="single"/>
              </w:rPr>
              <w:t xml:space="preserve">/ </w:t>
            </w:r>
          </w:p>
        </w:tc>
      </w:tr>
      <w:tr w14:paraId="730644C4">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7010C985">
            <w:pPr>
              <w:spacing w:line="360" w:lineRule="auto"/>
              <w:jc w:val="both"/>
              <w:rPr>
                <w:rFonts w:hint="eastAsia" w:ascii="宋体" w:hAnsi="宋体" w:cs="宋体"/>
                <w:szCs w:val="21"/>
                <w:highlight w:val="none"/>
              </w:rPr>
            </w:pPr>
            <w:r>
              <w:rPr>
                <w:rFonts w:hint="eastAsia" w:ascii="宋体" w:hAnsi="宋体" w:cs="宋体"/>
                <w:szCs w:val="21"/>
                <w:highlight w:val="none"/>
              </w:rPr>
              <w:t>7.7</w:t>
            </w:r>
          </w:p>
        </w:tc>
        <w:tc>
          <w:tcPr>
            <w:tcW w:w="3090" w:type="dxa"/>
            <w:tcBorders>
              <w:top w:val="single" w:color="auto" w:sz="4" w:space="0"/>
              <w:left w:val="single" w:color="auto" w:sz="4" w:space="0"/>
              <w:bottom w:val="single" w:color="auto" w:sz="4" w:space="0"/>
              <w:right w:val="single" w:color="auto" w:sz="4" w:space="0"/>
            </w:tcBorders>
            <w:vAlign w:val="center"/>
          </w:tcPr>
          <w:p w14:paraId="372255C1">
            <w:pPr>
              <w:spacing w:line="360" w:lineRule="auto"/>
              <w:jc w:val="both"/>
              <w:rPr>
                <w:rFonts w:hint="eastAsia" w:ascii="宋体" w:hAnsi="宋体" w:cs="宋体"/>
                <w:szCs w:val="21"/>
                <w:highlight w:val="none"/>
              </w:rPr>
            </w:pPr>
            <w:r>
              <w:rPr>
                <w:rFonts w:hint="eastAsia" w:ascii="宋体" w:hAnsi="宋体" w:cs="宋体"/>
                <w:szCs w:val="21"/>
                <w:highlight w:val="none"/>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7F0CD190">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□不要求提交</w:t>
            </w:r>
          </w:p>
          <w:p w14:paraId="28EC617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☑要求递交</w:t>
            </w:r>
          </w:p>
          <w:p w14:paraId="0685A9D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履约保证金的形式：银行保函或现金、支票</w:t>
            </w:r>
          </w:p>
          <w:p w14:paraId="0A683DC3">
            <w:pPr>
              <w:wordWrap w:val="0"/>
              <w:spacing w:line="360" w:lineRule="auto"/>
              <w:jc w:val="both"/>
              <w:rPr>
                <w:rFonts w:hint="eastAsia" w:ascii="宋体" w:hAnsi="宋体" w:cs="宋体"/>
                <w:szCs w:val="21"/>
                <w:highlight w:val="none"/>
              </w:rPr>
            </w:pPr>
            <w:r>
              <w:rPr>
                <w:rFonts w:hint="eastAsia" w:ascii="宋体" w:hAnsi="宋体" w:cs="宋体"/>
                <w:szCs w:val="21"/>
                <w:highlight w:val="none"/>
              </w:rPr>
              <w:t>履约保证金的金额：10％签约合同价</w:t>
            </w:r>
          </w:p>
          <w:p w14:paraId="789BDCC1">
            <w:pPr>
              <w:wordWrap w:val="0"/>
              <w:spacing w:line="360" w:lineRule="auto"/>
              <w:jc w:val="both"/>
              <w:rPr>
                <w:rFonts w:hint="eastAsia" w:ascii="宋体" w:hAnsi="宋体" w:cs="宋体"/>
                <w:szCs w:val="21"/>
                <w:highlight w:val="none"/>
              </w:rPr>
            </w:pPr>
            <w:r>
              <w:rPr>
                <w:rFonts w:hint="eastAsia" w:ascii="宋体" w:hAnsi="宋体" w:cs="宋体"/>
                <w:szCs w:val="21"/>
                <w:highlight w:val="none"/>
              </w:rPr>
              <w:t>采用银行保函时，出具保函的银行级别：国有或股份制商业银行</w:t>
            </w:r>
          </w:p>
        </w:tc>
      </w:tr>
      <w:tr w14:paraId="3DA1275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6788C9E">
            <w:pPr>
              <w:spacing w:line="360" w:lineRule="auto"/>
              <w:jc w:val="both"/>
              <w:rPr>
                <w:rFonts w:hint="eastAsia" w:ascii="宋体" w:hAnsi="宋体" w:cs="宋体"/>
                <w:szCs w:val="21"/>
                <w:highlight w:val="none"/>
              </w:rPr>
            </w:pPr>
            <w:r>
              <w:rPr>
                <w:rFonts w:hint="eastAsia" w:ascii="宋体" w:hAnsi="宋体" w:cs="宋体"/>
                <w:szCs w:val="21"/>
                <w:highlight w:val="none"/>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1227A9A1">
            <w:pPr>
              <w:spacing w:line="360" w:lineRule="auto"/>
              <w:jc w:val="both"/>
              <w:rPr>
                <w:rFonts w:hint="eastAsia" w:ascii="宋体" w:hAnsi="宋体" w:cs="宋体"/>
                <w:szCs w:val="21"/>
                <w:highlight w:val="none"/>
              </w:rPr>
            </w:pPr>
            <w:r>
              <w:rPr>
                <w:rFonts w:hint="eastAsia" w:ascii="宋体" w:hAnsi="宋体" w:cs="宋体"/>
                <w:szCs w:val="21"/>
                <w:highlight w:val="none"/>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5B163CD8">
            <w:pPr>
              <w:wordWrap w:val="0"/>
              <w:spacing w:line="360" w:lineRule="auto"/>
              <w:jc w:val="both"/>
              <w:rPr>
                <w:rFonts w:hint="eastAsia" w:ascii="宋体" w:hAnsi="宋体" w:cs="宋体"/>
                <w:szCs w:val="21"/>
                <w:highlight w:val="none"/>
              </w:rPr>
            </w:pPr>
            <w:r>
              <w:rPr>
                <w:rFonts w:hint="eastAsia" w:ascii="宋体" w:hAnsi="宋体" w:cs="宋体"/>
                <w:szCs w:val="21"/>
                <w:highlight w:val="none"/>
              </w:rPr>
              <w:t>成交价格</w:t>
            </w:r>
          </w:p>
        </w:tc>
      </w:tr>
      <w:tr w14:paraId="4F1B594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F1BF5F7">
            <w:pPr>
              <w:spacing w:line="360" w:lineRule="auto"/>
              <w:jc w:val="both"/>
              <w:rPr>
                <w:rFonts w:hint="eastAsia" w:ascii="宋体" w:hAnsi="宋体" w:cs="宋体"/>
                <w:szCs w:val="21"/>
                <w:highlight w:val="none"/>
              </w:rPr>
            </w:pPr>
            <w:r>
              <w:rPr>
                <w:rFonts w:hint="eastAsia" w:ascii="宋体" w:hAnsi="宋体" w:cs="宋体"/>
                <w:szCs w:val="21"/>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14:paraId="112CD94C">
            <w:pPr>
              <w:spacing w:line="360" w:lineRule="auto"/>
              <w:jc w:val="both"/>
              <w:rPr>
                <w:rFonts w:hint="eastAsia" w:ascii="宋体" w:hAnsi="宋体" w:cs="宋体"/>
                <w:szCs w:val="21"/>
                <w:highlight w:val="none"/>
              </w:rPr>
            </w:pPr>
            <w:r>
              <w:rPr>
                <w:rFonts w:hint="eastAsia" w:ascii="宋体" w:hAnsi="宋体" w:cs="宋体"/>
                <w:szCs w:val="21"/>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17702C0E">
            <w:pPr>
              <w:wordWrap w:val="0"/>
              <w:spacing w:line="360" w:lineRule="auto"/>
              <w:jc w:val="both"/>
              <w:rPr>
                <w:rFonts w:hint="eastAsia" w:ascii="宋体" w:hAnsi="宋体" w:cs="宋体"/>
                <w:szCs w:val="21"/>
                <w:highlight w:val="none"/>
              </w:rPr>
            </w:pPr>
            <w:r>
              <w:rPr>
                <w:rFonts w:hint="eastAsia" w:ascii="宋体" w:hAnsi="宋体" w:cs="宋体"/>
                <w:szCs w:val="21"/>
                <w:highlight w:val="none"/>
              </w:rPr>
              <w:t>监督部门：湖南省新新张官高速公路建设开发有限公司</w:t>
            </w:r>
            <w:r>
              <w:rPr>
                <w:rFonts w:hint="eastAsia" w:ascii="宋体" w:hAnsi="宋体" w:cs="宋体"/>
                <w:szCs w:val="21"/>
                <w:highlight w:val="none"/>
                <w:lang w:val="en-US" w:eastAsia="zh-CN"/>
              </w:rPr>
              <w:t>张家界</w:t>
            </w:r>
            <w:r>
              <w:rPr>
                <w:rFonts w:hint="eastAsia" w:ascii="宋体" w:hAnsi="宋体" w:cs="宋体"/>
                <w:szCs w:val="21"/>
                <w:highlight w:val="none"/>
              </w:rPr>
              <w:t>分公司</w:t>
            </w:r>
            <w:r>
              <w:rPr>
                <w:rFonts w:hint="eastAsia" w:ascii="宋体" w:hAnsi="宋体" w:cs="宋体"/>
                <w:szCs w:val="21"/>
                <w:highlight w:val="none"/>
                <w:lang w:val="en-US" w:eastAsia="zh-CN"/>
              </w:rPr>
              <w:t>工程</w:t>
            </w:r>
            <w:r>
              <w:rPr>
                <w:rFonts w:hint="eastAsia" w:ascii="宋体" w:hAnsi="宋体" w:cs="宋体"/>
                <w:szCs w:val="21"/>
                <w:highlight w:val="none"/>
              </w:rPr>
              <w:t>管理部</w:t>
            </w:r>
          </w:p>
          <w:p w14:paraId="5C676724">
            <w:pPr>
              <w:pStyle w:val="35"/>
              <w:rPr>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李</w:t>
            </w:r>
            <w:r>
              <w:rPr>
                <w:rFonts w:hint="eastAsia" w:ascii="宋体" w:hAnsi="宋体" w:cs="宋体"/>
                <w:szCs w:val="21"/>
                <w:highlight w:val="none"/>
              </w:rPr>
              <w:t xml:space="preserve">先生 </w:t>
            </w:r>
          </w:p>
          <w:p w14:paraId="17306325">
            <w:pPr>
              <w:wordWrap w:val="0"/>
              <w:spacing w:line="360" w:lineRule="auto"/>
              <w:jc w:val="both"/>
              <w:rPr>
                <w:rFonts w:hint="eastAsia" w:ascii="宋体" w:hAnsi="宋体" w:cs="宋体"/>
                <w:szCs w:val="21"/>
                <w:highlight w:val="none"/>
              </w:rPr>
            </w:pPr>
            <w:r>
              <w:rPr>
                <w:rFonts w:hint="eastAsia" w:ascii="宋体" w:hAnsi="宋体" w:cs="宋体"/>
                <w:szCs w:val="21"/>
                <w:highlight w:val="none"/>
              </w:rPr>
              <w:t xml:space="preserve">联系电话：19986633304     </w:t>
            </w:r>
          </w:p>
        </w:tc>
      </w:tr>
      <w:tr w14:paraId="5E660DB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A723DD5">
            <w:pPr>
              <w:spacing w:line="360" w:lineRule="auto"/>
              <w:jc w:val="both"/>
              <w:rPr>
                <w:rFonts w:hint="eastAsia" w:ascii="宋体" w:hAnsi="宋体" w:cs="宋体"/>
                <w:szCs w:val="21"/>
                <w:highlight w:val="none"/>
              </w:rPr>
            </w:pPr>
            <w:r>
              <w:rPr>
                <w:rFonts w:hint="eastAsia" w:ascii="宋体" w:hAnsi="宋体" w:cs="宋体"/>
                <w:szCs w:val="21"/>
                <w:highlight w:val="none"/>
              </w:rPr>
              <w:t>8.2</w:t>
            </w:r>
          </w:p>
        </w:tc>
        <w:tc>
          <w:tcPr>
            <w:tcW w:w="3090" w:type="dxa"/>
            <w:tcBorders>
              <w:top w:val="single" w:color="auto" w:sz="4" w:space="0"/>
              <w:left w:val="single" w:color="auto" w:sz="4" w:space="0"/>
              <w:bottom w:val="single" w:color="auto" w:sz="4" w:space="0"/>
              <w:right w:val="single" w:color="auto" w:sz="4" w:space="0"/>
            </w:tcBorders>
            <w:vAlign w:val="center"/>
          </w:tcPr>
          <w:p w14:paraId="2E4A4FD9">
            <w:pPr>
              <w:spacing w:line="360" w:lineRule="auto"/>
              <w:jc w:val="both"/>
              <w:rPr>
                <w:rFonts w:hint="eastAsia" w:ascii="宋体" w:hAnsi="宋体" w:cs="宋体"/>
                <w:szCs w:val="21"/>
                <w:highlight w:val="none"/>
              </w:rPr>
            </w:pPr>
            <w:r>
              <w:rPr>
                <w:rFonts w:hint="eastAsia" w:ascii="宋体" w:hAnsi="宋体" w:cs="宋体"/>
                <w:szCs w:val="21"/>
                <w:highlight w:val="none"/>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2F74C81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w:t>
            </w:r>
          </w:p>
        </w:tc>
      </w:tr>
      <w:tr w14:paraId="5479B44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69956C0">
            <w:pPr>
              <w:spacing w:line="360" w:lineRule="auto"/>
              <w:jc w:val="both"/>
              <w:rPr>
                <w:rFonts w:hint="eastAsia" w:ascii="宋体" w:hAnsi="宋体" w:cs="宋体"/>
                <w:szCs w:val="21"/>
                <w:highlight w:val="none"/>
              </w:rPr>
            </w:pPr>
            <w:r>
              <w:rPr>
                <w:rFonts w:hint="eastAsia" w:ascii="宋体" w:hAnsi="宋体" w:cs="宋体"/>
                <w:szCs w:val="21"/>
                <w:highlight w:val="none"/>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66AF4205">
            <w:pPr>
              <w:spacing w:line="360" w:lineRule="auto"/>
              <w:jc w:val="both"/>
              <w:rPr>
                <w:rFonts w:hint="eastAsia" w:ascii="宋体" w:hAnsi="宋体" w:cs="宋体"/>
                <w:szCs w:val="21"/>
                <w:highlight w:val="none"/>
              </w:rPr>
            </w:pPr>
            <w:r>
              <w:rPr>
                <w:rFonts w:hint="eastAsia" w:ascii="宋体" w:hAnsi="宋体" w:cs="宋体"/>
                <w:szCs w:val="21"/>
                <w:highlight w:val="none"/>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2996583C">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□不要求承担</w:t>
            </w:r>
          </w:p>
          <w:p w14:paraId="289ACCE4">
            <w:pPr>
              <w:wordWrap w:val="0"/>
              <w:spacing w:line="360" w:lineRule="auto"/>
              <w:jc w:val="both"/>
              <w:rPr>
                <w:rFonts w:hint="eastAsia" w:ascii="宋体" w:hAnsi="宋体" w:cs="宋体"/>
                <w:szCs w:val="21"/>
                <w:highlight w:val="none"/>
              </w:rPr>
            </w:pPr>
            <w:r>
              <w:rPr>
                <w:rFonts w:hint="eastAsia" w:ascii="宋体" w:hAnsi="宋体" w:cs="宋体"/>
                <w:szCs w:val="21"/>
                <w:highlight w:val="none"/>
              </w:rPr>
              <w:t>☑要求承担</w:t>
            </w:r>
          </w:p>
          <w:p w14:paraId="38B43301">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费用标准或金额：</w:t>
            </w:r>
            <w:r>
              <w:rPr>
                <w:rFonts w:hint="eastAsia" w:ascii="宋体" w:hAnsi="宋体" w:cs="宋体"/>
                <w:szCs w:val="21"/>
                <w:highlight w:val="none"/>
                <w:u w:val="single"/>
              </w:rPr>
              <w:t>见采购公告</w:t>
            </w:r>
          </w:p>
          <w:p w14:paraId="7344B3CA">
            <w:pPr>
              <w:wordWrap w:val="0"/>
              <w:spacing w:line="360" w:lineRule="auto"/>
              <w:jc w:val="both"/>
              <w:rPr>
                <w:rFonts w:hint="eastAsia" w:ascii="宋体" w:hAnsi="宋体" w:cs="宋体"/>
                <w:szCs w:val="21"/>
                <w:highlight w:val="none"/>
                <w:u w:val="single"/>
              </w:rPr>
            </w:pPr>
            <w:r>
              <w:rPr>
                <w:rFonts w:hint="eastAsia" w:ascii="宋体" w:hAnsi="宋体" w:cs="宋体"/>
                <w:szCs w:val="21"/>
                <w:highlight w:val="none"/>
              </w:rPr>
              <w:t>交费时间：</w:t>
            </w:r>
            <w:r>
              <w:rPr>
                <w:rFonts w:hint="eastAsia" w:ascii="宋体" w:hAnsi="宋体" w:cs="宋体"/>
                <w:szCs w:val="21"/>
                <w:highlight w:val="none"/>
                <w:u w:val="single"/>
              </w:rPr>
              <w:t>见采购公告</w:t>
            </w:r>
          </w:p>
          <w:p w14:paraId="5C7DD41F">
            <w:pPr>
              <w:wordWrap w:val="0"/>
              <w:spacing w:line="360" w:lineRule="auto"/>
              <w:jc w:val="both"/>
              <w:rPr>
                <w:rFonts w:hint="eastAsia" w:ascii="宋体" w:hAnsi="宋体" w:cs="宋体"/>
                <w:szCs w:val="21"/>
                <w:highlight w:val="none"/>
              </w:rPr>
            </w:pPr>
            <w:r>
              <w:rPr>
                <w:rFonts w:hint="eastAsia" w:ascii="宋体" w:hAnsi="宋体" w:cs="宋体"/>
                <w:szCs w:val="21"/>
                <w:highlight w:val="none"/>
              </w:rPr>
              <w:t>交费方式：</w:t>
            </w:r>
            <w:r>
              <w:rPr>
                <w:rFonts w:hint="eastAsia" w:ascii="宋体" w:hAnsi="宋体" w:cs="宋体"/>
                <w:szCs w:val="21"/>
                <w:highlight w:val="none"/>
                <w:u w:val="single"/>
              </w:rPr>
              <w:t>见采购公告</w:t>
            </w:r>
          </w:p>
        </w:tc>
      </w:tr>
      <w:tr w14:paraId="3F71F30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1F7BC54">
            <w:pPr>
              <w:spacing w:line="360" w:lineRule="auto"/>
              <w:jc w:val="both"/>
              <w:rPr>
                <w:rFonts w:hint="eastAsia" w:ascii="宋体" w:hAnsi="宋体" w:cs="宋体"/>
                <w:szCs w:val="21"/>
                <w:highlight w:val="none"/>
              </w:rPr>
            </w:pPr>
            <w:r>
              <w:rPr>
                <w:rFonts w:hint="eastAsia" w:ascii="宋体" w:hAnsi="宋体" w:cs="宋体"/>
                <w:szCs w:val="21"/>
                <w:highlight w:val="none"/>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27F2D21A">
            <w:pPr>
              <w:spacing w:line="360" w:lineRule="auto"/>
              <w:jc w:val="both"/>
              <w:rPr>
                <w:rFonts w:hint="eastAsia" w:ascii="宋体" w:hAnsi="宋体" w:cs="宋体"/>
                <w:szCs w:val="21"/>
                <w:highlight w:val="none"/>
              </w:rPr>
            </w:pPr>
            <w:r>
              <w:rPr>
                <w:rFonts w:hint="eastAsia" w:ascii="宋体" w:hAnsi="宋体" w:cs="宋体"/>
                <w:szCs w:val="21"/>
                <w:highlight w:val="none"/>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08E734A9">
            <w:pPr>
              <w:wordWrap w:val="0"/>
              <w:spacing w:line="360" w:lineRule="auto"/>
              <w:jc w:val="both"/>
              <w:rPr>
                <w:rFonts w:hint="eastAsia" w:ascii="宋体" w:hAnsi="宋体" w:cs="宋体"/>
                <w:szCs w:val="21"/>
                <w:highlight w:val="none"/>
              </w:rPr>
            </w:pPr>
            <w:r>
              <w:rPr>
                <w:rFonts w:hint="eastAsia" w:ascii="宋体" w:hAnsi="宋体" w:cs="宋体"/>
                <w:szCs w:val="21"/>
                <w:highlight w:val="none"/>
              </w:rPr>
              <w:t>/</w:t>
            </w:r>
          </w:p>
        </w:tc>
      </w:tr>
    </w:tbl>
    <w:p w14:paraId="365FA9C7">
      <w:pPr>
        <w:pStyle w:val="70"/>
        <w:spacing w:line="300" w:lineRule="atLeast"/>
        <w:jc w:val="center"/>
        <w:rPr>
          <w:rFonts w:ascii="黑体" w:hAnsi="Times New Roman" w:eastAsia="黑体" w:cs="Times New Roman"/>
          <w:sz w:val="28"/>
          <w:szCs w:val="28"/>
          <w:highlight w:val="none"/>
        </w:rPr>
      </w:pPr>
    </w:p>
    <w:p w14:paraId="7E4CE703">
      <w:pPr>
        <w:pStyle w:val="70"/>
        <w:spacing w:line="300" w:lineRule="atLeast"/>
        <w:jc w:val="center"/>
        <w:rPr>
          <w:rFonts w:ascii="黑体" w:hAnsi="Times New Roman" w:eastAsia="黑体" w:cs="Times New Roman"/>
          <w:sz w:val="28"/>
          <w:szCs w:val="28"/>
          <w:highlight w:val="none"/>
        </w:rPr>
      </w:pPr>
    </w:p>
    <w:p w14:paraId="3C7F5F90">
      <w:pPr>
        <w:pStyle w:val="70"/>
        <w:spacing w:line="300" w:lineRule="atLeast"/>
        <w:jc w:val="center"/>
        <w:rPr>
          <w:rFonts w:ascii="黑体" w:hAnsi="Times New Roman" w:eastAsia="黑体" w:cs="Times New Roman"/>
          <w:sz w:val="28"/>
          <w:szCs w:val="28"/>
          <w:highlight w:val="none"/>
        </w:rPr>
      </w:pPr>
    </w:p>
    <w:p w14:paraId="20B75DEC">
      <w:pPr>
        <w:jc w:val="center"/>
        <w:rPr>
          <w:rFonts w:ascii="黑体" w:hAnsi="Times New Roman" w:eastAsia="黑体" w:cs="Times New Roman"/>
          <w:sz w:val="28"/>
          <w:szCs w:val="28"/>
          <w:highlight w:val="none"/>
        </w:rPr>
      </w:pPr>
      <w:r>
        <w:rPr>
          <w:rFonts w:hint="eastAsia" w:ascii="黑体" w:hAnsi="Times New Roman" w:eastAsia="黑体" w:cs="Times New Roman"/>
          <w:sz w:val="28"/>
          <w:szCs w:val="28"/>
          <w:highlight w:val="none"/>
        </w:rPr>
        <w:t>附录1   资格审查条件（资质最低条件）</w:t>
      </w:r>
    </w:p>
    <w:p w14:paraId="069184F6">
      <w:pPr>
        <w:pStyle w:val="70"/>
        <w:spacing w:line="300" w:lineRule="atLeast"/>
        <w:ind w:left="0" w:firstLine="0"/>
        <w:jc w:val="both"/>
        <w:rPr>
          <w:rFonts w:ascii="黑体" w:hAnsi="Times New Roman" w:eastAsia="黑体" w:cs="Times New Roman"/>
          <w:sz w:val="28"/>
          <w:szCs w:val="28"/>
          <w:highlight w:val="none"/>
        </w:rPr>
      </w:pPr>
    </w:p>
    <w:tbl>
      <w:tblPr>
        <w:tblStyle w:val="89"/>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93"/>
        <w:gridCol w:w="8057"/>
      </w:tblGrid>
      <w:tr w14:paraId="0FA3F52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7C7F2B6F">
            <w:pPr>
              <w:jc w:val="center"/>
              <w:rPr>
                <w:rFonts w:hint="eastAsia" w:ascii="宋体" w:hAnsi="宋体" w:cs="宋体"/>
                <w:sz w:val="24"/>
                <w:highlight w:val="none"/>
              </w:rPr>
            </w:pPr>
            <w:r>
              <w:rPr>
                <w:rFonts w:hint="eastAsia" w:ascii="宋体" w:hAnsi="宋体" w:cs="宋体"/>
                <w:sz w:val="24"/>
                <w:highlight w:val="none"/>
              </w:rPr>
              <w:t>项目名称</w:t>
            </w:r>
          </w:p>
        </w:tc>
        <w:tc>
          <w:tcPr>
            <w:tcW w:w="4089" w:type="pct"/>
            <w:tcBorders>
              <w:top w:val="single" w:color="000000" w:sz="4" w:space="0"/>
              <w:left w:val="single" w:color="000000" w:sz="4" w:space="0"/>
              <w:bottom w:val="single" w:color="000000" w:sz="4" w:space="0"/>
              <w:right w:val="single" w:color="000000" w:sz="4" w:space="0"/>
            </w:tcBorders>
            <w:vAlign w:val="center"/>
          </w:tcPr>
          <w:p w14:paraId="378F3F3D">
            <w:pPr>
              <w:jc w:val="center"/>
              <w:rPr>
                <w:rFonts w:hint="eastAsia" w:ascii="宋体" w:hAnsi="宋体" w:cs="宋体"/>
                <w:sz w:val="24"/>
                <w:highlight w:val="none"/>
              </w:rPr>
            </w:pPr>
            <w:r>
              <w:rPr>
                <w:rFonts w:hint="eastAsia" w:ascii="宋体" w:hAnsi="宋体" w:cs="宋体"/>
                <w:sz w:val="24"/>
                <w:highlight w:val="none"/>
              </w:rPr>
              <w:t>企业资质等级要求</w:t>
            </w:r>
          </w:p>
        </w:tc>
      </w:tr>
      <w:tr w14:paraId="0EF3360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5894F01E">
            <w:pPr>
              <w:jc w:val="center"/>
              <w:rPr>
                <w:highlight w:val="none"/>
              </w:rPr>
            </w:pPr>
            <w:r>
              <w:rPr>
                <w:rFonts w:hint="eastAsia" w:ascii="宋体" w:hAnsi="宋体" w:cs="宋体"/>
                <w:bCs/>
                <w:szCs w:val="21"/>
                <w:highlight w:val="none"/>
                <w:shd w:val="clear" w:color="auto" w:fill="FFFFFF"/>
              </w:rPr>
              <w:t>G59</w:t>
            </w:r>
            <w:r>
              <w:rPr>
                <w:rFonts w:hint="eastAsia" w:ascii="宋体" w:hAnsi="宋体" w:cs="宋体"/>
                <w:bCs/>
                <w:szCs w:val="21"/>
                <w:highlight w:val="none"/>
                <w:shd w:val="clear" w:color="auto" w:fill="FFFFFF"/>
                <w:lang w:val="en-US" w:eastAsia="zh-CN"/>
              </w:rPr>
              <w:t>张官</w:t>
            </w:r>
            <w:r>
              <w:rPr>
                <w:rFonts w:hint="eastAsia" w:ascii="宋体" w:hAnsi="宋体" w:cs="宋体"/>
                <w:bCs/>
                <w:szCs w:val="21"/>
                <w:highlight w:val="none"/>
                <w:shd w:val="clear" w:color="auto" w:fill="FFFFFF"/>
              </w:rPr>
              <w:t>高速公路</w:t>
            </w:r>
            <w:r>
              <w:rPr>
                <w:rFonts w:hint="eastAsia" w:ascii="宋体" w:hAnsi="宋体" w:cs="宋体"/>
                <w:bCs/>
                <w:szCs w:val="21"/>
                <w:highlight w:val="none"/>
                <w:shd w:val="clear" w:color="auto" w:fill="FFFFFF"/>
                <w:lang w:val="en-US" w:eastAsia="zh-CN"/>
              </w:rPr>
              <w:t>第二标</w:t>
            </w:r>
            <w:r>
              <w:rPr>
                <w:rFonts w:hint="eastAsia" w:ascii="宋体" w:hAnsi="宋体" w:cs="宋体"/>
                <w:bCs/>
                <w:szCs w:val="21"/>
                <w:highlight w:val="none"/>
                <w:shd w:val="clear" w:color="auto" w:fill="FFFFFF"/>
              </w:rPr>
              <w:t>段房建工程竣工质量检测技术服务项目</w:t>
            </w:r>
          </w:p>
        </w:tc>
        <w:tc>
          <w:tcPr>
            <w:tcW w:w="4089" w:type="pct"/>
            <w:tcBorders>
              <w:top w:val="single" w:color="000000" w:sz="4" w:space="0"/>
              <w:left w:val="single" w:color="000000" w:sz="4" w:space="0"/>
              <w:bottom w:val="single" w:color="000000" w:sz="4" w:space="0"/>
              <w:right w:val="single" w:color="000000" w:sz="4" w:space="0"/>
            </w:tcBorders>
            <w:vAlign w:val="center"/>
          </w:tcPr>
          <w:p w14:paraId="125F26D5">
            <w:pPr>
              <w:rPr>
                <w:highlight w:val="none"/>
                <w:lang w:val="zh-CN"/>
              </w:rPr>
            </w:pPr>
            <w:r>
              <w:rPr>
                <w:rFonts w:hint="eastAsia"/>
                <w:highlight w:val="none"/>
                <w:lang w:val="zh-CN"/>
              </w:rPr>
              <w:t>应同时满足：</w:t>
            </w:r>
          </w:p>
          <w:p w14:paraId="545F2485">
            <w:pPr>
              <w:numPr>
                <w:ilvl w:val="0"/>
                <w:numId w:val="16"/>
              </w:numPr>
              <w:rPr>
                <w:highlight w:val="none"/>
                <w:lang w:val="zh-CN"/>
              </w:rPr>
            </w:pPr>
            <w:r>
              <w:rPr>
                <w:rFonts w:hint="eastAsia"/>
                <w:highlight w:val="none"/>
                <w:lang w:val="zh-CN"/>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2AA10DE5">
            <w:pPr>
              <w:pStyle w:val="76"/>
              <w:numPr>
                <w:ilvl w:val="0"/>
                <w:numId w:val="16"/>
              </w:numPr>
              <w:ind w:left="0" w:leftChars="0" w:firstLine="0" w:firstLineChars="0"/>
              <w:rPr>
                <w:highlight w:val="none"/>
              </w:rPr>
            </w:pPr>
            <w:r>
              <w:rPr>
                <w:rFonts w:hint="eastAsia"/>
                <w:highlight w:val="none"/>
              </w:rPr>
              <w:t>具有省级及以上住房和城乡建设主管部门颁发的有效期内的建设工程质量检测机构综合资质或专项资质（含建筑材料及构配件、主体结构及装饰装修、钢结构、地基基础及建筑节能）;</w:t>
            </w:r>
          </w:p>
          <w:p w14:paraId="41CFE26F">
            <w:pPr>
              <w:pStyle w:val="76"/>
              <w:numPr>
                <w:ilvl w:val="0"/>
                <w:numId w:val="16"/>
              </w:numPr>
              <w:ind w:left="0" w:leftChars="0" w:firstLine="0" w:firstLineChars="0"/>
              <w:rPr>
                <w:highlight w:val="none"/>
              </w:rPr>
            </w:pPr>
            <w:r>
              <w:rPr>
                <w:rFonts w:hint="eastAsia"/>
                <w:highlight w:val="none"/>
              </w:rPr>
              <w:t>具有省级及以上质量技术监督部门颁发的CMA计量认证证书。</w:t>
            </w:r>
          </w:p>
        </w:tc>
      </w:tr>
    </w:tbl>
    <w:p w14:paraId="480C068D">
      <w:pPr>
        <w:jc w:val="center"/>
        <w:rPr>
          <w:rFonts w:ascii="黑体" w:eastAsia="黑体"/>
          <w:sz w:val="28"/>
          <w:szCs w:val="28"/>
          <w:highlight w:val="none"/>
        </w:rPr>
      </w:pPr>
      <w:bookmarkStart w:id="8" w:name="_Toc237060980"/>
      <w:bookmarkStart w:id="9" w:name="_Toc337561661"/>
      <w:bookmarkStart w:id="10" w:name="_Toc337747187"/>
    </w:p>
    <w:p w14:paraId="57CC48A6">
      <w:pPr>
        <w:jc w:val="center"/>
        <w:rPr>
          <w:rFonts w:ascii="黑体" w:eastAsia="黑体"/>
          <w:sz w:val="28"/>
          <w:szCs w:val="28"/>
          <w:highlight w:val="none"/>
        </w:rPr>
      </w:pPr>
    </w:p>
    <w:p w14:paraId="4E68F984">
      <w:pPr>
        <w:jc w:val="center"/>
        <w:rPr>
          <w:rFonts w:ascii="黑体" w:eastAsia="黑体"/>
          <w:sz w:val="28"/>
          <w:szCs w:val="28"/>
          <w:highlight w:val="none"/>
        </w:rPr>
      </w:pPr>
    </w:p>
    <w:p w14:paraId="2E1BD26D">
      <w:pPr>
        <w:jc w:val="center"/>
        <w:rPr>
          <w:rFonts w:ascii="黑体" w:eastAsia="黑体"/>
          <w:sz w:val="28"/>
          <w:szCs w:val="28"/>
          <w:highlight w:val="none"/>
        </w:rPr>
      </w:pPr>
    </w:p>
    <w:p w14:paraId="632D4445">
      <w:pPr>
        <w:jc w:val="center"/>
        <w:rPr>
          <w:highlight w:val="none"/>
        </w:rPr>
      </w:pPr>
      <w:r>
        <w:rPr>
          <w:rFonts w:hint="eastAsia" w:ascii="黑体" w:eastAsia="黑体"/>
          <w:sz w:val="28"/>
          <w:szCs w:val="28"/>
          <w:highlight w:val="none"/>
        </w:rPr>
        <w:t xml:space="preserve">附录2   </w:t>
      </w:r>
      <w:bookmarkEnd w:id="8"/>
      <w:bookmarkEnd w:id="9"/>
      <w:bookmarkEnd w:id="10"/>
      <w:bookmarkStart w:id="11" w:name="_Toc337747188"/>
      <w:bookmarkStart w:id="12" w:name="_Toc337561662"/>
      <w:r>
        <w:rPr>
          <w:rFonts w:hint="eastAsia" w:ascii="黑体" w:eastAsia="黑体"/>
          <w:sz w:val="28"/>
          <w:szCs w:val="28"/>
          <w:highlight w:val="none"/>
        </w:rPr>
        <w:t xml:space="preserve"> 资格审查条件（业绩最低条件）</w:t>
      </w:r>
      <w:bookmarkEnd w:id="11"/>
      <w:bookmarkEnd w:id="12"/>
    </w:p>
    <w:p w14:paraId="23F38AD6">
      <w:pPr>
        <w:pStyle w:val="38"/>
        <w:rPr>
          <w:highlight w:val="none"/>
        </w:rPr>
      </w:pPr>
    </w:p>
    <w:tbl>
      <w:tblPr>
        <w:tblStyle w:val="89"/>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8189"/>
      </w:tblGrid>
      <w:tr w14:paraId="6075C9B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03FB6EEF">
            <w:pPr>
              <w:jc w:val="center"/>
              <w:rPr>
                <w:rFonts w:hint="eastAsia" w:ascii="宋体" w:hAnsi="宋体" w:cs="宋体"/>
                <w:sz w:val="24"/>
                <w:highlight w:val="none"/>
              </w:rPr>
            </w:pPr>
            <w:r>
              <w:rPr>
                <w:rFonts w:hint="eastAsia" w:ascii="宋体" w:hAnsi="宋体" w:cs="宋体"/>
                <w:sz w:val="24"/>
                <w:highlight w:val="none"/>
              </w:rPr>
              <w:t>项目名称</w:t>
            </w:r>
          </w:p>
        </w:tc>
        <w:tc>
          <w:tcPr>
            <w:tcW w:w="4156" w:type="pct"/>
            <w:tcBorders>
              <w:top w:val="single" w:color="000000" w:sz="4" w:space="0"/>
              <w:left w:val="single" w:color="000000" w:sz="4" w:space="0"/>
              <w:bottom w:val="single" w:color="000000" w:sz="4" w:space="0"/>
              <w:right w:val="single" w:color="000000" w:sz="4" w:space="0"/>
            </w:tcBorders>
            <w:vAlign w:val="center"/>
          </w:tcPr>
          <w:p w14:paraId="24141BF8">
            <w:pPr>
              <w:jc w:val="center"/>
              <w:rPr>
                <w:rFonts w:hint="eastAsia" w:ascii="宋体" w:hAnsi="宋体" w:cs="宋体"/>
                <w:sz w:val="24"/>
                <w:highlight w:val="none"/>
              </w:rPr>
            </w:pPr>
            <w:r>
              <w:rPr>
                <w:rFonts w:hint="eastAsia" w:ascii="宋体" w:hAnsi="宋体" w:cs="宋体"/>
                <w:sz w:val="24"/>
                <w:highlight w:val="none"/>
              </w:rPr>
              <w:t>业 绩 要 求</w:t>
            </w:r>
          </w:p>
        </w:tc>
      </w:tr>
      <w:tr w14:paraId="0AC1CBF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4AB47D98">
            <w:pPr>
              <w:jc w:val="center"/>
              <w:rPr>
                <w:rFonts w:hint="eastAsia" w:ascii="宋体" w:hAnsi="宋体" w:cs="宋体"/>
                <w:szCs w:val="21"/>
                <w:highlight w:val="none"/>
              </w:rPr>
            </w:pPr>
            <w:r>
              <w:rPr>
                <w:rFonts w:hint="eastAsia" w:ascii="宋体" w:hAnsi="宋体" w:cs="宋体"/>
                <w:bCs/>
                <w:szCs w:val="21"/>
                <w:highlight w:val="none"/>
                <w:shd w:val="clear" w:color="auto" w:fill="FFFFFF"/>
              </w:rPr>
              <w:t>G59</w:t>
            </w:r>
            <w:r>
              <w:rPr>
                <w:rFonts w:hint="eastAsia" w:ascii="宋体" w:hAnsi="宋体" w:cs="宋体"/>
                <w:bCs/>
                <w:szCs w:val="21"/>
                <w:highlight w:val="none"/>
                <w:shd w:val="clear" w:color="auto" w:fill="FFFFFF"/>
                <w:lang w:val="en-US" w:eastAsia="zh-CN"/>
              </w:rPr>
              <w:t>张官</w:t>
            </w:r>
            <w:r>
              <w:rPr>
                <w:rFonts w:hint="eastAsia" w:ascii="宋体" w:hAnsi="宋体" w:cs="宋体"/>
                <w:bCs/>
                <w:szCs w:val="21"/>
                <w:highlight w:val="none"/>
                <w:shd w:val="clear" w:color="auto" w:fill="FFFFFF"/>
              </w:rPr>
              <w:t>高速公路</w:t>
            </w:r>
            <w:r>
              <w:rPr>
                <w:rFonts w:hint="eastAsia" w:ascii="宋体" w:hAnsi="宋体" w:cs="宋体"/>
                <w:bCs/>
                <w:szCs w:val="21"/>
                <w:highlight w:val="none"/>
                <w:shd w:val="clear" w:color="auto" w:fill="FFFFFF"/>
                <w:lang w:val="en-US" w:eastAsia="zh-CN"/>
              </w:rPr>
              <w:t>第二标</w:t>
            </w:r>
            <w:r>
              <w:rPr>
                <w:rFonts w:hint="eastAsia" w:ascii="宋体" w:hAnsi="宋体" w:cs="宋体"/>
                <w:bCs/>
                <w:szCs w:val="21"/>
                <w:highlight w:val="none"/>
                <w:shd w:val="clear" w:color="auto" w:fill="FFFFFF"/>
              </w:rPr>
              <w:t>段房建工程竣工质量检测技术服务项目</w:t>
            </w:r>
          </w:p>
        </w:tc>
        <w:tc>
          <w:tcPr>
            <w:tcW w:w="4156" w:type="pct"/>
            <w:tcBorders>
              <w:top w:val="single" w:color="000000" w:sz="4" w:space="0"/>
              <w:left w:val="single" w:color="000000" w:sz="4" w:space="0"/>
              <w:bottom w:val="single" w:color="000000" w:sz="4" w:space="0"/>
              <w:right w:val="single" w:color="000000" w:sz="4" w:space="0"/>
            </w:tcBorders>
            <w:vAlign w:val="center"/>
          </w:tcPr>
          <w:p w14:paraId="6EE4BC18">
            <w:pPr>
              <w:rPr>
                <w:rFonts w:hint="eastAsia" w:ascii="宋体" w:hAnsi="宋体" w:cs="宋体"/>
                <w:szCs w:val="21"/>
                <w:highlight w:val="none"/>
              </w:rPr>
            </w:pPr>
            <w:r>
              <w:rPr>
                <w:rFonts w:hint="eastAsia" w:ascii="宋体" w:hAnsi="宋体" w:cs="宋体"/>
                <w:szCs w:val="21"/>
                <w:highlight w:val="none"/>
                <w:u w:val="single"/>
              </w:rPr>
              <w:t>近5年（指递交响应文件截止之日前一日回溯 5年，以合同签订时间为</w:t>
            </w:r>
            <w:r>
              <w:rPr>
                <w:rFonts w:hint="eastAsia" w:ascii="宋体" w:hAnsi="宋体" w:cs="宋体"/>
                <w:szCs w:val="21"/>
                <w:highlight w:val="none"/>
                <w:u w:val="single"/>
                <w:lang w:val="zh-CN"/>
              </w:rPr>
              <w:t>准</w:t>
            </w:r>
            <w:r>
              <w:rPr>
                <w:rFonts w:hint="eastAsia" w:ascii="宋体" w:hAnsi="宋体" w:cs="宋体"/>
                <w:szCs w:val="21"/>
                <w:highlight w:val="none"/>
                <w:u w:val="single"/>
              </w:rPr>
              <w:t>）至少独立完成1个建筑面积6000m²以上的房建工程质量竣工检测技术服务业绩。</w:t>
            </w:r>
            <w:r>
              <w:rPr>
                <w:rFonts w:hint="eastAsia" w:ascii="宋体" w:hAnsi="宋体" w:cs="宋体"/>
                <w:szCs w:val="21"/>
                <w:highlight w:val="none"/>
                <w:lang w:val="zh-CN"/>
              </w:rPr>
              <w:t xml:space="preserve"> </w:t>
            </w:r>
          </w:p>
          <w:p w14:paraId="2202FE47">
            <w:pPr>
              <w:rPr>
                <w:rFonts w:hint="eastAsia" w:ascii="宋体" w:hAnsi="宋体" w:cs="宋体"/>
                <w:szCs w:val="21"/>
                <w:highlight w:val="none"/>
              </w:rPr>
            </w:pPr>
            <w:r>
              <w:rPr>
                <w:rFonts w:hint="eastAsia" w:ascii="宋体" w:hAnsi="宋体" w:cs="宋体"/>
                <w:szCs w:val="21"/>
                <w:highlight w:val="none"/>
              </w:rPr>
              <w:t>注：1、业绩证明材料须提供合同/订单，如合同/订单无法证实业绩满足采购文件要求，还须提供委托人出具的证明材料，证明材料应附联系人姓名及联系方式）。</w:t>
            </w:r>
          </w:p>
          <w:p w14:paraId="1E9524B0">
            <w:pPr>
              <w:rPr>
                <w:rFonts w:hint="eastAsia" w:ascii="宋体" w:hAnsi="宋体" w:cs="宋体"/>
                <w:szCs w:val="21"/>
                <w:highlight w:val="none"/>
              </w:rPr>
            </w:pPr>
            <w:r>
              <w:rPr>
                <w:rFonts w:hint="eastAsia" w:ascii="宋体" w:hAnsi="宋体" w:cs="宋体"/>
                <w:szCs w:val="21"/>
                <w:highlight w:val="none"/>
              </w:rPr>
              <w:t>2、业绩计算以合同签订时间为准。</w:t>
            </w:r>
          </w:p>
          <w:p w14:paraId="25E5DDA7">
            <w:pPr>
              <w:rPr>
                <w:rFonts w:hint="eastAsia" w:ascii="宋体" w:hAnsi="宋体" w:cs="宋体"/>
                <w:szCs w:val="21"/>
                <w:highlight w:val="none"/>
              </w:rPr>
            </w:pPr>
            <w:r>
              <w:rPr>
                <w:rFonts w:hint="eastAsia" w:ascii="宋体" w:hAnsi="宋体" w:cs="宋体"/>
                <w:szCs w:val="21"/>
                <w:highlight w:val="none"/>
              </w:rPr>
              <w:t>3、如近年来，响应人法人机构发生合法变更或重组或法人名称变更时，应提供相关部门的合法批件或其他相关证明材料来证明其所附业绩的继承性。</w:t>
            </w:r>
          </w:p>
        </w:tc>
      </w:tr>
    </w:tbl>
    <w:p w14:paraId="648ABE0C">
      <w:pPr>
        <w:jc w:val="center"/>
        <w:rPr>
          <w:rFonts w:ascii="黑体" w:eastAsia="黑体"/>
          <w:sz w:val="28"/>
          <w:szCs w:val="28"/>
          <w:highlight w:val="none"/>
        </w:rPr>
      </w:pPr>
      <w:bookmarkStart w:id="13" w:name="_Toc21791"/>
      <w:bookmarkStart w:id="14" w:name="_Toc12182"/>
      <w:bookmarkStart w:id="15" w:name="_Toc337561663"/>
      <w:bookmarkStart w:id="16" w:name="_Toc337747189"/>
    </w:p>
    <w:p w14:paraId="2F893385">
      <w:pPr>
        <w:jc w:val="center"/>
        <w:rPr>
          <w:rFonts w:ascii="黑体" w:eastAsia="黑体"/>
          <w:sz w:val="28"/>
          <w:szCs w:val="28"/>
          <w:highlight w:val="none"/>
        </w:rPr>
      </w:pPr>
    </w:p>
    <w:p w14:paraId="6238EE89">
      <w:pPr>
        <w:jc w:val="center"/>
        <w:rPr>
          <w:rFonts w:ascii="黑体" w:eastAsia="黑体"/>
          <w:sz w:val="28"/>
          <w:szCs w:val="28"/>
          <w:highlight w:val="none"/>
        </w:rPr>
      </w:pPr>
    </w:p>
    <w:p w14:paraId="735A789B">
      <w:pPr>
        <w:jc w:val="center"/>
        <w:rPr>
          <w:rFonts w:ascii="黑体" w:eastAsia="黑体"/>
          <w:sz w:val="28"/>
          <w:szCs w:val="28"/>
          <w:highlight w:val="none"/>
        </w:rPr>
      </w:pPr>
    </w:p>
    <w:p w14:paraId="485F27EB">
      <w:pPr>
        <w:jc w:val="center"/>
        <w:rPr>
          <w:rFonts w:ascii="黑体" w:eastAsia="黑体"/>
          <w:sz w:val="28"/>
          <w:szCs w:val="28"/>
          <w:highlight w:val="none"/>
        </w:rPr>
      </w:pPr>
    </w:p>
    <w:p w14:paraId="5C112F2D">
      <w:pPr>
        <w:pStyle w:val="76"/>
        <w:ind w:left="980" w:hanging="560"/>
        <w:rPr>
          <w:rFonts w:ascii="黑体" w:eastAsia="黑体"/>
          <w:sz w:val="28"/>
          <w:szCs w:val="28"/>
          <w:highlight w:val="none"/>
        </w:rPr>
      </w:pPr>
    </w:p>
    <w:p w14:paraId="76621725">
      <w:pPr>
        <w:rPr>
          <w:rFonts w:ascii="黑体" w:eastAsia="黑体"/>
          <w:sz w:val="28"/>
          <w:szCs w:val="28"/>
          <w:highlight w:val="none"/>
        </w:rPr>
      </w:pPr>
    </w:p>
    <w:p w14:paraId="26FB5D41">
      <w:pPr>
        <w:rPr>
          <w:rFonts w:ascii="黑体" w:eastAsia="黑体"/>
          <w:sz w:val="28"/>
          <w:szCs w:val="28"/>
          <w:highlight w:val="none"/>
        </w:rPr>
      </w:pPr>
    </w:p>
    <w:p w14:paraId="39DDEE1F">
      <w:pPr>
        <w:rPr>
          <w:rFonts w:ascii="黑体" w:eastAsia="黑体"/>
          <w:sz w:val="28"/>
          <w:szCs w:val="28"/>
          <w:highlight w:val="none"/>
        </w:rPr>
      </w:pPr>
    </w:p>
    <w:p w14:paraId="3AF92207">
      <w:pPr>
        <w:rPr>
          <w:rFonts w:ascii="黑体" w:eastAsia="黑体"/>
          <w:sz w:val="28"/>
          <w:szCs w:val="28"/>
          <w:highlight w:val="none"/>
        </w:rPr>
      </w:pPr>
    </w:p>
    <w:p w14:paraId="08A57C19">
      <w:pPr>
        <w:rPr>
          <w:highlight w:val="none"/>
        </w:rPr>
      </w:pPr>
    </w:p>
    <w:p w14:paraId="02E997BA">
      <w:pPr>
        <w:jc w:val="center"/>
        <w:rPr>
          <w:rFonts w:ascii="黑体" w:eastAsia="黑体"/>
          <w:sz w:val="28"/>
          <w:szCs w:val="28"/>
          <w:highlight w:val="none"/>
        </w:rPr>
      </w:pPr>
      <w:r>
        <w:rPr>
          <w:rFonts w:hint="eastAsia" w:ascii="黑体" w:eastAsia="黑体"/>
          <w:sz w:val="28"/>
          <w:szCs w:val="28"/>
          <w:highlight w:val="none"/>
        </w:rPr>
        <w:t>附录3   资格审查条件（信誉最低条件）</w:t>
      </w:r>
      <w:bookmarkEnd w:id="13"/>
      <w:bookmarkEnd w:id="14"/>
      <w:bookmarkEnd w:id="15"/>
      <w:bookmarkEnd w:id="16"/>
    </w:p>
    <w:p w14:paraId="30C965B7">
      <w:pPr>
        <w:pStyle w:val="76"/>
        <w:ind w:left="840" w:hanging="420"/>
        <w:rPr>
          <w:highlight w:val="none"/>
        </w:rPr>
      </w:pPr>
    </w:p>
    <w:tbl>
      <w:tblPr>
        <w:tblStyle w:val="89"/>
        <w:tblW w:w="4974"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8385"/>
      </w:tblGrid>
      <w:tr w14:paraId="3E1D045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651FDECE">
            <w:pPr>
              <w:jc w:val="center"/>
              <w:rPr>
                <w:rFonts w:hint="eastAsia" w:ascii="宋体" w:hAnsi="宋体" w:cs="宋体"/>
                <w:sz w:val="24"/>
                <w:highlight w:val="none"/>
              </w:rPr>
            </w:pPr>
            <w:r>
              <w:rPr>
                <w:rFonts w:hint="eastAsia" w:ascii="宋体" w:hAnsi="宋体" w:cs="宋体"/>
                <w:sz w:val="24"/>
                <w:highlight w:val="none"/>
              </w:rPr>
              <w:t>项目名称</w:t>
            </w:r>
          </w:p>
        </w:tc>
        <w:tc>
          <w:tcPr>
            <w:tcW w:w="4276" w:type="pct"/>
            <w:tcBorders>
              <w:top w:val="single" w:color="000000" w:sz="4" w:space="0"/>
              <w:left w:val="single" w:color="000000" w:sz="4" w:space="0"/>
              <w:bottom w:val="single" w:color="000000" w:sz="4" w:space="0"/>
              <w:right w:val="single" w:color="000000" w:sz="4" w:space="0"/>
            </w:tcBorders>
            <w:vAlign w:val="center"/>
          </w:tcPr>
          <w:p w14:paraId="7A880732">
            <w:pPr>
              <w:jc w:val="center"/>
              <w:rPr>
                <w:rFonts w:hint="eastAsia" w:ascii="宋体" w:hAnsi="宋体" w:cs="宋体"/>
                <w:sz w:val="24"/>
                <w:highlight w:val="none"/>
              </w:rPr>
            </w:pPr>
            <w:r>
              <w:rPr>
                <w:rFonts w:hint="eastAsia" w:ascii="宋体" w:hAnsi="宋体" w:cs="宋体"/>
                <w:sz w:val="24"/>
                <w:highlight w:val="none"/>
              </w:rPr>
              <w:t>信 誉 要 求</w:t>
            </w:r>
          </w:p>
        </w:tc>
      </w:tr>
      <w:tr w14:paraId="4D767BF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3BC5CAA6">
            <w:pPr>
              <w:jc w:val="center"/>
              <w:rPr>
                <w:rFonts w:hint="eastAsia" w:ascii="宋体" w:hAnsi="宋体" w:cs="宋体"/>
                <w:szCs w:val="21"/>
                <w:highlight w:val="none"/>
              </w:rPr>
            </w:pPr>
            <w:r>
              <w:rPr>
                <w:rFonts w:hint="eastAsia" w:ascii="宋体" w:hAnsi="宋体" w:cs="宋体"/>
                <w:bCs/>
                <w:szCs w:val="21"/>
                <w:highlight w:val="none"/>
                <w:shd w:val="clear" w:color="auto" w:fill="FFFFFF"/>
              </w:rPr>
              <w:t>G59</w:t>
            </w:r>
            <w:r>
              <w:rPr>
                <w:rFonts w:hint="eastAsia" w:ascii="宋体" w:hAnsi="宋体" w:cs="宋体"/>
                <w:bCs/>
                <w:szCs w:val="21"/>
                <w:highlight w:val="none"/>
                <w:shd w:val="clear" w:color="auto" w:fill="FFFFFF"/>
                <w:lang w:val="en-US" w:eastAsia="zh-CN"/>
              </w:rPr>
              <w:t>张官</w:t>
            </w:r>
            <w:r>
              <w:rPr>
                <w:rFonts w:hint="eastAsia" w:ascii="宋体" w:hAnsi="宋体" w:cs="宋体"/>
                <w:bCs/>
                <w:szCs w:val="21"/>
                <w:highlight w:val="none"/>
                <w:shd w:val="clear" w:color="auto" w:fill="FFFFFF"/>
              </w:rPr>
              <w:t>高速公路</w:t>
            </w:r>
            <w:r>
              <w:rPr>
                <w:rFonts w:hint="eastAsia" w:ascii="宋体" w:hAnsi="宋体" w:cs="宋体"/>
                <w:bCs/>
                <w:szCs w:val="21"/>
                <w:highlight w:val="none"/>
                <w:shd w:val="clear" w:color="auto" w:fill="FFFFFF"/>
                <w:lang w:val="en-US" w:eastAsia="zh-CN"/>
              </w:rPr>
              <w:t>第二标</w:t>
            </w:r>
            <w:r>
              <w:rPr>
                <w:rFonts w:hint="eastAsia" w:ascii="宋体" w:hAnsi="宋体" w:cs="宋体"/>
                <w:bCs/>
                <w:szCs w:val="21"/>
                <w:highlight w:val="none"/>
                <w:shd w:val="clear" w:color="auto" w:fill="FFFFFF"/>
              </w:rPr>
              <w:t>段房建工程竣工质量检测技术服务项目</w:t>
            </w:r>
          </w:p>
        </w:tc>
        <w:tc>
          <w:tcPr>
            <w:tcW w:w="4276" w:type="pct"/>
            <w:tcBorders>
              <w:top w:val="single" w:color="000000" w:sz="4" w:space="0"/>
              <w:left w:val="single" w:color="000000" w:sz="4" w:space="0"/>
              <w:bottom w:val="single" w:color="000000" w:sz="4" w:space="0"/>
              <w:right w:val="single" w:color="000000" w:sz="4" w:space="0"/>
            </w:tcBorders>
            <w:vAlign w:val="center"/>
          </w:tcPr>
          <w:p w14:paraId="0CE45F56">
            <w:pPr>
              <w:numPr>
                <w:ilvl w:val="0"/>
                <w:numId w:val="17"/>
              </w:numPr>
              <w:ind w:left="105" w:leftChars="0" w:firstLine="0" w:firstLineChars="0"/>
              <w:jc w:val="both"/>
              <w:rPr>
                <w:rStyle w:val="132"/>
                <w:rFonts w:hint="eastAsia" w:ascii="宋体" w:hAnsi="宋体" w:cs="宋体"/>
                <w:b w:val="0"/>
                <w:szCs w:val="21"/>
                <w:highlight w:val="none"/>
                <w:u w:val="single"/>
              </w:rPr>
            </w:pPr>
            <w:r>
              <w:rPr>
                <w:rStyle w:val="132"/>
                <w:rFonts w:hint="eastAsia" w:ascii="宋体" w:hAnsi="宋体" w:cs="宋体"/>
                <w:b w:val="0"/>
                <w:szCs w:val="21"/>
                <w:highlight w:val="none"/>
                <w:u w:val="single"/>
              </w:rPr>
              <w:t>在全国企业信用信息公示系统（http://www.gsxt.gov.cn）中被列入严重违法失信企业名单的或在“信用中国”网站（www.creditchina.gov.cn）中被列入失信被执行人名单的。</w:t>
            </w:r>
          </w:p>
          <w:p w14:paraId="4739D846">
            <w:pPr>
              <w:numPr>
                <w:ilvl w:val="0"/>
                <w:numId w:val="0"/>
              </w:numPr>
              <w:ind w:left="105" w:leftChars="0"/>
              <w:jc w:val="both"/>
              <w:rPr>
                <w:rFonts w:hint="eastAsia" w:ascii="宋体" w:hAnsi="宋体" w:cs="宋体"/>
                <w:szCs w:val="21"/>
                <w:highlight w:val="none"/>
              </w:rPr>
            </w:pPr>
            <w:r>
              <w:rPr>
                <w:rStyle w:val="132"/>
                <w:rFonts w:hint="eastAsia" w:ascii="宋体" w:hAnsi="宋体" w:eastAsia="宋体" w:cs="宋体"/>
                <w:b w:val="0"/>
                <w:szCs w:val="21"/>
                <w:highlight w:val="none"/>
                <w:u w:val="single"/>
                <w:lang w:val="en-US" w:eastAsia="zh-CN"/>
              </w:rPr>
              <w:t>2</w:t>
            </w:r>
            <w:r>
              <w:rPr>
                <w:rStyle w:val="132"/>
                <w:rFonts w:hint="eastAsia" w:ascii="宋体" w:hAnsi="宋体" w:eastAsia="宋体" w:cs="宋体"/>
                <w:b w:val="0"/>
                <w:szCs w:val="21"/>
                <w:highlight w:val="none"/>
                <w:u w:val="single"/>
              </w:rPr>
              <w:t>.响应人不存在第一章3.1款情形的</w:t>
            </w:r>
            <w:r>
              <w:rPr>
                <w:rStyle w:val="132"/>
                <w:rFonts w:hint="eastAsia" w:ascii="宋体" w:hAnsi="宋体" w:eastAsia="宋体" w:cs="宋体"/>
                <w:b w:val="0"/>
                <w:szCs w:val="21"/>
                <w:highlight w:val="none"/>
                <w:u w:val="single"/>
                <w:lang w:eastAsia="zh-CN"/>
              </w:rPr>
              <w:t>。</w:t>
            </w:r>
          </w:p>
        </w:tc>
      </w:tr>
    </w:tbl>
    <w:p w14:paraId="1F2F445C">
      <w:pPr>
        <w:jc w:val="center"/>
        <w:rPr>
          <w:rFonts w:ascii="黑体" w:eastAsia="黑体"/>
          <w:sz w:val="28"/>
          <w:szCs w:val="28"/>
          <w:highlight w:val="none"/>
        </w:rPr>
      </w:pPr>
      <w:bookmarkStart w:id="17" w:name="_Toc337747190"/>
      <w:bookmarkStart w:id="18" w:name="_Toc337561664"/>
    </w:p>
    <w:p w14:paraId="2D2862F2">
      <w:pPr>
        <w:rPr>
          <w:rFonts w:ascii="黑体" w:eastAsia="黑体"/>
          <w:sz w:val="28"/>
          <w:szCs w:val="28"/>
          <w:highlight w:val="none"/>
        </w:rPr>
      </w:pPr>
    </w:p>
    <w:p w14:paraId="0B98679E">
      <w:pPr>
        <w:rPr>
          <w:rFonts w:ascii="黑体" w:eastAsia="黑体"/>
          <w:sz w:val="28"/>
          <w:szCs w:val="28"/>
          <w:highlight w:val="none"/>
        </w:rPr>
      </w:pPr>
    </w:p>
    <w:p w14:paraId="4AF95C10">
      <w:pPr>
        <w:rPr>
          <w:rFonts w:ascii="黑体" w:eastAsia="黑体"/>
          <w:sz w:val="28"/>
          <w:szCs w:val="28"/>
          <w:highlight w:val="none"/>
        </w:rPr>
      </w:pPr>
    </w:p>
    <w:p w14:paraId="60AC172B">
      <w:pPr>
        <w:rPr>
          <w:rFonts w:ascii="黑体" w:eastAsia="黑体"/>
          <w:sz w:val="28"/>
          <w:szCs w:val="28"/>
          <w:highlight w:val="none"/>
        </w:rPr>
      </w:pPr>
    </w:p>
    <w:p w14:paraId="094FB007">
      <w:pPr>
        <w:rPr>
          <w:rFonts w:ascii="黑体" w:eastAsia="黑体"/>
          <w:sz w:val="28"/>
          <w:szCs w:val="28"/>
          <w:highlight w:val="none"/>
        </w:rPr>
      </w:pPr>
    </w:p>
    <w:p w14:paraId="3B8F343B">
      <w:pPr>
        <w:rPr>
          <w:rFonts w:ascii="黑体" w:eastAsia="黑体"/>
          <w:sz w:val="28"/>
          <w:szCs w:val="28"/>
          <w:highlight w:val="none"/>
        </w:rPr>
      </w:pPr>
    </w:p>
    <w:p w14:paraId="4C0E0C07">
      <w:pPr>
        <w:jc w:val="center"/>
        <w:rPr>
          <w:rFonts w:ascii="黑体" w:eastAsia="黑体"/>
          <w:sz w:val="28"/>
          <w:szCs w:val="28"/>
          <w:highlight w:val="none"/>
        </w:rPr>
      </w:pPr>
      <w:r>
        <w:rPr>
          <w:rFonts w:hint="eastAsia" w:ascii="黑体" w:eastAsia="黑体"/>
          <w:sz w:val="28"/>
          <w:szCs w:val="28"/>
          <w:highlight w:val="none"/>
        </w:rPr>
        <w:t xml:space="preserve"> 附录4   资格审查条件（项目负责人最低要求）</w:t>
      </w:r>
      <w:bookmarkEnd w:id="17"/>
      <w:bookmarkEnd w:id="18"/>
    </w:p>
    <w:p w14:paraId="118C0437">
      <w:pPr>
        <w:pStyle w:val="38"/>
        <w:ind w:left="0" w:firstLine="0"/>
        <w:rPr>
          <w:highlight w:val="none"/>
        </w:rPr>
      </w:pPr>
    </w:p>
    <w:tbl>
      <w:tblPr>
        <w:tblStyle w:val="89"/>
        <w:tblW w:w="4883"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2"/>
        <w:gridCol w:w="836"/>
        <w:gridCol w:w="4977"/>
        <w:gridCol w:w="1788"/>
      </w:tblGrid>
      <w:tr w14:paraId="37DDB9D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1A63E357">
            <w:pPr>
              <w:jc w:val="center"/>
              <w:rPr>
                <w:rFonts w:hint="eastAsia" w:ascii="宋体" w:hAnsi="宋体" w:cs="宋体"/>
                <w:sz w:val="24"/>
                <w:highlight w:val="none"/>
              </w:rPr>
            </w:pPr>
            <w:r>
              <w:rPr>
                <w:rFonts w:hint="eastAsia" w:ascii="宋体" w:hAnsi="宋体" w:cs="宋体"/>
                <w:sz w:val="24"/>
                <w:highlight w:val="none"/>
              </w:rPr>
              <w:t>人员</w:t>
            </w:r>
          </w:p>
        </w:tc>
        <w:tc>
          <w:tcPr>
            <w:tcW w:w="434" w:type="pct"/>
            <w:tcBorders>
              <w:top w:val="single" w:color="000000" w:sz="4" w:space="0"/>
              <w:left w:val="single" w:color="000000" w:sz="4" w:space="0"/>
              <w:bottom w:val="single" w:color="000000" w:sz="4" w:space="0"/>
              <w:right w:val="single" w:color="000000" w:sz="4" w:space="0"/>
            </w:tcBorders>
            <w:vAlign w:val="center"/>
          </w:tcPr>
          <w:p w14:paraId="3080396C">
            <w:pPr>
              <w:jc w:val="center"/>
              <w:rPr>
                <w:rFonts w:hint="eastAsia" w:ascii="宋体" w:hAnsi="宋体" w:cs="宋体"/>
                <w:sz w:val="24"/>
                <w:highlight w:val="none"/>
              </w:rPr>
            </w:pPr>
            <w:r>
              <w:rPr>
                <w:rFonts w:hint="eastAsia" w:ascii="宋体" w:hAnsi="宋体" w:cs="宋体"/>
                <w:sz w:val="24"/>
                <w:highlight w:val="none"/>
              </w:rPr>
              <w:t>数量</w:t>
            </w:r>
          </w:p>
        </w:tc>
        <w:tc>
          <w:tcPr>
            <w:tcW w:w="2585" w:type="pct"/>
            <w:tcBorders>
              <w:top w:val="single" w:color="000000" w:sz="4" w:space="0"/>
              <w:left w:val="single" w:color="000000" w:sz="4" w:space="0"/>
              <w:bottom w:val="single" w:color="000000" w:sz="4" w:space="0"/>
              <w:right w:val="single" w:color="000000" w:sz="4" w:space="0"/>
            </w:tcBorders>
            <w:vAlign w:val="center"/>
          </w:tcPr>
          <w:p w14:paraId="38D701CC">
            <w:pPr>
              <w:jc w:val="center"/>
              <w:rPr>
                <w:rFonts w:hint="eastAsia" w:ascii="宋体" w:hAnsi="宋体" w:cs="宋体"/>
                <w:sz w:val="24"/>
                <w:highlight w:val="none"/>
              </w:rPr>
            </w:pPr>
            <w:r>
              <w:rPr>
                <w:rFonts w:hint="eastAsia" w:ascii="宋体" w:hAnsi="宋体" w:cs="宋体"/>
                <w:sz w:val="24"/>
                <w:highlight w:val="none"/>
              </w:rPr>
              <w:t>资 格 要 求</w:t>
            </w:r>
          </w:p>
        </w:tc>
        <w:tc>
          <w:tcPr>
            <w:tcW w:w="929" w:type="pct"/>
            <w:tcBorders>
              <w:top w:val="single" w:color="000000" w:sz="4" w:space="0"/>
              <w:left w:val="single" w:color="000000" w:sz="4" w:space="0"/>
              <w:bottom w:val="single" w:color="000000" w:sz="4" w:space="0"/>
              <w:right w:val="single" w:color="000000" w:sz="4" w:space="0"/>
            </w:tcBorders>
            <w:vAlign w:val="center"/>
          </w:tcPr>
          <w:p w14:paraId="66C1130A">
            <w:pPr>
              <w:jc w:val="center"/>
              <w:rPr>
                <w:rFonts w:hint="eastAsia" w:ascii="宋体" w:hAnsi="宋体" w:cs="宋体"/>
                <w:sz w:val="24"/>
                <w:highlight w:val="none"/>
              </w:rPr>
            </w:pPr>
            <w:r>
              <w:rPr>
                <w:rFonts w:hint="eastAsia" w:ascii="宋体" w:hAnsi="宋体" w:cs="宋体"/>
                <w:sz w:val="24"/>
                <w:highlight w:val="none"/>
              </w:rPr>
              <w:t>备注</w:t>
            </w:r>
          </w:p>
        </w:tc>
      </w:tr>
      <w:tr w14:paraId="39B1418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1DBA221B">
            <w:pPr>
              <w:jc w:val="center"/>
              <w:rPr>
                <w:rFonts w:hint="eastAsia" w:ascii="宋体" w:hAnsi="宋体" w:cs="宋体"/>
                <w:szCs w:val="21"/>
                <w:highlight w:val="none"/>
              </w:rPr>
            </w:pPr>
            <w:r>
              <w:rPr>
                <w:rFonts w:hint="eastAsia" w:ascii="宋体" w:hAnsi="宋体" w:cs="宋体"/>
                <w:szCs w:val="21"/>
                <w:highlight w:val="none"/>
              </w:rPr>
              <w:t>项目负责人</w:t>
            </w:r>
          </w:p>
        </w:tc>
        <w:tc>
          <w:tcPr>
            <w:tcW w:w="434" w:type="pct"/>
            <w:tcBorders>
              <w:top w:val="single" w:color="000000" w:sz="4" w:space="0"/>
              <w:left w:val="single" w:color="000000" w:sz="4" w:space="0"/>
              <w:bottom w:val="single" w:color="000000" w:sz="4" w:space="0"/>
              <w:right w:val="single" w:color="000000" w:sz="4" w:space="0"/>
            </w:tcBorders>
            <w:vAlign w:val="center"/>
          </w:tcPr>
          <w:p w14:paraId="65D3207F">
            <w:pPr>
              <w:jc w:val="center"/>
              <w:rPr>
                <w:rFonts w:hint="eastAsia" w:ascii="宋体" w:hAnsi="宋体" w:cs="宋体"/>
                <w:szCs w:val="21"/>
                <w:highlight w:val="none"/>
              </w:rPr>
            </w:pPr>
            <w:r>
              <w:rPr>
                <w:rFonts w:hint="eastAsia" w:ascii="宋体" w:hAnsi="宋体" w:cs="宋体"/>
                <w:szCs w:val="21"/>
                <w:highlight w:val="none"/>
              </w:rPr>
              <w:t>1</w:t>
            </w:r>
          </w:p>
        </w:tc>
        <w:tc>
          <w:tcPr>
            <w:tcW w:w="2585" w:type="pct"/>
            <w:tcBorders>
              <w:top w:val="single" w:color="000000" w:sz="4" w:space="0"/>
              <w:left w:val="single" w:color="000000" w:sz="4" w:space="0"/>
              <w:bottom w:val="single" w:color="000000" w:sz="4" w:space="0"/>
              <w:right w:val="single" w:color="000000" w:sz="4" w:space="0"/>
            </w:tcBorders>
            <w:vAlign w:val="center"/>
          </w:tcPr>
          <w:p w14:paraId="317B3981">
            <w:pPr>
              <w:widowControl w:val="0"/>
              <w:spacing w:line="360" w:lineRule="auto"/>
              <w:jc w:val="both"/>
              <w:rPr>
                <w:rFonts w:hint="eastAsia" w:ascii="宋体" w:hAnsi="宋体" w:cs="宋体"/>
                <w:szCs w:val="21"/>
                <w:highlight w:val="none"/>
                <w:u w:val="single"/>
              </w:rPr>
            </w:pPr>
            <w:r>
              <w:rPr>
                <w:rFonts w:hint="eastAsia" w:ascii="宋体" w:hAnsi="宋体" w:cs="宋体"/>
                <w:szCs w:val="21"/>
                <w:highlight w:val="none"/>
                <w:u w:val="single"/>
              </w:rPr>
              <w:t>拟委派本项目的项目负责人应具备：</w:t>
            </w:r>
          </w:p>
          <w:p w14:paraId="47E01C3F">
            <w:pPr>
              <w:widowControl w:val="0"/>
              <w:numPr>
                <w:ilvl w:val="0"/>
                <w:numId w:val="0"/>
              </w:numPr>
              <w:spacing w:line="360" w:lineRule="auto"/>
              <w:jc w:val="both"/>
              <w:rPr>
                <w:rFonts w:hint="eastAsia" w:ascii="宋体" w:hAnsi="宋体" w:eastAsia="宋体" w:cs="宋体"/>
                <w:szCs w:val="21"/>
                <w:highlight w:val="none"/>
                <w:u w:val="single"/>
                <w:lang w:eastAsia="zh-CN"/>
              </w:rPr>
            </w:pPr>
            <w:r>
              <w:rPr>
                <w:rFonts w:hint="eastAsia" w:ascii="宋体" w:hAnsi="宋体" w:cs="宋体"/>
                <w:szCs w:val="21"/>
                <w:highlight w:val="none"/>
                <w:u w:val="single"/>
              </w:rPr>
              <w:t>1、</w:t>
            </w:r>
            <w:r>
              <w:rPr>
                <w:rFonts w:hint="eastAsia" w:ascii="宋体" w:hAnsi="宋体" w:eastAsia="宋体" w:cs="宋体"/>
                <w:szCs w:val="21"/>
                <w:highlight w:val="none"/>
                <w:u w:val="single"/>
              </w:rPr>
              <w:t>具有建筑工程相关专业</w:t>
            </w:r>
            <w:r>
              <w:rPr>
                <w:rFonts w:hint="eastAsia" w:ascii="宋体" w:hAnsi="宋体" w:eastAsia="宋体" w:cs="宋体"/>
                <w:szCs w:val="21"/>
                <w:highlight w:val="none"/>
                <w:u w:val="single"/>
                <w:lang w:val="en-US" w:eastAsia="zh-CN"/>
              </w:rPr>
              <w:t>高</w:t>
            </w:r>
            <w:r>
              <w:rPr>
                <w:rFonts w:hint="eastAsia" w:ascii="宋体" w:hAnsi="宋体" w:eastAsia="宋体" w:cs="宋体"/>
                <w:szCs w:val="21"/>
                <w:highlight w:val="none"/>
                <w:u w:val="single"/>
              </w:rPr>
              <w:t>级及以上职称（建筑工程相关专业职称包括：给排水、暖通、电气、土木工程、工民建、结构、建筑施工、建筑工程等专业</w:t>
            </w:r>
            <w:r>
              <w:rPr>
                <w:rFonts w:hint="eastAsia" w:ascii="宋体" w:hAnsi="宋体" w:eastAsia="宋体" w:cs="宋体"/>
                <w:szCs w:val="21"/>
                <w:highlight w:val="none"/>
                <w:u w:val="single"/>
                <w:lang w:eastAsia="zh-CN"/>
              </w:rPr>
              <w:t>）；</w:t>
            </w:r>
          </w:p>
          <w:p w14:paraId="6DBDB4D0">
            <w:pPr>
              <w:widowControl w:val="0"/>
              <w:spacing w:line="360" w:lineRule="auto"/>
              <w:jc w:val="both"/>
              <w:rPr>
                <w:rFonts w:hint="eastAsia" w:ascii="宋体" w:hAnsi="宋体" w:cs="宋体"/>
                <w:szCs w:val="21"/>
                <w:highlight w:val="none"/>
                <w:u w:val="single"/>
              </w:rPr>
            </w:pPr>
            <w:r>
              <w:rPr>
                <w:rFonts w:hint="eastAsia" w:ascii="宋体" w:hAnsi="宋体" w:cs="宋体"/>
                <w:szCs w:val="21"/>
                <w:highlight w:val="none"/>
                <w:u w:val="single"/>
              </w:rPr>
              <w:t>；</w:t>
            </w:r>
          </w:p>
          <w:p w14:paraId="3C9CDF7F">
            <w:pPr>
              <w:jc w:val="both"/>
              <w:rPr>
                <w:rFonts w:hint="eastAsia" w:ascii="宋体" w:hAnsi="宋体" w:cs="宋体"/>
                <w:szCs w:val="21"/>
                <w:highlight w:val="none"/>
              </w:rPr>
            </w:pP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、最近5年(指递交响应文件截止之日前一日回溯 5年，以合同签订时间为</w:t>
            </w:r>
            <w:r>
              <w:rPr>
                <w:rFonts w:hint="eastAsia" w:ascii="宋体" w:hAnsi="宋体" w:cs="宋体"/>
                <w:szCs w:val="21"/>
                <w:highlight w:val="none"/>
                <w:u w:val="single"/>
                <w:lang w:val="zh-CN"/>
              </w:rPr>
              <w:t>准</w:t>
            </w:r>
            <w:r>
              <w:rPr>
                <w:rFonts w:hint="eastAsia" w:ascii="宋体" w:hAnsi="宋体" w:cs="宋体"/>
                <w:szCs w:val="21"/>
                <w:highlight w:val="none"/>
                <w:u w:val="single"/>
              </w:rPr>
              <w:t>)至少担任过1个房建工程质量竣工检测技术服务项目的项目负责人或技术负责人职务。</w:t>
            </w:r>
          </w:p>
        </w:tc>
        <w:tc>
          <w:tcPr>
            <w:tcW w:w="929" w:type="pct"/>
            <w:tcBorders>
              <w:top w:val="single" w:color="000000" w:sz="4" w:space="0"/>
              <w:left w:val="single" w:color="000000" w:sz="4" w:space="0"/>
              <w:bottom w:val="single" w:color="000000" w:sz="4" w:space="0"/>
              <w:right w:val="single" w:color="000000" w:sz="4" w:space="0"/>
            </w:tcBorders>
            <w:vAlign w:val="center"/>
          </w:tcPr>
          <w:p w14:paraId="0E671360">
            <w:pPr>
              <w:jc w:val="center"/>
              <w:rPr>
                <w:rFonts w:hint="eastAsia" w:ascii="宋体" w:hAnsi="宋体" w:cs="宋体"/>
                <w:sz w:val="24"/>
                <w:highlight w:val="none"/>
              </w:rPr>
            </w:pPr>
          </w:p>
        </w:tc>
      </w:tr>
    </w:tbl>
    <w:p w14:paraId="44A80726">
      <w:pPr>
        <w:spacing w:line="360" w:lineRule="auto"/>
        <w:jc w:val="center"/>
        <w:rPr>
          <w:rFonts w:hint="eastAsia" w:ascii="宋体" w:hAnsi="宋体" w:cs="宋体"/>
          <w:sz w:val="30"/>
          <w:szCs w:val="30"/>
          <w:highlight w:val="none"/>
        </w:rPr>
      </w:pPr>
      <w:r>
        <w:rPr>
          <w:rFonts w:hint="eastAsia" w:ascii="宋体" w:hAnsi="宋体" w:cs="宋体"/>
          <w:sz w:val="24"/>
          <w:highlight w:val="none"/>
        </w:rPr>
        <w:br w:type="page"/>
      </w:r>
      <w:r>
        <w:rPr>
          <w:rFonts w:hint="eastAsia" w:ascii="宋体" w:hAnsi="宋体" w:cs="宋体"/>
          <w:b/>
          <w:bCs/>
          <w:sz w:val="30"/>
          <w:szCs w:val="30"/>
          <w:highlight w:val="none"/>
        </w:rPr>
        <w:t>第二章 供应商须知正文</w:t>
      </w:r>
    </w:p>
    <w:p w14:paraId="5B0E2684">
      <w:pPr>
        <w:adjustRightInd w:val="0"/>
        <w:snapToGrid w:val="0"/>
        <w:spacing w:before="120" w:beforeLines="50" w:after="120" w:afterLines="50" w:line="360" w:lineRule="auto"/>
        <w:rPr>
          <w:rFonts w:hint="eastAsia" w:ascii="宋体" w:hAnsi="宋体" w:cs="宋体"/>
          <w:b/>
          <w:bCs/>
          <w:sz w:val="24"/>
          <w:highlight w:val="none"/>
        </w:rPr>
      </w:pPr>
      <w:r>
        <w:rPr>
          <w:rFonts w:hint="eastAsia" w:ascii="宋体" w:hAnsi="宋体" w:cs="宋体"/>
          <w:b/>
          <w:bCs/>
          <w:sz w:val="24"/>
          <w:highlight w:val="none"/>
        </w:rPr>
        <w:t>1 总则</w:t>
      </w:r>
    </w:p>
    <w:p w14:paraId="068E5674">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1.1采购方法和评审办法</w:t>
      </w:r>
    </w:p>
    <w:p w14:paraId="5366DC0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本项目采用供应商须知前附表规定的采购方式和评审办法。</w:t>
      </w:r>
    </w:p>
    <w:p w14:paraId="1C379C7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1.1.1采购方法</w:t>
      </w:r>
    </w:p>
    <w:p w14:paraId="36E4C4D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询价采购，是指按照规定程序就采购项目向符合资格要求的供应商进行询价，通过评审、比较确定成交供应商的采购方式。</w:t>
      </w:r>
    </w:p>
    <w:p w14:paraId="3D1E70B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竞争性谈判采购，是指按照规定程序通过与符合资格要求的供应商谈判确定成交供应商的采购方式。</w:t>
      </w:r>
    </w:p>
    <w:p w14:paraId="08E9396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竞争性磋商采购，是指按照规定程序通过与符合资格要求的供应商磋商确定成交供应商的采购方式。</w:t>
      </w:r>
    </w:p>
    <w:p w14:paraId="38BCD4F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单一来源采购，是指按照规定程序向单一供应商直接购买的采购方式。</w:t>
      </w:r>
    </w:p>
    <w:p w14:paraId="131D950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直接采购，是指按照规定程序与符合资格要求的供应商谈判确定成交供应商的采购方法。</w:t>
      </w:r>
    </w:p>
    <w:p w14:paraId="02CEB08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1.1.2评审办法</w:t>
      </w:r>
    </w:p>
    <w:p w14:paraId="4B5B6E9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最低价法，是指在资质、业绩、信誉等条件均满足询价文件要求的前提下，按单项或总价价格最低原则确定成交供应商。包括同质比价法和同价比质法。</w:t>
      </w:r>
    </w:p>
    <w:p w14:paraId="491134D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同质比价法，遵循最低价法评审原则，在资质、业绩、信誉等条件均满足询价文件要求的前提下，按价格最低原则确定成交供应商。</w:t>
      </w:r>
    </w:p>
    <w:p w14:paraId="4E22D9D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同价比质法，遵循最低价法评审原则，若报价相同，应选择质量、服务承诺及优惠条件较优的供应商。</w:t>
      </w:r>
    </w:p>
    <w:p w14:paraId="51A782C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732F8798">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1.2采购项目概况和供应商资格要求</w:t>
      </w:r>
    </w:p>
    <w:p w14:paraId="122A0411">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采购项目概况和供应商资格要求见第一章“采购公告”。</w:t>
      </w:r>
    </w:p>
    <w:p w14:paraId="56398E60">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1.3 费用承担</w:t>
      </w:r>
    </w:p>
    <w:p w14:paraId="6FF7C43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供应商准备和参加采购活动所发生的各种费用由供应商自行承担。</w:t>
      </w:r>
    </w:p>
    <w:p w14:paraId="6D2095F5">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1.4保密</w:t>
      </w:r>
    </w:p>
    <w:p w14:paraId="3BBCDCA4">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参加采购活动的各方应对采购文件和响应文件中的商业和技术等秘密保密，否则应承担相应的法律责任。</w:t>
      </w:r>
    </w:p>
    <w:p w14:paraId="3ECAE9D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1.5语言文字</w:t>
      </w:r>
    </w:p>
    <w:p w14:paraId="29AD24F8">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采购文件和响应文件使用的语言文字为中文。专用术语使用外文的，应附有中文注释。</w:t>
      </w:r>
    </w:p>
    <w:p w14:paraId="4281FC02">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1.6计量单位</w:t>
      </w:r>
    </w:p>
    <w:p w14:paraId="65082BC8">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所有计量均采用中华人民共和国法定计量单位。</w:t>
      </w:r>
    </w:p>
    <w:p w14:paraId="649E0EF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1.7踏勘现场</w:t>
      </w:r>
    </w:p>
    <w:p w14:paraId="5518D4D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1.7.1供应商须知前附表规定组织踏勘现场的，采购人应按供应商须知前附表规定的时间、地点组织供应商踏勘项目现场。部分供应商未按时参加踏勘现场的，不影响踏勘现场的正常进行。</w:t>
      </w:r>
    </w:p>
    <w:p w14:paraId="0C3EA2D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1.7.2供应商可自愿参加踏勘现场活动。除采购人的原因外，采购人对供应商参加踏勘现场中所发生的人员伤亡和财产损失不承担责任。</w:t>
      </w:r>
    </w:p>
    <w:p w14:paraId="54B9544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1.7.3采购人在踏勘现场中介绍的工程场地和相关的周边环境情况，仅作为供应商编制响应文件的参考，采购人不对供应商据此作出的判断和决策负责。</w:t>
      </w:r>
    </w:p>
    <w:p w14:paraId="4137A972">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1.8采购预备会</w:t>
      </w:r>
    </w:p>
    <w:p w14:paraId="7110E38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供应商须知前附表规定召开采购预备会的，采购人按供应商须知前附表规定的时间和地点召开采购预备会。</w:t>
      </w:r>
    </w:p>
    <w:p w14:paraId="34A8741A">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1.9分包(A、C)</w:t>
      </w:r>
    </w:p>
    <w:p w14:paraId="4450C51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供应商拟在成交后将成交项目的部分工作进行分包的，应符合供应商须知前附表的规定，并在响应文件中作出说明。</w:t>
      </w:r>
    </w:p>
    <w:p w14:paraId="2624263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分包供应商不得将分包项目再次分包。成交供应商就应当就分包项目向采购人负责，分包供应商就分包项目承担连带责任。</w:t>
      </w:r>
    </w:p>
    <w:p w14:paraId="10B359F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1.9 主要材料和关键部件外购(B)</w:t>
      </w:r>
    </w:p>
    <w:p w14:paraId="45BCC02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供应商拟对主要材料和关键部件进行外购的，应符合第五章“采购需求”中提出的或允许外购的相关规定，并在响应文件中作出说明。</w:t>
      </w:r>
    </w:p>
    <w:p w14:paraId="1BED209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1.10响应和偏差</w:t>
      </w:r>
    </w:p>
    <w:p w14:paraId="7C7BE29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1.10.1 采购需求和合同草案中的关键条款均以“*”符号标记。响应文件应当对采购需求和合同草案的关键条款作出满足性或更有利于采购人的响应，否则，供应商的响应文件将被视为无效。</w:t>
      </w:r>
    </w:p>
    <w:p w14:paraId="0FD5119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1.10.2供应商须知前附表规定了对非关键条款允许偏差的范围和可以偏差的项数的，如响应文件存在的偏差超出上述范围或项数，将被视为无效。</w:t>
      </w:r>
    </w:p>
    <w:p w14:paraId="5F3692F2">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2采购文件</w:t>
      </w:r>
    </w:p>
    <w:p w14:paraId="1B85526D">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2.1采购文件的组成</w:t>
      </w:r>
    </w:p>
    <w:p w14:paraId="4143A55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本采购文件包括：</w:t>
      </w:r>
    </w:p>
    <w:p w14:paraId="721CDFE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(1)采购公告(或邀请书)：</w:t>
      </w:r>
    </w:p>
    <w:p w14:paraId="495AE11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(2)供应商须知；</w:t>
      </w:r>
    </w:p>
    <w:p w14:paraId="23A39A4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(3)评审办法；</w:t>
      </w:r>
    </w:p>
    <w:p w14:paraId="73C6033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(4)合同条款及格式；</w:t>
      </w:r>
    </w:p>
    <w:p w14:paraId="44A2B94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(5)采购需求；</w:t>
      </w:r>
    </w:p>
    <w:p w14:paraId="52A8B44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(6)响应文件格式；</w:t>
      </w:r>
    </w:p>
    <w:p w14:paraId="50C8379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(7)供应商须知前附表规定的其他资料。</w:t>
      </w:r>
    </w:p>
    <w:p w14:paraId="31E22F9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采购人依照本章规定，对采购文件所作的澄清、修改，构成采购文件的组成部分。</w:t>
      </w:r>
    </w:p>
    <w:p w14:paraId="1DC045D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2.2 采购文件的澄清和修改</w:t>
      </w:r>
    </w:p>
    <w:p w14:paraId="0B9D23B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14:paraId="7CD7158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7CE5E8B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2.2.3供应商在收到补充文件后，应按供应商须知前附表规定的时间和方式通知采购人，确认已收到该补充文件。</w:t>
      </w:r>
    </w:p>
    <w:p w14:paraId="3C95179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2.2.4除非确有必要，采购人有权拒绝回复供应商在本章第2.2.1项规定的时间后提出的任何澄清要求。</w:t>
      </w:r>
    </w:p>
    <w:p w14:paraId="3C98F0B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3响应文件</w:t>
      </w:r>
    </w:p>
    <w:p w14:paraId="5C0497CB">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3.1响应文件的组成</w:t>
      </w:r>
    </w:p>
    <w:p w14:paraId="59EEE2E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3.1.1响应文件应包括下列内容：</w:t>
      </w:r>
    </w:p>
    <w:p w14:paraId="7B48792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(1)响应函；</w:t>
      </w:r>
    </w:p>
    <w:p w14:paraId="30F7A44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(2)授权委托书(如有)；</w:t>
      </w:r>
    </w:p>
    <w:p w14:paraId="088EEA8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(3)联合体协议书(如有)；</w:t>
      </w:r>
    </w:p>
    <w:p w14:paraId="03D7A7C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(4)响应保证金(如有)；</w:t>
      </w:r>
    </w:p>
    <w:p w14:paraId="46430C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(5)商务和技术偏差表；</w:t>
      </w:r>
    </w:p>
    <w:p w14:paraId="7A6476D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(6)报价表；</w:t>
      </w:r>
    </w:p>
    <w:p w14:paraId="498B00C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(7)资格审查资料；</w:t>
      </w:r>
    </w:p>
    <w:p w14:paraId="1978874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(8)响应方案；</w:t>
      </w:r>
    </w:p>
    <w:p w14:paraId="405163B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(9)供应商须知前附表规定的其他资料。</w:t>
      </w:r>
    </w:p>
    <w:p w14:paraId="41516B6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供应商在评审过程中作出的符合采购文件要求的澄清、说明和补正，构成响应文件的组成部分。</w:t>
      </w:r>
    </w:p>
    <w:p w14:paraId="374F8D8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0D04D543">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3.2 报价</w:t>
      </w:r>
    </w:p>
    <w:p w14:paraId="2EA28AF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21C4647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0870B1B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3.2.3采购人设有最高限价的，供应商的报价不得超过最高限价。最高限价或最高限价计算方法在供应商须知前附表中载明。</w:t>
      </w:r>
    </w:p>
    <w:p w14:paraId="066E2E7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3.2.4报价的其他要求见供应商须知前附表。</w:t>
      </w:r>
    </w:p>
    <w:p w14:paraId="46356633">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3.3响应文件有效期</w:t>
      </w:r>
    </w:p>
    <w:p w14:paraId="73E9FF8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3.3.1除供应商须知前附表另有规定外，响应文件有效期应为90日，从采购文件规定的递交响应文件的截止时间开始计算。</w:t>
      </w:r>
    </w:p>
    <w:p w14:paraId="080B5B5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2E3544F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3.4响应保证金</w:t>
      </w:r>
    </w:p>
    <w:p w14:paraId="1D6E5BD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2F4EEC6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128A2E1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3.4.3有下列情形之一的，响应保证金将不予退还：</w:t>
      </w:r>
    </w:p>
    <w:p w14:paraId="7D1C8D01">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 xml:space="preserve"> (1)供应商在响应文件有效期内撤销响应文件；</w:t>
      </w:r>
    </w:p>
    <w:p w14:paraId="0885F15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 xml:space="preserve"> (2)成交供应商在收到成交通知书后，无正当理由不与采购人订立合同，在签订合同时向采购人提出附加条件，或者不按照采购文件要求递交履约保证金；</w:t>
      </w:r>
    </w:p>
    <w:p w14:paraId="003F836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 xml:space="preserve"> (3)发生供应商须知前附表规定的其他不予退还响应保证金的情形。</w:t>
      </w:r>
    </w:p>
    <w:p w14:paraId="3B512228">
      <w:pPr>
        <w:adjustRightInd w:val="0"/>
        <w:snapToGrid w:val="0"/>
        <w:spacing w:line="360" w:lineRule="auto"/>
        <w:ind w:left="120" w:hanging="120" w:hangingChars="50"/>
        <w:rPr>
          <w:rFonts w:hint="eastAsia" w:ascii="宋体" w:hAnsi="宋体" w:cs="宋体"/>
          <w:b/>
          <w:bCs/>
          <w:sz w:val="24"/>
          <w:highlight w:val="none"/>
        </w:rPr>
      </w:pPr>
      <w:r>
        <w:rPr>
          <w:rFonts w:hint="eastAsia" w:ascii="宋体" w:hAnsi="宋体" w:cs="宋体"/>
          <w:b/>
          <w:bCs/>
          <w:sz w:val="24"/>
          <w:highlight w:val="none"/>
        </w:rPr>
        <w:t>3.5资格审查资料</w:t>
      </w:r>
    </w:p>
    <w:p w14:paraId="7DA9ED6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供应商应提供供应商须知前附表3.5(1)-3.5(9)中规定的资格审查资料，以证明其满足第一章“采购公告”对供应商的各项资格要求。</w:t>
      </w:r>
    </w:p>
    <w:p w14:paraId="557989E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3.6响应方案</w:t>
      </w:r>
    </w:p>
    <w:p w14:paraId="0814753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3.6.1响应文件应当对采购文件中的实质性内容作出响应。采购需求中明确为关键条款(标记“*”)的，供应商还应按照供应商须知前附表的规定提供有关证据或证明材料。</w:t>
      </w:r>
    </w:p>
    <w:p w14:paraId="426458C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3.6.2供应商只能提出唯一的响应方案。供应商在响应文件中提出多个响应方案的，其响应文件将被视为无效。</w:t>
      </w:r>
    </w:p>
    <w:p w14:paraId="503431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423ED1F0">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3.7响应文件的编制</w:t>
      </w:r>
    </w:p>
    <w:p w14:paraId="5660896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3.7.1响应文件应按第六章“响应文件格式”进行编写，如有必要，可以增加附件作为响应文件的组成部分。</w:t>
      </w:r>
    </w:p>
    <w:p w14:paraId="2DDCE8B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3.7.2响应文件应用不褪色的材料书写或打印。</w:t>
      </w:r>
    </w:p>
    <w:p w14:paraId="041EB1B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响应函应由供应商的法定代表人(单位负责人)或其授权的代理人签字并加盖单位章。联合体协议书(如有)应由联合体各方的法定代表人(单位负责人)或其授权的代理人签字并加盖单位章。</w:t>
      </w:r>
    </w:p>
    <w:p w14:paraId="4CE53E8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响应函或联合体协议书(如有)由代理人签字的，应在响应文件中附授权委托书，授权委托书应由供应商或联合体各方的法定代表人(单位负责人)签字并加盖单位章。</w:t>
      </w:r>
    </w:p>
    <w:p w14:paraId="31A64AE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3.7.3评审过程中供应商对响应文件的澄清、说明和补正应由供应商的法定代表人(单位负责人)或其授权的代理人签字或加盖单位章。</w:t>
      </w:r>
    </w:p>
    <w:p w14:paraId="7B8DDCF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3.7.4响应文件应尽量避免涂改、行间插字或删除。如果出现上述情况，改动之处应由供应商的法定代表人(单位负责人)或其授权的代理人签字或加盖单位章。</w:t>
      </w:r>
    </w:p>
    <w:p w14:paraId="5DAE307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2521031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3.7.6响应文件的正本与副本应分别装订，并编制目录。响应文件需分册装订的，具体分册装订要求见供应商须知前附表规定。</w:t>
      </w:r>
    </w:p>
    <w:p w14:paraId="33155B4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4响应文件的递交</w:t>
      </w:r>
    </w:p>
    <w:p w14:paraId="4E0F122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4.1响应文件的包装与标记</w:t>
      </w:r>
    </w:p>
    <w:p w14:paraId="7486068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4.1.1响应文件应妥善包装。供应商须知前附表规定响应文件应密封的，响应文件应按要求密封。</w:t>
      </w:r>
    </w:p>
    <w:p w14:paraId="340D03F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4.1.2响应文件封套上应载明的内容见供应商须知前附表。</w:t>
      </w:r>
    </w:p>
    <w:p w14:paraId="5CA90C68">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4.2 响应文件的递交</w:t>
      </w:r>
    </w:p>
    <w:p w14:paraId="02FBA7C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5D71374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4.2.2除供应商须知前附表另有规定外，供应商所提交的响应文件不予退还。</w:t>
      </w:r>
    </w:p>
    <w:p w14:paraId="112482C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4.3响应文件的修改与撤回</w:t>
      </w:r>
    </w:p>
    <w:p w14:paraId="1E77DA9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4.3.1在本章第4.2.1项规定的递交响应文件的截止时间前，供应商可以修改或撤回已递交的响应文件。</w:t>
      </w:r>
    </w:p>
    <w:p w14:paraId="23DEF8A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587F904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4.3.3除供应商须知前附表另有规定外，供应商撤回响应文件的，采购人应在5日内退还已收取的响应保证金。</w:t>
      </w:r>
    </w:p>
    <w:p w14:paraId="7AD06DA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4.3.4修改的内容为响应文件的组成部分。响应文件的修改文件应按照本章第3条、第4条的规定进行编制、包装、标记和递交，并注明“修改”字样。</w:t>
      </w:r>
    </w:p>
    <w:p w14:paraId="114DE91F">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5开启响应文件</w:t>
      </w:r>
    </w:p>
    <w:p w14:paraId="534694C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采购人根据采购项目的市场供应情况确定是否公开开启响应文件。供应商须知前附表规定公开开启响应文件的，开启活动应按本条规定执行。</w:t>
      </w:r>
    </w:p>
    <w:p w14:paraId="6A6E13A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5.1开启响应文件的时间和地点</w:t>
      </w:r>
    </w:p>
    <w:p w14:paraId="52463D6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39CC65B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5.2开启程序</w:t>
      </w:r>
    </w:p>
    <w:p w14:paraId="5AC1136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主持人按下列程序公开开启响应文件：</w:t>
      </w:r>
    </w:p>
    <w:p w14:paraId="5CB4393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(1)按照供应商须知前附表规定的开启顺序开启响应文件，公布递交响应文件的供应商名称、响应报价及供应商须知前附表规定的其他应公布的信息，并记录在案；</w:t>
      </w:r>
    </w:p>
    <w:p w14:paraId="76047C2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(2)开启会议结束。</w:t>
      </w:r>
    </w:p>
    <w:p w14:paraId="21AC97CF">
      <w:pPr>
        <w:adjustRightInd w:val="0"/>
        <w:snapToGrid w:val="0"/>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5.3递交响应文件的供应商不足的情形</w:t>
      </w:r>
    </w:p>
    <w:p w14:paraId="75A6F81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49674BE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(1)终止采购并重新组织采购</w:t>
      </w:r>
    </w:p>
    <w:p w14:paraId="58B3FA4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采购项目存在影响公平竞争情形的，采购人应当终止采购，并根据不同情形和原因，采取相应纠正措施，重新组织采购。</w:t>
      </w:r>
    </w:p>
    <w:p w14:paraId="3A83C77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采购项目不存在影响公平竞争情形的，采购人也可以选择终止采购，采取相应完善措施，重新组织采购。</w:t>
      </w:r>
    </w:p>
    <w:p w14:paraId="289B932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(2)继续采购</w:t>
      </w:r>
    </w:p>
    <w:p w14:paraId="561DB9F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1DC8750B">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6评审</w:t>
      </w:r>
    </w:p>
    <w:p w14:paraId="25F0B56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6.1评审小组</w:t>
      </w:r>
    </w:p>
    <w:p w14:paraId="3FD0DEE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6.1.1评审由采购人组建的评审小组负责。</w:t>
      </w:r>
    </w:p>
    <w:p w14:paraId="02C5EF5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6.1.2评审小组成员有下列情形之的，应当回避：</w:t>
      </w:r>
    </w:p>
    <w:p w14:paraId="3D17355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（1）供应商主要负责人或供应商主要负责人的近亲属；</w:t>
      </w:r>
    </w:p>
    <w:p w14:paraId="1ECBC1B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(2)与供应商有经济利益关系或其他利害关系，可能影响公正评审的。</w:t>
      </w:r>
    </w:p>
    <w:p w14:paraId="5B9DEF6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6.1.3评审小组组建后，评审小组成员共同推选或由采购人指定评审小组组长，评审小组组长负责组织评审工作。</w:t>
      </w:r>
    </w:p>
    <w:p w14:paraId="1DDBE06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0C4F8F97">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6.2评审</w:t>
      </w:r>
    </w:p>
    <w:p w14:paraId="4F10892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6.2.1评审小组按照第三章“评审办法”规定的评审标准和程序对响应文件进行评审和比较。</w:t>
      </w:r>
    </w:p>
    <w:p w14:paraId="33426C2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6.2.2评审完成后，评审小组应当向采购人提交书面评审报告和候选成交供应商名单。评审小组推荐候选成交供应商的排序要求及数量见供应商须知前附表。</w:t>
      </w:r>
    </w:p>
    <w:p w14:paraId="1790E714">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6谈判和评审（适用于有谈判程序的采购办法）</w:t>
      </w:r>
    </w:p>
    <w:p w14:paraId="552871E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6.1谈判小组</w:t>
      </w:r>
    </w:p>
    <w:p w14:paraId="6B3F14D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6.1.1采购人将组建谈判小组，由谈判小组按照本条规定的程序以及第三章“评审办法”的规定与供应商进行谈判，对响应文件进行评审和比较。</w:t>
      </w:r>
    </w:p>
    <w:p w14:paraId="2DECF97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6.1.2谈判小组成员有下列情形之的，应当回避：</w:t>
      </w:r>
    </w:p>
    <w:p w14:paraId="7E24688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（1）供应商主要负责人或供应商主要负责人的近亲属；</w:t>
      </w:r>
    </w:p>
    <w:p w14:paraId="5BBFE34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（2）与供应商有经济利益关系或其他利害关系，可能影响公正评审的。</w:t>
      </w:r>
    </w:p>
    <w:p w14:paraId="59DA9BC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6.1.3谈判小组组建后，谈判小组成员共同推选或由采购人指定谈判小组组长负责组织谈判及评审工作。</w:t>
      </w:r>
    </w:p>
    <w:p w14:paraId="08C99BC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0F1EECC2">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6.2 初步评审</w:t>
      </w:r>
    </w:p>
    <w:p w14:paraId="7E64E6E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5A62EA0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F36557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6.2.3只有形式评审和资格评审合格且实质性响应采购文件要求的供应商才可通过初步评审。经供应商澄清、说明和补正后仍未通过初步评审的响应文件将被视为无效，谈判小组应告知有关供应商。</w:t>
      </w:r>
    </w:p>
    <w:p w14:paraId="06FACA43">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6.3谈判</w:t>
      </w:r>
    </w:p>
    <w:p w14:paraId="2FD3E0B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6.3.1谈判小组应按照供应商须知前附表规定的谈判轮次及谈判顺序与通过初步评审的供应商逐一进行谈判。</w:t>
      </w:r>
    </w:p>
    <w:p w14:paraId="0A6D497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7158D06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59B304A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6.3.4除供应商须知前附表另有规定外，递交响应文件的供应商未准时参加某一轮次谈判的，视为其放弃参加该轮次谈判，但其仍有权参加后续谈判采购活动。</w:t>
      </w:r>
    </w:p>
    <w:p w14:paraId="193254E4">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6.4 递交补充响应文件</w:t>
      </w:r>
    </w:p>
    <w:p w14:paraId="1310745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2B7DB2D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182C3E6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6.4.3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09B39F6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6.5递交最终报价</w:t>
      </w:r>
    </w:p>
    <w:p w14:paraId="29A86BD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09B3860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6.6 公开开启最终报价</w:t>
      </w:r>
    </w:p>
    <w:p w14:paraId="0DED6C5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供应商须知前附表规定公开开启最终报价的，采购人将在供应商递交最终报价的截止时间，公开开启并公布所有供应商的最终报价。</w:t>
      </w:r>
    </w:p>
    <w:p w14:paraId="48AA6B0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6.7详细评审及推荐候选成交供应商</w:t>
      </w:r>
    </w:p>
    <w:p w14:paraId="1637B3D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6.7.1谈判小组按照第三章“评审办法”规定的评审方法、评审因素、评审标准和程序对响应文件进行详细评审。第三章“评审办法”没有规定的方法、因素和标准，不作为评审依据。</w:t>
      </w:r>
    </w:p>
    <w:p w14:paraId="43E688D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6.7.2评审完成后，谈判小组应当向采购人提交书面评审报告和候选成交供应商名单。谈判小组推荐候选成交供应商的排序要求及数量见供应商须知前附表。</w:t>
      </w:r>
    </w:p>
    <w:p w14:paraId="39674CE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6.7.3所有供应商最终报价均明显不合理的，采购人将终止谈判活动。</w:t>
      </w:r>
    </w:p>
    <w:p w14:paraId="68C1D9A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6.8特殊情形处理</w:t>
      </w:r>
    </w:p>
    <w:p w14:paraId="209C042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7592DC1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决定终止谈判活动的，采购人将向谈判小组出具停止谈判通知书。</w:t>
      </w:r>
    </w:p>
    <w:p w14:paraId="4512712F">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7合同授予</w:t>
      </w:r>
    </w:p>
    <w:p w14:paraId="1EAE04BD">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7.1候选成交供应商履约能力核查</w:t>
      </w:r>
    </w:p>
    <w:p w14:paraId="2CC6DE2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29617B2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7.2候选成交供应商报价核查(B)</w:t>
      </w:r>
    </w:p>
    <w:p w14:paraId="7195BB8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项目评审后，如果采购人认为推荐的候选成交供应商报价明显偏离市场价格时，采购人可以对该报价进行验证，验证后，对明显偏离市场价格的报价不予接受。</w:t>
      </w:r>
    </w:p>
    <w:p w14:paraId="5907E58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7.3确定预成交供应商</w:t>
      </w:r>
    </w:p>
    <w:p w14:paraId="725D2F0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采购人将根据评审报告及核查结果(如有)，对候选成交供应商综合评估后从中选择确定预成交供应商。</w:t>
      </w:r>
    </w:p>
    <w:p w14:paraId="3B3C75CE">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7.4预成交结果公示</w:t>
      </w:r>
    </w:p>
    <w:p w14:paraId="45024B5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预成交供应商选定后，采购人将按照供应商须知前附表规定的公示媒介和公示期限进行公示，公示信息包括如下内容：</w:t>
      </w:r>
    </w:p>
    <w:p w14:paraId="5FA77C4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(1)所有候选成交供应商名称、响应价格及工期/交货期/服务期限；</w:t>
      </w:r>
    </w:p>
    <w:p w14:paraId="71E81A1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(2)预成交供应商名称、预成交份额(如有)及选择原因；</w:t>
      </w:r>
    </w:p>
    <w:p w14:paraId="2F0D0E7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(3)供应商须知前附表规定的其他内容。</w:t>
      </w:r>
    </w:p>
    <w:p w14:paraId="3B19444F">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7.5发出成交通知书</w:t>
      </w:r>
    </w:p>
    <w:p w14:paraId="212DA1B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公示期结束后，在本章第3.3款规定的响应文件有效期内，采购人以书面形式向预成交供应商发出成交通知书。</w:t>
      </w:r>
    </w:p>
    <w:p w14:paraId="0DD2D083">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7.6发布成交公告</w:t>
      </w:r>
    </w:p>
    <w:p w14:paraId="701FEC1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339C265">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7.7履约保证金</w:t>
      </w:r>
    </w:p>
    <w:p w14:paraId="74B3A6F0">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hint="eastAsia" w:ascii="宋体" w:hAnsi="宋体" w:cs="宋体"/>
          <w:sz w:val="24"/>
          <w:highlight w:val="none"/>
          <w:lang w:val="en-US" w:eastAsia="zh-CN"/>
        </w:rPr>
        <w:t>10</w:t>
      </w:r>
      <w:r>
        <w:rPr>
          <w:rFonts w:hint="eastAsia" w:ascii="宋体" w:hAnsi="宋体" w:cs="宋体"/>
          <w:sz w:val="24"/>
          <w:highlight w:val="none"/>
        </w:rPr>
        <w:t>%。</w:t>
      </w:r>
    </w:p>
    <w:p w14:paraId="14BB5788">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7.8签订合同</w:t>
      </w:r>
    </w:p>
    <w:p w14:paraId="1D413F3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A88818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7.8.2发出成交通知书后，采购人无正当理由拒绝签订合同，或者在签订合同时向成交供应商提出附加条件的，采购人向成交供应商退还响应保证金；给成交供应商造成损失的，还应当赔偿损失。</w:t>
      </w:r>
    </w:p>
    <w:p w14:paraId="7B1A497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7.8.3联合体成交的，联合体各方应当共同与采购人签订合同，就成交项目向采购人承担连带责任。</w:t>
      </w:r>
    </w:p>
    <w:p w14:paraId="06FCB5B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9A13FF8">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7.9特殊情形处理</w:t>
      </w:r>
    </w:p>
    <w:p w14:paraId="3973EBC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37D038F4">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8异议</w:t>
      </w:r>
    </w:p>
    <w:p w14:paraId="1209640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8.1提出异议</w:t>
      </w:r>
    </w:p>
    <w:p w14:paraId="409067A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14:paraId="76B01AC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(1)异议人名称、地址、邮政编码、联系人及联系电话；</w:t>
      </w:r>
    </w:p>
    <w:p w14:paraId="31B0DAC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(2)具体、明确的异议事项、事实依据及与异议事项相关的请求。</w:t>
      </w:r>
    </w:p>
    <w:p w14:paraId="6CF312D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异议函应由异议人的法定代表人(单位负责人)或其授权的代理人签字并加盖单位章。</w:t>
      </w:r>
    </w:p>
    <w:p w14:paraId="220461D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8.2异议处理</w:t>
      </w:r>
    </w:p>
    <w:p w14:paraId="269060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采购人将针对异议事项进行核查，经过核查，发现异议人对相关问题理解有误的，应作出解释；发现采购活动中确实存在错误或不当行为的，应及时予以改正或补救。 </w:t>
      </w:r>
    </w:p>
    <w:p w14:paraId="54E1EDF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异议人与采购人对异议事项无法达成一致的，异议人可向供应商须知前附表规定的行业组织或专业咨询机构申请调解或进行反映。</w:t>
      </w:r>
    </w:p>
    <w:p w14:paraId="6045C36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采购人认为异议不成立或不影响采购结果的，可以继续进行采购活动。</w:t>
      </w:r>
    </w:p>
    <w:p w14:paraId="073B5D90">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9纪律要求</w:t>
      </w:r>
    </w:p>
    <w:p w14:paraId="36E9A09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9.1对采购人的纪律要求</w:t>
      </w:r>
    </w:p>
    <w:p w14:paraId="1DD196AD">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采购人不得泄露采购活动中应当保密的情况和资料，不得与供应商串通损害国家利益、社会公共利益或者他人合法权益。</w:t>
      </w:r>
    </w:p>
    <w:p w14:paraId="1DE30A27">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9.2对供应商的纪律要求</w:t>
      </w:r>
    </w:p>
    <w:p w14:paraId="036334C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199BD405">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9.3对评审小组成员的纪律要求</w:t>
      </w:r>
    </w:p>
    <w:p w14:paraId="795A310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57049C9A">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9.4对与采购活动有关的工作人员的纪律要求</w:t>
      </w:r>
    </w:p>
    <w:p w14:paraId="2AF143D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06861494">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9.5对集采平台运营机构的纪律要求</w:t>
      </w:r>
    </w:p>
    <w:p w14:paraId="1021305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集采平台运营机构不得收受他人的财物或者好处，不得向他人透露其他应保密的情况，不得以任何方式干扰、影响采购活动。</w:t>
      </w:r>
    </w:p>
    <w:p w14:paraId="279E4F1D">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10需要补充的其他内容</w:t>
      </w:r>
    </w:p>
    <w:p w14:paraId="71547A1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10.1采购代理服务费</w:t>
      </w:r>
    </w:p>
    <w:p w14:paraId="549C477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供应商须知前附表规定由供应商承担采购代理服务费的，供应商应按照供应商须知前附表规定的费用标准或金额、交费时间和方式向采购代理机构支付代理服务费。</w:t>
      </w:r>
    </w:p>
    <w:p w14:paraId="65C23AA5">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10.2其他</w:t>
      </w:r>
    </w:p>
    <w:p w14:paraId="19E88FAA">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需要补充的其他内容：见供应商须知前附表。</w:t>
      </w:r>
    </w:p>
    <w:p w14:paraId="05E322BE">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10.3电子采购</w:t>
      </w:r>
    </w:p>
    <w:p w14:paraId="5CCD1DF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若采用电子采购的，有关响应文件的包装与密封等条款不适用，供应商应按平台要求分册上传供电子版响应文件，递交和签收时间均以平台接收时间为准。当电子版响应文件报价和平台报价不一致时，以平台报价为准。</w:t>
      </w:r>
    </w:p>
    <w:p w14:paraId="17DC8EDE">
      <w:pPr>
        <w:adjustRightInd w:val="0"/>
        <w:snapToGrid w:val="0"/>
        <w:spacing w:line="600" w:lineRule="exact"/>
        <w:ind w:firstLine="453" w:firstLineChars="189"/>
        <w:rPr>
          <w:rFonts w:hint="eastAsia" w:ascii="宋体" w:hAnsi="宋体" w:cs="宋体"/>
          <w:sz w:val="24"/>
          <w:highlight w:val="none"/>
        </w:rPr>
      </w:pPr>
    </w:p>
    <w:p w14:paraId="3D6F2B9D">
      <w:pPr>
        <w:spacing w:line="600" w:lineRule="exact"/>
        <w:rPr>
          <w:rFonts w:hint="eastAsia" w:ascii="宋体" w:hAnsi="宋体" w:cs="宋体"/>
          <w:sz w:val="30"/>
          <w:szCs w:val="30"/>
          <w:highlight w:val="none"/>
        </w:rPr>
      </w:pPr>
      <w:r>
        <w:rPr>
          <w:rFonts w:hint="eastAsia" w:ascii="宋体" w:hAnsi="宋体" w:cs="宋体"/>
          <w:sz w:val="30"/>
          <w:szCs w:val="30"/>
          <w:highlight w:val="none"/>
        </w:rPr>
        <w:br w:type="page"/>
      </w:r>
    </w:p>
    <w:p w14:paraId="1001FB7B">
      <w:pPr>
        <w:adjustRightInd w:val="0"/>
        <w:snapToGrid w:val="0"/>
        <w:spacing w:line="60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附件1  开启记录表</w:t>
      </w:r>
    </w:p>
    <w:p w14:paraId="23044C8C">
      <w:pPr>
        <w:adjustRightInd w:val="0"/>
        <w:snapToGrid w:val="0"/>
        <w:spacing w:line="600" w:lineRule="exact"/>
        <w:ind w:firstLine="723" w:firstLineChars="200"/>
        <w:jc w:val="center"/>
        <w:rPr>
          <w:rFonts w:hint="eastAsia" w:ascii="宋体" w:hAnsi="宋体" w:cs="宋体"/>
          <w:b/>
          <w:bCs/>
          <w:sz w:val="36"/>
          <w:szCs w:val="36"/>
          <w:highlight w:val="none"/>
        </w:rPr>
      </w:pPr>
    </w:p>
    <w:p w14:paraId="69FDBA6B">
      <w:pPr>
        <w:adjustRightInd w:val="0"/>
        <w:snapToGrid w:val="0"/>
        <w:spacing w:line="600" w:lineRule="exact"/>
        <w:ind w:firstLine="723" w:firstLineChars="200"/>
        <w:jc w:val="center"/>
        <w:rPr>
          <w:rFonts w:hint="eastAsia" w:ascii="宋体" w:hAnsi="宋体" w:cs="宋体"/>
          <w:b/>
          <w:bCs/>
          <w:sz w:val="36"/>
          <w:szCs w:val="36"/>
          <w:highlight w:val="none"/>
        </w:rPr>
      </w:pPr>
    </w:p>
    <w:p w14:paraId="4841579D">
      <w:pPr>
        <w:adjustRightInd w:val="0"/>
        <w:snapToGrid w:val="0"/>
        <w:spacing w:line="600" w:lineRule="exact"/>
        <w:ind w:firstLine="723" w:firstLineChars="200"/>
        <w:jc w:val="center"/>
        <w:rPr>
          <w:rFonts w:hint="eastAsia" w:ascii="宋体" w:hAnsi="宋体" w:cs="宋体"/>
          <w:b/>
          <w:bCs/>
          <w:sz w:val="36"/>
          <w:szCs w:val="36"/>
          <w:highlight w:val="none"/>
        </w:rPr>
      </w:pPr>
      <w:r>
        <w:rPr>
          <w:rFonts w:hint="eastAsia" w:ascii="宋体" w:hAnsi="宋体" w:cs="宋体"/>
          <w:b/>
          <w:bCs/>
          <w:sz w:val="36"/>
          <w:szCs w:val="36"/>
          <w:highlight w:val="none"/>
        </w:rPr>
        <w:t>开启记录表</w:t>
      </w:r>
    </w:p>
    <w:p w14:paraId="4D171CA4">
      <w:pPr>
        <w:adjustRightInd w:val="0"/>
        <w:snapToGrid w:val="0"/>
        <w:spacing w:line="600" w:lineRule="exact"/>
        <w:ind w:firstLine="723" w:firstLineChars="200"/>
        <w:jc w:val="center"/>
        <w:rPr>
          <w:rFonts w:hint="eastAsia" w:ascii="宋体" w:hAnsi="宋体" w:cs="宋体"/>
          <w:b/>
          <w:bCs/>
          <w:sz w:val="36"/>
          <w:szCs w:val="36"/>
          <w:highlight w:val="none"/>
        </w:rPr>
      </w:pPr>
    </w:p>
    <w:p w14:paraId="45DA3B6C">
      <w:pPr>
        <w:spacing w:line="240" w:lineRule="auto"/>
        <w:jc w:val="center"/>
        <w:rPr>
          <w:rFonts w:hint="eastAsia" w:ascii="宋体" w:hAnsi="宋体" w:cs="宋体"/>
          <w:sz w:val="28"/>
          <w:szCs w:val="28"/>
          <w:highlight w:val="none"/>
        </w:rPr>
      </w:pPr>
      <w:r>
        <w:rPr>
          <w:rFonts w:hint="eastAsia" w:ascii="宋体" w:hAnsi="宋体" w:cs="宋体"/>
          <w:sz w:val="28"/>
          <w:szCs w:val="28"/>
          <w:highlight w:val="none"/>
        </w:rPr>
        <w:t>开启时间：</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时</w:t>
      </w:r>
      <w:r>
        <w:rPr>
          <w:rFonts w:hint="eastAsia" w:ascii="宋体" w:hAnsi="宋体" w:cs="宋体"/>
          <w:sz w:val="28"/>
          <w:szCs w:val="28"/>
          <w:highlight w:val="none"/>
          <w:u w:val="single"/>
        </w:rPr>
        <w:t xml:space="preserve">  </w:t>
      </w:r>
      <w:r>
        <w:rPr>
          <w:rFonts w:hint="eastAsia" w:ascii="宋体" w:hAnsi="宋体" w:cs="宋体"/>
          <w:sz w:val="28"/>
          <w:szCs w:val="28"/>
          <w:highlight w:val="none"/>
        </w:rPr>
        <w:t>分</w:t>
      </w:r>
    </w:p>
    <w:tbl>
      <w:tblPr>
        <w:tblStyle w:val="9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5B2D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B9437A3">
            <w:pPr>
              <w:widowControl w:val="0"/>
              <w:spacing w:line="240" w:lineRule="auto"/>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1971" w:type="dxa"/>
          </w:tcPr>
          <w:p w14:paraId="0E842505">
            <w:pPr>
              <w:widowControl w:val="0"/>
              <w:spacing w:line="24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p>
        </w:tc>
        <w:tc>
          <w:tcPr>
            <w:tcW w:w="1971" w:type="dxa"/>
          </w:tcPr>
          <w:p w14:paraId="552FACE9">
            <w:pPr>
              <w:widowControl w:val="0"/>
              <w:spacing w:line="240" w:lineRule="auto"/>
              <w:jc w:val="center"/>
              <w:rPr>
                <w:rFonts w:hint="eastAsia" w:ascii="宋体" w:hAnsi="宋体" w:cs="宋体"/>
                <w:sz w:val="28"/>
                <w:szCs w:val="28"/>
                <w:highlight w:val="none"/>
              </w:rPr>
            </w:pPr>
            <w:r>
              <w:rPr>
                <w:rFonts w:hint="eastAsia" w:ascii="宋体" w:hAnsi="宋体" w:cs="宋体"/>
                <w:sz w:val="28"/>
                <w:szCs w:val="28"/>
                <w:highlight w:val="none"/>
              </w:rPr>
              <w:t>（供应商须知前附表规定的其他应公布的信息）</w:t>
            </w:r>
          </w:p>
        </w:tc>
        <w:tc>
          <w:tcPr>
            <w:tcW w:w="1971" w:type="dxa"/>
          </w:tcPr>
          <w:p w14:paraId="45ABC86A">
            <w:pPr>
              <w:widowControl w:val="0"/>
              <w:spacing w:line="240" w:lineRule="auto"/>
              <w:jc w:val="center"/>
              <w:rPr>
                <w:rFonts w:hint="eastAsia" w:ascii="宋体" w:hAnsi="宋体" w:cs="宋体"/>
                <w:sz w:val="28"/>
                <w:szCs w:val="28"/>
                <w:highlight w:val="none"/>
              </w:rPr>
            </w:pPr>
            <w:r>
              <w:rPr>
                <w:rFonts w:hint="eastAsia" w:ascii="宋体" w:hAnsi="宋体" w:cs="宋体"/>
                <w:sz w:val="28"/>
                <w:szCs w:val="28"/>
                <w:highlight w:val="none"/>
              </w:rPr>
              <w:t>……</w:t>
            </w:r>
          </w:p>
        </w:tc>
        <w:tc>
          <w:tcPr>
            <w:tcW w:w="1971" w:type="dxa"/>
          </w:tcPr>
          <w:p w14:paraId="42705643">
            <w:pPr>
              <w:widowControl w:val="0"/>
              <w:spacing w:line="240" w:lineRule="auto"/>
              <w:jc w:val="center"/>
              <w:rPr>
                <w:rFonts w:hint="eastAsia" w:ascii="宋体" w:hAnsi="宋体" w:cs="宋体"/>
                <w:sz w:val="28"/>
                <w:szCs w:val="28"/>
                <w:highlight w:val="none"/>
              </w:rPr>
            </w:pPr>
            <w:r>
              <w:rPr>
                <w:rFonts w:hint="eastAsia" w:ascii="宋体" w:hAnsi="宋体" w:cs="宋体"/>
                <w:sz w:val="28"/>
                <w:szCs w:val="28"/>
                <w:highlight w:val="none"/>
              </w:rPr>
              <w:t>备注</w:t>
            </w:r>
          </w:p>
        </w:tc>
      </w:tr>
      <w:tr w14:paraId="3385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8222002">
            <w:pPr>
              <w:widowControl w:val="0"/>
              <w:spacing w:line="240" w:lineRule="auto"/>
              <w:jc w:val="center"/>
              <w:rPr>
                <w:rFonts w:hint="eastAsia" w:ascii="宋体" w:hAnsi="宋体" w:cs="宋体"/>
                <w:sz w:val="28"/>
                <w:szCs w:val="28"/>
                <w:highlight w:val="none"/>
              </w:rPr>
            </w:pPr>
          </w:p>
        </w:tc>
        <w:tc>
          <w:tcPr>
            <w:tcW w:w="1971" w:type="dxa"/>
          </w:tcPr>
          <w:p w14:paraId="704AB532">
            <w:pPr>
              <w:widowControl w:val="0"/>
              <w:spacing w:line="240" w:lineRule="auto"/>
              <w:jc w:val="center"/>
              <w:rPr>
                <w:rFonts w:hint="eastAsia" w:ascii="宋体" w:hAnsi="宋体" w:cs="宋体"/>
                <w:sz w:val="28"/>
                <w:szCs w:val="28"/>
                <w:highlight w:val="none"/>
              </w:rPr>
            </w:pPr>
          </w:p>
        </w:tc>
        <w:tc>
          <w:tcPr>
            <w:tcW w:w="1971" w:type="dxa"/>
          </w:tcPr>
          <w:p w14:paraId="4C306427">
            <w:pPr>
              <w:widowControl w:val="0"/>
              <w:spacing w:line="240" w:lineRule="auto"/>
              <w:jc w:val="center"/>
              <w:rPr>
                <w:rFonts w:hint="eastAsia" w:ascii="宋体" w:hAnsi="宋体" w:cs="宋体"/>
                <w:sz w:val="28"/>
                <w:szCs w:val="28"/>
                <w:highlight w:val="none"/>
              </w:rPr>
            </w:pPr>
          </w:p>
        </w:tc>
        <w:tc>
          <w:tcPr>
            <w:tcW w:w="1971" w:type="dxa"/>
          </w:tcPr>
          <w:p w14:paraId="3A43773C">
            <w:pPr>
              <w:widowControl w:val="0"/>
              <w:spacing w:line="240" w:lineRule="auto"/>
              <w:jc w:val="center"/>
              <w:rPr>
                <w:rFonts w:hint="eastAsia" w:ascii="宋体" w:hAnsi="宋体" w:cs="宋体"/>
                <w:sz w:val="28"/>
                <w:szCs w:val="28"/>
                <w:highlight w:val="none"/>
              </w:rPr>
            </w:pPr>
          </w:p>
        </w:tc>
        <w:tc>
          <w:tcPr>
            <w:tcW w:w="1971" w:type="dxa"/>
          </w:tcPr>
          <w:p w14:paraId="10CED8E6">
            <w:pPr>
              <w:widowControl w:val="0"/>
              <w:spacing w:line="240" w:lineRule="auto"/>
              <w:jc w:val="center"/>
              <w:rPr>
                <w:rFonts w:hint="eastAsia" w:ascii="宋体" w:hAnsi="宋体" w:cs="宋体"/>
                <w:sz w:val="28"/>
                <w:szCs w:val="28"/>
                <w:highlight w:val="none"/>
              </w:rPr>
            </w:pPr>
          </w:p>
        </w:tc>
      </w:tr>
      <w:tr w14:paraId="18A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7A7F311">
            <w:pPr>
              <w:widowControl w:val="0"/>
              <w:spacing w:line="240" w:lineRule="auto"/>
              <w:jc w:val="center"/>
              <w:rPr>
                <w:rFonts w:hint="eastAsia" w:ascii="宋体" w:hAnsi="宋体" w:cs="宋体"/>
                <w:sz w:val="28"/>
                <w:szCs w:val="28"/>
                <w:highlight w:val="none"/>
              </w:rPr>
            </w:pPr>
          </w:p>
        </w:tc>
        <w:tc>
          <w:tcPr>
            <w:tcW w:w="1971" w:type="dxa"/>
          </w:tcPr>
          <w:p w14:paraId="6D60D49D">
            <w:pPr>
              <w:widowControl w:val="0"/>
              <w:spacing w:line="240" w:lineRule="auto"/>
              <w:jc w:val="center"/>
              <w:rPr>
                <w:rFonts w:hint="eastAsia" w:ascii="宋体" w:hAnsi="宋体" w:cs="宋体"/>
                <w:sz w:val="28"/>
                <w:szCs w:val="28"/>
                <w:highlight w:val="none"/>
              </w:rPr>
            </w:pPr>
          </w:p>
        </w:tc>
        <w:tc>
          <w:tcPr>
            <w:tcW w:w="1971" w:type="dxa"/>
          </w:tcPr>
          <w:p w14:paraId="769DA829">
            <w:pPr>
              <w:widowControl w:val="0"/>
              <w:spacing w:line="240" w:lineRule="auto"/>
              <w:jc w:val="center"/>
              <w:rPr>
                <w:rFonts w:hint="eastAsia" w:ascii="宋体" w:hAnsi="宋体" w:cs="宋体"/>
                <w:sz w:val="28"/>
                <w:szCs w:val="28"/>
                <w:highlight w:val="none"/>
              </w:rPr>
            </w:pPr>
          </w:p>
        </w:tc>
        <w:tc>
          <w:tcPr>
            <w:tcW w:w="1971" w:type="dxa"/>
          </w:tcPr>
          <w:p w14:paraId="2DEC594F">
            <w:pPr>
              <w:widowControl w:val="0"/>
              <w:spacing w:line="240" w:lineRule="auto"/>
              <w:jc w:val="center"/>
              <w:rPr>
                <w:rFonts w:hint="eastAsia" w:ascii="宋体" w:hAnsi="宋体" w:cs="宋体"/>
                <w:sz w:val="28"/>
                <w:szCs w:val="28"/>
                <w:highlight w:val="none"/>
              </w:rPr>
            </w:pPr>
          </w:p>
        </w:tc>
        <w:tc>
          <w:tcPr>
            <w:tcW w:w="1971" w:type="dxa"/>
          </w:tcPr>
          <w:p w14:paraId="77233B5A">
            <w:pPr>
              <w:widowControl w:val="0"/>
              <w:spacing w:line="240" w:lineRule="auto"/>
              <w:jc w:val="center"/>
              <w:rPr>
                <w:rFonts w:hint="eastAsia" w:ascii="宋体" w:hAnsi="宋体" w:cs="宋体"/>
                <w:sz w:val="28"/>
                <w:szCs w:val="28"/>
                <w:highlight w:val="none"/>
              </w:rPr>
            </w:pPr>
          </w:p>
        </w:tc>
      </w:tr>
      <w:tr w14:paraId="222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3C655F49">
            <w:pPr>
              <w:widowControl w:val="0"/>
              <w:spacing w:line="240" w:lineRule="auto"/>
              <w:jc w:val="center"/>
              <w:rPr>
                <w:rFonts w:hint="eastAsia" w:ascii="宋体" w:hAnsi="宋体" w:cs="宋体"/>
                <w:sz w:val="28"/>
                <w:szCs w:val="28"/>
                <w:highlight w:val="none"/>
              </w:rPr>
            </w:pPr>
          </w:p>
        </w:tc>
        <w:tc>
          <w:tcPr>
            <w:tcW w:w="1971" w:type="dxa"/>
          </w:tcPr>
          <w:p w14:paraId="44226BB9">
            <w:pPr>
              <w:widowControl w:val="0"/>
              <w:spacing w:line="240" w:lineRule="auto"/>
              <w:jc w:val="center"/>
              <w:rPr>
                <w:rFonts w:hint="eastAsia" w:ascii="宋体" w:hAnsi="宋体" w:cs="宋体"/>
                <w:sz w:val="28"/>
                <w:szCs w:val="28"/>
                <w:highlight w:val="none"/>
              </w:rPr>
            </w:pPr>
          </w:p>
        </w:tc>
        <w:tc>
          <w:tcPr>
            <w:tcW w:w="1971" w:type="dxa"/>
          </w:tcPr>
          <w:p w14:paraId="045A295A">
            <w:pPr>
              <w:widowControl w:val="0"/>
              <w:spacing w:line="240" w:lineRule="auto"/>
              <w:jc w:val="center"/>
              <w:rPr>
                <w:rFonts w:hint="eastAsia" w:ascii="宋体" w:hAnsi="宋体" w:cs="宋体"/>
                <w:sz w:val="28"/>
                <w:szCs w:val="28"/>
                <w:highlight w:val="none"/>
              </w:rPr>
            </w:pPr>
          </w:p>
        </w:tc>
        <w:tc>
          <w:tcPr>
            <w:tcW w:w="1971" w:type="dxa"/>
          </w:tcPr>
          <w:p w14:paraId="70A8933B">
            <w:pPr>
              <w:widowControl w:val="0"/>
              <w:spacing w:line="240" w:lineRule="auto"/>
              <w:jc w:val="center"/>
              <w:rPr>
                <w:rFonts w:hint="eastAsia" w:ascii="宋体" w:hAnsi="宋体" w:cs="宋体"/>
                <w:sz w:val="28"/>
                <w:szCs w:val="28"/>
                <w:highlight w:val="none"/>
              </w:rPr>
            </w:pPr>
          </w:p>
        </w:tc>
        <w:tc>
          <w:tcPr>
            <w:tcW w:w="1971" w:type="dxa"/>
          </w:tcPr>
          <w:p w14:paraId="084C4970">
            <w:pPr>
              <w:widowControl w:val="0"/>
              <w:spacing w:line="240" w:lineRule="auto"/>
              <w:jc w:val="center"/>
              <w:rPr>
                <w:rFonts w:hint="eastAsia" w:ascii="宋体" w:hAnsi="宋体" w:cs="宋体"/>
                <w:sz w:val="28"/>
                <w:szCs w:val="28"/>
                <w:highlight w:val="none"/>
              </w:rPr>
            </w:pPr>
          </w:p>
        </w:tc>
      </w:tr>
      <w:tr w14:paraId="0649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0521E07A">
            <w:pPr>
              <w:widowControl w:val="0"/>
              <w:spacing w:line="240" w:lineRule="auto"/>
              <w:jc w:val="center"/>
              <w:rPr>
                <w:rFonts w:hint="eastAsia" w:ascii="宋体" w:hAnsi="宋体" w:cs="宋体"/>
                <w:sz w:val="28"/>
                <w:szCs w:val="28"/>
                <w:highlight w:val="none"/>
              </w:rPr>
            </w:pPr>
          </w:p>
        </w:tc>
        <w:tc>
          <w:tcPr>
            <w:tcW w:w="1971" w:type="dxa"/>
          </w:tcPr>
          <w:p w14:paraId="670E8DAE">
            <w:pPr>
              <w:widowControl w:val="0"/>
              <w:spacing w:line="240" w:lineRule="auto"/>
              <w:jc w:val="center"/>
              <w:rPr>
                <w:rFonts w:hint="eastAsia" w:ascii="宋体" w:hAnsi="宋体" w:cs="宋体"/>
                <w:sz w:val="28"/>
                <w:szCs w:val="28"/>
                <w:highlight w:val="none"/>
              </w:rPr>
            </w:pPr>
          </w:p>
        </w:tc>
        <w:tc>
          <w:tcPr>
            <w:tcW w:w="1971" w:type="dxa"/>
          </w:tcPr>
          <w:p w14:paraId="65ED6134">
            <w:pPr>
              <w:widowControl w:val="0"/>
              <w:spacing w:line="240" w:lineRule="auto"/>
              <w:jc w:val="center"/>
              <w:rPr>
                <w:rFonts w:hint="eastAsia" w:ascii="宋体" w:hAnsi="宋体" w:cs="宋体"/>
                <w:sz w:val="28"/>
                <w:szCs w:val="28"/>
                <w:highlight w:val="none"/>
              </w:rPr>
            </w:pPr>
          </w:p>
        </w:tc>
        <w:tc>
          <w:tcPr>
            <w:tcW w:w="1971" w:type="dxa"/>
          </w:tcPr>
          <w:p w14:paraId="57981504">
            <w:pPr>
              <w:widowControl w:val="0"/>
              <w:spacing w:line="240" w:lineRule="auto"/>
              <w:jc w:val="center"/>
              <w:rPr>
                <w:rFonts w:hint="eastAsia" w:ascii="宋体" w:hAnsi="宋体" w:cs="宋体"/>
                <w:sz w:val="28"/>
                <w:szCs w:val="28"/>
                <w:highlight w:val="none"/>
              </w:rPr>
            </w:pPr>
          </w:p>
        </w:tc>
        <w:tc>
          <w:tcPr>
            <w:tcW w:w="1971" w:type="dxa"/>
          </w:tcPr>
          <w:p w14:paraId="5A38A172">
            <w:pPr>
              <w:widowControl w:val="0"/>
              <w:spacing w:line="240" w:lineRule="auto"/>
              <w:jc w:val="center"/>
              <w:rPr>
                <w:rFonts w:hint="eastAsia" w:ascii="宋体" w:hAnsi="宋体" w:cs="宋体"/>
                <w:sz w:val="28"/>
                <w:szCs w:val="28"/>
                <w:highlight w:val="none"/>
              </w:rPr>
            </w:pPr>
          </w:p>
        </w:tc>
      </w:tr>
      <w:tr w14:paraId="01D4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AB8B279">
            <w:pPr>
              <w:widowControl w:val="0"/>
              <w:spacing w:line="240" w:lineRule="auto"/>
              <w:jc w:val="center"/>
              <w:rPr>
                <w:rFonts w:hint="eastAsia" w:ascii="宋体" w:hAnsi="宋体" w:cs="宋体"/>
                <w:sz w:val="28"/>
                <w:szCs w:val="28"/>
                <w:highlight w:val="none"/>
              </w:rPr>
            </w:pPr>
          </w:p>
        </w:tc>
        <w:tc>
          <w:tcPr>
            <w:tcW w:w="1971" w:type="dxa"/>
          </w:tcPr>
          <w:p w14:paraId="28802C0F">
            <w:pPr>
              <w:widowControl w:val="0"/>
              <w:spacing w:line="240" w:lineRule="auto"/>
              <w:jc w:val="center"/>
              <w:rPr>
                <w:rFonts w:hint="eastAsia" w:ascii="宋体" w:hAnsi="宋体" w:cs="宋体"/>
                <w:sz w:val="28"/>
                <w:szCs w:val="28"/>
                <w:highlight w:val="none"/>
              </w:rPr>
            </w:pPr>
          </w:p>
        </w:tc>
        <w:tc>
          <w:tcPr>
            <w:tcW w:w="1971" w:type="dxa"/>
          </w:tcPr>
          <w:p w14:paraId="1A223263">
            <w:pPr>
              <w:widowControl w:val="0"/>
              <w:spacing w:line="240" w:lineRule="auto"/>
              <w:jc w:val="center"/>
              <w:rPr>
                <w:rFonts w:hint="eastAsia" w:ascii="宋体" w:hAnsi="宋体" w:cs="宋体"/>
                <w:sz w:val="28"/>
                <w:szCs w:val="28"/>
                <w:highlight w:val="none"/>
              </w:rPr>
            </w:pPr>
          </w:p>
        </w:tc>
        <w:tc>
          <w:tcPr>
            <w:tcW w:w="1971" w:type="dxa"/>
          </w:tcPr>
          <w:p w14:paraId="0E50FB67">
            <w:pPr>
              <w:widowControl w:val="0"/>
              <w:spacing w:line="240" w:lineRule="auto"/>
              <w:jc w:val="center"/>
              <w:rPr>
                <w:rFonts w:hint="eastAsia" w:ascii="宋体" w:hAnsi="宋体" w:cs="宋体"/>
                <w:sz w:val="28"/>
                <w:szCs w:val="28"/>
                <w:highlight w:val="none"/>
              </w:rPr>
            </w:pPr>
          </w:p>
        </w:tc>
        <w:tc>
          <w:tcPr>
            <w:tcW w:w="1971" w:type="dxa"/>
          </w:tcPr>
          <w:p w14:paraId="603753CE">
            <w:pPr>
              <w:widowControl w:val="0"/>
              <w:spacing w:line="240" w:lineRule="auto"/>
              <w:jc w:val="center"/>
              <w:rPr>
                <w:rFonts w:hint="eastAsia" w:ascii="宋体" w:hAnsi="宋体" w:cs="宋体"/>
                <w:sz w:val="28"/>
                <w:szCs w:val="28"/>
                <w:highlight w:val="none"/>
              </w:rPr>
            </w:pPr>
          </w:p>
        </w:tc>
      </w:tr>
    </w:tbl>
    <w:p w14:paraId="2288724A">
      <w:pPr>
        <w:spacing w:line="240" w:lineRule="auto"/>
        <w:jc w:val="center"/>
        <w:rPr>
          <w:rFonts w:hint="eastAsia" w:ascii="宋体" w:hAnsi="宋体" w:cs="宋体"/>
          <w:sz w:val="28"/>
          <w:szCs w:val="28"/>
          <w:highlight w:val="none"/>
        </w:rPr>
      </w:pPr>
    </w:p>
    <w:p w14:paraId="21B7D0D8">
      <w:pPr>
        <w:spacing w:line="240" w:lineRule="auto"/>
        <w:rPr>
          <w:rFonts w:hint="eastAsia" w:ascii="宋体" w:hAnsi="宋体" w:cs="宋体"/>
          <w:sz w:val="28"/>
          <w:szCs w:val="28"/>
          <w:highlight w:val="none"/>
          <w:u w:val="single"/>
        </w:rPr>
      </w:pPr>
      <w:r>
        <w:rPr>
          <w:rFonts w:hint="eastAsia" w:ascii="宋体" w:hAnsi="宋体" w:cs="宋体"/>
          <w:sz w:val="28"/>
          <w:szCs w:val="28"/>
          <w:highlight w:val="none"/>
        </w:rPr>
        <w:t>采购人代表：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记录人：</w:t>
      </w:r>
      <w:r>
        <w:rPr>
          <w:rFonts w:hint="eastAsia" w:ascii="宋体" w:hAnsi="宋体" w:cs="宋体"/>
          <w:sz w:val="28"/>
          <w:szCs w:val="28"/>
          <w:highlight w:val="none"/>
          <w:u w:val="single"/>
        </w:rPr>
        <w:t xml:space="preserve">        </w:t>
      </w:r>
    </w:p>
    <w:p w14:paraId="4E521985">
      <w:pPr>
        <w:spacing w:line="240" w:lineRule="auto"/>
        <w:rPr>
          <w:rFonts w:hint="eastAsia" w:ascii="宋体" w:hAnsi="宋体" w:cs="宋体"/>
          <w:sz w:val="28"/>
          <w:szCs w:val="28"/>
          <w:highlight w:val="none"/>
        </w:rPr>
      </w:pPr>
    </w:p>
    <w:p w14:paraId="0C9B45CD">
      <w:pPr>
        <w:spacing w:line="240" w:lineRule="auto"/>
        <w:rPr>
          <w:rFonts w:hint="eastAsia" w:ascii="宋体" w:hAnsi="宋体" w:cs="宋体"/>
          <w:sz w:val="30"/>
          <w:szCs w:val="30"/>
          <w:highlight w:val="none"/>
        </w:rPr>
      </w:pPr>
    </w:p>
    <w:p w14:paraId="6EB7FF84">
      <w:pPr>
        <w:spacing w:line="240" w:lineRule="auto"/>
        <w:rPr>
          <w:rFonts w:hint="eastAsia" w:ascii="宋体" w:hAnsi="宋体" w:cs="宋体"/>
          <w:sz w:val="30"/>
          <w:szCs w:val="30"/>
          <w:highlight w:val="none"/>
        </w:rPr>
      </w:pPr>
      <w:r>
        <w:rPr>
          <w:rFonts w:hint="eastAsia" w:ascii="宋体" w:hAnsi="宋体" w:cs="宋体"/>
          <w:sz w:val="30"/>
          <w:szCs w:val="30"/>
          <w:highlight w:val="none"/>
        </w:rPr>
        <w:br w:type="page"/>
      </w:r>
    </w:p>
    <w:p w14:paraId="235FC2DC">
      <w:pPr>
        <w:adjustRightInd w:val="0"/>
        <w:snapToGrid w:val="0"/>
        <w:spacing w:line="60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附件2  问题澄清通知</w:t>
      </w:r>
    </w:p>
    <w:p w14:paraId="76F5247A">
      <w:pPr>
        <w:adjustRightInd w:val="0"/>
        <w:snapToGrid w:val="0"/>
        <w:spacing w:line="600" w:lineRule="exact"/>
        <w:ind w:firstLine="723" w:firstLineChars="200"/>
        <w:jc w:val="center"/>
        <w:rPr>
          <w:rFonts w:hint="eastAsia" w:ascii="宋体" w:hAnsi="宋体" w:cs="宋体"/>
          <w:b/>
          <w:bCs/>
          <w:sz w:val="36"/>
          <w:szCs w:val="36"/>
          <w:highlight w:val="none"/>
        </w:rPr>
      </w:pPr>
    </w:p>
    <w:p w14:paraId="2E25B16A">
      <w:pPr>
        <w:adjustRightInd w:val="0"/>
        <w:snapToGrid w:val="0"/>
        <w:spacing w:line="600" w:lineRule="exact"/>
        <w:ind w:firstLine="723" w:firstLineChars="200"/>
        <w:jc w:val="center"/>
        <w:rPr>
          <w:rFonts w:hint="eastAsia" w:ascii="宋体" w:hAnsi="宋体" w:cs="宋体"/>
          <w:b/>
          <w:bCs/>
          <w:sz w:val="36"/>
          <w:szCs w:val="36"/>
          <w:highlight w:val="none"/>
        </w:rPr>
      </w:pPr>
      <w:r>
        <w:rPr>
          <w:rFonts w:hint="eastAsia" w:ascii="宋体" w:hAnsi="宋体" w:cs="宋体"/>
          <w:b/>
          <w:bCs/>
          <w:sz w:val="36"/>
          <w:szCs w:val="36"/>
          <w:highlight w:val="none"/>
        </w:rPr>
        <w:t>问题澄清通知</w:t>
      </w:r>
    </w:p>
    <w:p w14:paraId="67FDE142">
      <w:pPr>
        <w:adjustRightInd w:val="0"/>
        <w:snapToGrid w:val="0"/>
        <w:spacing w:line="600" w:lineRule="exact"/>
        <w:ind w:firstLine="723" w:firstLineChars="200"/>
        <w:jc w:val="center"/>
        <w:rPr>
          <w:rFonts w:hint="eastAsia" w:ascii="宋体" w:hAnsi="宋体" w:cs="宋体"/>
          <w:b/>
          <w:bCs/>
          <w:sz w:val="36"/>
          <w:szCs w:val="36"/>
          <w:highlight w:val="none"/>
        </w:rPr>
      </w:pPr>
    </w:p>
    <w:p w14:paraId="7A8C02B0">
      <w:pPr>
        <w:adjustRightInd w:val="0"/>
        <w:snapToGrid w:val="0"/>
        <w:spacing w:line="600" w:lineRule="exact"/>
        <w:ind w:firstLine="600" w:firstLineChars="200"/>
        <w:jc w:val="center"/>
        <w:rPr>
          <w:rFonts w:hint="eastAsia" w:ascii="宋体" w:hAnsi="宋体" w:cs="宋体"/>
          <w:sz w:val="30"/>
          <w:szCs w:val="30"/>
          <w:highlight w:val="none"/>
        </w:rPr>
      </w:pPr>
      <w:r>
        <w:rPr>
          <w:rFonts w:hint="eastAsia" w:ascii="宋体" w:hAnsi="宋体" w:cs="宋体"/>
          <w:sz w:val="30"/>
          <w:szCs w:val="30"/>
          <w:highlight w:val="none"/>
        </w:rPr>
        <w:t>(编号：</w:t>
      </w:r>
      <w:r>
        <w:rPr>
          <w:rFonts w:hint="eastAsia" w:ascii="宋体" w:hAnsi="宋体" w:cs="宋体"/>
          <w:sz w:val="30"/>
          <w:szCs w:val="30"/>
          <w:highlight w:val="none"/>
          <w:u w:val="single"/>
        </w:rPr>
        <w:t xml:space="preserve">          </w:t>
      </w:r>
      <w:r>
        <w:rPr>
          <w:rFonts w:hint="eastAsia" w:ascii="宋体" w:hAnsi="宋体" w:cs="宋体"/>
          <w:sz w:val="30"/>
          <w:szCs w:val="30"/>
          <w:highlight w:val="none"/>
        </w:rPr>
        <w:t>）</w:t>
      </w:r>
    </w:p>
    <w:p w14:paraId="1C2F49CA">
      <w:pPr>
        <w:adjustRightInd w:val="0"/>
        <w:snapToGrid w:val="0"/>
        <w:spacing w:line="600" w:lineRule="exact"/>
        <w:ind w:left="210" w:leftChars="100" w:firstLine="280" w:firstLineChars="100"/>
        <w:rPr>
          <w:rFonts w:hint="eastAsia" w:ascii="宋体" w:hAnsi="宋体" w:cs="宋体"/>
          <w:sz w:val="28"/>
          <w:szCs w:val="28"/>
          <w:highlight w:val="none"/>
          <w:u w:val="single"/>
        </w:rPr>
      </w:pPr>
      <w:r>
        <w:rPr>
          <w:rFonts w:hint="eastAsia" w:ascii="宋体" w:hAnsi="宋体" w:cs="宋体"/>
          <w:sz w:val="28"/>
          <w:szCs w:val="28"/>
          <w:highlight w:val="none"/>
          <w:u w:val="single"/>
        </w:rPr>
        <w:t>(供应商名称)：</w:t>
      </w:r>
    </w:p>
    <w:p w14:paraId="20BA7CD0">
      <w:pPr>
        <w:adjustRightInd w:val="0"/>
        <w:snapToGrid w:val="0"/>
        <w:spacing w:line="600" w:lineRule="exact"/>
        <w:ind w:left="210" w:leftChars="100" w:firstLine="840" w:firstLineChars="300"/>
        <w:rPr>
          <w:rFonts w:hint="eastAsia" w:ascii="宋体" w:hAnsi="宋体" w:cs="宋体"/>
          <w:sz w:val="28"/>
          <w:szCs w:val="28"/>
          <w:highlight w:val="none"/>
        </w:rPr>
      </w:pPr>
      <w:r>
        <w:rPr>
          <w:rFonts w:hint="eastAsia" w:ascii="宋体" w:hAnsi="宋体" w:cs="宋体"/>
          <w:sz w:val="28"/>
          <w:szCs w:val="28"/>
          <w:highlight w:val="none"/>
        </w:rPr>
        <w:t>评审小组对你方的响应文件进行了仔细的审查，现需你方对下列问题以书面形式予以澄清、说明和补正：</w:t>
      </w:r>
    </w:p>
    <w:p w14:paraId="757D30AA">
      <w:pPr>
        <w:adjustRightInd w:val="0"/>
        <w:snapToGrid w:val="0"/>
        <w:spacing w:line="600" w:lineRule="exact"/>
        <w:ind w:left="210" w:leftChars="100" w:firstLine="280" w:firstLineChars="100"/>
        <w:rPr>
          <w:rFonts w:hint="eastAsia" w:ascii="宋体" w:hAnsi="宋体" w:cs="宋体"/>
          <w:sz w:val="28"/>
          <w:szCs w:val="28"/>
          <w:highlight w:val="none"/>
        </w:rPr>
      </w:pPr>
      <w:r>
        <w:rPr>
          <w:rFonts w:hint="eastAsia" w:ascii="宋体" w:hAnsi="宋体" w:cs="宋体"/>
          <w:sz w:val="28"/>
          <w:szCs w:val="28"/>
          <w:highlight w:val="none"/>
        </w:rPr>
        <w:t>1.</w:t>
      </w:r>
    </w:p>
    <w:p w14:paraId="6B194684">
      <w:pPr>
        <w:adjustRightInd w:val="0"/>
        <w:snapToGrid w:val="0"/>
        <w:spacing w:line="600" w:lineRule="exact"/>
        <w:ind w:left="210" w:leftChars="100" w:firstLine="280" w:firstLineChars="100"/>
        <w:rPr>
          <w:rFonts w:hint="eastAsia" w:ascii="宋体" w:hAnsi="宋体" w:cs="宋体"/>
          <w:sz w:val="28"/>
          <w:szCs w:val="28"/>
          <w:highlight w:val="none"/>
        </w:rPr>
      </w:pPr>
      <w:r>
        <w:rPr>
          <w:rFonts w:hint="eastAsia" w:ascii="宋体" w:hAnsi="宋体" w:cs="宋体"/>
          <w:sz w:val="28"/>
          <w:szCs w:val="28"/>
          <w:highlight w:val="none"/>
        </w:rPr>
        <w:t>2.</w:t>
      </w:r>
    </w:p>
    <w:p w14:paraId="38E6FB11">
      <w:pPr>
        <w:adjustRightInd w:val="0"/>
        <w:snapToGrid w:val="0"/>
        <w:spacing w:line="600" w:lineRule="exact"/>
        <w:ind w:left="508" w:leftChars="242"/>
        <w:rPr>
          <w:rFonts w:hint="eastAsia" w:ascii="宋体" w:hAnsi="宋体" w:cs="宋体"/>
          <w:sz w:val="28"/>
          <w:szCs w:val="28"/>
          <w:highlight w:val="none"/>
        </w:rPr>
      </w:pPr>
      <w:r>
        <w:rPr>
          <w:rFonts w:hint="eastAsia" w:ascii="宋体" w:hAnsi="宋体" w:cs="宋体"/>
          <w:sz w:val="28"/>
          <w:szCs w:val="28"/>
          <w:highlight w:val="none"/>
        </w:rPr>
        <w:t>......</w:t>
      </w:r>
    </w:p>
    <w:p w14:paraId="3F576EF6">
      <w:pPr>
        <w:adjustRightInd w:val="0"/>
        <w:snapToGrid w:val="0"/>
        <w:spacing w:line="600" w:lineRule="exact"/>
        <w:ind w:left="508" w:leftChars="242" w:firstLine="560" w:firstLineChars="200"/>
        <w:rPr>
          <w:rFonts w:hint="eastAsia" w:ascii="宋体" w:hAnsi="宋体" w:cs="宋体"/>
          <w:sz w:val="28"/>
          <w:szCs w:val="28"/>
          <w:highlight w:val="none"/>
        </w:rPr>
      </w:pPr>
      <w:r>
        <w:rPr>
          <w:rFonts w:hint="eastAsia" w:ascii="宋体" w:hAnsi="宋体" w:cs="宋体"/>
          <w:sz w:val="28"/>
          <w:szCs w:val="28"/>
          <w:highlight w:val="none"/>
        </w:rPr>
        <w:t>请将上述问题的澄清、说明和补正于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时前递交至</w:t>
      </w:r>
      <w:r>
        <w:rPr>
          <w:rFonts w:hint="eastAsia" w:ascii="宋体" w:hAnsi="宋体" w:cs="宋体"/>
          <w:sz w:val="28"/>
          <w:szCs w:val="28"/>
          <w:highlight w:val="none"/>
          <w:u w:val="single"/>
        </w:rPr>
        <w:t>(详细地址)</w:t>
      </w:r>
      <w:r>
        <w:rPr>
          <w:rFonts w:hint="eastAsia" w:ascii="宋体" w:hAnsi="宋体" w:cs="宋体"/>
          <w:sz w:val="28"/>
          <w:szCs w:val="28"/>
          <w:highlight w:val="none"/>
        </w:rPr>
        <w:t>或发电子邮件至</w:t>
      </w:r>
      <w:r>
        <w:rPr>
          <w:rFonts w:hint="eastAsia" w:ascii="宋体" w:hAnsi="宋体" w:cs="宋体"/>
          <w:sz w:val="28"/>
          <w:szCs w:val="28"/>
          <w:highlight w:val="none"/>
          <w:u w:val="single"/>
        </w:rPr>
        <w:t>(电子邮箱地址)</w:t>
      </w:r>
      <w:r>
        <w:rPr>
          <w:rFonts w:hint="eastAsia" w:ascii="宋体" w:hAnsi="宋体" w:cs="宋体"/>
          <w:sz w:val="28"/>
          <w:szCs w:val="28"/>
          <w:highlight w:val="none"/>
        </w:rPr>
        <w:t>。采用电子邮件方式的，应在</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日_时前将原件递交至</w:t>
      </w:r>
      <w:r>
        <w:rPr>
          <w:rFonts w:hint="eastAsia" w:ascii="宋体" w:hAnsi="宋体" w:cs="宋体"/>
          <w:sz w:val="28"/>
          <w:szCs w:val="28"/>
          <w:highlight w:val="none"/>
          <w:u w:val="single"/>
        </w:rPr>
        <w:t>(详细地址)</w:t>
      </w:r>
      <w:r>
        <w:rPr>
          <w:rFonts w:hint="eastAsia" w:ascii="宋体" w:hAnsi="宋体" w:cs="宋体"/>
          <w:sz w:val="28"/>
          <w:szCs w:val="28"/>
          <w:highlight w:val="none"/>
        </w:rPr>
        <w:t>。</w:t>
      </w:r>
    </w:p>
    <w:p w14:paraId="7B06E120">
      <w:pPr>
        <w:adjustRightInd w:val="0"/>
        <w:snapToGrid w:val="0"/>
        <w:spacing w:line="600" w:lineRule="exact"/>
        <w:ind w:left="210" w:leftChars="100" w:firstLine="280" w:firstLineChars="100"/>
        <w:rPr>
          <w:rFonts w:hint="eastAsia" w:ascii="宋体" w:hAnsi="宋体" w:cs="宋体"/>
          <w:sz w:val="28"/>
          <w:szCs w:val="28"/>
          <w:highlight w:val="none"/>
        </w:rPr>
      </w:pPr>
    </w:p>
    <w:p w14:paraId="36539890">
      <w:pPr>
        <w:adjustRightInd w:val="0"/>
        <w:snapToGrid w:val="0"/>
        <w:spacing w:line="600" w:lineRule="exact"/>
        <w:ind w:left="210" w:leftChars="100" w:firstLine="280" w:firstLineChars="100"/>
        <w:rPr>
          <w:rFonts w:hint="eastAsia" w:ascii="宋体" w:hAnsi="宋体" w:cs="宋体"/>
          <w:sz w:val="28"/>
          <w:szCs w:val="28"/>
          <w:highlight w:val="none"/>
        </w:rPr>
      </w:pPr>
    </w:p>
    <w:p w14:paraId="4CE5F8F0">
      <w:pPr>
        <w:adjustRightInd w:val="0"/>
        <w:snapToGrid w:val="0"/>
        <w:spacing w:line="600" w:lineRule="exact"/>
        <w:ind w:left="210" w:leftChars="100" w:firstLine="280" w:firstLineChars="100"/>
        <w:rPr>
          <w:rFonts w:hint="eastAsia" w:ascii="宋体" w:hAnsi="宋体" w:cs="宋体"/>
          <w:sz w:val="28"/>
          <w:szCs w:val="28"/>
          <w:highlight w:val="none"/>
        </w:rPr>
      </w:pPr>
    </w:p>
    <w:p w14:paraId="71205283">
      <w:pPr>
        <w:adjustRightInd w:val="0"/>
        <w:snapToGrid w:val="0"/>
        <w:spacing w:line="600" w:lineRule="exact"/>
        <w:ind w:left="210" w:leftChars="100" w:firstLine="280" w:firstLineChars="100"/>
        <w:jc w:val="right"/>
        <w:rPr>
          <w:rFonts w:hint="eastAsia" w:ascii="宋体" w:hAnsi="宋体" w:cs="宋体"/>
          <w:sz w:val="28"/>
          <w:szCs w:val="28"/>
          <w:highlight w:val="none"/>
          <w:u w:val="single"/>
        </w:rPr>
      </w:pPr>
      <w:r>
        <w:rPr>
          <w:rFonts w:hint="eastAsia" w:ascii="宋体" w:hAnsi="宋体" w:cs="宋体"/>
          <w:sz w:val="28"/>
          <w:szCs w:val="28"/>
          <w:highlight w:val="none"/>
        </w:rPr>
        <w:t>采购人(或采购代理机构)：</w:t>
      </w:r>
      <w:r>
        <w:rPr>
          <w:rFonts w:hint="eastAsia" w:ascii="宋体" w:hAnsi="宋体" w:cs="宋体"/>
          <w:sz w:val="28"/>
          <w:szCs w:val="28"/>
          <w:highlight w:val="none"/>
          <w:u w:val="single"/>
        </w:rPr>
        <w:t> (签字或盖单位章)</w:t>
      </w:r>
    </w:p>
    <w:p w14:paraId="3877FAE1">
      <w:pPr>
        <w:spacing w:line="600" w:lineRule="exact"/>
        <w:jc w:val="right"/>
        <w:rPr>
          <w:rFonts w:hint="eastAsia" w:ascii="宋体" w:hAnsi="宋体" w:cs="宋体"/>
          <w:sz w:val="30"/>
          <w:szCs w:val="3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30"/>
          <w:szCs w:val="30"/>
          <w:highlight w:val="none"/>
        </w:rPr>
        <w:br w:type="page"/>
      </w:r>
    </w:p>
    <w:p w14:paraId="2041D1CE">
      <w:pPr>
        <w:adjustRightInd w:val="0"/>
        <w:snapToGrid w:val="0"/>
        <w:spacing w:line="60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附件3  问题的澄清</w:t>
      </w:r>
    </w:p>
    <w:p w14:paraId="0E6C69B0">
      <w:pPr>
        <w:adjustRightInd w:val="0"/>
        <w:snapToGrid w:val="0"/>
        <w:spacing w:line="600" w:lineRule="exact"/>
        <w:ind w:firstLine="723" w:firstLineChars="200"/>
        <w:jc w:val="center"/>
        <w:rPr>
          <w:rFonts w:hint="eastAsia" w:ascii="宋体" w:hAnsi="宋体" w:cs="宋体"/>
          <w:b/>
          <w:bCs/>
          <w:sz w:val="36"/>
          <w:szCs w:val="36"/>
          <w:highlight w:val="none"/>
        </w:rPr>
      </w:pPr>
    </w:p>
    <w:p w14:paraId="77DCD9BD">
      <w:pPr>
        <w:adjustRightInd w:val="0"/>
        <w:snapToGrid w:val="0"/>
        <w:spacing w:line="600" w:lineRule="exact"/>
        <w:ind w:firstLine="723" w:firstLineChars="200"/>
        <w:jc w:val="center"/>
        <w:rPr>
          <w:rFonts w:hint="eastAsia" w:ascii="宋体" w:hAnsi="宋体" w:cs="宋体"/>
          <w:b/>
          <w:bCs/>
          <w:sz w:val="36"/>
          <w:szCs w:val="36"/>
          <w:highlight w:val="none"/>
        </w:rPr>
      </w:pPr>
      <w:r>
        <w:rPr>
          <w:rFonts w:hint="eastAsia" w:ascii="宋体" w:hAnsi="宋体" w:cs="宋体"/>
          <w:b/>
          <w:bCs/>
          <w:sz w:val="36"/>
          <w:szCs w:val="36"/>
          <w:highlight w:val="none"/>
        </w:rPr>
        <w:t>问题的澄清</w:t>
      </w:r>
    </w:p>
    <w:p w14:paraId="6D240257">
      <w:pPr>
        <w:adjustRightInd w:val="0"/>
        <w:snapToGrid w:val="0"/>
        <w:spacing w:line="600" w:lineRule="exact"/>
        <w:ind w:firstLine="723" w:firstLineChars="200"/>
        <w:jc w:val="center"/>
        <w:rPr>
          <w:rFonts w:hint="eastAsia" w:ascii="宋体" w:hAnsi="宋体" w:cs="宋体"/>
          <w:b/>
          <w:bCs/>
          <w:sz w:val="36"/>
          <w:szCs w:val="36"/>
          <w:highlight w:val="none"/>
        </w:rPr>
      </w:pPr>
    </w:p>
    <w:p w14:paraId="2E51D1D1">
      <w:pPr>
        <w:adjustRightInd w:val="0"/>
        <w:snapToGrid w:val="0"/>
        <w:spacing w:line="600" w:lineRule="exact"/>
        <w:ind w:firstLine="600" w:firstLineChars="200"/>
        <w:jc w:val="center"/>
        <w:rPr>
          <w:rFonts w:hint="eastAsia" w:ascii="宋体" w:hAnsi="宋体" w:cs="宋体"/>
          <w:sz w:val="30"/>
          <w:szCs w:val="30"/>
          <w:highlight w:val="none"/>
        </w:rPr>
      </w:pPr>
      <w:r>
        <w:rPr>
          <w:rFonts w:hint="eastAsia" w:ascii="宋体" w:hAnsi="宋体" w:cs="宋体"/>
          <w:sz w:val="30"/>
          <w:szCs w:val="30"/>
          <w:highlight w:val="none"/>
        </w:rPr>
        <w:t>(编号：</w:t>
      </w:r>
      <w:r>
        <w:rPr>
          <w:rFonts w:hint="eastAsia" w:ascii="宋体" w:hAnsi="宋体" w:cs="宋体"/>
          <w:sz w:val="30"/>
          <w:szCs w:val="30"/>
          <w:highlight w:val="none"/>
          <w:u w:val="single"/>
        </w:rPr>
        <w:t xml:space="preserve">                 </w:t>
      </w:r>
      <w:r>
        <w:rPr>
          <w:rFonts w:hint="eastAsia" w:ascii="宋体" w:hAnsi="宋体" w:cs="宋体"/>
          <w:sz w:val="30"/>
          <w:szCs w:val="30"/>
          <w:highlight w:val="none"/>
        </w:rPr>
        <w:t>)</w:t>
      </w:r>
    </w:p>
    <w:p w14:paraId="2A2DDCE6">
      <w:pPr>
        <w:adjustRightInd w:val="0"/>
        <w:snapToGrid w:val="0"/>
        <w:spacing w:line="600" w:lineRule="exact"/>
        <w:rPr>
          <w:rFonts w:hint="eastAsia" w:ascii="宋体" w:hAnsi="宋体" w:cs="宋体"/>
          <w:sz w:val="28"/>
          <w:szCs w:val="28"/>
          <w:highlight w:val="none"/>
        </w:rPr>
      </w:pPr>
      <w:r>
        <w:rPr>
          <w:rFonts w:hint="eastAsia" w:ascii="宋体" w:hAnsi="宋体" w:cs="宋体"/>
          <w:sz w:val="28"/>
          <w:szCs w:val="28"/>
          <w:highlight w:val="none"/>
        </w:rPr>
        <w:t>评审小组：</w:t>
      </w:r>
    </w:p>
    <w:p w14:paraId="1F0AC00E">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问题澄清通知(编号：</w:t>
      </w:r>
      <w:r>
        <w:rPr>
          <w:rFonts w:hint="eastAsia" w:ascii="宋体" w:hAnsi="宋体" w:cs="宋体"/>
          <w:sz w:val="28"/>
          <w:szCs w:val="28"/>
          <w:highlight w:val="none"/>
          <w:u w:val="single"/>
        </w:rPr>
        <w:t xml:space="preserve">                </w:t>
      </w:r>
      <w:r>
        <w:rPr>
          <w:rFonts w:hint="eastAsia" w:ascii="宋体" w:hAnsi="宋体" w:cs="宋体"/>
          <w:sz w:val="28"/>
          <w:szCs w:val="28"/>
          <w:highlight w:val="none"/>
        </w:rPr>
        <w:t>) 已收悉， 现澄清、说明和补正如下：</w:t>
      </w:r>
    </w:p>
    <w:p w14:paraId="0ACE987A">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p>
    <w:p w14:paraId="51800FD2">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p>
    <w:p w14:paraId="26ACD50B">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p>
    <w:p w14:paraId="3BA181AC">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上述问题澄清、说明和补正，构成我方响应文件的组成部分。</w:t>
      </w:r>
    </w:p>
    <w:p w14:paraId="4BDB1C65">
      <w:pPr>
        <w:adjustRightInd w:val="0"/>
        <w:snapToGrid w:val="0"/>
        <w:spacing w:line="600" w:lineRule="exact"/>
        <w:ind w:firstLine="560" w:firstLineChars="200"/>
        <w:rPr>
          <w:rFonts w:hint="eastAsia" w:ascii="宋体" w:hAnsi="宋体" w:cs="宋体"/>
          <w:sz w:val="28"/>
          <w:szCs w:val="28"/>
          <w:highlight w:val="none"/>
        </w:rPr>
      </w:pPr>
    </w:p>
    <w:p w14:paraId="5158006D">
      <w:pPr>
        <w:adjustRightInd w:val="0"/>
        <w:snapToGrid w:val="0"/>
        <w:spacing w:line="600" w:lineRule="exact"/>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(盖单位章)</w:t>
      </w:r>
      <w:r>
        <w:rPr>
          <w:rFonts w:hint="eastAsia" w:ascii="宋体" w:hAnsi="宋体" w:cs="宋体"/>
          <w:sz w:val="28"/>
          <w:szCs w:val="28"/>
          <w:highlight w:val="none"/>
        </w:rPr>
        <w:t>或</w:t>
      </w:r>
    </w:p>
    <w:p w14:paraId="7DDE1FE2">
      <w:pPr>
        <w:adjustRightInd w:val="0"/>
        <w:snapToGrid w:val="0"/>
        <w:spacing w:line="600" w:lineRule="exact"/>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 xml:space="preserve">      法定代表人 (单位负责人) </w:t>
      </w:r>
    </w:p>
    <w:p w14:paraId="5CE28AD3">
      <w:pPr>
        <w:adjustRightInd w:val="0"/>
        <w:snapToGrid w:val="0"/>
        <w:spacing w:line="600" w:lineRule="exact"/>
        <w:ind w:firstLine="560" w:firstLineChars="200"/>
        <w:jc w:val="center"/>
        <w:rPr>
          <w:rFonts w:hint="eastAsia" w:ascii="宋体" w:hAnsi="宋体" w:cs="宋体"/>
          <w:sz w:val="28"/>
          <w:szCs w:val="28"/>
          <w:highlight w:val="none"/>
          <w:u w:val="single"/>
        </w:rPr>
      </w:pPr>
      <w:r>
        <w:rPr>
          <w:rFonts w:hint="eastAsia" w:ascii="宋体" w:hAnsi="宋体" w:cs="宋体"/>
          <w:sz w:val="28"/>
          <w:szCs w:val="28"/>
          <w:highlight w:val="none"/>
        </w:rPr>
        <w:t xml:space="preserve">      或其授权的代理人： </w:t>
      </w:r>
      <w:r>
        <w:rPr>
          <w:rFonts w:hint="eastAsia" w:ascii="宋体" w:hAnsi="宋体" w:cs="宋体"/>
          <w:sz w:val="28"/>
          <w:szCs w:val="28"/>
          <w:highlight w:val="none"/>
          <w:u w:val="single"/>
        </w:rPr>
        <w:t>(签字)</w:t>
      </w:r>
    </w:p>
    <w:p w14:paraId="0BA1B91F">
      <w:pPr>
        <w:spacing w:line="600" w:lineRule="exact"/>
        <w:jc w:val="right"/>
        <w:rPr>
          <w:rFonts w:hint="eastAsia" w:ascii="宋体" w:hAnsi="宋体" w:cs="宋体"/>
          <w:sz w:val="30"/>
          <w:szCs w:val="3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28"/>
          <w:szCs w:val="28"/>
          <w:highlight w:val="none"/>
        </w:rPr>
        <w:br w:type="page"/>
      </w:r>
    </w:p>
    <w:p w14:paraId="04877912">
      <w:pPr>
        <w:adjustRightInd w:val="0"/>
        <w:snapToGrid w:val="0"/>
        <w:spacing w:line="60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附件4  成交通知书</w:t>
      </w:r>
    </w:p>
    <w:p w14:paraId="45A61024">
      <w:pPr>
        <w:adjustRightInd w:val="0"/>
        <w:snapToGrid w:val="0"/>
        <w:spacing w:line="600" w:lineRule="exact"/>
        <w:ind w:firstLine="723" w:firstLineChars="200"/>
        <w:jc w:val="center"/>
        <w:rPr>
          <w:rFonts w:hint="eastAsia" w:ascii="宋体" w:hAnsi="宋体" w:cs="宋体"/>
          <w:b/>
          <w:bCs/>
          <w:sz w:val="36"/>
          <w:szCs w:val="36"/>
          <w:highlight w:val="none"/>
        </w:rPr>
      </w:pPr>
    </w:p>
    <w:p w14:paraId="66501453">
      <w:pPr>
        <w:adjustRightInd w:val="0"/>
        <w:snapToGrid w:val="0"/>
        <w:spacing w:line="600" w:lineRule="exact"/>
        <w:ind w:firstLine="723" w:firstLineChars="200"/>
        <w:jc w:val="center"/>
        <w:rPr>
          <w:rFonts w:hint="eastAsia" w:ascii="宋体" w:hAnsi="宋体" w:cs="宋体"/>
          <w:b/>
          <w:bCs/>
          <w:sz w:val="36"/>
          <w:szCs w:val="36"/>
          <w:highlight w:val="none"/>
        </w:rPr>
      </w:pPr>
      <w:r>
        <w:rPr>
          <w:rFonts w:hint="eastAsia" w:ascii="宋体" w:hAnsi="宋体" w:cs="宋体"/>
          <w:b/>
          <w:bCs/>
          <w:sz w:val="36"/>
          <w:szCs w:val="36"/>
          <w:highlight w:val="none"/>
        </w:rPr>
        <w:t>成交通知书</w:t>
      </w:r>
    </w:p>
    <w:p w14:paraId="2E112E0B">
      <w:pPr>
        <w:adjustRightInd w:val="0"/>
        <w:snapToGrid w:val="0"/>
        <w:spacing w:line="600" w:lineRule="exact"/>
        <w:ind w:firstLine="723" w:firstLineChars="200"/>
        <w:jc w:val="center"/>
        <w:rPr>
          <w:rFonts w:hint="eastAsia" w:ascii="宋体" w:hAnsi="宋体" w:cs="宋体"/>
          <w:b/>
          <w:bCs/>
          <w:sz w:val="36"/>
          <w:szCs w:val="36"/>
          <w:highlight w:val="none"/>
        </w:rPr>
      </w:pPr>
    </w:p>
    <w:p w14:paraId="4B845B3C">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u w:val="single"/>
        </w:rPr>
        <w:t>(成交供应商名称)</w:t>
      </w:r>
      <w:r>
        <w:rPr>
          <w:rFonts w:hint="eastAsia" w:ascii="宋体" w:hAnsi="宋体" w:cs="宋体"/>
          <w:sz w:val="28"/>
          <w:szCs w:val="28"/>
          <w:highlight w:val="none"/>
        </w:rPr>
        <w:t>：</w:t>
      </w:r>
    </w:p>
    <w:p w14:paraId="336C39F8">
      <w:pPr>
        <w:adjustRightInd w:val="0"/>
        <w:snapToGrid w:val="0"/>
        <w:spacing w:line="600" w:lineRule="exact"/>
        <w:ind w:firstLine="560" w:firstLineChars="200"/>
        <w:jc w:val="both"/>
        <w:rPr>
          <w:rFonts w:hint="eastAsia" w:ascii="宋体" w:hAnsi="宋体" w:cs="宋体"/>
          <w:sz w:val="28"/>
          <w:szCs w:val="28"/>
          <w:highlight w:val="none"/>
        </w:rPr>
      </w:pPr>
      <w:r>
        <w:rPr>
          <w:rFonts w:hint="eastAsia" w:ascii="宋体" w:hAnsi="宋体" w:cs="宋体"/>
          <w:sz w:val="28"/>
          <w:szCs w:val="28"/>
          <w:highlight w:val="none"/>
        </w:rPr>
        <w:t>你方所递交的</w:t>
      </w:r>
      <w:r>
        <w:rPr>
          <w:rFonts w:hint="eastAsia" w:ascii="宋体" w:hAnsi="宋体" w:cs="宋体"/>
          <w:sz w:val="28"/>
          <w:szCs w:val="28"/>
          <w:highlight w:val="none"/>
          <w:u w:val="single"/>
        </w:rPr>
        <w:t>(项目名称)</w:t>
      </w:r>
      <w:r>
        <w:rPr>
          <w:rFonts w:hint="eastAsia" w:ascii="宋体" w:hAnsi="宋体" w:cs="宋体"/>
          <w:sz w:val="28"/>
          <w:szCs w:val="28"/>
          <w:highlight w:val="none"/>
        </w:rPr>
        <w:t>的响应文件已被我方接受，被确定为成交供应商。</w:t>
      </w:r>
    </w:p>
    <w:p w14:paraId="7AF62FD7">
      <w:pPr>
        <w:adjustRightInd w:val="0"/>
        <w:snapToGrid w:val="0"/>
        <w:spacing w:line="6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成交价：</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2DE478EE">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成交份额：</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。(如有)</w:t>
      </w:r>
    </w:p>
    <w:p w14:paraId="0A6CE783">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请你方在接到本通知书后的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日内到</w:t>
      </w:r>
      <w:r>
        <w:rPr>
          <w:rFonts w:hint="eastAsia" w:ascii="宋体" w:hAnsi="宋体" w:cs="宋体"/>
          <w:sz w:val="28"/>
          <w:szCs w:val="28"/>
          <w:highlight w:val="none"/>
          <w:u w:val="single"/>
        </w:rPr>
        <w:t>(指定地点)</w:t>
      </w:r>
      <w:r>
        <w:rPr>
          <w:rFonts w:hint="eastAsia" w:ascii="宋体" w:hAnsi="宋体" w:cs="宋体"/>
          <w:sz w:val="28"/>
          <w:szCs w:val="28"/>
          <w:highlight w:val="none"/>
        </w:rPr>
        <w:t>与我方签订采购合同，并按采购文件第二章“供应商须知”第7.6款规定向我方递交履约保证金。</w:t>
      </w:r>
    </w:p>
    <w:p w14:paraId="2772BCAA">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特此通知。</w:t>
      </w:r>
    </w:p>
    <w:p w14:paraId="4A15D0C6">
      <w:pPr>
        <w:adjustRightInd w:val="0"/>
        <w:snapToGrid w:val="0"/>
        <w:spacing w:line="600" w:lineRule="exact"/>
        <w:ind w:firstLine="560" w:firstLineChars="200"/>
        <w:rPr>
          <w:rFonts w:hint="eastAsia" w:ascii="宋体" w:hAnsi="宋体" w:cs="宋体"/>
          <w:sz w:val="28"/>
          <w:szCs w:val="28"/>
          <w:highlight w:val="none"/>
        </w:rPr>
      </w:pPr>
    </w:p>
    <w:p w14:paraId="33ECCE66">
      <w:pPr>
        <w:adjustRightInd w:val="0"/>
        <w:snapToGrid w:val="0"/>
        <w:spacing w:line="600" w:lineRule="exact"/>
        <w:ind w:firstLine="560" w:firstLineChars="200"/>
        <w:rPr>
          <w:rFonts w:hint="eastAsia" w:ascii="宋体" w:hAnsi="宋体" w:cs="宋体"/>
          <w:sz w:val="28"/>
          <w:szCs w:val="28"/>
          <w:highlight w:val="none"/>
        </w:rPr>
      </w:pPr>
    </w:p>
    <w:p w14:paraId="6A92171A">
      <w:pPr>
        <w:adjustRightInd w:val="0"/>
        <w:snapToGrid w:val="0"/>
        <w:spacing w:line="600" w:lineRule="exact"/>
        <w:ind w:firstLine="560" w:firstLineChars="200"/>
        <w:jc w:val="right"/>
        <w:rPr>
          <w:rFonts w:hint="eastAsia" w:ascii="宋体" w:hAnsi="宋体" w:cs="宋体"/>
          <w:sz w:val="28"/>
          <w:szCs w:val="28"/>
          <w:highlight w:val="none"/>
          <w:u w:val="single"/>
        </w:rPr>
      </w:pPr>
      <w:r>
        <w:rPr>
          <w:rFonts w:hint="eastAsia" w:ascii="宋体" w:hAnsi="宋体" w:cs="宋体"/>
          <w:sz w:val="28"/>
          <w:szCs w:val="28"/>
          <w:highlight w:val="none"/>
        </w:rPr>
        <w:t>采购人(或采购代理机构)：</w:t>
      </w:r>
      <w:r>
        <w:rPr>
          <w:rFonts w:hint="eastAsia" w:ascii="宋体" w:hAnsi="宋体" w:cs="宋体"/>
          <w:sz w:val="28"/>
          <w:szCs w:val="28"/>
          <w:highlight w:val="none"/>
          <w:u w:val="single"/>
        </w:rPr>
        <w:t>(盖单位章)</w:t>
      </w:r>
    </w:p>
    <w:p w14:paraId="3D654305">
      <w:pPr>
        <w:spacing w:line="600" w:lineRule="exact"/>
        <w:jc w:val="right"/>
        <w:rPr>
          <w:rFonts w:hint="eastAsia" w:ascii="宋体" w:hAnsi="宋体" w:cs="宋体"/>
          <w:sz w:val="30"/>
          <w:szCs w:val="3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30"/>
          <w:szCs w:val="30"/>
          <w:highlight w:val="none"/>
        </w:rPr>
        <w:br w:type="page"/>
      </w:r>
    </w:p>
    <w:p w14:paraId="3E3BA683">
      <w:pPr>
        <w:adjustRightInd w:val="0"/>
        <w:snapToGrid w:val="0"/>
        <w:spacing w:line="60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附件5  确认通知</w:t>
      </w:r>
    </w:p>
    <w:p w14:paraId="6EA25819">
      <w:pPr>
        <w:adjustRightInd w:val="0"/>
        <w:snapToGrid w:val="0"/>
        <w:spacing w:line="600" w:lineRule="exact"/>
        <w:ind w:firstLine="723" w:firstLineChars="200"/>
        <w:jc w:val="center"/>
        <w:rPr>
          <w:rFonts w:hint="eastAsia" w:ascii="宋体" w:hAnsi="宋体" w:cs="宋体"/>
          <w:b/>
          <w:bCs/>
          <w:sz w:val="36"/>
          <w:szCs w:val="36"/>
          <w:highlight w:val="none"/>
        </w:rPr>
      </w:pPr>
    </w:p>
    <w:p w14:paraId="71B7F2A1">
      <w:pPr>
        <w:adjustRightInd w:val="0"/>
        <w:snapToGrid w:val="0"/>
        <w:spacing w:line="600" w:lineRule="exact"/>
        <w:ind w:firstLine="723" w:firstLineChars="200"/>
        <w:jc w:val="center"/>
        <w:rPr>
          <w:rFonts w:hint="eastAsia" w:ascii="宋体" w:hAnsi="宋体" w:cs="宋体"/>
          <w:b/>
          <w:bCs/>
          <w:sz w:val="36"/>
          <w:szCs w:val="36"/>
          <w:highlight w:val="none"/>
        </w:rPr>
      </w:pPr>
      <w:r>
        <w:rPr>
          <w:rFonts w:hint="eastAsia" w:ascii="宋体" w:hAnsi="宋体" w:cs="宋体"/>
          <w:b/>
          <w:bCs/>
          <w:sz w:val="36"/>
          <w:szCs w:val="36"/>
          <w:highlight w:val="none"/>
        </w:rPr>
        <w:t>确认通知</w:t>
      </w:r>
    </w:p>
    <w:p w14:paraId="1A8F009C">
      <w:pPr>
        <w:adjustRightInd w:val="0"/>
        <w:snapToGrid w:val="0"/>
        <w:spacing w:line="600" w:lineRule="exact"/>
        <w:ind w:firstLine="723" w:firstLineChars="200"/>
        <w:jc w:val="center"/>
        <w:rPr>
          <w:rFonts w:hint="eastAsia" w:ascii="宋体" w:hAnsi="宋体" w:cs="宋体"/>
          <w:b/>
          <w:bCs/>
          <w:sz w:val="36"/>
          <w:szCs w:val="36"/>
          <w:highlight w:val="none"/>
        </w:rPr>
      </w:pPr>
    </w:p>
    <w:p w14:paraId="45F5DBC2">
      <w:pPr>
        <w:adjustRightInd w:val="0"/>
        <w:snapToGrid w:val="0"/>
        <w:spacing w:line="60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u w:val="single"/>
        </w:rPr>
        <w:t xml:space="preserve">           （采购人或采购代理机构名称)</w:t>
      </w:r>
      <w:r>
        <w:rPr>
          <w:rFonts w:hint="eastAsia" w:ascii="宋体" w:hAnsi="宋体" w:cs="宋体"/>
          <w:sz w:val="28"/>
          <w:szCs w:val="28"/>
          <w:highlight w:val="none"/>
        </w:rPr>
        <w:t>：</w:t>
      </w:r>
    </w:p>
    <w:p w14:paraId="258EA409">
      <w:pPr>
        <w:adjustRightInd w:val="0"/>
        <w:snapToGrid w:val="0"/>
        <w:spacing w:line="600" w:lineRule="exact"/>
        <w:ind w:firstLine="560" w:firstLineChars="200"/>
        <w:jc w:val="both"/>
        <w:rPr>
          <w:rFonts w:hint="eastAsia" w:ascii="宋体" w:hAnsi="宋体" w:cs="宋体"/>
          <w:sz w:val="28"/>
          <w:szCs w:val="28"/>
          <w:highlight w:val="none"/>
        </w:rPr>
      </w:pPr>
      <w:r>
        <w:rPr>
          <w:rFonts w:hint="eastAsia" w:ascii="宋体" w:hAnsi="宋体" w:cs="宋体"/>
          <w:sz w:val="28"/>
          <w:szCs w:val="28"/>
          <w:highlight w:val="none"/>
        </w:rPr>
        <w:t>你方于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日发出的</w:t>
      </w:r>
      <w:r>
        <w:rPr>
          <w:rFonts w:hint="eastAsia" w:ascii="宋体" w:hAnsi="宋体" w:cs="宋体"/>
          <w:sz w:val="28"/>
          <w:szCs w:val="28"/>
          <w:highlight w:val="none"/>
          <w:u w:val="single"/>
        </w:rPr>
        <w:t>(项目名称)</w:t>
      </w:r>
      <w:r>
        <w:rPr>
          <w:rFonts w:hint="eastAsia" w:ascii="宋体" w:hAnsi="宋体" w:cs="宋体"/>
          <w:sz w:val="28"/>
          <w:szCs w:val="28"/>
          <w:highlight w:val="none"/>
        </w:rPr>
        <w:t>采购文件的澄清/修改的通知，我方已于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日收到。</w:t>
      </w:r>
    </w:p>
    <w:p w14:paraId="49CA02C7">
      <w:pPr>
        <w:adjustRightInd w:val="0"/>
        <w:snapToGrid w:val="0"/>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特此确认。</w:t>
      </w:r>
    </w:p>
    <w:p w14:paraId="11C2C58D">
      <w:pPr>
        <w:adjustRightInd w:val="0"/>
        <w:snapToGrid w:val="0"/>
        <w:spacing w:line="600" w:lineRule="exact"/>
        <w:ind w:firstLine="560" w:firstLineChars="200"/>
        <w:rPr>
          <w:rFonts w:hint="eastAsia" w:ascii="宋体" w:hAnsi="宋体" w:cs="宋体"/>
          <w:sz w:val="28"/>
          <w:szCs w:val="28"/>
          <w:highlight w:val="none"/>
        </w:rPr>
      </w:pPr>
    </w:p>
    <w:p w14:paraId="032A4296">
      <w:pPr>
        <w:adjustRightInd w:val="0"/>
        <w:snapToGrid w:val="0"/>
        <w:spacing w:line="600" w:lineRule="exact"/>
        <w:ind w:firstLine="560" w:firstLineChars="200"/>
        <w:rPr>
          <w:rFonts w:hint="eastAsia" w:ascii="宋体" w:hAnsi="宋体" w:cs="宋体"/>
          <w:sz w:val="28"/>
          <w:szCs w:val="28"/>
          <w:highlight w:val="none"/>
        </w:rPr>
      </w:pPr>
    </w:p>
    <w:p w14:paraId="41A45352">
      <w:pPr>
        <w:adjustRightInd w:val="0"/>
        <w:snapToGrid w:val="0"/>
        <w:spacing w:line="600" w:lineRule="exact"/>
        <w:ind w:firstLine="560" w:firstLineChars="200"/>
        <w:jc w:val="right"/>
        <w:rPr>
          <w:rFonts w:hint="eastAsia" w:ascii="宋体" w:hAnsi="宋体" w:cs="宋体"/>
          <w:sz w:val="28"/>
          <w:szCs w:val="28"/>
          <w:highlight w:val="none"/>
        </w:rPr>
      </w:pPr>
      <w:r>
        <w:rPr>
          <w:rFonts w:hint="eastAsia" w:ascii="宋体" w:hAnsi="宋体" w:cs="宋体"/>
          <w:sz w:val="28"/>
          <w:szCs w:val="28"/>
          <w:highlight w:val="none"/>
        </w:rPr>
        <w:t>供应商：(盖单位章)</w:t>
      </w:r>
    </w:p>
    <w:p w14:paraId="3B50655F">
      <w:pPr>
        <w:pStyle w:val="152"/>
        <w:spacing w:line="600" w:lineRule="exact"/>
        <w:ind w:left="420" w:firstLine="0" w:firstLineChars="0"/>
        <w:jc w:val="right"/>
        <w:rPr>
          <w:rFonts w:hint="eastAsia"/>
          <w:b/>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p w14:paraId="1206D25F">
      <w:pPr>
        <w:spacing w:line="240" w:lineRule="auto"/>
        <w:rPr>
          <w:rFonts w:hint="eastAsia" w:ascii="黑体" w:hAnsi="黑体" w:eastAsia="黑体" w:cs="仿宋"/>
          <w:b/>
          <w:kern w:val="0"/>
          <w:sz w:val="44"/>
          <w:szCs w:val="44"/>
          <w:highlight w:val="none"/>
        </w:rPr>
      </w:pPr>
      <w:r>
        <w:rPr>
          <w:rFonts w:ascii="黑体" w:hAnsi="黑体" w:eastAsia="黑体" w:cs="仿宋"/>
          <w:b/>
          <w:sz w:val="44"/>
          <w:szCs w:val="44"/>
          <w:highlight w:val="none"/>
        </w:rPr>
        <w:br w:type="page"/>
      </w:r>
    </w:p>
    <w:p w14:paraId="1FD767EF">
      <w:pPr>
        <w:pStyle w:val="152"/>
        <w:spacing w:line="600" w:lineRule="exact"/>
        <w:ind w:left="420" w:firstLine="0" w:firstLineChars="0"/>
        <w:rPr>
          <w:rFonts w:hint="eastAsia" w:ascii="黑体" w:hAnsi="黑体" w:eastAsia="黑体" w:cs="仿宋"/>
          <w:b/>
          <w:sz w:val="44"/>
          <w:szCs w:val="44"/>
          <w:highlight w:val="none"/>
        </w:rPr>
      </w:pPr>
    </w:p>
    <w:p w14:paraId="51F6E858">
      <w:pPr>
        <w:pStyle w:val="152"/>
        <w:spacing w:line="600" w:lineRule="exact"/>
        <w:ind w:left="420" w:firstLine="0" w:firstLineChars="0"/>
        <w:rPr>
          <w:rFonts w:hint="eastAsia" w:ascii="黑体" w:hAnsi="黑体" w:eastAsia="黑体" w:cs="仿宋"/>
          <w:b/>
          <w:sz w:val="44"/>
          <w:szCs w:val="44"/>
          <w:highlight w:val="none"/>
        </w:rPr>
      </w:pPr>
    </w:p>
    <w:p w14:paraId="13B50D0A">
      <w:pPr>
        <w:pStyle w:val="152"/>
        <w:spacing w:line="600" w:lineRule="exact"/>
        <w:ind w:left="420" w:firstLine="0" w:firstLineChars="0"/>
        <w:rPr>
          <w:rFonts w:hint="eastAsia" w:ascii="黑体" w:hAnsi="黑体" w:eastAsia="黑体" w:cs="仿宋"/>
          <w:b/>
          <w:sz w:val="44"/>
          <w:szCs w:val="44"/>
          <w:highlight w:val="none"/>
        </w:rPr>
      </w:pPr>
    </w:p>
    <w:p w14:paraId="190C9046">
      <w:pPr>
        <w:pStyle w:val="152"/>
        <w:spacing w:line="600" w:lineRule="exact"/>
        <w:ind w:left="420" w:firstLine="0" w:firstLineChars="0"/>
        <w:jc w:val="center"/>
        <w:rPr>
          <w:rFonts w:hint="eastAsia" w:ascii="黑体" w:hAnsi="黑体" w:eastAsia="黑体" w:cs="仿宋"/>
          <w:b/>
          <w:sz w:val="44"/>
          <w:szCs w:val="44"/>
          <w:highlight w:val="none"/>
        </w:rPr>
      </w:pPr>
    </w:p>
    <w:p w14:paraId="0D8EBCC9">
      <w:pPr>
        <w:pStyle w:val="152"/>
        <w:spacing w:line="600" w:lineRule="exact"/>
        <w:ind w:left="420" w:firstLine="0" w:firstLineChars="0"/>
        <w:jc w:val="center"/>
        <w:rPr>
          <w:rFonts w:hint="eastAsia" w:ascii="黑体" w:hAnsi="黑体" w:eastAsia="黑体" w:cs="仿宋"/>
          <w:b/>
          <w:sz w:val="44"/>
          <w:szCs w:val="44"/>
          <w:highlight w:val="none"/>
        </w:rPr>
      </w:pPr>
    </w:p>
    <w:p w14:paraId="483A73D5">
      <w:pPr>
        <w:pStyle w:val="152"/>
        <w:spacing w:line="600" w:lineRule="exact"/>
        <w:ind w:left="420" w:firstLine="0" w:firstLineChars="0"/>
        <w:jc w:val="center"/>
        <w:rPr>
          <w:rFonts w:hint="eastAsia" w:ascii="黑体" w:hAnsi="黑体" w:eastAsia="黑体" w:cs="仿宋"/>
          <w:b/>
          <w:sz w:val="44"/>
          <w:szCs w:val="44"/>
          <w:highlight w:val="none"/>
        </w:rPr>
      </w:pPr>
    </w:p>
    <w:p w14:paraId="5EC36774">
      <w:pPr>
        <w:pStyle w:val="152"/>
        <w:spacing w:line="600" w:lineRule="exact"/>
        <w:ind w:left="420" w:firstLine="0" w:firstLineChars="0"/>
        <w:jc w:val="center"/>
        <w:rPr>
          <w:rFonts w:hint="eastAsia" w:ascii="黑体" w:hAnsi="黑体" w:eastAsia="黑体" w:cs="仿宋"/>
          <w:b/>
          <w:sz w:val="44"/>
          <w:szCs w:val="44"/>
          <w:highlight w:val="none"/>
        </w:rPr>
      </w:pPr>
    </w:p>
    <w:p w14:paraId="26B7CF0A">
      <w:pPr>
        <w:pStyle w:val="152"/>
        <w:spacing w:line="600" w:lineRule="exact"/>
        <w:ind w:left="420" w:firstLine="0" w:firstLineChars="0"/>
        <w:jc w:val="center"/>
        <w:rPr>
          <w:rFonts w:hint="eastAsia" w:ascii="黑体" w:hAnsi="黑体" w:eastAsia="黑体" w:cs="仿宋"/>
          <w:b/>
          <w:sz w:val="44"/>
          <w:szCs w:val="44"/>
          <w:highlight w:val="none"/>
        </w:rPr>
      </w:pPr>
    </w:p>
    <w:p w14:paraId="290E426D">
      <w:pPr>
        <w:pStyle w:val="152"/>
        <w:spacing w:line="600" w:lineRule="exact"/>
        <w:ind w:left="420" w:firstLine="0" w:firstLineChars="0"/>
        <w:jc w:val="center"/>
        <w:rPr>
          <w:rFonts w:hint="eastAsia" w:ascii="黑体" w:hAnsi="黑体" w:eastAsia="黑体" w:cs="仿宋"/>
          <w:b/>
          <w:sz w:val="44"/>
          <w:szCs w:val="44"/>
          <w:highlight w:val="none"/>
        </w:rPr>
      </w:pPr>
      <w:r>
        <w:rPr>
          <w:rFonts w:hint="eastAsia" w:ascii="黑体" w:hAnsi="黑体" w:eastAsia="黑体" w:cs="仿宋"/>
          <w:b/>
          <w:sz w:val="44"/>
          <w:szCs w:val="44"/>
          <w:highlight w:val="none"/>
        </w:rPr>
        <w:t>第三章  评审办法</w:t>
      </w:r>
    </w:p>
    <w:p w14:paraId="490BF237">
      <w:pPr>
        <w:spacing w:line="240" w:lineRule="auto"/>
        <w:jc w:val="center"/>
        <w:rPr>
          <w:rFonts w:hint="eastAsia" w:ascii="华文中宋" w:hAnsi="华文中宋" w:eastAsia="华文中宋" w:cs="仿宋"/>
          <w:b/>
          <w:bCs/>
          <w:sz w:val="36"/>
          <w:szCs w:val="36"/>
          <w:highlight w:val="none"/>
        </w:rPr>
      </w:pPr>
      <w:r>
        <w:rPr>
          <w:rFonts w:ascii="黑体" w:hAnsi="黑体" w:eastAsia="黑体" w:cs="仿宋"/>
          <w:b/>
          <w:sz w:val="44"/>
          <w:szCs w:val="44"/>
          <w:highlight w:val="none"/>
        </w:rPr>
        <w:br w:type="page"/>
      </w:r>
      <w:r>
        <w:rPr>
          <w:rFonts w:hint="eastAsia" w:ascii="华文中宋" w:hAnsi="华文中宋" w:eastAsia="华文中宋" w:cs="仿宋"/>
          <w:b/>
          <w:bCs/>
          <w:sz w:val="36"/>
          <w:szCs w:val="36"/>
          <w:highlight w:val="none"/>
        </w:rPr>
        <w:t>第三章 评审办法</w:t>
      </w:r>
    </w:p>
    <w:p w14:paraId="5F9B8937">
      <w:pPr>
        <w:adjustRightInd w:val="0"/>
        <w:snapToGrid w:val="0"/>
        <w:spacing w:line="600" w:lineRule="exact"/>
        <w:jc w:val="center"/>
        <w:rPr>
          <w:rFonts w:hint="eastAsia"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评审办法前附表</w:t>
      </w:r>
    </w:p>
    <w:tbl>
      <w:tblPr>
        <w:tblStyle w:val="90"/>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1C01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21B700A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条款号及名称</w:t>
            </w:r>
          </w:p>
        </w:tc>
        <w:tc>
          <w:tcPr>
            <w:tcW w:w="1904" w:type="dxa"/>
            <w:vAlign w:val="center"/>
          </w:tcPr>
          <w:p w14:paraId="5097B1EE">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评审因素</w:t>
            </w:r>
          </w:p>
        </w:tc>
        <w:tc>
          <w:tcPr>
            <w:tcW w:w="5576" w:type="dxa"/>
            <w:vAlign w:val="center"/>
          </w:tcPr>
          <w:p w14:paraId="75C1BEF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评审标准</w:t>
            </w:r>
          </w:p>
        </w:tc>
      </w:tr>
      <w:tr w14:paraId="52BC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D93E71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1</w:t>
            </w:r>
          </w:p>
        </w:tc>
        <w:tc>
          <w:tcPr>
            <w:tcW w:w="1461" w:type="dxa"/>
          </w:tcPr>
          <w:p w14:paraId="33FA81E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评审方法</w:t>
            </w:r>
          </w:p>
        </w:tc>
        <w:tc>
          <w:tcPr>
            <w:tcW w:w="1904" w:type="dxa"/>
            <w:vAlign w:val="center"/>
          </w:tcPr>
          <w:p w14:paraId="34CE94B6">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评审方法</w:t>
            </w:r>
          </w:p>
        </w:tc>
        <w:tc>
          <w:tcPr>
            <w:tcW w:w="5576" w:type="dxa"/>
            <w:vAlign w:val="center"/>
          </w:tcPr>
          <w:p w14:paraId="468FB995">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综合评分法</w:t>
            </w:r>
          </w:p>
        </w:tc>
      </w:tr>
      <w:tr w14:paraId="3029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0994953D">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2.1.1</w:t>
            </w:r>
          </w:p>
        </w:tc>
        <w:tc>
          <w:tcPr>
            <w:tcW w:w="1461" w:type="dxa"/>
            <w:vMerge w:val="restart"/>
          </w:tcPr>
          <w:p w14:paraId="6637D55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形式评审标准</w:t>
            </w:r>
          </w:p>
        </w:tc>
        <w:tc>
          <w:tcPr>
            <w:tcW w:w="1904" w:type="dxa"/>
            <w:vAlign w:val="center"/>
          </w:tcPr>
          <w:p w14:paraId="5B5374B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供应商名称</w:t>
            </w:r>
          </w:p>
        </w:tc>
        <w:tc>
          <w:tcPr>
            <w:tcW w:w="5576" w:type="dxa"/>
            <w:vAlign w:val="center"/>
          </w:tcPr>
          <w:p w14:paraId="5475E7F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与市场监管部门或其他行政机关颁发的可以合法开展业务的执照或证书一致</w:t>
            </w:r>
          </w:p>
        </w:tc>
      </w:tr>
      <w:tr w14:paraId="0103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32FEF58">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5113A833">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72543E8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响应文件签字盖章</w:t>
            </w:r>
          </w:p>
        </w:tc>
        <w:tc>
          <w:tcPr>
            <w:tcW w:w="5576" w:type="dxa"/>
            <w:vAlign w:val="center"/>
          </w:tcPr>
          <w:p w14:paraId="7CEE6F0F">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符合第二章第3.7.2项及第3.7.3项的规定</w:t>
            </w:r>
          </w:p>
        </w:tc>
      </w:tr>
      <w:tr w14:paraId="3692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4D92FD13">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66BC1810">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4D91C987">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联合体协议书</w:t>
            </w:r>
          </w:p>
        </w:tc>
        <w:tc>
          <w:tcPr>
            <w:tcW w:w="5576" w:type="dxa"/>
            <w:vAlign w:val="center"/>
          </w:tcPr>
          <w:p w14:paraId="69CC10FF">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不适用</w:t>
            </w:r>
          </w:p>
        </w:tc>
      </w:tr>
      <w:tr w14:paraId="30B7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2F480F8">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4FCA4952">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1A63DED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响应函中实质性内容</w:t>
            </w:r>
          </w:p>
        </w:tc>
        <w:tc>
          <w:tcPr>
            <w:tcW w:w="5576" w:type="dxa"/>
            <w:vAlign w:val="center"/>
          </w:tcPr>
          <w:p w14:paraId="445F032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项目负责人、服务期限、投标报价符合采购文件要求。</w:t>
            </w:r>
          </w:p>
        </w:tc>
      </w:tr>
      <w:tr w14:paraId="694D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384DBBA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2.1.2</w:t>
            </w:r>
          </w:p>
        </w:tc>
        <w:tc>
          <w:tcPr>
            <w:tcW w:w="1461" w:type="dxa"/>
            <w:vMerge w:val="restart"/>
          </w:tcPr>
          <w:p w14:paraId="6360733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资格评审标准</w:t>
            </w:r>
          </w:p>
        </w:tc>
        <w:tc>
          <w:tcPr>
            <w:tcW w:w="1904" w:type="dxa"/>
            <w:vAlign w:val="center"/>
          </w:tcPr>
          <w:p w14:paraId="25587295">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依法设立</w:t>
            </w:r>
          </w:p>
        </w:tc>
        <w:tc>
          <w:tcPr>
            <w:tcW w:w="5576" w:type="dxa"/>
            <w:vAlign w:val="center"/>
          </w:tcPr>
          <w:p w14:paraId="03FEE6E4">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符合第一章第3.2款及供应商须知前附表第3.5（1）款规定</w:t>
            </w:r>
          </w:p>
        </w:tc>
      </w:tr>
      <w:tr w14:paraId="32A5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A22F040">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6B5D839E">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6CF873E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资质要求</w:t>
            </w:r>
          </w:p>
        </w:tc>
        <w:tc>
          <w:tcPr>
            <w:tcW w:w="5576" w:type="dxa"/>
            <w:vAlign w:val="center"/>
          </w:tcPr>
          <w:p w14:paraId="4715A24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符合第一章第3.2款及供应商须知前附表第3.5（2）款规定</w:t>
            </w:r>
          </w:p>
        </w:tc>
      </w:tr>
      <w:tr w14:paraId="144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8383076">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555B078F">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6275CAD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财务要求</w:t>
            </w:r>
          </w:p>
        </w:tc>
        <w:tc>
          <w:tcPr>
            <w:tcW w:w="5576" w:type="dxa"/>
            <w:vAlign w:val="center"/>
          </w:tcPr>
          <w:p w14:paraId="15954FCE">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符合第一章第3.2款及供应商须知前附表第3.5（3）款规定</w:t>
            </w:r>
          </w:p>
        </w:tc>
      </w:tr>
      <w:tr w14:paraId="3BA2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C95767C">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53AE3D89">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1F53044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业绩要求</w:t>
            </w:r>
          </w:p>
        </w:tc>
        <w:tc>
          <w:tcPr>
            <w:tcW w:w="5576" w:type="dxa"/>
            <w:vAlign w:val="center"/>
          </w:tcPr>
          <w:p w14:paraId="4D62D9CF">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符合第一章第3.2款及供应商须知前附表第3.5（4）款规定</w:t>
            </w:r>
          </w:p>
        </w:tc>
      </w:tr>
      <w:tr w14:paraId="1BA3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E143421">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3C20FE0A">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08FA3BBD">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信誉要求</w:t>
            </w:r>
          </w:p>
        </w:tc>
        <w:tc>
          <w:tcPr>
            <w:tcW w:w="5576" w:type="dxa"/>
            <w:vAlign w:val="center"/>
          </w:tcPr>
          <w:p w14:paraId="1416DA41">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符合第一章第3.2款及供应商须知前附表第3.5（5）款规定</w:t>
            </w:r>
          </w:p>
        </w:tc>
      </w:tr>
      <w:tr w14:paraId="74F3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1961B0B">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1ACF1019">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412F259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人员要求</w:t>
            </w:r>
          </w:p>
        </w:tc>
        <w:tc>
          <w:tcPr>
            <w:tcW w:w="5576" w:type="dxa"/>
            <w:vAlign w:val="center"/>
          </w:tcPr>
          <w:p w14:paraId="68E4C89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符合第一章第3.2款及供应商须知前附表第3.5（6）款规定</w:t>
            </w:r>
          </w:p>
        </w:tc>
      </w:tr>
      <w:tr w14:paraId="316C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5BDFDD">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1B2B32A8">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715A4E4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其他要求</w:t>
            </w:r>
          </w:p>
        </w:tc>
        <w:tc>
          <w:tcPr>
            <w:tcW w:w="5576" w:type="dxa"/>
            <w:vAlign w:val="center"/>
          </w:tcPr>
          <w:p w14:paraId="0441175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符合第一章第3.2款及供应商须知前附表第3.5（7）款规定</w:t>
            </w:r>
          </w:p>
        </w:tc>
      </w:tr>
      <w:tr w14:paraId="0FC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EB44A4A">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66F3D001">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2C1BFF6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不存在第一章第3.1款情形</w:t>
            </w:r>
          </w:p>
        </w:tc>
        <w:tc>
          <w:tcPr>
            <w:tcW w:w="5576" w:type="dxa"/>
            <w:vAlign w:val="center"/>
          </w:tcPr>
          <w:p w14:paraId="384E4A1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符合第一章第3.1款及供应商须知前附表第3.5（8）款规定</w:t>
            </w:r>
          </w:p>
        </w:tc>
      </w:tr>
      <w:tr w14:paraId="5EC7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139F033">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0D2D0625">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58340AE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联合体供应商</w:t>
            </w:r>
          </w:p>
        </w:tc>
        <w:tc>
          <w:tcPr>
            <w:tcW w:w="5576" w:type="dxa"/>
            <w:vAlign w:val="center"/>
          </w:tcPr>
          <w:p w14:paraId="1A53890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符合第一章第3.2款及供应商须知前附表第3.5（9）款规定</w:t>
            </w:r>
          </w:p>
        </w:tc>
      </w:tr>
      <w:tr w14:paraId="116C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321D7B8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2.1.3</w:t>
            </w:r>
          </w:p>
        </w:tc>
        <w:tc>
          <w:tcPr>
            <w:tcW w:w="1461" w:type="dxa"/>
            <w:vMerge w:val="restart"/>
          </w:tcPr>
          <w:p w14:paraId="78AACBDE">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响应性评审标准</w:t>
            </w:r>
          </w:p>
        </w:tc>
        <w:tc>
          <w:tcPr>
            <w:tcW w:w="1904" w:type="dxa"/>
            <w:vAlign w:val="center"/>
          </w:tcPr>
          <w:p w14:paraId="50D2F2B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报价</w:t>
            </w:r>
          </w:p>
        </w:tc>
        <w:tc>
          <w:tcPr>
            <w:tcW w:w="5576" w:type="dxa"/>
            <w:vAlign w:val="center"/>
          </w:tcPr>
          <w:p w14:paraId="77C7EA3D">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符合第二章第3.2款规定</w:t>
            </w:r>
          </w:p>
        </w:tc>
      </w:tr>
      <w:tr w14:paraId="5DF7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00C9C5A">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7C5AD2FC">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5FF9ED8D">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响应文件有效期</w:t>
            </w:r>
          </w:p>
        </w:tc>
        <w:tc>
          <w:tcPr>
            <w:tcW w:w="5576" w:type="dxa"/>
            <w:vAlign w:val="center"/>
          </w:tcPr>
          <w:p w14:paraId="69381376">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符合第二章第3.3.1项规定</w:t>
            </w:r>
          </w:p>
        </w:tc>
      </w:tr>
      <w:tr w14:paraId="01D7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763B63F">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1F6FE535">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2BAFF683">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响应保证金</w:t>
            </w:r>
          </w:p>
        </w:tc>
        <w:tc>
          <w:tcPr>
            <w:tcW w:w="5576" w:type="dxa"/>
            <w:vAlign w:val="center"/>
          </w:tcPr>
          <w:p w14:paraId="75EE8DF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符合第二章第3.4.1项规定</w:t>
            </w:r>
          </w:p>
        </w:tc>
      </w:tr>
      <w:tr w14:paraId="4821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B18A302">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6D6BC573">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49F877F7">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响应方案</w:t>
            </w:r>
          </w:p>
        </w:tc>
        <w:tc>
          <w:tcPr>
            <w:tcW w:w="5576" w:type="dxa"/>
            <w:vAlign w:val="center"/>
          </w:tcPr>
          <w:p w14:paraId="61D3EBC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符合第二章第3.6款规定</w:t>
            </w:r>
          </w:p>
        </w:tc>
      </w:tr>
      <w:tr w14:paraId="2D12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5E49D71">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063A7D30">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1C67C64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质量标准</w:t>
            </w:r>
          </w:p>
        </w:tc>
        <w:tc>
          <w:tcPr>
            <w:tcW w:w="5576" w:type="dxa"/>
            <w:vAlign w:val="center"/>
          </w:tcPr>
          <w:p w14:paraId="3D17057D">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符合第一章第2条规定</w:t>
            </w:r>
          </w:p>
        </w:tc>
      </w:tr>
      <w:tr w14:paraId="76C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93776D6">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5C39AFCC">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73A9118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完成期限</w:t>
            </w:r>
          </w:p>
        </w:tc>
        <w:tc>
          <w:tcPr>
            <w:tcW w:w="5576" w:type="dxa"/>
            <w:vAlign w:val="center"/>
          </w:tcPr>
          <w:p w14:paraId="1B9A7AB7">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符合第一章第2条规定</w:t>
            </w:r>
          </w:p>
        </w:tc>
      </w:tr>
      <w:tr w14:paraId="700A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5785CF8">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25830F13">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0849EECE">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合同条款</w:t>
            </w:r>
          </w:p>
        </w:tc>
        <w:tc>
          <w:tcPr>
            <w:tcW w:w="5576" w:type="dxa"/>
            <w:vAlign w:val="center"/>
          </w:tcPr>
          <w:p w14:paraId="4DDDC151">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符合第二章第1.10.1项规定</w:t>
            </w:r>
          </w:p>
        </w:tc>
      </w:tr>
      <w:tr w14:paraId="2054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1CF04FB">
            <w:pPr>
              <w:widowControl/>
              <w:adjustRightInd w:val="0"/>
              <w:snapToGrid w:val="0"/>
              <w:spacing w:line="360" w:lineRule="auto"/>
              <w:jc w:val="both"/>
              <w:rPr>
                <w:rFonts w:hint="eastAsia" w:ascii="宋体" w:hAnsi="宋体" w:cs="宋体"/>
                <w:szCs w:val="21"/>
                <w:highlight w:val="none"/>
              </w:rPr>
            </w:pPr>
          </w:p>
        </w:tc>
        <w:tc>
          <w:tcPr>
            <w:tcW w:w="1461" w:type="dxa"/>
            <w:vMerge w:val="continue"/>
          </w:tcPr>
          <w:p w14:paraId="5BCE0003">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0A550DB5">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对非关键条款的偏差</w:t>
            </w:r>
          </w:p>
        </w:tc>
        <w:tc>
          <w:tcPr>
            <w:tcW w:w="5576" w:type="dxa"/>
            <w:vAlign w:val="center"/>
          </w:tcPr>
          <w:p w14:paraId="4CA3F6B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偏差范围和偏差项数符合第二章第1.10.2项的规定</w:t>
            </w:r>
          </w:p>
        </w:tc>
      </w:tr>
      <w:tr w14:paraId="31FD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51D861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2.2.2</w:t>
            </w:r>
          </w:p>
        </w:tc>
        <w:tc>
          <w:tcPr>
            <w:tcW w:w="1461" w:type="dxa"/>
          </w:tcPr>
          <w:p w14:paraId="72128DCD">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1011F36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评审价格</w:t>
            </w:r>
          </w:p>
        </w:tc>
        <w:tc>
          <w:tcPr>
            <w:tcW w:w="5576" w:type="dxa"/>
            <w:vAlign w:val="center"/>
          </w:tcPr>
          <w:p w14:paraId="51B39E5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评审价格为响应函中填报的按基准税率6%根据附录《采购比价表》折算后的含税价格。</w:t>
            </w:r>
          </w:p>
        </w:tc>
      </w:tr>
      <w:tr w14:paraId="01B3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397D2DB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 详细评审标准和程序（综合评分法）</w:t>
            </w:r>
          </w:p>
        </w:tc>
      </w:tr>
      <w:tr w14:paraId="0FC3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1B8FBB2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3.1</w:t>
            </w:r>
          </w:p>
        </w:tc>
        <w:tc>
          <w:tcPr>
            <w:tcW w:w="1904" w:type="dxa"/>
            <w:vAlign w:val="center"/>
          </w:tcPr>
          <w:p w14:paraId="712189E5">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分值构成（总分100分）</w:t>
            </w:r>
          </w:p>
        </w:tc>
        <w:tc>
          <w:tcPr>
            <w:tcW w:w="5576" w:type="dxa"/>
            <w:vAlign w:val="center"/>
          </w:tcPr>
          <w:p w14:paraId="2C455F10">
            <w:pPr>
              <w:widowControl/>
              <w:numPr>
                <w:ilvl w:val="0"/>
                <w:numId w:val="18"/>
              </w:numPr>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商务部分：</w:t>
            </w:r>
            <w:r>
              <w:rPr>
                <w:rFonts w:hint="eastAsia" w:ascii="宋体" w:hAnsi="宋体" w:cs="宋体"/>
                <w:szCs w:val="21"/>
                <w:highlight w:val="none"/>
                <w:u w:val="single"/>
              </w:rPr>
              <w:t>40</w:t>
            </w:r>
            <w:r>
              <w:rPr>
                <w:rFonts w:hint="eastAsia" w:ascii="宋体" w:hAnsi="宋体" w:cs="宋体"/>
                <w:szCs w:val="21"/>
                <w:highlight w:val="none"/>
              </w:rPr>
              <w:t>分</w:t>
            </w:r>
          </w:p>
          <w:p w14:paraId="27B52128">
            <w:pPr>
              <w:widowControl/>
              <w:numPr>
                <w:ilvl w:val="0"/>
                <w:numId w:val="18"/>
              </w:numPr>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u w:val="single"/>
              </w:rPr>
              <w:t>40</w:t>
            </w:r>
            <w:r>
              <w:rPr>
                <w:rFonts w:hint="eastAsia" w:ascii="宋体" w:hAnsi="宋体" w:cs="宋体"/>
                <w:szCs w:val="21"/>
                <w:highlight w:val="none"/>
              </w:rPr>
              <w:t>分</w:t>
            </w:r>
          </w:p>
          <w:p w14:paraId="687C2C93">
            <w:pPr>
              <w:widowControl/>
              <w:numPr>
                <w:ilvl w:val="0"/>
                <w:numId w:val="18"/>
              </w:numPr>
              <w:adjustRightInd w:val="0"/>
              <w:snapToGrid w:val="0"/>
              <w:spacing w:line="360" w:lineRule="auto"/>
              <w:jc w:val="both"/>
              <w:rPr>
                <w:highlight w:val="none"/>
              </w:rPr>
            </w:pPr>
            <w:r>
              <w:rPr>
                <w:rFonts w:hint="eastAsia" w:ascii="宋体" w:hAnsi="宋体" w:cs="宋体"/>
                <w:szCs w:val="21"/>
                <w:highlight w:val="none"/>
              </w:rPr>
              <w:t>报价：</w:t>
            </w:r>
            <w:r>
              <w:rPr>
                <w:rFonts w:hint="eastAsia" w:ascii="宋体" w:hAnsi="宋体" w:cs="宋体"/>
                <w:szCs w:val="21"/>
                <w:highlight w:val="none"/>
                <w:u w:val="single"/>
              </w:rPr>
              <w:t xml:space="preserve">20 </w:t>
            </w:r>
            <w:r>
              <w:rPr>
                <w:rFonts w:hint="eastAsia" w:ascii="宋体" w:hAnsi="宋体" w:cs="宋体"/>
                <w:szCs w:val="21"/>
                <w:highlight w:val="none"/>
              </w:rPr>
              <w:t>分</w:t>
            </w:r>
          </w:p>
        </w:tc>
      </w:tr>
      <w:tr w14:paraId="50A9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46770F50">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3.2（2）</w:t>
            </w:r>
          </w:p>
        </w:tc>
        <w:tc>
          <w:tcPr>
            <w:tcW w:w="1904" w:type="dxa"/>
            <w:vAlign w:val="center"/>
          </w:tcPr>
          <w:p w14:paraId="1D558ED6">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评审基准价计算方法</w:t>
            </w:r>
          </w:p>
        </w:tc>
        <w:tc>
          <w:tcPr>
            <w:tcW w:w="5576" w:type="dxa"/>
            <w:vAlign w:val="center"/>
          </w:tcPr>
          <w:p w14:paraId="764C59C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方法一</w:t>
            </w:r>
          </w:p>
        </w:tc>
      </w:tr>
      <w:tr w14:paraId="404D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6C682857">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条款号及名称</w:t>
            </w:r>
          </w:p>
        </w:tc>
        <w:tc>
          <w:tcPr>
            <w:tcW w:w="1904" w:type="dxa"/>
            <w:vAlign w:val="bottom"/>
          </w:tcPr>
          <w:p w14:paraId="22FC5481">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评分因素</w:t>
            </w:r>
          </w:p>
        </w:tc>
        <w:tc>
          <w:tcPr>
            <w:tcW w:w="5576" w:type="dxa"/>
            <w:vAlign w:val="bottom"/>
          </w:tcPr>
          <w:p w14:paraId="364007A0">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评分标准</w:t>
            </w:r>
          </w:p>
        </w:tc>
      </w:tr>
      <w:tr w14:paraId="78CE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26D25E9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3.3（1）</w:t>
            </w:r>
          </w:p>
        </w:tc>
        <w:tc>
          <w:tcPr>
            <w:tcW w:w="1461" w:type="dxa"/>
            <w:vMerge w:val="restart"/>
            <w:vAlign w:val="center"/>
          </w:tcPr>
          <w:p w14:paraId="78B80550">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商务评分标准（40分）</w:t>
            </w:r>
          </w:p>
        </w:tc>
        <w:tc>
          <w:tcPr>
            <w:tcW w:w="1904" w:type="dxa"/>
            <w:vAlign w:val="center"/>
          </w:tcPr>
          <w:p w14:paraId="681F0A56">
            <w:pPr>
              <w:widowControl/>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业绩（30分）</w:t>
            </w:r>
          </w:p>
        </w:tc>
        <w:tc>
          <w:tcPr>
            <w:tcW w:w="5576" w:type="dxa"/>
          </w:tcPr>
          <w:p w14:paraId="1C9A179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近5年</w:t>
            </w:r>
          </w:p>
          <w:p w14:paraId="2E47023F">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1、满足资格审查条件（业绩最低要求）得24分；</w:t>
            </w:r>
          </w:p>
          <w:p w14:paraId="3A2474D0">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在此基础上，最近5年（递交响应文件截止之日前一日回溯5年，以合同签订时间为准）每增加</w:t>
            </w:r>
            <w:r>
              <w:rPr>
                <w:rFonts w:hint="eastAsia" w:ascii="宋体" w:hAnsi="宋体" w:cs="宋体"/>
                <w:szCs w:val="21"/>
                <w:highlight w:val="none"/>
                <w:lang w:val="zh-CN"/>
              </w:rPr>
              <w:t>一个独立完成1个建筑面积</w:t>
            </w:r>
            <w:r>
              <w:rPr>
                <w:rFonts w:hint="eastAsia" w:ascii="宋体" w:hAnsi="宋体" w:cs="宋体"/>
                <w:szCs w:val="21"/>
                <w:highlight w:val="none"/>
              </w:rPr>
              <w:t>6</w:t>
            </w:r>
            <w:r>
              <w:rPr>
                <w:rFonts w:hint="eastAsia" w:ascii="宋体" w:hAnsi="宋体" w:cs="宋体"/>
                <w:szCs w:val="21"/>
                <w:highlight w:val="none"/>
                <w:lang w:val="zh-CN"/>
              </w:rPr>
              <w:t>000m²以上的房建工程质量竣工检测技术服务业绩</w:t>
            </w:r>
            <w:r>
              <w:rPr>
                <w:rFonts w:hint="eastAsia" w:ascii="宋体" w:hAnsi="宋体" w:cs="宋体"/>
                <w:szCs w:val="21"/>
                <w:highlight w:val="none"/>
              </w:rPr>
              <w:t>，加3分，最多加6分。</w:t>
            </w:r>
          </w:p>
          <w:p w14:paraId="6BBD19F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注：1、业绩证明材料须提供合同/订单，如合同/订单无法证实业绩满足采购文件要求，还须提供委托人出具的证明材料，证明材料应附联系人姓名及联系方式）。</w:t>
            </w:r>
          </w:p>
          <w:p w14:paraId="7CBED2EF">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2、业绩计算以合同签订时间为准，单个合同包含多个业绩时，只按1个业绩计算。</w:t>
            </w:r>
          </w:p>
          <w:p w14:paraId="19D39674">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3、如近年来，响应人法人机构发生合法变更或重组或法人名称变更时，应提供相关部门的合法批件或其他相关证明材料来证明其所附业绩的继承性。</w:t>
            </w:r>
          </w:p>
        </w:tc>
      </w:tr>
      <w:tr w14:paraId="2156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0734D8F3">
            <w:pPr>
              <w:widowControl/>
              <w:adjustRightInd w:val="0"/>
              <w:snapToGrid w:val="0"/>
              <w:spacing w:line="360" w:lineRule="auto"/>
              <w:jc w:val="both"/>
              <w:rPr>
                <w:rFonts w:hint="eastAsia" w:ascii="宋体" w:hAnsi="宋体" w:cs="宋体"/>
                <w:szCs w:val="21"/>
                <w:highlight w:val="none"/>
              </w:rPr>
            </w:pPr>
          </w:p>
        </w:tc>
        <w:tc>
          <w:tcPr>
            <w:tcW w:w="1461" w:type="dxa"/>
            <w:vMerge w:val="continue"/>
            <w:vAlign w:val="center"/>
          </w:tcPr>
          <w:p w14:paraId="0F728FEA">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03298D62">
            <w:pPr>
              <w:widowControl/>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项目负责人</w:t>
            </w:r>
          </w:p>
          <w:p w14:paraId="690CC6BB">
            <w:pPr>
              <w:widowControl/>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（10分）</w:t>
            </w:r>
          </w:p>
        </w:tc>
        <w:tc>
          <w:tcPr>
            <w:tcW w:w="5576" w:type="dxa"/>
          </w:tcPr>
          <w:p w14:paraId="2D630236">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1、满足资格审查条件（项目负责人最低要求）要求得8分;</w:t>
            </w:r>
          </w:p>
          <w:p w14:paraId="0ECA0533">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2、拟委派本项目的项目负责人每增加一个满足，附录4 资格审查条件（项目负责人最低要求）要求的业绩加1分，本项最多加2分。</w:t>
            </w:r>
          </w:p>
          <w:p w14:paraId="4F7D5453">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注1、项目负责人须提供从业单位证明（最近3个月在社保系统打印本单位人员的缴费明细）、身份证、职称证、执（职）业资格证等有效证明文件复印件。</w:t>
            </w:r>
          </w:p>
          <w:p w14:paraId="37610E41">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3E648A8A">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3、响应人必须按采购文件中填报的项目负责人进场，否则招标人将取消其成交资格。</w:t>
            </w:r>
          </w:p>
          <w:p w14:paraId="3C4CCEC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4、业绩时间以合同签订时间为准，单个合同包含多个业绩时，只按1个业绩计算。</w:t>
            </w:r>
          </w:p>
        </w:tc>
      </w:tr>
      <w:tr w14:paraId="6C81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6F8C518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3.3（2）</w:t>
            </w:r>
          </w:p>
        </w:tc>
        <w:tc>
          <w:tcPr>
            <w:tcW w:w="1461" w:type="dxa"/>
            <w:vMerge w:val="restart"/>
            <w:vAlign w:val="center"/>
          </w:tcPr>
          <w:p w14:paraId="62A8BDD7">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技术评分标准（40分）</w:t>
            </w:r>
          </w:p>
        </w:tc>
        <w:tc>
          <w:tcPr>
            <w:tcW w:w="1904" w:type="dxa"/>
            <w:vAlign w:val="center"/>
          </w:tcPr>
          <w:p w14:paraId="73E9DB05">
            <w:pPr>
              <w:widowControl/>
              <w:jc w:val="left"/>
              <w:rPr>
                <w:rFonts w:hint="eastAsia" w:ascii="宋体" w:hAnsi="宋体" w:cs="宋体"/>
                <w:kern w:val="0"/>
                <w:highlight w:val="none"/>
                <w:lang w:eastAsia="en-US"/>
              </w:rPr>
            </w:pPr>
            <w:r>
              <w:rPr>
                <w:rFonts w:ascii="宋体" w:hAnsi="宋体" w:cs="宋体"/>
                <w:kern w:val="0"/>
                <w:highlight w:val="none"/>
                <w:lang w:eastAsia="en-US"/>
              </w:rPr>
              <w:t>项目实施方案</w:t>
            </w:r>
          </w:p>
          <w:p w14:paraId="26832891">
            <w:pPr>
              <w:widowControl/>
              <w:jc w:val="left"/>
              <w:rPr>
                <w:rFonts w:hint="eastAsia" w:ascii="宋体" w:hAnsi="宋体" w:cs="宋体"/>
                <w:szCs w:val="21"/>
                <w:highlight w:val="none"/>
              </w:rPr>
            </w:pPr>
            <w:r>
              <w:rPr>
                <w:rFonts w:hint="eastAsia" w:ascii="宋体" w:hAnsi="宋体" w:cs="宋体"/>
                <w:kern w:val="0"/>
                <w:highlight w:val="none"/>
              </w:rPr>
              <w:t>（10分）</w:t>
            </w:r>
          </w:p>
        </w:tc>
        <w:tc>
          <w:tcPr>
            <w:tcW w:w="5576" w:type="dxa"/>
            <w:vAlign w:val="center"/>
          </w:tcPr>
          <w:p w14:paraId="05090B4B">
            <w:pPr>
              <w:widowControl/>
              <w:jc w:val="left"/>
              <w:rPr>
                <w:rFonts w:hint="eastAsia" w:ascii="宋体" w:hAnsi="宋体" w:cs="宋体"/>
                <w:szCs w:val="21"/>
                <w:highlight w:val="none"/>
              </w:rPr>
            </w:pPr>
            <w:r>
              <w:rPr>
                <w:rFonts w:ascii="宋体" w:hAnsi="宋体" w:cs="宋体"/>
                <w:kern w:val="0"/>
                <w:highlight w:val="none"/>
              </w:rPr>
              <w:t>根据</w:t>
            </w:r>
            <w:r>
              <w:rPr>
                <w:rFonts w:hint="eastAsia" w:ascii="宋体" w:hAnsi="宋体" w:cs="宋体"/>
                <w:kern w:val="0"/>
                <w:highlight w:val="none"/>
              </w:rPr>
              <w:t>响应人</w:t>
            </w:r>
            <w:r>
              <w:rPr>
                <w:rFonts w:ascii="宋体" w:hAnsi="宋体" w:cs="宋体"/>
                <w:kern w:val="0"/>
                <w:highlight w:val="none"/>
              </w:rPr>
              <w:t>针对本项目提供的实施方案进行评审。满足基本要求，得</w:t>
            </w:r>
            <w:r>
              <w:rPr>
                <w:rFonts w:hint="eastAsia" w:ascii="宋体" w:hAnsi="宋体" w:cs="宋体"/>
                <w:kern w:val="0"/>
                <w:highlight w:val="none"/>
              </w:rPr>
              <w:t>8</w:t>
            </w:r>
            <w:r>
              <w:rPr>
                <w:rFonts w:ascii="宋体" w:hAnsi="宋体" w:cs="宋体"/>
                <w:kern w:val="0"/>
                <w:highlight w:val="none"/>
              </w:rPr>
              <w:t>分，分别对实施方案的合理性、可行性、全面性、科学性、可行性进行评审，酌情加分，本项最高得</w:t>
            </w:r>
            <w:r>
              <w:rPr>
                <w:rFonts w:hint="eastAsia" w:ascii="宋体" w:hAnsi="宋体" w:cs="宋体"/>
                <w:kern w:val="0"/>
                <w:highlight w:val="none"/>
              </w:rPr>
              <w:t>10</w:t>
            </w:r>
            <w:r>
              <w:rPr>
                <w:rFonts w:ascii="宋体" w:hAnsi="宋体" w:cs="宋体"/>
                <w:kern w:val="0"/>
                <w:highlight w:val="none"/>
              </w:rPr>
              <w:t>分。</w:t>
            </w:r>
          </w:p>
        </w:tc>
      </w:tr>
      <w:tr w14:paraId="3654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2B4DE1BE">
            <w:pPr>
              <w:widowControl/>
              <w:adjustRightInd w:val="0"/>
              <w:snapToGrid w:val="0"/>
              <w:spacing w:line="360" w:lineRule="auto"/>
              <w:jc w:val="both"/>
              <w:rPr>
                <w:rFonts w:hint="eastAsia" w:ascii="宋体" w:hAnsi="宋体" w:cs="宋体"/>
                <w:szCs w:val="21"/>
                <w:highlight w:val="none"/>
              </w:rPr>
            </w:pPr>
          </w:p>
        </w:tc>
        <w:tc>
          <w:tcPr>
            <w:tcW w:w="1461" w:type="dxa"/>
            <w:vMerge w:val="continue"/>
            <w:vAlign w:val="center"/>
          </w:tcPr>
          <w:p w14:paraId="3532D602">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585CAFE6">
            <w:pPr>
              <w:widowControl/>
              <w:jc w:val="left"/>
              <w:rPr>
                <w:rFonts w:hint="eastAsia" w:ascii="宋体" w:hAnsi="宋体" w:cs="宋体"/>
                <w:szCs w:val="21"/>
                <w:highlight w:val="none"/>
              </w:rPr>
            </w:pPr>
            <w:r>
              <w:rPr>
                <w:rFonts w:ascii="宋体" w:hAnsi="宋体" w:cs="宋体"/>
                <w:kern w:val="0"/>
                <w:highlight w:val="none"/>
              </w:rPr>
              <w:t>对本服务项目工作步骤和程序的理解</w:t>
            </w:r>
            <w:r>
              <w:rPr>
                <w:rFonts w:hint="eastAsia" w:ascii="宋体" w:hAnsi="宋体" w:cs="宋体"/>
                <w:kern w:val="0"/>
                <w:highlight w:val="none"/>
              </w:rPr>
              <w:t>（10分）</w:t>
            </w:r>
          </w:p>
        </w:tc>
        <w:tc>
          <w:tcPr>
            <w:tcW w:w="5576" w:type="dxa"/>
            <w:vAlign w:val="center"/>
          </w:tcPr>
          <w:p w14:paraId="12B17B99">
            <w:pPr>
              <w:widowControl/>
              <w:jc w:val="left"/>
              <w:rPr>
                <w:rFonts w:hint="eastAsia" w:ascii="宋体" w:hAnsi="宋体" w:cs="宋体"/>
                <w:szCs w:val="21"/>
                <w:highlight w:val="none"/>
              </w:rPr>
            </w:pPr>
            <w:r>
              <w:rPr>
                <w:rFonts w:ascii="宋体" w:hAnsi="宋体" w:cs="宋体"/>
                <w:kern w:val="0"/>
                <w:highlight w:val="none"/>
              </w:rPr>
              <w:t>满足采购文件基本要求的，计</w:t>
            </w:r>
            <w:r>
              <w:rPr>
                <w:rFonts w:hint="eastAsia" w:ascii="宋体" w:hAnsi="宋体" w:cs="宋体"/>
                <w:kern w:val="0"/>
                <w:highlight w:val="none"/>
              </w:rPr>
              <w:t>8</w:t>
            </w:r>
            <w:r>
              <w:rPr>
                <w:rFonts w:ascii="宋体" w:hAnsi="宋体" w:cs="宋体"/>
                <w:kern w:val="0"/>
                <w:highlight w:val="none"/>
              </w:rPr>
              <w:t>分，从分析的合理性、科学性及对本项目实施的优化性各方面进行评审，酌情加分，本项最高得</w:t>
            </w:r>
            <w:r>
              <w:rPr>
                <w:rFonts w:hint="eastAsia" w:ascii="宋体" w:hAnsi="宋体" w:cs="宋体"/>
                <w:kern w:val="0"/>
                <w:highlight w:val="none"/>
              </w:rPr>
              <w:t>10</w:t>
            </w:r>
            <w:r>
              <w:rPr>
                <w:rFonts w:ascii="宋体" w:hAnsi="宋体" w:cs="宋体"/>
                <w:kern w:val="0"/>
                <w:highlight w:val="none"/>
              </w:rPr>
              <w:t>分。</w:t>
            </w:r>
          </w:p>
        </w:tc>
      </w:tr>
      <w:tr w14:paraId="037C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7854FDDB">
            <w:pPr>
              <w:widowControl/>
              <w:adjustRightInd w:val="0"/>
              <w:snapToGrid w:val="0"/>
              <w:spacing w:line="360" w:lineRule="auto"/>
              <w:jc w:val="both"/>
              <w:rPr>
                <w:rFonts w:hint="eastAsia" w:ascii="宋体" w:hAnsi="宋体" w:cs="宋体"/>
                <w:szCs w:val="21"/>
                <w:highlight w:val="none"/>
              </w:rPr>
            </w:pPr>
          </w:p>
        </w:tc>
        <w:tc>
          <w:tcPr>
            <w:tcW w:w="1461" w:type="dxa"/>
            <w:vMerge w:val="continue"/>
            <w:vAlign w:val="center"/>
          </w:tcPr>
          <w:p w14:paraId="2980A4EB">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58B45BB1">
            <w:pPr>
              <w:widowControl/>
              <w:jc w:val="left"/>
              <w:rPr>
                <w:rFonts w:hint="eastAsia" w:ascii="宋体" w:hAnsi="宋体" w:cs="宋体"/>
                <w:szCs w:val="21"/>
                <w:highlight w:val="none"/>
              </w:rPr>
            </w:pPr>
            <w:r>
              <w:rPr>
                <w:rFonts w:ascii="宋体" w:hAnsi="宋体" w:cs="宋体"/>
                <w:kern w:val="0"/>
                <w:highlight w:val="none"/>
              </w:rPr>
              <w:t>对本项目重点难点分析</w:t>
            </w:r>
            <w:r>
              <w:rPr>
                <w:rFonts w:hint="eastAsia" w:ascii="宋体" w:hAnsi="宋体" w:cs="宋体"/>
                <w:kern w:val="0"/>
                <w:highlight w:val="none"/>
              </w:rPr>
              <w:t>（10分）</w:t>
            </w:r>
          </w:p>
        </w:tc>
        <w:tc>
          <w:tcPr>
            <w:tcW w:w="5576" w:type="dxa"/>
            <w:vAlign w:val="center"/>
          </w:tcPr>
          <w:p w14:paraId="50BEF64A">
            <w:pPr>
              <w:widowControl/>
              <w:jc w:val="left"/>
              <w:rPr>
                <w:rFonts w:hint="eastAsia" w:ascii="宋体" w:hAnsi="宋体" w:cs="宋体"/>
                <w:szCs w:val="21"/>
                <w:highlight w:val="none"/>
              </w:rPr>
            </w:pPr>
            <w:r>
              <w:rPr>
                <w:rFonts w:ascii="宋体" w:hAnsi="宋体" w:cs="宋体"/>
                <w:kern w:val="0"/>
                <w:highlight w:val="none"/>
              </w:rPr>
              <w:t>满足采购文件基本要求的，计</w:t>
            </w:r>
            <w:r>
              <w:rPr>
                <w:rFonts w:hint="eastAsia" w:ascii="宋体" w:hAnsi="宋体" w:cs="宋体"/>
                <w:kern w:val="0"/>
                <w:highlight w:val="none"/>
              </w:rPr>
              <w:t>8</w:t>
            </w:r>
            <w:r>
              <w:rPr>
                <w:rFonts w:ascii="宋体" w:hAnsi="宋体" w:cs="宋体"/>
                <w:kern w:val="0"/>
                <w:highlight w:val="none"/>
              </w:rPr>
              <w:t>分，从分析的合理性、科学性及对本项目实施的优化性各方面进行评审，酌情加分，本项最高得</w:t>
            </w:r>
            <w:r>
              <w:rPr>
                <w:rFonts w:hint="eastAsia" w:ascii="宋体" w:hAnsi="宋体" w:cs="宋体"/>
                <w:kern w:val="0"/>
                <w:highlight w:val="none"/>
              </w:rPr>
              <w:t>10</w:t>
            </w:r>
            <w:r>
              <w:rPr>
                <w:rFonts w:ascii="宋体" w:hAnsi="宋体" w:cs="宋体"/>
                <w:kern w:val="0"/>
                <w:highlight w:val="none"/>
              </w:rPr>
              <w:t>分。</w:t>
            </w:r>
          </w:p>
        </w:tc>
      </w:tr>
      <w:tr w14:paraId="2F16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32F8290">
            <w:pPr>
              <w:widowControl/>
              <w:adjustRightInd w:val="0"/>
              <w:snapToGrid w:val="0"/>
              <w:spacing w:line="360" w:lineRule="auto"/>
              <w:jc w:val="both"/>
              <w:rPr>
                <w:rFonts w:hint="eastAsia" w:ascii="宋体" w:hAnsi="宋体" w:cs="宋体"/>
                <w:szCs w:val="21"/>
                <w:highlight w:val="none"/>
              </w:rPr>
            </w:pPr>
          </w:p>
        </w:tc>
        <w:tc>
          <w:tcPr>
            <w:tcW w:w="1461" w:type="dxa"/>
            <w:vMerge w:val="continue"/>
            <w:vAlign w:val="center"/>
          </w:tcPr>
          <w:p w14:paraId="70BFF880">
            <w:pPr>
              <w:widowControl/>
              <w:adjustRightInd w:val="0"/>
              <w:snapToGrid w:val="0"/>
              <w:spacing w:line="360" w:lineRule="auto"/>
              <w:jc w:val="both"/>
              <w:rPr>
                <w:rFonts w:hint="eastAsia" w:ascii="宋体" w:hAnsi="宋体" w:cs="宋体"/>
                <w:szCs w:val="21"/>
                <w:highlight w:val="none"/>
              </w:rPr>
            </w:pPr>
          </w:p>
        </w:tc>
        <w:tc>
          <w:tcPr>
            <w:tcW w:w="1904" w:type="dxa"/>
            <w:vAlign w:val="center"/>
          </w:tcPr>
          <w:p w14:paraId="7CAA9635">
            <w:pPr>
              <w:widowControl/>
              <w:jc w:val="left"/>
              <w:rPr>
                <w:rFonts w:hint="eastAsia" w:ascii="宋体" w:hAnsi="宋体" w:cs="宋体"/>
                <w:kern w:val="0"/>
                <w:highlight w:val="none"/>
              </w:rPr>
            </w:pPr>
            <w:r>
              <w:rPr>
                <w:rFonts w:ascii="宋体" w:hAnsi="宋体" w:cs="宋体"/>
                <w:kern w:val="0"/>
                <w:highlight w:val="none"/>
              </w:rPr>
              <w:t>质量保证措施、进度保证措施</w:t>
            </w:r>
          </w:p>
          <w:p w14:paraId="2B3845DA">
            <w:pPr>
              <w:widowControl/>
              <w:jc w:val="left"/>
              <w:rPr>
                <w:rFonts w:hint="eastAsia" w:ascii="宋体" w:hAnsi="宋体" w:cs="宋体"/>
                <w:szCs w:val="21"/>
                <w:highlight w:val="none"/>
              </w:rPr>
            </w:pPr>
            <w:r>
              <w:rPr>
                <w:rFonts w:hint="eastAsia" w:ascii="宋体" w:hAnsi="宋体" w:cs="宋体"/>
                <w:kern w:val="0"/>
                <w:highlight w:val="none"/>
              </w:rPr>
              <w:t>（10分）</w:t>
            </w:r>
          </w:p>
        </w:tc>
        <w:tc>
          <w:tcPr>
            <w:tcW w:w="5576" w:type="dxa"/>
            <w:vAlign w:val="center"/>
          </w:tcPr>
          <w:p w14:paraId="172998EA">
            <w:pPr>
              <w:widowControl/>
              <w:jc w:val="left"/>
              <w:rPr>
                <w:rFonts w:hint="eastAsia" w:ascii="宋体" w:hAnsi="宋体" w:cs="宋体"/>
                <w:szCs w:val="21"/>
                <w:highlight w:val="none"/>
              </w:rPr>
            </w:pPr>
            <w:r>
              <w:rPr>
                <w:rFonts w:ascii="宋体" w:hAnsi="宋体" w:cs="宋体"/>
                <w:kern w:val="0"/>
                <w:highlight w:val="none"/>
              </w:rPr>
              <w:t>满足采购文件基本要求的，计</w:t>
            </w:r>
            <w:r>
              <w:rPr>
                <w:rFonts w:hint="eastAsia" w:ascii="宋体" w:hAnsi="宋体" w:cs="宋体"/>
                <w:kern w:val="0"/>
                <w:highlight w:val="none"/>
              </w:rPr>
              <w:t>8</w:t>
            </w:r>
            <w:r>
              <w:rPr>
                <w:rFonts w:ascii="宋体" w:hAnsi="宋体" w:cs="宋体"/>
                <w:kern w:val="0"/>
                <w:highlight w:val="none"/>
              </w:rPr>
              <w:t>分，从分析的合理性、科学性及对本项目实施的优化性各方面进行评审，酌情加分，本项最高得</w:t>
            </w:r>
            <w:r>
              <w:rPr>
                <w:rFonts w:hint="eastAsia" w:ascii="宋体" w:hAnsi="宋体" w:cs="宋体"/>
                <w:kern w:val="0"/>
                <w:highlight w:val="none"/>
              </w:rPr>
              <w:t>10</w:t>
            </w:r>
            <w:r>
              <w:rPr>
                <w:rFonts w:ascii="宋体" w:hAnsi="宋体" w:cs="宋体"/>
                <w:kern w:val="0"/>
                <w:highlight w:val="none"/>
              </w:rPr>
              <w:t>分。</w:t>
            </w:r>
          </w:p>
        </w:tc>
      </w:tr>
      <w:tr w14:paraId="484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8FF0FDF">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3.3（3）</w:t>
            </w:r>
          </w:p>
        </w:tc>
        <w:tc>
          <w:tcPr>
            <w:tcW w:w="1461" w:type="dxa"/>
          </w:tcPr>
          <w:p w14:paraId="4541DD14">
            <w:pPr>
              <w:widowControl/>
              <w:adjustRightInd w:val="0"/>
              <w:snapToGrid w:val="0"/>
              <w:spacing w:line="360" w:lineRule="auto"/>
              <w:jc w:val="both"/>
              <w:rPr>
                <w:rFonts w:hint="eastAsia" w:ascii="宋体" w:hAnsi="宋体" w:eastAsia="宋体" w:cs="宋体"/>
                <w:szCs w:val="21"/>
                <w:highlight w:val="none"/>
                <w:lang w:eastAsia="zh-CN"/>
              </w:rPr>
            </w:pPr>
            <w:r>
              <w:rPr>
                <w:rFonts w:hint="eastAsia" w:ascii="宋体" w:hAnsi="宋体" w:cs="宋体"/>
                <w:szCs w:val="21"/>
                <w:highlight w:val="none"/>
              </w:rPr>
              <w:t>报价评分标准</w:t>
            </w:r>
            <w:r>
              <w:rPr>
                <w:rFonts w:hint="eastAsia" w:ascii="宋体" w:hAnsi="宋体" w:cs="宋体"/>
                <w:szCs w:val="21"/>
                <w:highlight w:val="none"/>
                <w:lang w:eastAsia="zh-CN"/>
              </w:rPr>
              <w:t>（</w:t>
            </w:r>
            <w:r>
              <w:rPr>
                <w:rFonts w:hint="eastAsia" w:ascii="宋体" w:hAnsi="宋体" w:cs="宋体"/>
                <w:szCs w:val="21"/>
                <w:highlight w:val="none"/>
                <w:lang w:val="en-US" w:eastAsia="zh-CN"/>
              </w:rPr>
              <w:t>20分</w:t>
            </w:r>
            <w:r>
              <w:rPr>
                <w:rFonts w:hint="eastAsia" w:ascii="宋体" w:hAnsi="宋体" w:cs="宋体"/>
                <w:szCs w:val="21"/>
                <w:highlight w:val="none"/>
                <w:lang w:eastAsia="zh-CN"/>
              </w:rPr>
              <w:t>）</w:t>
            </w:r>
          </w:p>
        </w:tc>
        <w:tc>
          <w:tcPr>
            <w:tcW w:w="7480" w:type="dxa"/>
            <w:gridSpan w:val="2"/>
          </w:tcPr>
          <w:p w14:paraId="40387372">
            <w:pPr>
              <w:widowControl/>
              <w:jc w:val="both"/>
              <w:rPr>
                <w:rFonts w:hint="eastAsia" w:ascii="宋体" w:hAnsi="宋体" w:cs="宋体"/>
                <w:kern w:val="0"/>
                <w:highlight w:val="none"/>
              </w:rPr>
            </w:pPr>
            <w:r>
              <w:rPr>
                <w:rFonts w:ascii="宋体" w:hAnsi="宋体" w:cs="宋体"/>
                <w:kern w:val="0"/>
                <w:highlight w:val="none"/>
              </w:rPr>
              <w:t>方法一:偏差率=(</w:t>
            </w:r>
            <w:r>
              <w:rPr>
                <w:rFonts w:hint="eastAsia" w:ascii="宋体" w:hAnsi="宋体" w:cs="宋体"/>
                <w:kern w:val="0"/>
                <w:highlight w:val="none"/>
              </w:rPr>
              <w:t>响应人</w:t>
            </w:r>
            <w:r>
              <w:rPr>
                <w:rFonts w:ascii="宋体" w:hAnsi="宋体" w:cs="宋体"/>
                <w:kern w:val="0"/>
                <w:highlight w:val="none"/>
              </w:rPr>
              <w:t>评审价格-评审基准价)/评审基准价×100%</w:t>
            </w:r>
          </w:p>
          <w:p w14:paraId="6A89C5BC">
            <w:pPr>
              <w:widowControl/>
              <w:jc w:val="both"/>
              <w:rPr>
                <w:rFonts w:hint="eastAsia" w:ascii="宋体" w:hAnsi="宋体" w:cs="宋体"/>
                <w:kern w:val="0"/>
                <w:highlight w:val="none"/>
              </w:rPr>
            </w:pPr>
            <w:r>
              <w:rPr>
                <w:rFonts w:ascii="宋体" w:hAnsi="宋体" w:cs="宋体"/>
                <w:kern w:val="0"/>
                <w:highlight w:val="none"/>
              </w:rPr>
              <w:t>①如果</w:t>
            </w:r>
            <w:r>
              <w:rPr>
                <w:rFonts w:hint="eastAsia" w:ascii="宋体" w:hAnsi="宋体" w:cs="宋体"/>
                <w:kern w:val="0"/>
                <w:highlight w:val="none"/>
              </w:rPr>
              <w:t>响应人</w:t>
            </w:r>
            <w:r>
              <w:rPr>
                <w:rFonts w:ascii="宋体" w:hAnsi="宋体" w:cs="宋体"/>
                <w:kern w:val="0"/>
                <w:highlight w:val="none"/>
              </w:rPr>
              <w:t>的评审价格&gt;评审基准价，则报价得分=F-偏差率×100×</w:t>
            </w:r>
            <w:r>
              <w:rPr>
                <w:rFonts w:hint="eastAsia" w:ascii="宋体" w:hAnsi="宋体" w:cs="宋体"/>
                <w:kern w:val="0"/>
                <w:highlight w:val="none"/>
              </w:rPr>
              <w:t>0.2</w:t>
            </w:r>
            <w:r>
              <w:rPr>
                <w:rFonts w:ascii="宋体" w:hAnsi="宋体" w:cs="宋体"/>
                <w:kern w:val="0"/>
                <w:highlight w:val="none"/>
              </w:rPr>
              <w:t>;</w:t>
            </w:r>
          </w:p>
          <w:p w14:paraId="74531552">
            <w:pPr>
              <w:widowControl/>
              <w:jc w:val="both"/>
              <w:rPr>
                <w:rFonts w:hint="eastAsia" w:ascii="宋体" w:hAnsi="宋体" w:cs="宋体"/>
                <w:kern w:val="0"/>
                <w:highlight w:val="none"/>
              </w:rPr>
            </w:pPr>
            <w:r>
              <w:rPr>
                <w:rFonts w:ascii="宋体" w:hAnsi="宋体" w:cs="宋体"/>
                <w:kern w:val="0"/>
                <w:highlight w:val="none"/>
              </w:rPr>
              <w:t>②如果</w:t>
            </w:r>
            <w:r>
              <w:rPr>
                <w:rFonts w:hint="eastAsia" w:ascii="宋体" w:hAnsi="宋体" w:cs="宋体"/>
                <w:kern w:val="0"/>
                <w:highlight w:val="none"/>
              </w:rPr>
              <w:t>响应人</w:t>
            </w:r>
            <w:r>
              <w:rPr>
                <w:rFonts w:ascii="宋体" w:hAnsi="宋体" w:cs="宋体"/>
                <w:kern w:val="0"/>
                <w:highlight w:val="none"/>
              </w:rPr>
              <w:t>的评审价格≤评审基准价，则报价得分=F+偏差率×100×0.</w:t>
            </w:r>
            <w:r>
              <w:rPr>
                <w:rFonts w:hint="eastAsia" w:ascii="宋体" w:hAnsi="宋体" w:cs="宋体"/>
                <w:kern w:val="0"/>
                <w:highlight w:val="none"/>
              </w:rPr>
              <w:t>1</w:t>
            </w:r>
            <w:r>
              <w:rPr>
                <w:rFonts w:ascii="宋体" w:hAnsi="宋体" w:cs="宋体"/>
                <w:kern w:val="0"/>
                <w:highlight w:val="none"/>
              </w:rPr>
              <w:t>.</w:t>
            </w:r>
          </w:p>
          <w:p w14:paraId="7FE4A485">
            <w:pPr>
              <w:widowControl/>
              <w:jc w:val="center"/>
              <w:rPr>
                <w:rFonts w:hint="eastAsia" w:ascii="宋体" w:hAnsi="宋体" w:cs="宋体"/>
                <w:kern w:val="0"/>
                <w:highlight w:val="none"/>
              </w:rPr>
            </w:pPr>
            <w:r>
              <w:rPr>
                <w:rFonts w:ascii="宋体" w:hAnsi="宋体" w:cs="宋体"/>
                <w:kern w:val="0"/>
                <w:highlight w:val="none"/>
              </w:rPr>
              <w:t>其中F为报价所占的分值；E1是评审价格每高于评审基准价一个百分点的扣分值、E2是评审价格每低于评审基准价一个百分点的扣分值，E1可大于或等于E2。</w:t>
            </w:r>
          </w:p>
          <w:p w14:paraId="1C29DCD1">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F=20；E1=0.2；E2=0.1。</w:t>
            </w:r>
          </w:p>
        </w:tc>
      </w:tr>
      <w:tr w14:paraId="2383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4F503C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3.3（4）</w:t>
            </w:r>
          </w:p>
        </w:tc>
        <w:tc>
          <w:tcPr>
            <w:tcW w:w="1461" w:type="dxa"/>
          </w:tcPr>
          <w:p w14:paraId="5E5B0B34">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其他因素评分标准</w:t>
            </w:r>
          </w:p>
        </w:tc>
        <w:tc>
          <w:tcPr>
            <w:tcW w:w="1904" w:type="dxa"/>
          </w:tcPr>
          <w:p w14:paraId="2133B6C6">
            <w:pPr>
              <w:widowControl/>
              <w:adjustRightInd w:val="0"/>
              <w:snapToGrid w:val="0"/>
              <w:spacing w:line="360" w:lineRule="auto"/>
              <w:jc w:val="both"/>
              <w:rPr>
                <w:rFonts w:hint="eastAsia" w:ascii="宋体" w:hAnsi="宋体" w:cs="宋体"/>
                <w:szCs w:val="21"/>
                <w:highlight w:val="none"/>
              </w:rPr>
            </w:pPr>
          </w:p>
        </w:tc>
        <w:tc>
          <w:tcPr>
            <w:tcW w:w="5576" w:type="dxa"/>
          </w:tcPr>
          <w:p w14:paraId="75CBD0F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w:t>
            </w:r>
          </w:p>
        </w:tc>
      </w:tr>
      <w:tr w14:paraId="00FA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32DCF498">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条款号</w:t>
            </w:r>
          </w:p>
        </w:tc>
        <w:tc>
          <w:tcPr>
            <w:tcW w:w="1904" w:type="dxa"/>
          </w:tcPr>
          <w:p w14:paraId="3BE759E3">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条款内容</w:t>
            </w:r>
          </w:p>
        </w:tc>
        <w:tc>
          <w:tcPr>
            <w:tcW w:w="5576" w:type="dxa"/>
          </w:tcPr>
          <w:p w14:paraId="3B047E89">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编列内容</w:t>
            </w:r>
          </w:p>
        </w:tc>
      </w:tr>
      <w:tr w14:paraId="76CC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96ECD7E">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3.6</w:t>
            </w:r>
          </w:p>
        </w:tc>
        <w:tc>
          <w:tcPr>
            <w:tcW w:w="1904" w:type="dxa"/>
          </w:tcPr>
          <w:p w14:paraId="1EA27A3B">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供应商并列时确定供应商优先顺序的规则</w:t>
            </w:r>
          </w:p>
        </w:tc>
        <w:tc>
          <w:tcPr>
            <w:tcW w:w="5576" w:type="dxa"/>
          </w:tcPr>
          <w:p w14:paraId="0A42133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□由评审小组投票决定</w:t>
            </w:r>
          </w:p>
          <w:p w14:paraId="18D85862">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□由评审小组抽签决定</w:t>
            </w:r>
          </w:p>
          <w:p w14:paraId="6546223C">
            <w:pPr>
              <w:widowControl/>
              <w:adjustRightInd w:val="0"/>
              <w:snapToGrid w:val="0"/>
              <w:spacing w:line="360" w:lineRule="auto"/>
              <w:jc w:val="both"/>
              <w:rPr>
                <w:rFonts w:hint="eastAsia" w:ascii="宋体" w:hAnsi="宋体" w:cs="宋体"/>
                <w:szCs w:val="21"/>
                <w:highlight w:val="none"/>
              </w:rPr>
            </w:pPr>
            <w:r>
              <w:rPr>
                <w:rFonts w:hint="eastAsia" w:ascii="宋体" w:hAnsi="宋体" w:cs="宋体"/>
                <w:szCs w:val="21"/>
                <w:highlight w:val="none"/>
              </w:rPr>
              <w:t>☑其他方法：评审得分相同的，按照投标报价由低到高的顺序推荐。评审得分一致，且投标报价相同的，随机抽取确定排序。</w:t>
            </w:r>
          </w:p>
        </w:tc>
      </w:tr>
    </w:tbl>
    <w:p w14:paraId="3DC8C8D6">
      <w:pPr>
        <w:spacing w:line="6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1DA63815">
      <w:pPr>
        <w:adjustRightInd w:val="0"/>
        <w:snapToGrid w:val="0"/>
        <w:spacing w:line="600"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t>评审办法正文</w:t>
      </w:r>
    </w:p>
    <w:p w14:paraId="31325B2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1评审方法(最低价法)</w:t>
      </w:r>
    </w:p>
    <w:p w14:paraId="57E5B546">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37C2F59A">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1评审方法(综合评分法)</w:t>
      </w:r>
    </w:p>
    <w:p w14:paraId="49335041">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本次评审采用综合评分法。评审小组对满足采购文件实质性要求的响应文件，按照本章第3条规定的评分标准进行打分，并按得分由高到低的顺序推荐候选成交供应商。</w:t>
      </w:r>
    </w:p>
    <w:p w14:paraId="10EE45D6">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1评审方法(投票法)</w:t>
      </w:r>
    </w:p>
    <w:p w14:paraId="3800A3C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本次评审采用投票法。评审小组对满足采购文件实质性要求的响应文件进行综合评价后，按照投票确定的供应商优先顺序推荐候选成交供应商。</w:t>
      </w:r>
    </w:p>
    <w:p w14:paraId="72E38F93">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 xml:space="preserve"> (注：上述三种评审方法，采购人应选择其中一种评审方法作为本项目的评审方法，并在评审办法前附表中载明。投票法仅适用于方案、创意、设计等无法量化比较的采购项目)</w:t>
      </w:r>
    </w:p>
    <w:p w14:paraId="19E41C82">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2初步评审标准和程序</w:t>
      </w:r>
    </w:p>
    <w:p w14:paraId="47E2A353">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2.1初步评审标准</w:t>
      </w:r>
    </w:p>
    <w:p w14:paraId="712F072E">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2.1.1形式评审标准：见评审办法前附表。</w:t>
      </w:r>
    </w:p>
    <w:p w14:paraId="00B60B6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2.1.2资格评审标准：见评审办法前附表。</w:t>
      </w:r>
    </w:p>
    <w:p w14:paraId="3E3129E2">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2.1.3响应性评审标准：见评审办法前附表。</w:t>
      </w:r>
    </w:p>
    <w:p w14:paraId="26A6940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2.2初步评审程序</w:t>
      </w:r>
    </w:p>
    <w:p w14:paraId="45E8FBC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48028DC4">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2.2.2除评审办法前附表另有规定外，评审价格为供应商在响应函中填报的大写含税价格。</w:t>
      </w:r>
    </w:p>
    <w:p w14:paraId="781B1DE2">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评审价格若超过最高限价(如有)，其响应文件将被视为无效。</w:t>
      </w:r>
    </w:p>
    <w:p w14:paraId="09474010">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7D55249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30641C23">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响应报价有算术错误及其他错误的，评审小组按以下原则要求供应商对响应报价进行修正，并要求供应商书面澄清确认。供应商拒不澄清确认的，其响应文件将被视为无效：</w:t>
      </w:r>
    </w:p>
    <w:p w14:paraId="5D816078">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(1)大写金额与小写金额不一致的，以大写金额为准；</w:t>
      </w:r>
    </w:p>
    <w:p w14:paraId="47389325">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(2)总价金额与单价金额不一致的，以单价金额为准，但单价金额小数点有明显错误的除外；</w:t>
      </w:r>
    </w:p>
    <w:p w14:paraId="0A6EAF0D">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(3)报价表合计报价与分项报价的合计不一致的，以各分项报价的合价累计数为准；</w:t>
      </w:r>
    </w:p>
    <w:p w14:paraId="0B090F89">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(4)如果分项报价中存在缺漏项，且缺漏项内容不属于实质性偏差的，则视为缺漏项内容的价格已包含在其他分项报价之中。</w:t>
      </w:r>
    </w:p>
    <w:p w14:paraId="3B143C7A">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23032D08">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2.2.4供应商有串通，弄虚作假、行贿等违法行为的，其响应文件将被视为无效。</w:t>
      </w:r>
    </w:p>
    <w:p w14:paraId="65AF343A">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2.2.5特殊情形处理</w:t>
      </w:r>
    </w:p>
    <w:p w14:paraId="308FD7C5">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10D55011">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56F52630">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3详细评审标准和程序(最低价法)</w:t>
      </w:r>
    </w:p>
    <w:p w14:paraId="40B8A48B">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评审小组对评审价格进行比较后，按照评审价格由低到高的顺序对供应商排序。供应商评审价格相等时，按照评审办法前附表的规定确定供应商优先顺序。</w:t>
      </w:r>
    </w:p>
    <w:p w14:paraId="74A61141">
      <w:pPr>
        <w:adjustRightInd w:val="0"/>
        <w:snapToGrid w:val="0"/>
        <w:spacing w:line="360" w:lineRule="auto"/>
        <w:rPr>
          <w:rFonts w:hint="eastAsia" w:ascii="宋体" w:hAnsi="宋体" w:cs="宋体"/>
          <w:sz w:val="24"/>
          <w:highlight w:val="none"/>
        </w:rPr>
      </w:pPr>
      <w:r>
        <w:rPr>
          <w:rFonts w:hint="eastAsia" w:ascii="宋体" w:hAnsi="宋体" w:cs="宋体"/>
          <w:b/>
          <w:bCs/>
          <w:sz w:val="24"/>
          <w:highlight w:val="none"/>
        </w:rPr>
        <w:t>3详细评审标准和程序(综合评分法)</w:t>
      </w:r>
    </w:p>
    <w:p w14:paraId="57789B4E">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3.1分值构成</w:t>
      </w:r>
    </w:p>
    <w:p w14:paraId="2EB0D102">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(1)商务部分：见评审办法前附表；</w:t>
      </w:r>
    </w:p>
    <w:p w14:paraId="7D5AB759">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(2)技术部分：见评审办法前附表；</w:t>
      </w:r>
    </w:p>
    <w:p w14:paraId="28C11FA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(3)报价：见评审办法前附表；</w:t>
      </w:r>
    </w:p>
    <w:p w14:paraId="3012FAD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(4)其他评分因素：见评审办法前附表。</w:t>
      </w:r>
    </w:p>
    <w:p w14:paraId="4C2C235C">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3.2评审基准价计算</w:t>
      </w:r>
    </w:p>
    <w:p w14:paraId="5CFCB948">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(1)评审价格：评审价格为按照本章第2.2.2项规定确定的价格；</w:t>
      </w:r>
    </w:p>
    <w:p w14:paraId="09E16CAB">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(2)评审基准价计算方法：</w:t>
      </w:r>
    </w:p>
    <w:p w14:paraId="5835CB7C">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方法一：评审基准价=评审价格平均值(即通过初步评审的所有供应商评审价格的算术平均值)。</w:t>
      </w:r>
    </w:p>
    <w:p w14:paraId="191FE09A">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方法二：评审基准价=评审价格平均值(即通过初步评审的所有供应商评审价格的算术平均值)×评审基准价系数，评审基准价系数的取值见评审办法前附表。</w:t>
      </w:r>
    </w:p>
    <w:p w14:paraId="1EE21D9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方法三：评审基准价=通过初步评审的所有供应商的最低评审价格。</w:t>
      </w:r>
    </w:p>
    <w:p w14:paraId="755B0F93">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方法四：采购人确定的其他方法。</w:t>
      </w:r>
    </w:p>
    <w:p w14:paraId="43365EE5">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评审基准价计算方法的选择见评审办法前附表。</w:t>
      </w:r>
    </w:p>
    <w:p w14:paraId="5FD0DBF9">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3.3评分标准</w:t>
      </w:r>
    </w:p>
    <w:p w14:paraId="17350A02">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(1)商务评分标准：见评审办法前附表；</w:t>
      </w:r>
    </w:p>
    <w:p w14:paraId="54D51C75">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(2)技术评分标准：见评审办法前附表；</w:t>
      </w:r>
    </w:p>
    <w:p w14:paraId="35343429">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(3)报价评分标准：</w:t>
      </w:r>
    </w:p>
    <w:p w14:paraId="7BF39AA6">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报价得分可采用如下方法计算：</w:t>
      </w:r>
    </w:p>
    <w:p w14:paraId="2465D91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方法一：偏差率=(供应商评审价格-评审基准价)/评审基准价×100%</w:t>
      </w:r>
    </w:p>
    <w:p w14:paraId="4E97C421">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①如果供应商的评审价格&gt;评审基准价，则报价得分=F-偏差率×100×E</w:t>
      </w:r>
      <w:r>
        <w:rPr>
          <w:rFonts w:hint="eastAsia" w:ascii="宋体" w:hAnsi="宋体" w:cs="宋体"/>
          <w:sz w:val="24"/>
          <w:highlight w:val="none"/>
          <w:vertAlign w:val="subscript"/>
        </w:rPr>
        <w:t>1</w:t>
      </w:r>
      <w:r>
        <w:rPr>
          <w:rFonts w:hint="eastAsia" w:ascii="宋体" w:hAnsi="宋体" w:cs="宋体"/>
          <w:sz w:val="24"/>
          <w:highlight w:val="none"/>
        </w:rPr>
        <w:t>；</w:t>
      </w:r>
    </w:p>
    <w:p w14:paraId="1002E63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②如果供应商的评审价格≤评审基准价，则报价得分=F+偏差率×100×E</w:t>
      </w:r>
      <w:r>
        <w:rPr>
          <w:rFonts w:hint="eastAsia" w:ascii="宋体" w:hAnsi="宋体" w:cs="宋体"/>
          <w:sz w:val="24"/>
          <w:highlight w:val="none"/>
          <w:vertAlign w:val="subscript"/>
        </w:rPr>
        <w:t>2</w:t>
      </w:r>
      <w:r>
        <w:rPr>
          <w:rFonts w:hint="eastAsia" w:ascii="宋体" w:hAnsi="宋体" w:cs="宋体"/>
          <w:sz w:val="24"/>
          <w:highlight w:val="none"/>
        </w:rPr>
        <w:t>.</w:t>
      </w:r>
    </w:p>
    <w:p w14:paraId="4F686FD0">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其中F为本章前附表第3.1(3)项规定的报价所占的分值；E</w:t>
      </w:r>
      <w:r>
        <w:rPr>
          <w:rFonts w:hint="eastAsia" w:ascii="宋体" w:hAnsi="宋体" w:cs="宋体"/>
          <w:sz w:val="24"/>
          <w:highlight w:val="none"/>
          <w:vertAlign w:val="subscript"/>
        </w:rPr>
        <w:t>1</w:t>
      </w:r>
      <w:r>
        <w:rPr>
          <w:rFonts w:hint="eastAsia" w:ascii="宋体" w:hAnsi="宋体" w:cs="宋体"/>
          <w:sz w:val="24"/>
          <w:highlight w:val="none"/>
        </w:rPr>
        <w:t>是评审价格每高于评审基准价一个百分点的扣分值、E</w:t>
      </w:r>
      <w:r>
        <w:rPr>
          <w:rFonts w:hint="eastAsia" w:ascii="宋体" w:hAnsi="宋体" w:cs="宋体"/>
          <w:sz w:val="24"/>
          <w:highlight w:val="none"/>
          <w:vertAlign w:val="subscript"/>
        </w:rPr>
        <w:t>2</w:t>
      </w:r>
      <w:r>
        <w:rPr>
          <w:rFonts w:hint="eastAsia" w:ascii="宋体" w:hAnsi="宋体" w:cs="宋体"/>
          <w:sz w:val="24"/>
          <w:highlight w:val="none"/>
        </w:rPr>
        <w:t>是评审价格每低于评审基准价一个百分点的扣分值，E</w:t>
      </w:r>
      <w:r>
        <w:rPr>
          <w:rFonts w:hint="eastAsia" w:ascii="宋体" w:hAnsi="宋体" w:cs="宋体"/>
          <w:sz w:val="24"/>
          <w:highlight w:val="none"/>
          <w:vertAlign w:val="subscript"/>
        </w:rPr>
        <w:t>1</w:t>
      </w:r>
      <w:r>
        <w:rPr>
          <w:rFonts w:hint="eastAsia" w:ascii="宋体" w:hAnsi="宋体" w:cs="宋体"/>
          <w:sz w:val="24"/>
          <w:highlight w:val="none"/>
        </w:rPr>
        <w:t>可大于或等于E</w:t>
      </w:r>
      <w:r>
        <w:rPr>
          <w:rFonts w:hint="eastAsia" w:ascii="宋体" w:hAnsi="宋体" w:cs="宋体"/>
          <w:sz w:val="24"/>
          <w:highlight w:val="none"/>
          <w:vertAlign w:val="subscript"/>
        </w:rPr>
        <w:t>2</w:t>
      </w:r>
      <w:r>
        <w:rPr>
          <w:rFonts w:hint="eastAsia" w:ascii="宋体" w:hAnsi="宋体" w:cs="宋体"/>
          <w:sz w:val="24"/>
          <w:highlight w:val="none"/>
        </w:rPr>
        <w:t>。E</w:t>
      </w:r>
      <w:r>
        <w:rPr>
          <w:rFonts w:hint="eastAsia" w:ascii="宋体" w:hAnsi="宋体" w:cs="宋体"/>
          <w:sz w:val="24"/>
          <w:highlight w:val="none"/>
          <w:vertAlign w:val="subscript"/>
        </w:rPr>
        <w:t>1</w:t>
      </w:r>
      <w:r>
        <w:rPr>
          <w:rFonts w:hint="eastAsia" w:ascii="宋体" w:hAnsi="宋体" w:cs="宋体"/>
          <w:sz w:val="24"/>
          <w:highlight w:val="none"/>
        </w:rPr>
        <w:t>、E</w:t>
      </w:r>
      <w:r>
        <w:rPr>
          <w:rFonts w:hint="eastAsia" w:ascii="宋体" w:hAnsi="宋体" w:cs="宋体"/>
          <w:sz w:val="24"/>
          <w:highlight w:val="none"/>
          <w:vertAlign w:val="subscript"/>
        </w:rPr>
        <w:t>2</w:t>
      </w:r>
      <w:r>
        <w:rPr>
          <w:rFonts w:hint="eastAsia" w:ascii="宋体" w:hAnsi="宋体" w:cs="宋体"/>
          <w:sz w:val="24"/>
          <w:highlight w:val="none"/>
        </w:rPr>
        <w:t>的取值见评审办法前附表。</w:t>
      </w:r>
    </w:p>
    <w:p w14:paraId="5527C6F7">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方法二：报价得分(通过初步评审的所有供应商的最低评审价格/供应商评审价格)×F，F为本章前附表第3.1(3)项规定的报价所占的分值。</w:t>
      </w:r>
    </w:p>
    <w:p w14:paraId="23ACFAEC">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方法三：采购人确定的其他方法。</w:t>
      </w:r>
    </w:p>
    <w:p w14:paraId="480AA918">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报价得分计算方法见评审办法前附表。</w:t>
      </w:r>
    </w:p>
    <w:p w14:paraId="2D06A692">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(4)其他因素评分标准：见评审办法前附表。</w:t>
      </w:r>
    </w:p>
    <w:p w14:paraId="6AE99008">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3.4评分</w:t>
      </w:r>
    </w:p>
    <w:p w14:paraId="0219E141">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7F335443">
      <w:pPr>
        <w:adjustRightInd w:val="0"/>
        <w:snapToGrid w:val="0"/>
        <w:spacing w:line="360" w:lineRule="auto"/>
        <w:rPr>
          <w:rFonts w:hint="eastAsia" w:ascii="宋体" w:hAnsi="宋体" w:cs="宋体"/>
          <w:sz w:val="24"/>
          <w:highlight w:val="none"/>
        </w:rPr>
      </w:pPr>
      <w:r>
        <w:rPr>
          <w:rFonts w:hint="eastAsia" w:ascii="宋体" w:hAnsi="宋体" w:cs="宋体"/>
          <w:b/>
          <w:bCs/>
          <w:sz w:val="24"/>
          <w:highlight w:val="none"/>
        </w:rPr>
        <w:t>3.5汇总</w:t>
      </w:r>
    </w:p>
    <w:p w14:paraId="4B2921D9">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评审小组汇总每个成员对供应商的评分总分，每个供应商的评分总分的算术平均值为供应商最终得分。</w:t>
      </w:r>
    </w:p>
    <w:p w14:paraId="4FA2D6F5">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3.6排序</w:t>
      </w:r>
    </w:p>
    <w:p w14:paraId="79C8A8D0">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24E35A36">
      <w:pPr>
        <w:adjustRightInd w:val="0"/>
        <w:snapToGrid w:val="0"/>
        <w:spacing w:line="360" w:lineRule="auto"/>
        <w:ind w:left="241" w:hanging="241" w:hangingChars="100"/>
        <w:rPr>
          <w:rFonts w:hint="eastAsia" w:ascii="宋体" w:hAnsi="宋体" w:cs="宋体"/>
          <w:b/>
          <w:bCs/>
          <w:sz w:val="24"/>
          <w:highlight w:val="none"/>
        </w:rPr>
      </w:pPr>
      <w:r>
        <w:rPr>
          <w:rFonts w:hint="eastAsia" w:ascii="宋体" w:hAnsi="宋体" w:cs="宋体"/>
          <w:b/>
          <w:bCs/>
          <w:sz w:val="24"/>
          <w:highlight w:val="none"/>
        </w:rPr>
        <w:t>3.7特殊情形处理</w:t>
      </w:r>
    </w:p>
    <w:p w14:paraId="19D5E03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当通过初步评审的供应商数量未超过采购公告第1.6款规定的成交供应商数量、评审小组认为供应商的响应报价合理且物有所值时，不再进行详细评审，直接推荐上述供应商为候选成交供应商。</w:t>
      </w:r>
    </w:p>
    <w:p w14:paraId="7AB67551">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4评审结果</w:t>
      </w:r>
    </w:p>
    <w:p w14:paraId="29B679BB">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4.1提交书面评审报告</w:t>
      </w:r>
    </w:p>
    <w:p w14:paraId="587F388C">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评审小组完成评审后，应当向采购人提交书面评审报告。</w:t>
      </w:r>
    </w:p>
    <w:p w14:paraId="3F7E1F63">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4.2推荐候选成交供应商排序要求及数量</w:t>
      </w:r>
    </w:p>
    <w:p w14:paraId="18CC1005">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评审小组应在书面评审报告中按照供应商排列的优先顺序向采购人推荐候选成交供应商(排序或不排序)。候选成交供应商的排序要求及数量见第二章“供应商须知”。</w:t>
      </w:r>
    </w:p>
    <w:p w14:paraId="11C95E28">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5直接转换采购方式评审程序</w:t>
      </w:r>
    </w:p>
    <w:p w14:paraId="70D8BA7D">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5.1初步评审</w:t>
      </w:r>
    </w:p>
    <w:p w14:paraId="5355FE6E">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0BA67C8E">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23F77B5D">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5.1.3只有形式评审和资格评审合格且实质性响应采购文件要求的供应商才可通过初步评审。经供应商澄清、说明和补正后仍未通过初步评审的响应文件将被视为无效，评审小组应告知有关供应商。</w:t>
      </w:r>
    </w:p>
    <w:p w14:paraId="2E910C00">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5.1.4当通过初步评审的供应商数量大于采购公告第1.6款规定的成交供应商数量时，可以改为参照谈判方式继续评审选择成交供应商。</w:t>
      </w:r>
    </w:p>
    <w:p w14:paraId="54B5F0F8">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当通过初步评审的供应商数量等于采购公告采购邀请书第1.6款规定的成交供应商数量时，可以改为参照直接采购方式继续评审选择成交供应商。</w:t>
      </w:r>
    </w:p>
    <w:p w14:paraId="0A9C24CF">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6D174A3B">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初步评审后，当所有响应文件均无效时，应重新组织采购。</w:t>
      </w:r>
    </w:p>
    <w:p w14:paraId="1B78E784">
      <w:p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5.2转换采购方式</w:t>
      </w:r>
    </w:p>
    <w:p w14:paraId="02E43CF9">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5.2.1参照磋商采购方式评审</w:t>
      </w:r>
    </w:p>
    <w:p w14:paraId="24708FC9">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(1)磋商。</w:t>
      </w:r>
    </w:p>
    <w:p w14:paraId="4412418C">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评审小组应按照响应人递交响应文件的顺序或评审小组抽签确定的顺序与通过初步评审的响应人逐一进行磋商。评审小组可以根据磋商情况决定磋商轮次，并给于所有参加磋商的响应人平等的磋商机会。在磋商过程中，评审小组可根据磋商情况修改和补充采购文件中的非实质性内容，但不得改变评审标准或可能影响初步评审结果的内容。</w:t>
      </w:r>
    </w:p>
    <w:p w14:paraId="5181E8DC">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2)响应人的法定代表人(单位负责人)或其授权的代理人应参加磋商。响应人的法定代表人(单位负责人)或其授权的代理人在磋商中作出的承诺构成响应文件的组成部分。</w:t>
      </w:r>
    </w:p>
    <w:p w14:paraId="77500D43">
      <w:pPr>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3)磋商结束后，评审小组将要求所有参加磋商的响应人在规定时间内递交最终报价。最终报价应由响应人的法定代表人(单位负责人)或其授权的代理人签字或单位章。最终报价是响应人响应文件的组成部分。</w:t>
      </w:r>
    </w:p>
    <w:p w14:paraId="26C4F76E">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(2)公开开启最终报价。评审小组将在递交最终报价的截止时间公开开启最终报价，响应人未派代表参加开启会议的，视为默认开启结果。</w:t>
      </w:r>
    </w:p>
    <w:p w14:paraId="31C97E86">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(3)详细评审。</w:t>
      </w:r>
    </w:p>
    <w:p w14:paraId="24A7172E">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将按本章第3条规定对响应文件及其最终报价进行详细评审。采用综合评分法的，评审小组有权对本章第3.2项规定的评审基准价和第3.3(3)目规定的报价评分标准进行调整，但评审小组应在磋商开始前向响应人公布，未公布的，视为评审基准价和报价评分标准不作调整;详细评审标准中除报价评审标准外的其他评审标准不作调整。</w:t>
      </w:r>
    </w:p>
    <w:p w14:paraId="6EB717D3">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通过磋商后，评审小组认为所有响应人的最终报价仍然不合理的，应向采购人提出终止采购建议。</w:t>
      </w:r>
    </w:p>
    <w:p w14:paraId="3B82BC02">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(4)编写评审报告。</w:t>
      </w:r>
    </w:p>
    <w:p w14:paraId="0754D9AE">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评审小组按本章第4.2款规定推荐候选成交响应人或按本章第5.2.1(3)规定提出终止采购建议，并向采购人提交书面评审报告。</w:t>
      </w:r>
    </w:p>
    <w:p w14:paraId="22D3D463">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5.2.2参照直接采购方式评审</w:t>
      </w:r>
    </w:p>
    <w:p w14:paraId="53DD2945">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(1)磋商。</w:t>
      </w:r>
    </w:p>
    <w:p w14:paraId="1A70F8D1">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所有成员集中与响应人进行磋商，响应人法定代表人（单位负责人）或其授权的代理人应参加磋商。在磋商过程中，评审小组可根据磋商情况修改和补充采购文件中的非实质性内容，但不得改变可能影响初步评审结果的内容。响应人的法定代表人(单位负责人)成其授权的代理人在磋商中作出的承诺构成响应文件的组成部分。评审小组可根据需要，安排多轮磋商。</w:t>
      </w:r>
    </w:p>
    <w:p w14:paraId="3E43B52D">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(2)详细评审。</w:t>
      </w:r>
    </w:p>
    <w:p w14:paraId="61C715B1">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评审小组通过对采购成本、供应能力、风险管控、采购目标等的分析，对响应人拟提供标的的技术、商务进行物有所值综合评价。</w:t>
      </w:r>
    </w:p>
    <w:p w14:paraId="62506F06">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(3)编写评审报告。</w:t>
      </w:r>
    </w:p>
    <w:p w14:paraId="1D9743E5">
      <w:pPr>
        <w:tabs>
          <w:tab w:val="left" w:pos="312"/>
        </w:tabs>
        <w:adjustRightInd w:val="0"/>
        <w:snapToGrid w:val="0"/>
        <w:spacing w:line="360" w:lineRule="auto"/>
        <w:ind w:firstLine="453" w:firstLineChars="189"/>
        <w:rPr>
          <w:rFonts w:hint="eastAsia" w:ascii="宋体" w:hAnsi="宋体" w:cs="宋体"/>
          <w:sz w:val="24"/>
          <w:highlight w:val="none"/>
        </w:rPr>
      </w:pPr>
      <w:r>
        <w:rPr>
          <w:rFonts w:hint="eastAsia" w:ascii="宋体" w:hAnsi="宋体" w:cs="宋体"/>
          <w:sz w:val="24"/>
          <w:highlight w:val="none"/>
        </w:rPr>
        <w:t xml:space="preserve">评审小组根据预期的磋商目标综合磋商纪要编写评审报告，推荐候选成交响应人或提出磋商终止建议。 </w:t>
      </w:r>
    </w:p>
    <w:p w14:paraId="115EEC29">
      <w:pPr>
        <w:spacing w:line="600" w:lineRule="exact"/>
        <w:rPr>
          <w:rFonts w:hint="eastAsia" w:ascii="宋体" w:hAnsi="宋体" w:cs="宋体"/>
          <w:sz w:val="30"/>
          <w:szCs w:val="30"/>
          <w:highlight w:val="none"/>
        </w:rPr>
      </w:pPr>
      <w:r>
        <w:rPr>
          <w:rFonts w:hint="eastAsia" w:ascii="宋体" w:hAnsi="宋体" w:cs="宋体"/>
          <w:sz w:val="30"/>
          <w:szCs w:val="30"/>
          <w:highlight w:val="none"/>
        </w:rPr>
        <w:br w:type="page"/>
      </w:r>
    </w:p>
    <w:p w14:paraId="2FF7837E">
      <w:pPr>
        <w:pStyle w:val="152"/>
        <w:spacing w:line="600" w:lineRule="exact"/>
        <w:ind w:left="420" w:firstLine="0" w:firstLineChars="0"/>
        <w:rPr>
          <w:rFonts w:hint="eastAsia" w:ascii="黑体" w:hAnsi="黑体" w:eastAsia="黑体" w:cs="仿宋"/>
          <w:b/>
          <w:sz w:val="44"/>
          <w:szCs w:val="44"/>
          <w:highlight w:val="none"/>
        </w:rPr>
      </w:pPr>
    </w:p>
    <w:p w14:paraId="4BC37A9C">
      <w:pPr>
        <w:pStyle w:val="152"/>
        <w:spacing w:line="600" w:lineRule="exact"/>
        <w:ind w:left="420" w:firstLine="0" w:firstLineChars="0"/>
        <w:rPr>
          <w:rFonts w:hint="eastAsia" w:ascii="黑体" w:hAnsi="黑体" w:eastAsia="黑体" w:cs="仿宋"/>
          <w:b/>
          <w:sz w:val="44"/>
          <w:szCs w:val="44"/>
          <w:highlight w:val="none"/>
        </w:rPr>
      </w:pPr>
    </w:p>
    <w:p w14:paraId="5EA89E80">
      <w:pPr>
        <w:pStyle w:val="152"/>
        <w:spacing w:line="600" w:lineRule="exact"/>
        <w:ind w:left="420" w:firstLine="0" w:firstLineChars="0"/>
        <w:rPr>
          <w:rFonts w:hint="eastAsia" w:ascii="黑体" w:hAnsi="黑体" w:eastAsia="黑体" w:cs="仿宋"/>
          <w:b/>
          <w:sz w:val="44"/>
          <w:szCs w:val="44"/>
          <w:highlight w:val="none"/>
        </w:rPr>
      </w:pPr>
    </w:p>
    <w:p w14:paraId="083511CF">
      <w:pPr>
        <w:pStyle w:val="152"/>
        <w:spacing w:line="600" w:lineRule="exact"/>
        <w:ind w:left="420" w:firstLine="0" w:firstLineChars="0"/>
        <w:rPr>
          <w:rFonts w:hint="eastAsia" w:ascii="黑体" w:hAnsi="黑体" w:eastAsia="黑体" w:cs="仿宋"/>
          <w:b/>
          <w:sz w:val="44"/>
          <w:szCs w:val="44"/>
          <w:highlight w:val="none"/>
        </w:rPr>
      </w:pPr>
    </w:p>
    <w:p w14:paraId="526D10F3">
      <w:pPr>
        <w:pStyle w:val="152"/>
        <w:spacing w:line="600" w:lineRule="exact"/>
        <w:ind w:left="420" w:firstLine="0" w:firstLineChars="0"/>
        <w:jc w:val="center"/>
        <w:rPr>
          <w:rFonts w:hint="eastAsia" w:ascii="黑体" w:hAnsi="黑体" w:eastAsia="黑体" w:cs="仿宋"/>
          <w:b/>
          <w:sz w:val="44"/>
          <w:szCs w:val="44"/>
          <w:highlight w:val="none"/>
        </w:rPr>
      </w:pPr>
    </w:p>
    <w:p w14:paraId="4B835D63">
      <w:pPr>
        <w:pStyle w:val="152"/>
        <w:spacing w:line="600" w:lineRule="exact"/>
        <w:ind w:left="420" w:firstLine="0" w:firstLineChars="0"/>
        <w:jc w:val="center"/>
        <w:rPr>
          <w:rFonts w:hint="eastAsia" w:ascii="黑体" w:hAnsi="黑体" w:eastAsia="黑体" w:cs="仿宋"/>
          <w:b/>
          <w:sz w:val="44"/>
          <w:szCs w:val="44"/>
          <w:highlight w:val="none"/>
        </w:rPr>
      </w:pPr>
    </w:p>
    <w:p w14:paraId="34B9BC25">
      <w:pPr>
        <w:pStyle w:val="152"/>
        <w:spacing w:line="600" w:lineRule="exact"/>
        <w:ind w:left="420" w:firstLine="0" w:firstLineChars="0"/>
        <w:jc w:val="center"/>
        <w:rPr>
          <w:rFonts w:hint="eastAsia" w:ascii="黑体" w:hAnsi="黑体" w:eastAsia="黑体" w:cs="仿宋"/>
          <w:b/>
          <w:sz w:val="44"/>
          <w:szCs w:val="44"/>
          <w:highlight w:val="none"/>
        </w:rPr>
      </w:pPr>
    </w:p>
    <w:p w14:paraId="5B706B8B">
      <w:pPr>
        <w:pStyle w:val="152"/>
        <w:spacing w:line="600" w:lineRule="exact"/>
        <w:ind w:left="420" w:firstLine="0" w:firstLineChars="0"/>
        <w:jc w:val="center"/>
        <w:rPr>
          <w:rFonts w:hint="eastAsia" w:ascii="黑体" w:hAnsi="黑体" w:eastAsia="黑体" w:cs="仿宋"/>
          <w:b/>
          <w:sz w:val="44"/>
          <w:szCs w:val="44"/>
          <w:highlight w:val="none"/>
        </w:rPr>
      </w:pPr>
    </w:p>
    <w:p w14:paraId="1299294C">
      <w:pPr>
        <w:pStyle w:val="152"/>
        <w:spacing w:line="600" w:lineRule="exact"/>
        <w:ind w:left="420" w:firstLine="0" w:firstLineChars="0"/>
        <w:jc w:val="center"/>
        <w:rPr>
          <w:rFonts w:hint="eastAsia" w:ascii="黑体" w:hAnsi="黑体" w:eastAsia="黑体" w:cs="仿宋"/>
          <w:b/>
          <w:sz w:val="44"/>
          <w:szCs w:val="44"/>
          <w:highlight w:val="none"/>
        </w:rPr>
      </w:pPr>
      <w:r>
        <w:rPr>
          <w:rFonts w:hint="eastAsia" w:ascii="黑体" w:hAnsi="黑体" w:eastAsia="黑体" w:cs="仿宋"/>
          <w:b/>
          <w:sz w:val="44"/>
          <w:szCs w:val="44"/>
          <w:highlight w:val="none"/>
        </w:rPr>
        <w:t>第四章  合同条款及格式</w:t>
      </w:r>
    </w:p>
    <w:p w14:paraId="5AF7A681">
      <w:pPr>
        <w:pStyle w:val="152"/>
        <w:spacing w:line="600" w:lineRule="exact"/>
        <w:ind w:left="420" w:firstLine="0" w:firstLineChars="0"/>
        <w:jc w:val="center"/>
        <w:rPr>
          <w:rFonts w:hint="eastAsia" w:ascii="黑体" w:hAnsi="黑体" w:eastAsia="黑体" w:cs="仿宋"/>
          <w:b/>
          <w:sz w:val="44"/>
          <w:szCs w:val="44"/>
          <w:highlight w:val="none"/>
        </w:rPr>
      </w:pPr>
    </w:p>
    <w:p w14:paraId="4D5FBA21">
      <w:pPr>
        <w:pStyle w:val="152"/>
        <w:spacing w:line="600" w:lineRule="exact"/>
        <w:ind w:left="420" w:firstLine="0" w:firstLineChars="0"/>
        <w:jc w:val="center"/>
        <w:rPr>
          <w:rFonts w:hint="eastAsia" w:ascii="黑体" w:hAnsi="黑体" w:eastAsia="黑体" w:cs="仿宋"/>
          <w:b/>
          <w:sz w:val="44"/>
          <w:szCs w:val="44"/>
          <w:highlight w:val="none"/>
        </w:rPr>
      </w:pPr>
    </w:p>
    <w:p w14:paraId="408AB8A4">
      <w:pPr>
        <w:pStyle w:val="152"/>
        <w:spacing w:line="600" w:lineRule="exact"/>
        <w:ind w:left="420" w:firstLine="0" w:firstLineChars="0"/>
        <w:jc w:val="center"/>
        <w:rPr>
          <w:rFonts w:hint="eastAsia" w:ascii="黑体" w:hAnsi="黑体" w:eastAsia="黑体" w:cs="仿宋"/>
          <w:b/>
          <w:sz w:val="44"/>
          <w:szCs w:val="44"/>
          <w:highlight w:val="none"/>
        </w:rPr>
      </w:pPr>
    </w:p>
    <w:p w14:paraId="360D3AF3">
      <w:pPr>
        <w:pStyle w:val="152"/>
        <w:spacing w:line="600" w:lineRule="exact"/>
        <w:ind w:left="420" w:firstLine="0" w:firstLineChars="0"/>
        <w:jc w:val="center"/>
        <w:rPr>
          <w:rFonts w:hint="eastAsia" w:ascii="黑体" w:hAnsi="黑体" w:eastAsia="黑体" w:cs="仿宋"/>
          <w:b/>
          <w:sz w:val="44"/>
          <w:szCs w:val="44"/>
          <w:highlight w:val="none"/>
        </w:rPr>
      </w:pPr>
    </w:p>
    <w:p w14:paraId="40633E10">
      <w:pPr>
        <w:pStyle w:val="152"/>
        <w:spacing w:line="600" w:lineRule="exact"/>
        <w:ind w:left="420" w:firstLine="0" w:firstLineChars="0"/>
        <w:jc w:val="center"/>
        <w:rPr>
          <w:rFonts w:hint="eastAsia" w:ascii="黑体" w:hAnsi="黑体" w:eastAsia="黑体" w:cs="仿宋"/>
          <w:b/>
          <w:sz w:val="44"/>
          <w:szCs w:val="44"/>
          <w:highlight w:val="none"/>
        </w:rPr>
      </w:pPr>
    </w:p>
    <w:p w14:paraId="06F5230B">
      <w:pPr>
        <w:pStyle w:val="152"/>
        <w:spacing w:line="600" w:lineRule="exact"/>
        <w:ind w:left="420" w:firstLine="0" w:firstLineChars="0"/>
        <w:jc w:val="center"/>
        <w:rPr>
          <w:rFonts w:hint="eastAsia" w:ascii="黑体" w:hAnsi="黑体" w:eastAsia="黑体" w:cs="仿宋"/>
          <w:b/>
          <w:sz w:val="44"/>
          <w:szCs w:val="44"/>
          <w:highlight w:val="none"/>
        </w:rPr>
      </w:pPr>
    </w:p>
    <w:p w14:paraId="51F8D21B">
      <w:pPr>
        <w:pStyle w:val="152"/>
        <w:spacing w:line="600" w:lineRule="exact"/>
        <w:ind w:left="420" w:firstLine="0" w:firstLineChars="0"/>
        <w:jc w:val="center"/>
        <w:rPr>
          <w:rFonts w:hint="eastAsia" w:ascii="黑体" w:hAnsi="黑体" w:eastAsia="黑体" w:cs="仿宋"/>
          <w:b/>
          <w:sz w:val="44"/>
          <w:szCs w:val="44"/>
          <w:highlight w:val="none"/>
        </w:rPr>
      </w:pPr>
    </w:p>
    <w:p w14:paraId="7BEDCDC1">
      <w:pPr>
        <w:pStyle w:val="152"/>
        <w:spacing w:line="600" w:lineRule="exact"/>
        <w:ind w:left="420" w:firstLine="0" w:firstLineChars="0"/>
        <w:jc w:val="center"/>
        <w:rPr>
          <w:rFonts w:hint="eastAsia" w:ascii="黑体" w:hAnsi="黑体" w:eastAsia="黑体" w:cs="仿宋"/>
          <w:b/>
          <w:sz w:val="44"/>
          <w:szCs w:val="44"/>
          <w:highlight w:val="none"/>
        </w:rPr>
      </w:pPr>
    </w:p>
    <w:p w14:paraId="102AB265">
      <w:pPr>
        <w:pStyle w:val="152"/>
        <w:spacing w:line="600" w:lineRule="exact"/>
        <w:ind w:left="420" w:firstLine="0" w:firstLineChars="0"/>
        <w:jc w:val="center"/>
        <w:rPr>
          <w:rFonts w:hint="eastAsia" w:ascii="黑体" w:hAnsi="黑体" w:eastAsia="黑体" w:cs="仿宋"/>
          <w:b/>
          <w:sz w:val="44"/>
          <w:szCs w:val="44"/>
          <w:highlight w:val="none"/>
        </w:rPr>
      </w:pPr>
    </w:p>
    <w:p w14:paraId="574898EF">
      <w:pPr>
        <w:pStyle w:val="152"/>
        <w:spacing w:line="600" w:lineRule="exact"/>
        <w:ind w:left="420" w:firstLine="0" w:firstLineChars="0"/>
        <w:jc w:val="center"/>
        <w:rPr>
          <w:rFonts w:hint="eastAsia" w:ascii="黑体" w:hAnsi="黑体" w:eastAsia="黑体" w:cs="仿宋"/>
          <w:b/>
          <w:sz w:val="44"/>
          <w:szCs w:val="44"/>
          <w:highlight w:val="none"/>
        </w:rPr>
      </w:pPr>
    </w:p>
    <w:p w14:paraId="4ECB9BD6">
      <w:pPr>
        <w:pStyle w:val="152"/>
        <w:spacing w:line="600" w:lineRule="exact"/>
        <w:ind w:left="420" w:firstLine="0" w:firstLineChars="0"/>
        <w:jc w:val="center"/>
        <w:rPr>
          <w:rFonts w:hint="eastAsia" w:ascii="黑体" w:hAnsi="黑体" w:eastAsia="黑体" w:cs="仿宋"/>
          <w:b/>
          <w:sz w:val="44"/>
          <w:szCs w:val="44"/>
          <w:highlight w:val="none"/>
        </w:rPr>
      </w:pPr>
    </w:p>
    <w:p w14:paraId="39335B9A">
      <w:pPr>
        <w:pStyle w:val="152"/>
        <w:spacing w:line="600" w:lineRule="exact"/>
        <w:ind w:left="420" w:firstLine="0" w:firstLineChars="0"/>
        <w:jc w:val="center"/>
        <w:rPr>
          <w:rFonts w:hint="eastAsia" w:ascii="黑体" w:hAnsi="黑体" w:eastAsia="黑体" w:cs="仿宋"/>
          <w:b/>
          <w:sz w:val="44"/>
          <w:szCs w:val="44"/>
          <w:highlight w:val="none"/>
        </w:rPr>
      </w:pPr>
    </w:p>
    <w:p w14:paraId="7DF3F261">
      <w:pPr>
        <w:pStyle w:val="152"/>
        <w:spacing w:line="600" w:lineRule="exact"/>
        <w:ind w:left="420" w:firstLine="0" w:firstLineChars="0"/>
        <w:jc w:val="center"/>
        <w:rPr>
          <w:rFonts w:hint="eastAsia" w:ascii="黑体" w:hAnsi="黑体" w:eastAsia="黑体" w:cs="仿宋"/>
          <w:b/>
          <w:sz w:val="44"/>
          <w:szCs w:val="44"/>
          <w:highlight w:val="none"/>
        </w:rPr>
      </w:pPr>
    </w:p>
    <w:p w14:paraId="65DBA7EC">
      <w:pPr>
        <w:pStyle w:val="152"/>
        <w:spacing w:line="600" w:lineRule="exact"/>
        <w:ind w:left="420" w:firstLine="0" w:firstLineChars="0"/>
        <w:jc w:val="center"/>
        <w:rPr>
          <w:rFonts w:hint="eastAsia" w:ascii="黑体" w:hAnsi="黑体" w:eastAsia="黑体" w:cs="仿宋"/>
          <w:b/>
          <w:sz w:val="44"/>
          <w:szCs w:val="44"/>
          <w:highlight w:val="none"/>
        </w:rPr>
      </w:pPr>
    </w:p>
    <w:p w14:paraId="60160CF3">
      <w:pPr>
        <w:pStyle w:val="152"/>
        <w:spacing w:line="600" w:lineRule="exact"/>
        <w:ind w:left="420" w:firstLine="0" w:firstLineChars="0"/>
        <w:jc w:val="center"/>
        <w:rPr>
          <w:rFonts w:hint="eastAsia" w:ascii="黑体" w:hAnsi="黑体" w:eastAsia="黑体" w:cs="仿宋"/>
          <w:b/>
          <w:sz w:val="44"/>
          <w:szCs w:val="44"/>
          <w:highlight w:val="none"/>
        </w:rPr>
      </w:pPr>
    </w:p>
    <w:p w14:paraId="0756934F">
      <w:pPr>
        <w:pStyle w:val="4"/>
        <w:spacing w:before="0" w:after="0" w:line="360" w:lineRule="auto"/>
        <w:jc w:val="center"/>
        <w:rPr>
          <w:rStyle w:val="944"/>
          <w:b w:val="0"/>
          <w:sz w:val="32"/>
          <w:szCs w:val="32"/>
          <w:highlight w:val="none"/>
        </w:rPr>
      </w:pPr>
      <w:bookmarkStart w:id="19" w:name="_Toc156986230"/>
      <w:bookmarkStart w:id="20" w:name="_Toc161231742"/>
      <w:bookmarkStart w:id="21" w:name="_Toc9436"/>
      <w:bookmarkStart w:id="22" w:name="_Toc237230857"/>
      <w:bookmarkStart w:id="23" w:name="_Toc29797272"/>
      <w:bookmarkStart w:id="24" w:name="_Toc19948"/>
      <w:bookmarkStart w:id="25" w:name="_Toc29797134"/>
      <w:bookmarkStart w:id="26" w:name="_Toc488236004"/>
      <w:bookmarkStart w:id="27" w:name="_Toc29981714"/>
      <w:bookmarkStart w:id="28" w:name="_Toc17358"/>
      <w:bookmarkStart w:id="29" w:name="_Toc184635098"/>
      <w:bookmarkStart w:id="30" w:name="_Toc16351"/>
      <w:bookmarkStart w:id="31" w:name="_Toc237061007"/>
      <w:r>
        <w:rPr>
          <w:rStyle w:val="944"/>
          <w:b w:val="0"/>
          <w:sz w:val="32"/>
          <w:szCs w:val="32"/>
          <w:highlight w:val="none"/>
        </w:rPr>
        <w:t>第一节 通用合同条款</w:t>
      </w:r>
      <w:bookmarkEnd w:id="19"/>
      <w:bookmarkEnd w:id="20"/>
    </w:p>
    <w:p w14:paraId="707EB370">
      <w:pPr>
        <w:pStyle w:val="723"/>
        <w:spacing w:line="520" w:lineRule="exact"/>
        <w:ind w:firstLine="482"/>
        <w:outlineLvl w:val="1"/>
        <w:rPr>
          <w:rFonts w:ascii="宋体" w:hAnsi="宋体" w:eastAsia="宋体"/>
          <w:bCs/>
          <w:szCs w:val="24"/>
          <w:highlight w:val="none"/>
        </w:rPr>
      </w:pPr>
      <w:bookmarkStart w:id="32" w:name="_Toc161231743"/>
      <w:bookmarkStart w:id="33" w:name="_Toc156986231"/>
      <w:r>
        <w:rPr>
          <w:rFonts w:ascii="宋体" w:hAnsi="宋体" w:eastAsia="宋体"/>
          <w:bCs/>
          <w:szCs w:val="24"/>
          <w:highlight w:val="none"/>
        </w:rPr>
        <w:t>1.一般约定</w:t>
      </w:r>
      <w:bookmarkEnd w:id="32"/>
      <w:bookmarkEnd w:id="33"/>
    </w:p>
    <w:p w14:paraId="71E4B174">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1.1 词语定义</w:t>
      </w:r>
    </w:p>
    <w:p w14:paraId="08EE14EB">
      <w:pPr>
        <w:pStyle w:val="35"/>
        <w:spacing w:after="0" w:line="520" w:lineRule="exact"/>
        <w:ind w:firstLine="480" w:firstLineChars="200"/>
        <w:rPr>
          <w:rFonts w:hint="eastAsia" w:ascii="宋体" w:hAnsi="宋体"/>
          <w:sz w:val="24"/>
          <w:highlight w:val="none"/>
        </w:rPr>
      </w:pPr>
      <w:r>
        <w:rPr>
          <w:rFonts w:ascii="宋体" w:hAnsi="宋体"/>
          <w:sz w:val="24"/>
          <w:highlight w:val="none"/>
        </w:rPr>
        <w:t>通用合同条款、专用合同条款中的下列词语应具有本款所赋予的含义。</w:t>
      </w:r>
    </w:p>
    <w:p w14:paraId="52F641CB">
      <w:pPr>
        <w:pStyle w:val="701"/>
        <w:tabs>
          <w:tab w:val="left" w:pos="1438"/>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1.1.1 合同</w:t>
      </w:r>
    </w:p>
    <w:p w14:paraId="2FEF2DC9">
      <w:pPr>
        <w:pStyle w:val="701"/>
        <w:tabs>
          <w:tab w:val="left" w:pos="168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1.1.1.1 合同文件（或称合同）：指合同协议书、成交通知书、响应文件、专用合同条款、通用合同条款、委托人要求、</w:t>
      </w:r>
      <w:r>
        <w:rPr>
          <w:rFonts w:hint="eastAsia" w:ascii="宋体" w:hAnsi="宋体"/>
          <w:sz w:val="24"/>
          <w:highlight w:val="none"/>
        </w:rPr>
        <w:t>咨询</w:t>
      </w:r>
      <w:r>
        <w:rPr>
          <w:rFonts w:ascii="宋体" w:hAnsi="宋体"/>
          <w:sz w:val="24"/>
          <w:highlight w:val="none"/>
        </w:rPr>
        <w:t>服务费用清单、</w:t>
      </w:r>
      <w:r>
        <w:rPr>
          <w:rFonts w:hint="eastAsia" w:ascii="宋体" w:hAnsi="宋体"/>
          <w:sz w:val="24"/>
          <w:highlight w:val="none"/>
        </w:rPr>
        <w:t>咨询</w:t>
      </w:r>
      <w:r>
        <w:rPr>
          <w:rFonts w:ascii="宋体" w:hAnsi="宋体"/>
          <w:sz w:val="24"/>
          <w:highlight w:val="none"/>
        </w:rPr>
        <w:t>服务方案，以及其他构成合同组成部分的文件。</w:t>
      </w:r>
    </w:p>
    <w:p w14:paraId="6B70288E">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1.1.1.2 合同协议书：指委托人和咨询人共同签署的合同协议书。</w:t>
      </w:r>
    </w:p>
    <w:p w14:paraId="7033E37A">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1.1.1.3 成交通知书：指委托人通知咨询人成交的函件。</w:t>
      </w:r>
    </w:p>
    <w:p w14:paraId="321DA1D2">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1.1.1.4 响应文件：指由咨询人填写并签署的，名为“响应文件”的函件。</w:t>
      </w:r>
    </w:p>
    <w:p w14:paraId="22A66F1D">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1.1.1.5 委托人要求：指合同文件中名为“委托人要求”的文件。</w:t>
      </w:r>
    </w:p>
    <w:p w14:paraId="21356899">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1.1.1.6</w:t>
      </w:r>
      <w:r>
        <w:rPr>
          <w:rFonts w:hint="eastAsia" w:ascii="宋体" w:hAnsi="宋体"/>
          <w:sz w:val="24"/>
          <w:highlight w:val="none"/>
        </w:rPr>
        <w:t xml:space="preserve"> 咨询</w:t>
      </w:r>
      <w:r>
        <w:rPr>
          <w:rFonts w:ascii="宋体" w:hAnsi="宋体"/>
          <w:sz w:val="24"/>
          <w:highlight w:val="none"/>
        </w:rPr>
        <w:t>服务方案：指咨询人在响应文件中的</w:t>
      </w:r>
      <w:r>
        <w:rPr>
          <w:rFonts w:hint="eastAsia" w:ascii="宋体" w:hAnsi="宋体"/>
          <w:sz w:val="24"/>
          <w:highlight w:val="none"/>
        </w:rPr>
        <w:t>咨询</w:t>
      </w:r>
      <w:r>
        <w:rPr>
          <w:rFonts w:ascii="宋体" w:hAnsi="宋体"/>
          <w:sz w:val="24"/>
          <w:highlight w:val="none"/>
        </w:rPr>
        <w:t>服务方案。</w:t>
      </w:r>
    </w:p>
    <w:p w14:paraId="25C37E67">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1.1.1.7</w:t>
      </w:r>
      <w:r>
        <w:rPr>
          <w:rFonts w:hint="eastAsia" w:ascii="宋体" w:hAnsi="宋体"/>
          <w:sz w:val="24"/>
          <w:highlight w:val="none"/>
        </w:rPr>
        <w:t xml:space="preserve"> 咨询</w:t>
      </w:r>
      <w:r>
        <w:rPr>
          <w:rFonts w:ascii="宋体" w:hAnsi="宋体"/>
          <w:sz w:val="24"/>
          <w:highlight w:val="none"/>
        </w:rPr>
        <w:t>服务费用清单：指咨询人响应文件中的</w:t>
      </w:r>
      <w:r>
        <w:rPr>
          <w:rFonts w:hint="eastAsia" w:ascii="宋体" w:hAnsi="宋体"/>
          <w:sz w:val="24"/>
          <w:highlight w:val="none"/>
        </w:rPr>
        <w:t>咨询</w:t>
      </w:r>
      <w:r>
        <w:rPr>
          <w:rFonts w:ascii="宋体" w:hAnsi="宋体"/>
          <w:sz w:val="24"/>
          <w:highlight w:val="none"/>
        </w:rPr>
        <w:t>服务费用清单。</w:t>
      </w:r>
    </w:p>
    <w:p w14:paraId="71790110">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1.1.1.8 其他合同文件：指经合同双方当事人确认构成合同文件的其他文件。</w:t>
      </w:r>
    </w:p>
    <w:p w14:paraId="2584045B">
      <w:pPr>
        <w:pStyle w:val="701"/>
        <w:tabs>
          <w:tab w:val="left" w:pos="1438"/>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1.1.2 合同当事人和人员</w:t>
      </w:r>
    </w:p>
    <w:p w14:paraId="034E2172">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1.1.2.1 合同当事人：指委托人和（或）咨询人。</w:t>
      </w:r>
    </w:p>
    <w:p w14:paraId="14026B62">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1.1.2.2 委托人：指与咨询人签订合同协议书的当事人，及其合法继承人。</w:t>
      </w:r>
    </w:p>
    <w:p w14:paraId="16506A19">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1.1.2.3 咨询人：指与委托人签订合同协议书的当事人，及其合法继承人。</w:t>
      </w:r>
    </w:p>
    <w:p w14:paraId="59F4C2F6">
      <w:pPr>
        <w:pStyle w:val="701"/>
        <w:tabs>
          <w:tab w:val="left" w:pos="168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1.1.2.4 委托人代表：指由委托人任命，并在授权范围和期限内代表委托人行使权利和履行义务的全权负责人。</w:t>
      </w:r>
    </w:p>
    <w:p w14:paraId="6250CDFB">
      <w:pPr>
        <w:pStyle w:val="701"/>
        <w:tabs>
          <w:tab w:val="left" w:pos="167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1.1.2.5 项目负责人：指由咨询人任命，在咨询人授权范围内代表咨询人行使权利和履行义务且按照法律和采购文件规定具有相应资格的负责人。</w:t>
      </w:r>
    </w:p>
    <w:p w14:paraId="655380B1">
      <w:pPr>
        <w:pStyle w:val="701"/>
        <w:tabs>
          <w:tab w:val="left" w:pos="167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1.1.2.6 分包人：指从咨询人处分包合同中某一部分工作，并与其签订分包合同的且按照法律和采购文件规定具有相应资格的分包人。</w:t>
      </w:r>
    </w:p>
    <w:p w14:paraId="5C973498">
      <w:pPr>
        <w:pStyle w:val="701"/>
        <w:tabs>
          <w:tab w:val="left" w:pos="1438"/>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 xml:space="preserve">1.1.3 </w:t>
      </w:r>
      <w:r>
        <w:rPr>
          <w:rFonts w:hint="eastAsia" w:ascii="宋体" w:hAnsi="宋体"/>
          <w:b/>
          <w:sz w:val="24"/>
          <w:highlight w:val="none"/>
        </w:rPr>
        <w:t>咨询</w:t>
      </w:r>
      <w:r>
        <w:rPr>
          <w:rFonts w:ascii="宋体" w:hAnsi="宋体"/>
          <w:b/>
          <w:sz w:val="24"/>
          <w:highlight w:val="none"/>
        </w:rPr>
        <w:t>服务</w:t>
      </w:r>
    </w:p>
    <w:p w14:paraId="54F06DC2">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 xml:space="preserve">1.1.3.1 </w:t>
      </w:r>
      <w:r>
        <w:rPr>
          <w:rFonts w:hint="eastAsia" w:ascii="宋体" w:hAnsi="宋体"/>
          <w:sz w:val="24"/>
          <w:highlight w:val="none"/>
        </w:rPr>
        <w:t>咨询</w:t>
      </w:r>
      <w:r>
        <w:rPr>
          <w:rFonts w:ascii="宋体" w:hAnsi="宋体"/>
          <w:sz w:val="24"/>
          <w:highlight w:val="none"/>
        </w:rPr>
        <w:t>服务项目：指专用合同条款中指明进行</w:t>
      </w:r>
      <w:r>
        <w:rPr>
          <w:rFonts w:hint="eastAsia" w:ascii="宋体" w:hAnsi="宋体"/>
          <w:sz w:val="24"/>
          <w:highlight w:val="none"/>
        </w:rPr>
        <w:t>咨询服务</w:t>
      </w:r>
      <w:r>
        <w:rPr>
          <w:rFonts w:ascii="宋体" w:hAnsi="宋体"/>
          <w:sz w:val="24"/>
          <w:highlight w:val="none"/>
        </w:rPr>
        <w:t>采购的</w:t>
      </w:r>
      <w:r>
        <w:rPr>
          <w:rFonts w:hint="eastAsia" w:ascii="宋体" w:hAnsi="宋体"/>
          <w:sz w:val="24"/>
          <w:highlight w:val="none"/>
        </w:rPr>
        <w:t>咨询</w:t>
      </w:r>
      <w:r>
        <w:rPr>
          <w:rFonts w:ascii="宋体" w:hAnsi="宋体"/>
          <w:sz w:val="24"/>
          <w:highlight w:val="none"/>
        </w:rPr>
        <w:t>服务。</w:t>
      </w:r>
    </w:p>
    <w:p w14:paraId="6C1D53EC">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 xml:space="preserve">1.1.3.2 </w:t>
      </w:r>
      <w:r>
        <w:rPr>
          <w:rFonts w:hint="eastAsia" w:ascii="宋体" w:hAnsi="宋体"/>
          <w:sz w:val="24"/>
          <w:highlight w:val="none"/>
        </w:rPr>
        <w:t>咨询</w:t>
      </w:r>
      <w:r>
        <w:rPr>
          <w:rFonts w:ascii="宋体" w:hAnsi="宋体"/>
          <w:sz w:val="24"/>
          <w:highlight w:val="none"/>
        </w:rPr>
        <w:t>服务：指</w:t>
      </w:r>
      <w:r>
        <w:rPr>
          <w:rFonts w:hint="eastAsia" w:ascii="宋体" w:hAnsi="宋体"/>
          <w:sz w:val="24"/>
          <w:highlight w:val="none"/>
        </w:rPr>
        <w:t>咨询</w:t>
      </w:r>
      <w:r>
        <w:rPr>
          <w:rFonts w:ascii="宋体" w:hAnsi="宋体"/>
          <w:sz w:val="24"/>
          <w:highlight w:val="none"/>
        </w:rPr>
        <w:t>人按照合同约定履行合同义务，应完成的</w:t>
      </w:r>
      <w:r>
        <w:rPr>
          <w:rFonts w:hint="eastAsia" w:ascii="宋体" w:hAnsi="宋体"/>
          <w:sz w:val="24"/>
          <w:highlight w:val="none"/>
        </w:rPr>
        <w:t>咨询</w:t>
      </w:r>
      <w:r>
        <w:rPr>
          <w:rFonts w:ascii="宋体" w:hAnsi="宋体"/>
          <w:sz w:val="24"/>
          <w:highlight w:val="none"/>
        </w:rPr>
        <w:t>服务。</w:t>
      </w:r>
    </w:p>
    <w:p w14:paraId="11B81215">
      <w:pPr>
        <w:pStyle w:val="701"/>
        <w:tabs>
          <w:tab w:val="left" w:pos="168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1.1.3.3 委托人提供的资料：是委托人按合同约定向咨询人提供的，用于完成</w:t>
      </w:r>
      <w:r>
        <w:rPr>
          <w:rFonts w:hint="eastAsia" w:ascii="宋体" w:hAnsi="宋体"/>
          <w:sz w:val="24"/>
          <w:highlight w:val="none"/>
        </w:rPr>
        <w:t>咨询服务</w:t>
      </w:r>
      <w:r>
        <w:rPr>
          <w:rFonts w:ascii="宋体" w:hAnsi="宋体"/>
          <w:sz w:val="24"/>
          <w:highlight w:val="none"/>
        </w:rPr>
        <w:t>范围与内容所需要的资料。</w:t>
      </w:r>
    </w:p>
    <w:p w14:paraId="3DB2F21F">
      <w:pPr>
        <w:pStyle w:val="701"/>
        <w:tabs>
          <w:tab w:val="left" w:pos="167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 xml:space="preserve">1.1.3.4 </w:t>
      </w:r>
      <w:r>
        <w:rPr>
          <w:rFonts w:hint="eastAsia" w:ascii="宋体" w:hAnsi="宋体"/>
          <w:sz w:val="24"/>
          <w:highlight w:val="none"/>
        </w:rPr>
        <w:t>咨询</w:t>
      </w:r>
      <w:r>
        <w:rPr>
          <w:rFonts w:ascii="宋体" w:hAnsi="宋体"/>
          <w:sz w:val="24"/>
          <w:highlight w:val="none"/>
        </w:rPr>
        <w:t>服务成果文件：指咨询人按合同约定的格式和载体向委托人提交的体现</w:t>
      </w:r>
      <w:r>
        <w:rPr>
          <w:rFonts w:hint="eastAsia" w:ascii="宋体" w:hAnsi="宋体"/>
          <w:sz w:val="24"/>
          <w:highlight w:val="none"/>
        </w:rPr>
        <w:t>咨询</w:t>
      </w:r>
      <w:r>
        <w:rPr>
          <w:rFonts w:ascii="宋体" w:hAnsi="宋体"/>
          <w:sz w:val="24"/>
          <w:highlight w:val="none"/>
        </w:rPr>
        <w:t>服务过程和结果的文件，包括阶段性文件和最终文件。</w:t>
      </w:r>
    </w:p>
    <w:p w14:paraId="0E1BB087">
      <w:pPr>
        <w:pStyle w:val="701"/>
        <w:tabs>
          <w:tab w:val="left" w:pos="1438"/>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1.1.4 日期</w:t>
      </w:r>
    </w:p>
    <w:p w14:paraId="395157E9">
      <w:pPr>
        <w:pStyle w:val="701"/>
        <w:tabs>
          <w:tab w:val="left" w:pos="165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1.1.4.1 开始</w:t>
      </w:r>
      <w:r>
        <w:rPr>
          <w:rFonts w:hint="eastAsia" w:ascii="宋体" w:hAnsi="宋体"/>
          <w:sz w:val="24"/>
          <w:highlight w:val="none"/>
        </w:rPr>
        <w:t>咨询</w:t>
      </w:r>
      <w:r>
        <w:rPr>
          <w:rFonts w:ascii="宋体" w:hAnsi="宋体"/>
          <w:sz w:val="24"/>
          <w:highlight w:val="none"/>
        </w:rPr>
        <w:t>服务通知：指委托人按第 6.1 款通知咨询人开始</w:t>
      </w:r>
      <w:r>
        <w:rPr>
          <w:rFonts w:hint="eastAsia" w:ascii="宋体" w:hAnsi="宋体"/>
          <w:sz w:val="24"/>
          <w:highlight w:val="none"/>
        </w:rPr>
        <w:t>咨询</w:t>
      </w:r>
      <w:r>
        <w:rPr>
          <w:rFonts w:ascii="宋体" w:hAnsi="宋体"/>
          <w:sz w:val="24"/>
          <w:highlight w:val="none"/>
        </w:rPr>
        <w:t>服务日期的函件。</w:t>
      </w:r>
    </w:p>
    <w:p w14:paraId="5C2FCB2F">
      <w:pPr>
        <w:pStyle w:val="701"/>
        <w:tabs>
          <w:tab w:val="left" w:pos="165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1.1.4.2 开始</w:t>
      </w:r>
      <w:r>
        <w:rPr>
          <w:rFonts w:hint="eastAsia" w:ascii="宋体" w:hAnsi="宋体"/>
          <w:sz w:val="24"/>
          <w:highlight w:val="none"/>
        </w:rPr>
        <w:t>咨询服务</w:t>
      </w:r>
      <w:r>
        <w:rPr>
          <w:rFonts w:ascii="宋体" w:hAnsi="宋体"/>
          <w:sz w:val="24"/>
          <w:highlight w:val="none"/>
        </w:rPr>
        <w:t>日期：指委托人按第 6.1 款发出的开始</w:t>
      </w:r>
      <w:r>
        <w:rPr>
          <w:rFonts w:hint="eastAsia" w:ascii="宋体" w:hAnsi="宋体"/>
          <w:sz w:val="24"/>
          <w:highlight w:val="none"/>
        </w:rPr>
        <w:t>咨询</w:t>
      </w:r>
      <w:r>
        <w:rPr>
          <w:rFonts w:ascii="宋体" w:hAnsi="宋体"/>
          <w:sz w:val="24"/>
          <w:highlight w:val="none"/>
        </w:rPr>
        <w:t>服务通知中写明的开始</w:t>
      </w:r>
      <w:r>
        <w:rPr>
          <w:rFonts w:hint="eastAsia" w:ascii="宋体" w:hAnsi="宋体"/>
          <w:sz w:val="24"/>
          <w:highlight w:val="none"/>
        </w:rPr>
        <w:t>咨询</w:t>
      </w:r>
      <w:r>
        <w:rPr>
          <w:rFonts w:ascii="宋体" w:hAnsi="宋体"/>
          <w:sz w:val="24"/>
          <w:highlight w:val="none"/>
        </w:rPr>
        <w:t>服务日期。</w:t>
      </w:r>
    </w:p>
    <w:p w14:paraId="1F6D706D">
      <w:pPr>
        <w:pStyle w:val="701"/>
        <w:tabs>
          <w:tab w:val="left" w:pos="166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 xml:space="preserve">1.1.4.3 </w:t>
      </w:r>
      <w:r>
        <w:rPr>
          <w:rFonts w:hint="eastAsia" w:ascii="宋体" w:hAnsi="宋体"/>
          <w:sz w:val="24"/>
          <w:highlight w:val="none"/>
        </w:rPr>
        <w:t>咨询</w:t>
      </w:r>
      <w:r>
        <w:rPr>
          <w:rFonts w:ascii="宋体" w:hAnsi="宋体"/>
          <w:sz w:val="24"/>
          <w:highlight w:val="none"/>
        </w:rPr>
        <w:t>服务期限：指咨询人在合同协议书中约定的完成合同</w:t>
      </w:r>
      <w:r>
        <w:rPr>
          <w:rFonts w:hint="eastAsia" w:ascii="宋体" w:hAnsi="宋体"/>
          <w:sz w:val="24"/>
          <w:highlight w:val="none"/>
        </w:rPr>
        <w:t>咨询</w:t>
      </w:r>
      <w:r>
        <w:rPr>
          <w:rFonts w:ascii="宋体" w:hAnsi="宋体"/>
          <w:sz w:val="24"/>
          <w:highlight w:val="none"/>
        </w:rPr>
        <w:t>服务所需的期限，包括按第 6.2 款、第 6.4 款和第 6.6 款约定所做的调整。</w:t>
      </w:r>
    </w:p>
    <w:p w14:paraId="74363F14">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1.1.4.4 完成</w:t>
      </w:r>
      <w:r>
        <w:rPr>
          <w:rFonts w:hint="eastAsia" w:ascii="宋体" w:hAnsi="宋体"/>
          <w:sz w:val="24"/>
          <w:highlight w:val="none"/>
        </w:rPr>
        <w:t>咨询</w:t>
      </w:r>
      <w:r>
        <w:rPr>
          <w:rFonts w:ascii="宋体" w:hAnsi="宋体"/>
          <w:sz w:val="24"/>
          <w:highlight w:val="none"/>
        </w:rPr>
        <w:t>服务日期：指第 1.1.4.3 目约定咨询服务期限届满时的日期。</w:t>
      </w:r>
    </w:p>
    <w:p w14:paraId="6DA89E6B">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1.1.4.5 基准日：指响应截止时间前 28 天的日期。</w:t>
      </w:r>
    </w:p>
    <w:p w14:paraId="0F0A8E4B">
      <w:pPr>
        <w:pStyle w:val="701"/>
        <w:tabs>
          <w:tab w:val="left" w:pos="168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1.1.4.6 天：除特别指明外，指日历天。合同中按天计算时间的，开始当天不计入，从次日开始计算。期限最后一天的截止时间为当天 24:00。</w:t>
      </w:r>
    </w:p>
    <w:p w14:paraId="5106752F">
      <w:pPr>
        <w:pStyle w:val="701"/>
        <w:tabs>
          <w:tab w:val="left" w:pos="1438"/>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1.1.5 合同价格和费用</w:t>
      </w:r>
    </w:p>
    <w:p w14:paraId="6349231F">
      <w:pPr>
        <w:pStyle w:val="701"/>
        <w:tabs>
          <w:tab w:val="left" w:pos="162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1.1.5.1 签约合同价：指签订合同时合同协议书中载明的咨询服务费用总金额。</w:t>
      </w:r>
    </w:p>
    <w:p w14:paraId="47DCCC77">
      <w:pPr>
        <w:pStyle w:val="701"/>
        <w:tabs>
          <w:tab w:val="left" w:pos="167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1.1.5.2 合同价格：指咨询人按合同约定完成了全部咨询服务工作后，委托人应付给咨询人的金额，包括在履行合同过程中按合同约定发生的价格变化。</w:t>
      </w:r>
    </w:p>
    <w:p w14:paraId="182977B8">
      <w:pPr>
        <w:pStyle w:val="701"/>
        <w:tabs>
          <w:tab w:val="left" w:pos="168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1.1.5.3 费用：指为履行合同所发生的或将要发生的所有必要开支，包括管理费和应分摊的其他费用，但不包括利润。</w:t>
      </w:r>
    </w:p>
    <w:p w14:paraId="3ED822AB">
      <w:pPr>
        <w:pStyle w:val="701"/>
        <w:tabs>
          <w:tab w:val="left" w:pos="1438"/>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1.1.6 其他</w:t>
      </w:r>
    </w:p>
    <w:p w14:paraId="1BA293F1">
      <w:pPr>
        <w:pStyle w:val="35"/>
        <w:spacing w:after="0" w:line="520" w:lineRule="exact"/>
        <w:ind w:firstLine="480" w:firstLineChars="200"/>
        <w:rPr>
          <w:rFonts w:hint="eastAsia" w:ascii="宋体" w:hAnsi="宋体"/>
          <w:sz w:val="24"/>
          <w:highlight w:val="none"/>
        </w:rPr>
      </w:pPr>
      <w:r>
        <w:rPr>
          <w:rFonts w:ascii="宋体" w:hAnsi="宋体"/>
          <w:sz w:val="24"/>
          <w:highlight w:val="none"/>
        </w:rPr>
        <w:t>1.1.6.1 书面形式：指合同文件、信件和数据电文（包括电报、电传、传真、电子数据交换和电子邮件）等可以有形地表现所载内容的形式。</w:t>
      </w:r>
    </w:p>
    <w:p w14:paraId="44C4CD79">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1.2 语言文字</w:t>
      </w:r>
    </w:p>
    <w:p w14:paraId="3C5BC6D3">
      <w:pPr>
        <w:pStyle w:val="35"/>
        <w:spacing w:after="0" w:line="520" w:lineRule="exact"/>
        <w:ind w:firstLine="480" w:firstLineChars="200"/>
        <w:rPr>
          <w:rFonts w:hint="eastAsia" w:ascii="宋体" w:hAnsi="宋体"/>
          <w:sz w:val="24"/>
          <w:highlight w:val="none"/>
        </w:rPr>
      </w:pPr>
      <w:r>
        <w:rPr>
          <w:rFonts w:ascii="宋体" w:hAnsi="宋体"/>
          <w:sz w:val="24"/>
          <w:highlight w:val="none"/>
        </w:rPr>
        <w:t>合同使用的语言文字为简体中文。专用术语使用外文的，应附有简体中文注释，汉语为优先解释和说明合同的语言。</w:t>
      </w:r>
    </w:p>
    <w:p w14:paraId="3672815E">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1.3 适用法律</w:t>
      </w:r>
    </w:p>
    <w:p w14:paraId="074ED235">
      <w:pPr>
        <w:pStyle w:val="35"/>
        <w:spacing w:after="0" w:line="520" w:lineRule="exact"/>
        <w:ind w:firstLine="480" w:firstLineChars="200"/>
        <w:rPr>
          <w:rFonts w:hint="eastAsia" w:ascii="宋体" w:hAnsi="宋体"/>
          <w:sz w:val="24"/>
          <w:highlight w:val="none"/>
        </w:rPr>
      </w:pPr>
      <w:r>
        <w:rPr>
          <w:rFonts w:ascii="宋体" w:hAnsi="宋体"/>
          <w:sz w:val="24"/>
          <w:highlight w:val="none"/>
        </w:rPr>
        <w:t>适用于合同的法律包括中华人民共和国法律、行政法规、部门规章，以及工程所在地的地方性法规、自治条例、单行条例和地方政府规章。</w:t>
      </w:r>
    </w:p>
    <w:p w14:paraId="2E560F6D">
      <w:pPr>
        <w:pStyle w:val="35"/>
        <w:spacing w:after="0" w:line="520" w:lineRule="exact"/>
        <w:ind w:firstLine="480" w:firstLineChars="200"/>
        <w:rPr>
          <w:rFonts w:hint="eastAsia" w:ascii="宋体" w:hAnsi="宋体"/>
          <w:sz w:val="24"/>
          <w:highlight w:val="none"/>
        </w:rPr>
      </w:pPr>
      <w:r>
        <w:rPr>
          <w:rFonts w:ascii="宋体" w:hAnsi="宋体"/>
          <w:sz w:val="24"/>
          <w:highlight w:val="none"/>
        </w:rPr>
        <w:t>本合同适用的其他规范性文件，可在专用合同条款中约定。</w:t>
      </w:r>
    </w:p>
    <w:p w14:paraId="6722A450">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1.4 合同文件的优先顺序</w:t>
      </w:r>
    </w:p>
    <w:p w14:paraId="67C89503">
      <w:pPr>
        <w:pStyle w:val="35"/>
        <w:spacing w:after="0" w:line="520" w:lineRule="exact"/>
        <w:ind w:firstLine="480" w:firstLineChars="200"/>
        <w:rPr>
          <w:rFonts w:hint="eastAsia" w:ascii="宋体" w:hAnsi="宋体"/>
          <w:sz w:val="24"/>
          <w:highlight w:val="none"/>
        </w:rPr>
      </w:pPr>
      <w:r>
        <w:rPr>
          <w:rFonts w:ascii="宋体" w:hAnsi="宋体"/>
          <w:sz w:val="24"/>
          <w:highlight w:val="none"/>
        </w:rPr>
        <w:t>组成合同的各项文件应互相解释，互为说明。除专用合同条款另有约定外，解释合同文件的优先顺序如下：</w:t>
      </w:r>
    </w:p>
    <w:p w14:paraId="73DCCA81">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（1）合同协议书；</w:t>
      </w:r>
    </w:p>
    <w:p w14:paraId="6D1F1D11">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（2）成交通知书；</w:t>
      </w:r>
    </w:p>
    <w:p w14:paraId="3CBEACB1">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（3）响应文件；</w:t>
      </w:r>
    </w:p>
    <w:p w14:paraId="6BDF76B3">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（4）专用合同条款；</w:t>
      </w:r>
    </w:p>
    <w:p w14:paraId="453DD0FA">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（5）通用合同条款；</w:t>
      </w:r>
    </w:p>
    <w:p w14:paraId="5615D841">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（6）委托人要求；</w:t>
      </w:r>
    </w:p>
    <w:p w14:paraId="638C7BF6">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 xml:space="preserve">（7）咨询服务费用清单； </w:t>
      </w:r>
    </w:p>
    <w:p w14:paraId="68AE7C5B">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（8）咨询服务方案；</w:t>
      </w:r>
    </w:p>
    <w:p w14:paraId="7EC5F1D2">
      <w:pPr>
        <w:pStyle w:val="701"/>
        <w:tabs>
          <w:tab w:val="left" w:pos="1446"/>
        </w:tabs>
        <w:autoSpaceDE w:val="0"/>
        <w:autoSpaceDN w:val="0"/>
        <w:spacing w:line="520" w:lineRule="exact"/>
        <w:ind w:firstLine="480"/>
        <w:rPr>
          <w:rFonts w:hint="eastAsia" w:ascii="宋体" w:hAnsi="宋体"/>
          <w:sz w:val="24"/>
          <w:highlight w:val="none"/>
        </w:rPr>
      </w:pPr>
      <w:r>
        <w:rPr>
          <w:rFonts w:ascii="宋体" w:hAnsi="宋体"/>
          <w:sz w:val="24"/>
          <w:highlight w:val="none"/>
        </w:rPr>
        <w:t>（9）其他合同文件。</w:t>
      </w:r>
    </w:p>
    <w:p w14:paraId="6933EB09">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1.5 合同协议书</w:t>
      </w:r>
    </w:p>
    <w:p w14:paraId="3D52FF21">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w:t>
      </w:r>
      <w:r>
        <w:rPr>
          <w:rFonts w:ascii="宋体" w:hAnsi="宋体"/>
          <w:sz w:val="24"/>
          <w:highlight w:val="none"/>
        </w:rPr>
        <w:t>按成交通知书规定的时间与委托人签订合同协议书。除法律另有规定或合同另有约定外，自委托人和</w:t>
      </w:r>
      <w:r>
        <w:rPr>
          <w:rFonts w:hint="eastAsia" w:ascii="宋体" w:hAnsi="宋体"/>
          <w:sz w:val="24"/>
          <w:highlight w:val="none"/>
        </w:rPr>
        <w:t>咨询人</w:t>
      </w:r>
      <w:r>
        <w:rPr>
          <w:rFonts w:ascii="宋体" w:hAnsi="宋体"/>
          <w:sz w:val="24"/>
          <w:highlight w:val="none"/>
        </w:rPr>
        <w:t>的法定代表人或其委托代理人在合同协议书上签字并加盖单位章之日起，合同生效。</w:t>
      </w:r>
    </w:p>
    <w:p w14:paraId="50F3A1A2">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1.6 文件的提供</w:t>
      </w:r>
    </w:p>
    <w:p w14:paraId="3B6F6AC7">
      <w:pPr>
        <w:pStyle w:val="701"/>
        <w:tabs>
          <w:tab w:val="left" w:pos="143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1.6.1 咨询服务成果文件的提供</w:t>
      </w:r>
    </w:p>
    <w:p w14:paraId="18D58C4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w:t>
      </w:r>
      <w:r>
        <w:rPr>
          <w:rFonts w:ascii="宋体" w:hAnsi="宋体"/>
          <w:sz w:val="24"/>
          <w:highlight w:val="none"/>
        </w:rPr>
        <w:t>应在合同约定的期限内按照合同约定的数量向委托人提供</w:t>
      </w:r>
      <w:r>
        <w:rPr>
          <w:rFonts w:hint="eastAsia" w:ascii="宋体" w:hAnsi="宋体"/>
          <w:sz w:val="24"/>
          <w:highlight w:val="none"/>
        </w:rPr>
        <w:t>咨询服务</w:t>
      </w:r>
      <w:r>
        <w:rPr>
          <w:rFonts w:ascii="宋体" w:hAnsi="宋体"/>
          <w:sz w:val="24"/>
          <w:highlight w:val="none"/>
        </w:rPr>
        <w:t>成果文件。合同约定</w:t>
      </w:r>
      <w:r>
        <w:rPr>
          <w:rFonts w:hint="eastAsia" w:ascii="宋体" w:hAnsi="宋体"/>
          <w:sz w:val="24"/>
          <w:highlight w:val="none"/>
        </w:rPr>
        <w:t>咨询服务</w:t>
      </w:r>
      <w:r>
        <w:rPr>
          <w:rFonts w:ascii="宋体" w:hAnsi="宋体"/>
          <w:sz w:val="24"/>
          <w:highlight w:val="none"/>
        </w:rPr>
        <w:t>成果文件应经委托人批复的，委托人应当在合同约定的期限内批复或提出修改意见。</w:t>
      </w:r>
    </w:p>
    <w:p w14:paraId="5987BFD6">
      <w:pPr>
        <w:pStyle w:val="701"/>
        <w:tabs>
          <w:tab w:val="left" w:pos="143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1.6.2 委托人提供的文件</w:t>
      </w:r>
    </w:p>
    <w:p w14:paraId="3688C5E4">
      <w:pPr>
        <w:pStyle w:val="35"/>
        <w:spacing w:after="0" w:line="520" w:lineRule="exact"/>
        <w:ind w:firstLine="480" w:firstLineChars="200"/>
        <w:rPr>
          <w:rFonts w:hint="eastAsia" w:ascii="宋体" w:hAnsi="宋体"/>
          <w:sz w:val="24"/>
          <w:highlight w:val="none"/>
        </w:rPr>
      </w:pPr>
      <w:r>
        <w:rPr>
          <w:rFonts w:ascii="宋体" w:hAnsi="宋体"/>
          <w:sz w:val="24"/>
          <w:highlight w:val="none"/>
        </w:rPr>
        <w:t>按专用合同条款约定由委托人提供的文件，包括基础资料、</w:t>
      </w:r>
      <w:r>
        <w:rPr>
          <w:rFonts w:hint="eastAsia" w:ascii="宋体" w:hAnsi="宋体"/>
          <w:sz w:val="24"/>
          <w:highlight w:val="none"/>
        </w:rPr>
        <w:t>咨询服务</w:t>
      </w:r>
      <w:r>
        <w:rPr>
          <w:rFonts w:ascii="宋体" w:hAnsi="宋体"/>
          <w:sz w:val="24"/>
          <w:highlight w:val="none"/>
        </w:rPr>
        <w:t>任务书等，委托人应按约定的期限和数量交给</w:t>
      </w:r>
      <w:r>
        <w:rPr>
          <w:rFonts w:hint="eastAsia" w:ascii="宋体" w:hAnsi="宋体"/>
          <w:sz w:val="24"/>
          <w:highlight w:val="none"/>
        </w:rPr>
        <w:t>咨询人</w:t>
      </w:r>
      <w:r>
        <w:rPr>
          <w:rFonts w:ascii="宋体" w:hAnsi="宋体"/>
          <w:sz w:val="24"/>
          <w:highlight w:val="none"/>
        </w:rPr>
        <w:t>。由于委托人未按时提供文件造成</w:t>
      </w:r>
      <w:r>
        <w:rPr>
          <w:rFonts w:hint="eastAsia" w:ascii="宋体" w:hAnsi="宋体"/>
          <w:sz w:val="24"/>
          <w:highlight w:val="none"/>
        </w:rPr>
        <w:t>咨询服务</w:t>
      </w:r>
      <w:r>
        <w:rPr>
          <w:rFonts w:ascii="宋体" w:hAnsi="宋体"/>
          <w:sz w:val="24"/>
          <w:highlight w:val="none"/>
        </w:rPr>
        <w:t>期限延误的，按第6.2 款约定执行。</w:t>
      </w:r>
    </w:p>
    <w:p w14:paraId="14BC7CFE">
      <w:pPr>
        <w:pStyle w:val="701"/>
        <w:tabs>
          <w:tab w:val="left" w:pos="143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1.6.3 文件错误的通知</w:t>
      </w:r>
    </w:p>
    <w:p w14:paraId="11D281AC">
      <w:pPr>
        <w:pStyle w:val="35"/>
        <w:spacing w:after="0" w:line="520" w:lineRule="exact"/>
        <w:ind w:firstLine="480" w:firstLineChars="200"/>
        <w:rPr>
          <w:rFonts w:hint="eastAsia" w:ascii="宋体" w:hAnsi="宋体"/>
          <w:sz w:val="24"/>
          <w:highlight w:val="none"/>
        </w:rPr>
      </w:pPr>
      <w:r>
        <w:rPr>
          <w:rFonts w:ascii="宋体" w:hAnsi="宋体"/>
          <w:sz w:val="24"/>
          <w:highlight w:val="none"/>
        </w:rPr>
        <w:t>任何一方当事人发现文件中存在的明显错误或疏忽，均应及时书面通知对方当事人，并应立即采取适当的措施防止损失扩大。</w:t>
      </w:r>
    </w:p>
    <w:p w14:paraId="104CD9BA">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1.7 联络</w:t>
      </w:r>
    </w:p>
    <w:p w14:paraId="7CBF7A1F">
      <w:pPr>
        <w:pStyle w:val="701"/>
        <w:tabs>
          <w:tab w:val="left" w:pos="143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1.7.1 与合同有关的通知、批准、证明、证书、指示、要求、请求、同意、意见、确定和决定等，均应采用书面形式。</w:t>
      </w:r>
    </w:p>
    <w:p w14:paraId="150BFDF4">
      <w:pPr>
        <w:pStyle w:val="701"/>
        <w:tabs>
          <w:tab w:val="left" w:pos="149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1.7.2 上述通知、批准、证明、证书、指示、要求、请求、同意、意见、确定和决定等来往函件，均应在合同约定的期限内送达指定的地点和指定的接收人，并办理签收手续。</w:t>
      </w:r>
    </w:p>
    <w:p w14:paraId="3DC2B863">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1.8 转让</w:t>
      </w:r>
    </w:p>
    <w:p w14:paraId="5D86392C">
      <w:pPr>
        <w:pStyle w:val="35"/>
        <w:spacing w:after="0" w:line="520" w:lineRule="exact"/>
        <w:ind w:firstLine="480" w:firstLineChars="200"/>
        <w:rPr>
          <w:rFonts w:hint="eastAsia" w:ascii="宋体" w:hAnsi="宋体"/>
          <w:sz w:val="24"/>
          <w:highlight w:val="none"/>
        </w:rPr>
      </w:pPr>
      <w:r>
        <w:rPr>
          <w:rFonts w:ascii="宋体" w:hAnsi="宋体"/>
          <w:sz w:val="24"/>
          <w:highlight w:val="none"/>
        </w:rPr>
        <w:t>除专用合同条款另有约定外，未经对方当事人同意，一方当事人不得将合同权利全部或部分转让给第三人，也不得全部或部分转移合同义务。</w:t>
      </w:r>
    </w:p>
    <w:p w14:paraId="1883A1FD">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1.9 严禁贿赂</w:t>
      </w:r>
    </w:p>
    <w:p w14:paraId="673578DC">
      <w:pPr>
        <w:pStyle w:val="35"/>
        <w:spacing w:after="0" w:line="520" w:lineRule="exact"/>
        <w:ind w:firstLine="480" w:firstLineChars="200"/>
        <w:rPr>
          <w:rFonts w:hint="eastAsia" w:ascii="宋体" w:hAnsi="宋体"/>
          <w:sz w:val="24"/>
          <w:highlight w:val="none"/>
        </w:rPr>
      </w:pPr>
      <w:r>
        <w:rPr>
          <w:rFonts w:ascii="宋体" w:hAnsi="宋体"/>
          <w:sz w:val="24"/>
          <w:highlight w:val="none"/>
        </w:rPr>
        <w:t>合同双方当事人不得以贿赂或变相贿赂的方式，谋取不当利益或损害对方权益。因贿赂造成对方当事人损失的，行为人应当赔偿损失，并承担相应的法律责任。</w:t>
      </w:r>
    </w:p>
    <w:p w14:paraId="131E3A40">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1.10 知识产权</w:t>
      </w:r>
    </w:p>
    <w:p w14:paraId="35A43B7D">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1.10.1 除专用合同条款另有约定外，咨询人完成的咨询服务工作成果，除署名权以外的著作权和其他知识产权均归委托人享有。</w:t>
      </w:r>
    </w:p>
    <w:p w14:paraId="0C950C13">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1.10.2 咨询人在从事咨询服务活动时，不得侵犯他人的知识产权。因侵犯专利权或其他知识产权所引起的责任，由咨询人自行承担。因委托人提供的咨询服务资料导致侵权的，由委托人承担责任。</w:t>
      </w:r>
    </w:p>
    <w:p w14:paraId="21DB3863">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1.10.3 咨询人在响应文件中采用专利技术、专有技术的，相应的使用费视为已包含在响应报价之中。</w:t>
      </w:r>
    </w:p>
    <w:p w14:paraId="2F876D0E">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1.11 文件及信息的保密</w:t>
      </w:r>
    </w:p>
    <w:p w14:paraId="0270E141">
      <w:pPr>
        <w:pStyle w:val="35"/>
        <w:spacing w:after="0" w:line="520" w:lineRule="exact"/>
        <w:ind w:firstLine="480" w:firstLineChars="200"/>
        <w:rPr>
          <w:rFonts w:hint="eastAsia" w:ascii="宋体" w:hAnsi="宋体"/>
          <w:sz w:val="24"/>
          <w:highlight w:val="none"/>
        </w:rPr>
      </w:pPr>
      <w:r>
        <w:rPr>
          <w:rFonts w:ascii="宋体" w:hAnsi="宋体"/>
          <w:sz w:val="24"/>
          <w:highlight w:val="none"/>
        </w:rPr>
        <w:t>除法律规定或合同另有约定外，未经对方同意，任何一方当事人不得将对方提供的有关文件、技术秘密、声明需要保密的资料和信息泄露给第三方或公开发表与引用。</w:t>
      </w:r>
    </w:p>
    <w:p w14:paraId="098197E8">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1.12 委托人要求</w:t>
      </w:r>
    </w:p>
    <w:p w14:paraId="4339D449">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1.12.1 咨询人应认真阅读、复核委托人要求，发现错误的，应及时书面通知委托人。无论是否存在错误，委托人均有权修改委托人要求，并在修改后3天内通知咨询人。除专用合同条款另有约定外，由此导致咨询人费用增加和(或)周期延误的，委托人应当相应地增加费用和(或)延长周期。</w:t>
      </w:r>
    </w:p>
    <w:p w14:paraId="2A86F497">
      <w:pPr>
        <w:pStyle w:val="701"/>
        <w:tabs>
          <w:tab w:val="left" w:pos="155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1.12.2 如果委托人要求违反法律规定，咨询人应在发现后及时书面通知委托人，要求其改正。委托人收到通知书后不予改正或不予答复的，咨询人有权拒绝履行合同义务并解除合同。除专用合同条款另有约定外，由此导致的咨询人的全部损失由委托人承担。</w:t>
      </w:r>
    </w:p>
    <w:p w14:paraId="5F4CB1FD">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1.12.3 委托人要求采用国外规范和标准进行咨询服务时，应由委托人负责提供该规范和标准的外国文本和中文译本，提供的时间、份数和其他要求在专用合同条款中约定。</w:t>
      </w:r>
    </w:p>
    <w:p w14:paraId="683D964D">
      <w:pPr>
        <w:pStyle w:val="723"/>
        <w:spacing w:line="520" w:lineRule="exact"/>
        <w:ind w:firstLine="482"/>
        <w:outlineLvl w:val="1"/>
        <w:rPr>
          <w:rFonts w:ascii="宋体" w:hAnsi="宋体" w:eastAsia="宋体"/>
          <w:bCs/>
          <w:szCs w:val="24"/>
          <w:highlight w:val="none"/>
        </w:rPr>
      </w:pPr>
      <w:bookmarkStart w:id="34" w:name="_Toc161231744"/>
      <w:bookmarkStart w:id="35" w:name="_Toc156986232"/>
      <w:r>
        <w:rPr>
          <w:rFonts w:ascii="宋体" w:hAnsi="宋体" w:eastAsia="宋体"/>
          <w:bCs/>
          <w:szCs w:val="24"/>
          <w:highlight w:val="none"/>
        </w:rPr>
        <w:t>2.委托人义务</w:t>
      </w:r>
      <w:bookmarkEnd w:id="34"/>
      <w:bookmarkEnd w:id="35"/>
    </w:p>
    <w:p w14:paraId="3CE0D789">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2.1 遵守法律</w:t>
      </w:r>
    </w:p>
    <w:p w14:paraId="000C16CD">
      <w:pPr>
        <w:pStyle w:val="35"/>
        <w:spacing w:after="0" w:line="520" w:lineRule="exact"/>
        <w:ind w:firstLine="480" w:firstLineChars="200"/>
        <w:rPr>
          <w:rFonts w:hint="eastAsia" w:ascii="宋体" w:hAnsi="宋体"/>
          <w:sz w:val="24"/>
          <w:highlight w:val="none"/>
        </w:rPr>
      </w:pPr>
      <w:r>
        <w:rPr>
          <w:rFonts w:ascii="宋体" w:hAnsi="宋体"/>
          <w:sz w:val="24"/>
          <w:highlight w:val="none"/>
        </w:rPr>
        <w:t>委托人在履行合同过程中应遵守法律，并保证</w:t>
      </w:r>
      <w:r>
        <w:rPr>
          <w:rFonts w:hint="eastAsia" w:ascii="宋体" w:hAnsi="宋体"/>
          <w:sz w:val="24"/>
          <w:highlight w:val="none"/>
        </w:rPr>
        <w:t>咨询人</w:t>
      </w:r>
      <w:r>
        <w:rPr>
          <w:rFonts w:ascii="宋体" w:hAnsi="宋体"/>
          <w:sz w:val="24"/>
          <w:highlight w:val="none"/>
        </w:rPr>
        <w:t>免于承担因委托人违反法律而引起的任何责任。</w:t>
      </w:r>
    </w:p>
    <w:p w14:paraId="70CC629D">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2.2 发出开始咨询服务通知</w:t>
      </w:r>
    </w:p>
    <w:p w14:paraId="1155FA79">
      <w:pPr>
        <w:pStyle w:val="35"/>
        <w:spacing w:after="0" w:line="520" w:lineRule="exact"/>
        <w:ind w:firstLine="480" w:firstLineChars="200"/>
        <w:rPr>
          <w:rFonts w:hint="eastAsia" w:ascii="宋体" w:hAnsi="宋体"/>
          <w:sz w:val="24"/>
          <w:highlight w:val="none"/>
        </w:rPr>
      </w:pPr>
      <w:r>
        <w:rPr>
          <w:rFonts w:ascii="宋体" w:hAnsi="宋体"/>
          <w:sz w:val="24"/>
          <w:highlight w:val="none"/>
        </w:rPr>
        <w:t>委托人应按第 6.1 款的约定向</w:t>
      </w:r>
      <w:r>
        <w:rPr>
          <w:rFonts w:hint="eastAsia" w:ascii="宋体" w:hAnsi="宋体"/>
          <w:sz w:val="24"/>
          <w:highlight w:val="none"/>
        </w:rPr>
        <w:t>咨询人</w:t>
      </w:r>
      <w:r>
        <w:rPr>
          <w:rFonts w:ascii="宋体" w:hAnsi="宋体"/>
          <w:sz w:val="24"/>
          <w:highlight w:val="none"/>
        </w:rPr>
        <w:t>发出开始</w:t>
      </w:r>
      <w:r>
        <w:rPr>
          <w:rFonts w:hint="eastAsia" w:ascii="宋体" w:hAnsi="宋体"/>
          <w:sz w:val="24"/>
          <w:highlight w:val="none"/>
        </w:rPr>
        <w:t>咨询服务</w:t>
      </w:r>
      <w:r>
        <w:rPr>
          <w:rFonts w:ascii="宋体" w:hAnsi="宋体"/>
          <w:sz w:val="24"/>
          <w:highlight w:val="none"/>
        </w:rPr>
        <w:t>通知。</w:t>
      </w:r>
    </w:p>
    <w:p w14:paraId="09D448B2">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2.3 办理证件和批件</w:t>
      </w:r>
    </w:p>
    <w:p w14:paraId="32733D40">
      <w:pPr>
        <w:pStyle w:val="35"/>
        <w:spacing w:after="0" w:line="520" w:lineRule="exact"/>
        <w:ind w:firstLine="480" w:firstLineChars="200"/>
        <w:rPr>
          <w:rFonts w:hint="eastAsia" w:ascii="宋体" w:hAnsi="宋体"/>
          <w:sz w:val="24"/>
          <w:highlight w:val="none"/>
        </w:rPr>
      </w:pPr>
      <w:r>
        <w:rPr>
          <w:rFonts w:ascii="宋体" w:hAnsi="宋体"/>
          <w:sz w:val="24"/>
          <w:highlight w:val="none"/>
        </w:rPr>
        <w:t>法律规定和（或）合同约定由委托人负责办理的工程建设项目必须履行的各类审批、核准或备案手续，委托人应当按时办理，</w:t>
      </w:r>
      <w:r>
        <w:rPr>
          <w:rFonts w:hint="eastAsia" w:ascii="宋体" w:hAnsi="宋体"/>
          <w:sz w:val="24"/>
          <w:highlight w:val="none"/>
        </w:rPr>
        <w:t>咨询人</w:t>
      </w:r>
      <w:r>
        <w:rPr>
          <w:rFonts w:ascii="宋体" w:hAnsi="宋体"/>
          <w:sz w:val="24"/>
          <w:highlight w:val="none"/>
        </w:rPr>
        <w:t>应给予必要的协助。</w:t>
      </w:r>
    </w:p>
    <w:p w14:paraId="68B99B9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法律规定和（或）合同约定由咨询人负责办理的咨询服务所需的证件和批件，委托人应给予必要的协助。</w:t>
      </w:r>
    </w:p>
    <w:p w14:paraId="44F60B30">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2.4 支付合同价款</w:t>
      </w:r>
    </w:p>
    <w:p w14:paraId="73FBEC8E">
      <w:pPr>
        <w:pStyle w:val="35"/>
        <w:spacing w:after="0" w:line="520" w:lineRule="exact"/>
        <w:ind w:firstLine="480" w:firstLineChars="200"/>
        <w:rPr>
          <w:rFonts w:hint="eastAsia" w:ascii="宋体" w:hAnsi="宋体"/>
          <w:sz w:val="24"/>
          <w:highlight w:val="none"/>
        </w:rPr>
      </w:pPr>
      <w:r>
        <w:rPr>
          <w:rFonts w:ascii="宋体" w:hAnsi="宋体"/>
          <w:sz w:val="24"/>
          <w:highlight w:val="none"/>
        </w:rPr>
        <w:t>委托人应按合同约定向</w:t>
      </w:r>
      <w:r>
        <w:rPr>
          <w:rFonts w:hint="eastAsia" w:ascii="宋体" w:hAnsi="宋体"/>
          <w:sz w:val="24"/>
          <w:highlight w:val="none"/>
        </w:rPr>
        <w:t>咨询人</w:t>
      </w:r>
      <w:r>
        <w:rPr>
          <w:rFonts w:ascii="宋体" w:hAnsi="宋体"/>
          <w:sz w:val="24"/>
          <w:highlight w:val="none"/>
        </w:rPr>
        <w:t>及时支付合同价款。</w:t>
      </w:r>
    </w:p>
    <w:p w14:paraId="44AABCCF">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2.5 提供咨询服务资料</w:t>
      </w:r>
    </w:p>
    <w:p w14:paraId="6C26479A">
      <w:pPr>
        <w:pStyle w:val="35"/>
        <w:spacing w:after="0" w:line="520" w:lineRule="exact"/>
        <w:ind w:firstLine="480" w:firstLineChars="200"/>
        <w:rPr>
          <w:rFonts w:hint="eastAsia" w:ascii="宋体" w:hAnsi="宋体"/>
          <w:sz w:val="24"/>
          <w:highlight w:val="none"/>
        </w:rPr>
      </w:pPr>
      <w:r>
        <w:rPr>
          <w:rFonts w:ascii="宋体" w:hAnsi="宋体"/>
          <w:sz w:val="24"/>
          <w:highlight w:val="none"/>
        </w:rPr>
        <w:t>委托人应按第1.6.2 项的约定向</w:t>
      </w:r>
      <w:r>
        <w:rPr>
          <w:rFonts w:hint="eastAsia" w:ascii="宋体" w:hAnsi="宋体"/>
          <w:sz w:val="24"/>
          <w:highlight w:val="none"/>
        </w:rPr>
        <w:t>咨询人</w:t>
      </w:r>
      <w:r>
        <w:rPr>
          <w:rFonts w:ascii="宋体" w:hAnsi="宋体"/>
          <w:sz w:val="24"/>
          <w:highlight w:val="none"/>
        </w:rPr>
        <w:t>提供</w:t>
      </w:r>
      <w:r>
        <w:rPr>
          <w:rFonts w:hint="eastAsia" w:ascii="宋体" w:hAnsi="宋体"/>
          <w:sz w:val="24"/>
          <w:highlight w:val="none"/>
        </w:rPr>
        <w:t>咨询服务</w:t>
      </w:r>
      <w:r>
        <w:rPr>
          <w:rFonts w:ascii="宋体" w:hAnsi="宋体"/>
          <w:sz w:val="24"/>
          <w:highlight w:val="none"/>
        </w:rPr>
        <w:t>资料。</w:t>
      </w:r>
    </w:p>
    <w:p w14:paraId="1709BB23">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2.6 协调配合义务</w:t>
      </w:r>
    </w:p>
    <w:p w14:paraId="1735F4E6">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w:t>
      </w:r>
      <w:r>
        <w:rPr>
          <w:rFonts w:ascii="宋体" w:hAnsi="宋体"/>
          <w:sz w:val="24"/>
          <w:highlight w:val="none"/>
        </w:rPr>
        <w:t>为履行合同需要建设项目施工</w:t>
      </w:r>
      <w:r>
        <w:rPr>
          <w:rFonts w:hint="eastAsia" w:ascii="宋体" w:hAnsi="宋体"/>
          <w:sz w:val="24"/>
          <w:highlight w:val="none"/>
        </w:rPr>
        <w:t>承包</w:t>
      </w:r>
      <w:r>
        <w:rPr>
          <w:rFonts w:ascii="宋体" w:hAnsi="宋体"/>
          <w:sz w:val="24"/>
          <w:highlight w:val="none"/>
        </w:rPr>
        <w:t>人和(或）监理人配合的，委托人应协调施工</w:t>
      </w:r>
      <w:r>
        <w:rPr>
          <w:rFonts w:hint="eastAsia" w:ascii="宋体" w:hAnsi="宋体"/>
          <w:sz w:val="24"/>
          <w:highlight w:val="none"/>
        </w:rPr>
        <w:t>承包</w:t>
      </w:r>
      <w:r>
        <w:rPr>
          <w:rFonts w:ascii="宋体" w:hAnsi="宋体"/>
          <w:sz w:val="24"/>
          <w:highlight w:val="none"/>
        </w:rPr>
        <w:t>人和(或）监理人予以配合。</w:t>
      </w:r>
    </w:p>
    <w:p w14:paraId="1646D53E">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2.7 其他义务</w:t>
      </w:r>
    </w:p>
    <w:p w14:paraId="777D56D3">
      <w:pPr>
        <w:pStyle w:val="35"/>
        <w:spacing w:after="0" w:line="520" w:lineRule="exact"/>
        <w:ind w:firstLine="480" w:firstLineChars="200"/>
        <w:rPr>
          <w:rFonts w:hint="eastAsia" w:ascii="宋体" w:hAnsi="宋体"/>
          <w:sz w:val="24"/>
          <w:highlight w:val="none"/>
        </w:rPr>
      </w:pPr>
      <w:r>
        <w:rPr>
          <w:rFonts w:ascii="宋体" w:hAnsi="宋体"/>
          <w:sz w:val="24"/>
          <w:highlight w:val="none"/>
        </w:rPr>
        <w:t>委托人应履行合同约定的其他义务。</w:t>
      </w:r>
    </w:p>
    <w:p w14:paraId="7A4AD27A">
      <w:pPr>
        <w:pStyle w:val="723"/>
        <w:spacing w:line="520" w:lineRule="exact"/>
        <w:ind w:firstLine="482"/>
        <w:outlineLvl w:val="1"/>
        <w:rPr>
          <w:rFonts w:ascii="宋体" w:hAnsi="宋体" w:eastAsia="宋体"/>
          <w:b w:val="0"/>
          <w:bCs/>
          <w:szCs w:val="24"/>
          <w:highlight w:val="none"/>
        </w:rPr>
      </w:pPr>
      <w:bookmarkStart w:id="36" w:name="_Toc156986233"/>
      <w:bookmarkStart w:id="37" w:name="_Toc161231745"/>
      <w:r>
        <w:rPr>
          <w:rFonts w:ascii="宋体" w:hAnsi="宋体" w:eastAsia="宋体"/>
          <w:bCs/>
          <w:szCs w:val="24"/>
          <w:highlight w:val="none"/>
        </w:rPr>
        <w:t>3.委托人管理</w:t>
      </w:r>
      <w:bookmarkEnd w:id="36"/>
      <w:bookmarkEnd w:id="37"/>
    </w:p>
    <w:p w14:paraId="083766CE">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3.1 委托人代表</w:t>
      </w:r>
    </w:p>
    <w:p w14:paraId="4F741572">
      <w:pPr>
        <w:pStyle w:val="701"/>
        <w:tabs>
          <w:tab w:val="left" w:pos="149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3.1.1 除专用合同条款另有约定外，委托人应在合同签订后14天内，将委托人代表的姓名、职务、联系方式、授权范围和授权期限书面通知咨询人，由委托人代表在其授权范围和授权期限内，代表委托人行使权利、履行义务和处理合同履行中的具体事宜。委托人代表在授权范围内的行为由委托人承担法律责任。</w:t>
      </w:r>
    </w:p>
    <w:p w14:paraId="16D7BA04">
      <w:pPr>
        <w:pStyle w:val="701"/>
        <w:tabs>
          <w:tab w:val="left" w:pos="148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3.1.2 委托人代表违反法律法规、违背职业道德守则或者不按合同约定履行职责及义务，导致合同无法继续正常履行的，咨询人有权通知委托人更换委托人代表。委托人收到通知后7天内，应当核实完毕并将处理结果通知咨询人。</w:t>
      </w:r>
    </w:p>
    <w:p w14:paraId="25E4F26B">
      <w:pPr>
        <w:pStyle w:val="701"/>
        <w:tabs>
          <w:tab w:val="left" w:pos="146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3.1.3 委托人更换委托人代表的，应提前14天将更换人员的姓名、职务、联系方式、授权范围和授权期限书面通知咨询人。</w:t>
      </w:r>
    </w:p>
    <w:p w14:paraId="6D8224CA">
      <w:pPr>
        <w:pStyle w:val="701"/>
        <w:tabs>
          <w:tab w:val="left" w:pos="146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3.1.4 委托人代表可以授权委托人的其他人员负责执行其指派的一项或多项工作。委托人代表应将被授权人员的姓名、职务、联系方式、授权范围和授权期限书面通知咨询人。被授权人员在授权范围内发出的指示视为已得到委托人代表的同意，与委托人代表发出的指示具有同等效力。</w:t>
      </w:r>
    </w:p>
    <w:p w14:paraId="432F3B60">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3.2 委托人的指示</w:t>
      </w:r>
    </w:p>
    <w:p w14:paraId="788EA230">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3.2.1 委托人应按合同约定向咨询人发出指示，委托人的指示应盖有委托人单位章，并由委托人代表签字确认。</w:t>
      </w:r>
    </w:p>
    <w:p w14:paraId="190C63AE">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3.2.2 咨询人收到委托人作出的指示后应遵照执行。指示构成变更的，应按第11条执行。</w:t>
      </w:r>
    </w:p>
    <w:p w14:paraId="3C8BC44A">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3.2.3 在紧急情况下，委托人代表或其授权人员可以当场签发临时书面指示，咨询人应遵照执行。委托人代表应在临时书面指示发出后24小时内发出书面确认函，逾期未发出书面确认函的，该临时书面指示应被视为委托人的正式指示。</w:t>
      </w:r>
    </w:p>
    <w:p w14:paraId="49A8E0BC">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3.2.4 除专用合同条款另有约定外，咨询人只从委托人代表或按第3.1.4项约定的委托人代表授权人员处取得指示。</w:t>
      </w:r>
    </w:p>
    <w:p w14:paraId="597D8A18">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3.2.5 由于委托人未能按合同约定发出指示、指示延误或指示错误而导致咨询人费用增加和（或）周期延误的，委托人应承担由此增加的费用和（或）周期延误。</w:t>
      </w:r>
    </w:p>
    <w:p w14:paraId="768F65B2">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3.3 决定或答复</w:t>
      </w:r>
    </w:p>
    <w:p w14:paraId="290BA8FD">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3.3.1 委托人在法律允许的范围内有权对咨询人的咨询服务工作和（或）咨询服务成果文件作出处理决定，咨询人应按照委托人的决定执行，涉及咨询服务期限或咨询服务费用等问题按第11条的约定处理。</w:t>
      </w:r>
    </w:p>
    <w:p w14:paraId="3599C080">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3.3.2 委托人应在专用合同条款约定的时间之内，对咨询人书面提出的事项作出书面答复；逾期没有做出答复的，视为已获得委托人的批准。</w:t>
      </w:r>
    </w:p>
    <w:p w14:paraId="6BD0B1C1">
      <w:pPr>
        <w:pStyle w:val="723"/>
        <w:spacing w:line="520" w:lineRule="exact"/>
        <w:ind w:firstLine="482"/>
        <w:outlineLvl w:val="1"/>
        <w:rPr>
          <w:rFonts w:ascii="宋体" w:hAnsi="宋体" w:eastAsia="宋体"/>
          <w:bCs/>
          <w:szCs w:val="24"/>
          <w:highlight w:val="none"/>
        </w:rPr>
      </w:pPr>
      <w:bookmarkStart w:id="38" w:name="_Toc161231746"/>
      <w:bookmarkStart w:id="39" w:name="_Toc156986234"/>
      <w:r>
        <w:rPr>
          <w:rFonts w:ascii="宋体" w:hAnsi="宋体" w:eastAsia="宋体"/>
          <w:bCs/>
          <w:szCs w:val="24"/>
          <w:highlight w:val="none"/>
        </w:rPr>
        <w:t>4.咨询人义务</w:t>
      </w:r>
      <w:bookmarkEnd w:id="38"/>
      <w:bookmarkEnd w:id="39"/>
    </w:p>
    <w:p w14:paraId="3E55CA9F">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 xml:space="preserve">4.1 </w:t>
      </w:r>
      <w:r>
        <w:rPr>
          <w:rFonts w:ascii="宋体" w:hAnsi="宋体"/>
          <w:b/>
          <w:bCs/>
          <w:sz w:val="24"/>
          <w:highlight w:val="none"/>
        </w:rPr>
        <w:t>咨询人的一般义务</w:t>
      </w:r>
    </w:p>
    <w:p w14:paraId="0BCFED34">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4.1.1 遵守法律</w:t>
      </w:r>
    </w:p>
    <w:p w14:paraId="4451C36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w:t>
      </w:r>
      <w:r>
        <w:rPr>
          <w:rFonts w:ascii="宋体" w:hAnsi="宋体"/>
          <w:sz w:val="24"/>
          <w:highlight w:val="none"/>
        </w:rPr>
        <w:t>在履行合同过程中应遵守法律，并保证委托人免于承担因</w:t>
      </w:r>
      <w:r>
        <w:rPr>
          <w:rFonts w:hint="eastAsia" w:ascii="宋体" w:hAnsi="宋体"/>
          <w:sz w:val="24"/>
          <w:highlight w:val="none"/>
        </w:rPr>
        <w:t>咨询人</w:t>
      </w:r>
      <w:r>
        <w:rPr>
          <w:rFonts w:ascii="宋体" w:hAnsi="宋体"/>
          <w:sz w:val="24"/>
          <w:highlight w:val="none"/>
        </w:rPr>
        <w:t>违反法律而引起的任何责任。</w:t>
      </w:r>
    </w:p>
    <w:p w14:paraId="55E11E97">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4.1.2 依法纳税</w:t>
      </w:r>
    </w:p>
    <w:p w14:paraId="2DD0B6DB">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咨询人应按有关法律规定纳税，应缴纳的税金（含增值税）包括在合同价格之中。</w:t>
      </w:r>
    </w:p>
    <w:p w14:paraId="24F9C69D">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4.1.3 完成全部咨询服务工作</w:t>
      </w:r>
    </w:p>
    <w:p w14:paraId="44C78570">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w:t>
      </w:r>
      <w:r>
        <w:rPr>
          <w:rFonts w:ascii="宋体" w:hAnsi="宋体"/>
          <w:sz w:val="24"/>
          <w:highlight w:val="none"/>
        </w:rPr>
        <w:t>应按合同约定以及委托人要求，完成合同约定的全部工作，并对工作中的任何缺陷进行整改、完善和修补，使其满足合同约定的目的。</w:t>
      </w:r>
      <w:r>
        <w:rPr>
          <w:rFonts w:hint="eastAsia" w:ascii="宋体" w:hAnsi="宋体"/>
          <w:sz w:val="24"/>
          <w:highlight w:val="none"/>
        </w:rPr>
        <w:t>咨询人</w:t>
      </w:r>
      <w:r>
        <w:rPr>
          <w:rFonts w:ascii="宋体" w:hAnsi="宋体"/>
          <w:sz w:val="24"/>
          <w:highlight w:val="none"/>
        </w:rPr>
        <w:t>应按合同约定提供</w:t>
      </w:r>
      <w:r>
        <w:rPr>
          <w:rFonts w:hint="eastAsia" w:ascii="宋体" w:hAnsi="宋体"/>
          <w:sz w:val="24"/>
          <w:highlight w:val="none"/>
        </w:rPr>
        <w:t>咨询服务</w:t>
      </w:r>
      <w:r>
        <w:rPr>
          <w:rFonts w:ascii="宋体" w:hAnsi="宋体"/>
          <w:sz w:val="24"/>
          <w:highlight w:val="none"/>
        </w:rPr>
        <w:t>成果文件及</w:t>
      </w:r>
      <w:r>
        <w:rPr>
          <w:rFonts w:hint="eastAsia" w:ascii="宋体" w:hAnsi="宋体"/>
          <w:sz w:val="24"/>
          <w:highlight w:val="none"/>
        </w:rPr>
        <w:t>咨询服务</w:t>
      </w:r>
      <w:r>
        <w:rPr>
          <w:rFonts w:ascii="宋体" w:hAnsi="宋体"/>
          <w:sz w:val="24"/>
          <w:highlight w:val="none"/>
        </w:rPr>
        <w:t>相关工作等。</w:t>
      </w:r>
    </w:p>
    <w:p w14:paraId="56C72DF7">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4.1.4 其他义务</w:t>
      </w:r>
    </w:p>
    <w:p w14:paraId="460DC94E">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咨询人应履行合同约定的其他义务。</w:t>
      </w:r>
    </w:p>
    <w:p w14:paraId="331A7934">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4.2 履约保证金</w:t>
      </w:r>
    </w:p>
    <w:p w14:paraId="6282005C">
      <w:pPr>
        <w:pStyle w:val="701"/>
        <w:tabs>
          <w:tab w:val="left" w:pos="1082"/>
        </w:tabs>
        <w:autoSpaceDE w:val="0"/>
        <w:autoSpaceDN w:val="0"/>
        <w:spacing w:line="520" w:lineRule="exact"/>
        <w:ind w:firstLine="480"/>
        <w:jc w:val="left"/>
        <w:rPr>
          <w:rFonts w:hint="eastAsia" w:ascii="宋体" w:hAnsi="宋体"/>
          <w:b/>
          <w:sz w:val="24"/>
          <w:highlight w:val="none"/>
        </w:rPr>
      </w:pPr>
      <w:r>
        <w:rPr>
          <w:rFonts w:ascii="宋体" w:hAnsi="宋体"/>
          <w:sz w:val="24"/>
          <w:highlight w:val="none"/>
        </w:rPr>
        <w:t>委托人需要咨询人提交履约保证金的，由合同当事人在专用合同条款中约定履约保证金的方式、金额和期限。</w:t>
      </w:r>
    </w:p>
    <w:p w14:paraId="2BBB7639">
      <w:pPr>
        <w:pStyle w:val="35"/>
        <w:spacing w:after="0" w:line="520" w:lineRule="exact"/>
        <w:ind w:firstLine="480" w:firstLineChars="200"/>
        <w:rPr>
          <w:rFonts w:hint="eastAsia" w:ascii="宋体" w:hAnsi="宋体"/>
          <w:sz w:val="24"/>
          <w:highlight w:val="none"/>
        </w:rPr>
      </w:pPr>
      <w:r>
        <w:rPr>
          <w:rFonts w:ascii="宋体" w:hAnsi="宋体"/>
          <w:sz w:val="24"/>
          <w:highlight w:val="none"/>
        </w:rPr>
        <w:t>除专用合同条款另有约定外，履约保证金自合同生效之日起生效，在委托人签收最后一批</w:t>
      </w:r>
      <w:r>
        <w:rPr>
          <w:rFonts w:hint="eastAsia" w:ascii="宋体" w:hAnsi="宋体"/>
          <w:sz w:val="24"/>
          <w:highlight w:val="none"/>
        </w:rPr>
        <w:t>咨询服务</w:t>
      </w:r>
      <w:r>
        <w:rPr>
          <w:rFonts w:ascii="宋体" w:hAnsi="宋体"/>
          <w:sz w:val="24"/>
          <w:highlight w:val="none"/>
        </w:rPr>
        <w:t>成果文件之日起28天后失效。如果</w:t>
      </w:r>
      <w:r>
        <w:rPr>
          <w:rFonts w:hint="eastAsia" w:ascii="宋体" w:hAnsi="宋体"/>
          <w:sz w:val="24"/>
          <w:highlight w:val="none"/>
        </w:rPr>
        <w:t>咨询人</w:t>
      </w:r>
      <w:r>
        <w:rPr>
          <w:rFonts w:ascii="宋体" w:hAnsi="宋体"/>
          <w:sz w:val="24"/>
          <w:highlight w:val="none"/>
        </w:rPr>
        <w:t>不履行合同约定的义务或其履行不符合合同的约定，委托人有权扣划相应金额的履约保证金。</w:t>
      </w:r>
    </w:p>
    <w:p w14:paraId="3F207CB8">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4.3 分包和不得转包</w:t>
      </w:r>
    </w:p>
    <w:p w14:paraId="42793FD0">
      <w:pPr>
        <w:pStyle w:val="701"/>
        <w:tabs>
          <w:tab w:val="left" w:pos="150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4.3.1 咨询人不得将其咨询服务的全部工作转包给第三人，或将其承包的全部咨询服务工程肢解后以分包的名义转包给第三人。</w:t>
      </w:r>
    </w:p>
    <w:p w14:paraId="7BC6392C">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4.3.2 咨询人</w:t>
      </w:r>
      <w:r>
        <w:rPr>
          <w:rFonts w:ascii="宋体" w:hAnsi="宋体"/>
          <w:sz w:val="24"/>
          <w:highlight w:val="none"/>
        </w:rPr>
        <w:t>不得将</w:t>
      </w:r>
      <w:r>
        <w:rPr>
          <w:rFonts w:hint="eastAsia" w:ascii="宋体" w:hAnsi="宋体"/>
          <w:sz w:val="24"/>
          <w:highlight w:val="none"/>
        </w:rPr>
        <w:t>咨询服务</w:t>
      </w:r>
      <w:r>
        <w:rPr>
          <w:rFonts w:ascii="宋体" w:hAnsi="宋体"/>
          <w:sz w:val="24"/>
          <w:highlight w:val="none"/>
        </w:rPr>
        <w:t>的主要、关键性工作分包给第三人。除专用合同条款另有约定外，未经委托人同意，</w:t>
      </w:r>
      <w:r>
        <w:rPr>
          <w:rFonts w:hint="eastAsia" w:ascii="宋体" w:hAnsi="宋体"/>
          <w:sz w:val="24"/>
          <w:highlight w:val="none"/>
        </w:rPr>
        <w:t>咨询人</w:t>
      </w:r>
      <w:r>
        <w:rPr>
          <w:rFonts w:ascii="宋体" w:hAnsi="宋体"/>
          <w:sz w:val="24"/>
          <w:highlight w:val="none"/>
        </w:rPr>
        <w:t>也不得将非主要、非关键性工作分包给第三人。具体可分包的</w:t>
      </w:r>
      <w:r>
        <w:rPr>
          <w:rFonts w:hint="eastAsia" w:ascii="宋体" w:hAnsi="宋体"/>
          <w:sz w:val="24"/>
          <w:highlight w:val="none"/>
        </w:rPr>
        <w:t>咨询服务</w:t>
      </w:r>
      <w:r>
        <w:rPr>
          <w:rFonts w:ascii="宋体" w:hAnsi="宋体"/>
          <w:sz w:val="24"/>
          <w:highlight w:val="none"/>
        </w:rPr>
        <w:t>内容及要求在专用合同条款中约定。</w:t>
      </w:r>
    </w:p>
    <w:p w14:paraId="4EEE54B0">
      <w:pPr>
        <w:pStyle w:val="701"/>
        <w:tabs>
          <w:tab w:val="left" w:pos="1445"/>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4.3.3 委托人同意咨询人分包工作的，咨询人应向委托人提交1份分包合同副本，并对分包咨询服务工作质量承担连带责任。除专用合同条款另有约定外，分包人的咨询服务费用由咨询人与分包人自行支付。生效法律文书要求委托人向分包人支付分包合同价款的，委托人有权从应付咨询人工程款中扣除该部分款项。</w:t>
      </w:r>
    </w:p>
    <w:p w14:paraId="03811421">
      <w:pPr>
        <w:pStyle w:val="701"/>
        <w:tabs>
          <w:tab w:val="left" w:pos="150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4.3.4 分包人的资格能力应与其分包工作的标准和规模相适应，包括必要的企业资质、人员、设备和类似业绩等。</w:t>
      </w:r>
    </w:p>
    <w:p w14:paraId="2C12BFA9">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4.4 联合体</w:t>
      </w:r>
    </w:p>
    <w:p w14:paraId="2C25739A">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4.4.1 联合体各方应共同与委托人签订合同。联合体各方应为履行合同承担连带责任。</w:t>
      </w:r>
    </w:p>
    <w:p w14:paraId="5A22E283">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4.4.2 联合体协议经委托人确认后作为合同附件。在履行合同过程中，未经委托人同意，不得修改联合体协议。</w:t>
      </w:r>
    </w:p>
    <w:p w14:paraId="37E5C3F9">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4.4.3 联合体牵头人负责与委托人联系，并接受指示，负责组织联合体各成员全面履行合同。</w:t>
      </w:r>
    </w:p>
    <w:p w14:paraId="57791AB6">
      <w:pPr>
        <w:tabs>
          <w:tab w:val="left" w:pos="1051"/>
        </w:tabs>
        <w:autoSpaceDE w:val="0"/>
        <w:autoSpaceDN w:val="0"/>
        <w:spacing w:line="520" w:lineRule="exact"/>
        <w:ind w:firstLine="482" w:firstLineChars="200"/>
        <w:rPr>
          <w:rFonts w:hint="eastAsia" w:ascii="宋体" w:hAnsi="宋体"/>
          <w:b/>
          <w:sz w:val="24"/>
          <w:highlight w:val="none"/>
        </w:rPr>
      </w:pPr>
      <w:r>
        <w:rPr>
          <w:rFonts w:ascii="宋体" w:hAnsi="宋体"/>
          <w:b/>
          <w:sz w:val="24"/>
          <w:highlight w:val="none"/>
        </w:rPr>
        <w:t>4.5 项目负责人</w:t>
      </w:r>
    </w:p>
    <w:p w14:paraId="02FE09D5">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4.5.1 咨询人应按合同协议书的约定指派项目负责人，并在约定的期限内到职。咨询人更换项目负责人应事先征得委托人同意，并应在更换14天前将拟更换的项目负责人的姓名和详细资料提交委托人。项目负责人2天内不能履行职责的，应事先征得委托人同意，并委派代表代行其职责。</w:t>
      </w:r>
    </w:p>
    <w:p w14:paraId="08817B41">
      <w:pPr>
        <w:pStyle w:val="701"/>
        <w:tabs>
          <w:tab w:val="left" w:pos="148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16247182">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4.5.3 咨询人为履行合同发出的一切函件均应盖有咨询人单位章，并由咨询人的项目负责人签字确认。</w:t>
      </w:r>
    </w:p>
    <w:p w14:paraId="4D93494A">
      <w:pPr>
        <w:pStyle w:val="701"/>
        <w:tabs>
          <w:tab w:val="left" w:pos="150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4.5.4 按照专用合同条款约定，项目负责人可以授权其下属人员履行其某项职责，但事先应将这些人员的姓名、职务、联系方式、授权范围和授权期限书面通知委托人。</w:t>
      </w:r>
    </w:p>
    <w:p w14:paraId="2517A20E">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 xml:space="preserve">4.6 </w:t>
      </w:r>
      <w:r>
        <w:rPr>
          <w:rFonts w:hint="eastAsia" w:ascii="宋体" w:hAnsi="宋体"/>
          <w:b/>
          <w:sz w:val="24"/>
          <w:highlight w:val="none"/>
        </w:rPr>
        <w:t>咨询</w:t>
      </w:r>
      <w:r>
        <w:rPr>
          <w:rFonts w:ascii="宋体" w:hAnsi="宋体"/>
          <w:b/>
          <w:sz w:val="24"/>
          <w:highlight w:val="none"/>
        </w:rPr>
        <w:t>人员的管理</w:t>
      </w:r>
    </w:p>
    <w:p w14:paraId="140B2E3D">
      <w:pPr>
        <w:pStyle w:val="701"/>
        <w:tabs>
          <w:tab w:val="left" w:pos="1474"/>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4.6.1 咨询人应在接到开始咨询服务通知之日起7天内，向委托人提交咨询服务项目机构以及人员安排的报告，其内容应包括项目机构设置、主要</w:t>
      </w:r>
      <w:r>
        <w:rPr>
          <w:rFonts w:hint="eastAsia" w:ascii="宋体" w:hAnsi="宋体"/>
          <w:sz w:val="24"/>
          <w:highlight w:val="none"/>
        </w:rPr>
        <w:t>咨询</w:t>
      </w:r>
      <w:r>
        <w:rPr>
          <w:rFonts w:ascii="宋体" w:hAnsi="宋体"/>
          <w:sz w:val="24"/>
          <w:highlight w:val="none"/>
        </w:rPr>
        <w:t>人员和其他人员的名单及资格条件。主要</w:t>
      </w:r>
      <w:r>
        <w:rPr>
          <w:rFonts w:hint="eastAsia" w:ascii="宋体" w:hAnsi="宋体"/>
          <w:sz w:val="24"/>
          <w:highlight w:val="none"/>
        </w:rPr>
        <w:t>咨询</w:t>
      </w:r>
      <w:r>
        <w:rPr>
          <w:rFonts w:ascii="宋体" w:hAnsi="宋体"/>
          <w:sz w:val="24"/>
          <w:highlight w:val="none"/>
        </w:rPr>
        <w:t>人员应相对稳定，更换主要</w:t>
      </w:r>
      <w:r>
        <w:rPr>
          <w:rFonts w:hint="eastAsia" w:ascii="宋体" w:hAnsi="宋体"/>
          <w:sz w:val="24"/>
          <w:highlight w:val="none"/>
        </w:rPr>
        <w:t>咨询</w:t>
      </w:r>
      <w:r>
        <w:rPr>
          <w:rFonts w:ascii="宋体" w:hAnsi="宋体"/>
          <w:sz w:val="24"/>
          <w:highlight w:val="none"/>
        </w:rPr>
        <w:t>人员的，应取得委托人的同意,并向委托人提交继任人员的资格、管理经验等资料。项目负责人的更换，应按照本章第4.5.1项规定执行。</w:t>
      </w:r>
    </w:p>
    <w:p w14:paraId="0B5927B4">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4.6.2 除专用合同条款另有约定外，主要</w:t>
      </w:r>
      <w:r>
        <w:rPr>
          <w:rFonts w:hint="eastAsia" w:ascii="宋体" w:hAnsi="宋体"/>
          <w:sz w:val="24"/>
          <w:highlight w:val="none"/>
        </w:rPr>
        <w:t>咨询</w:t>
      </w:r>
      <w:r>
        <w:rPr>
          <w:rFonts w:ascii="宋体" w:hAnsi="宋体"/>
          <w:sz w:val="24"/>
          <w:highlight w:val="none"/>
        </w:rPr>
        <w:t>人员包括项目负责人、专业负责人、审核人、审定人等；其他人员包括各专业的</w:t>
      </w:r>
      <w:r>
        <w:rPr>
          <w:rFonts w:hint="eastAsia" w:ascii="宋体" w:hAnsi="宋体"/>
          <w:sz w:val="24"/>
          <w:highlight w:val="none"/>
        </w:rPr>
        <w:t>咨询</w:t>
      </w:r>
      <w:r>
        <w:rPr>
          <w:rFonts w:ascii="宋体" w:hAnsi="宋体"/>
          <w:sz w:val="24"/>
          <w:highlight w:val="none"/>
        </w:rPr>
        <w:t>人员、管理人员等。</w:t>
      </w:r>
    </w:p>
    <w:p w14:paraId="6083B34D">
      <w:pPr>
        <w:pStyle w:val="701"/>
        <w:tabs>
          <w:tab w:val="left" w:pos="148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4.6.3咨询人应保证其主要</w:t>
      </w:r>
      <w:r>
        <w:rPr>
          <w:rFonts w:hint="eastAsia" w:ascii="宋体" w:hAnsi="宋体"/>
          <w:sz w:val="24"/>
          <w:highlight w:val="none"/>
        </w:rPr>
        <w:t>咨询</w:t>
      </w:r>
      <w:r>
        <w:rPr>
          <w:rFonts w:ascii="宋体" w:hAnsi="宋体"/>
          <w:sz w:val="24"/>
          <w:highlight w:val="none"/>
        </w:rPr>
        <w:t>人员（含分包人）在合同期限内的任何时候，都能按时参加委托人组织的工作会议。</w:t>
      </w:r>
    </w:p>
    <w:p w14:paraId="684F6CD4">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4.6.4 国家规定应当持证上岗的工作人员均应持有相应的资格证明，委托人有权随时检查。委托人认为有必要时，可以进行现场考核。</w:t>
      </w:r>
    </w:p>
    <w:p w14:paraId="03C172EB">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4.7 撤换项目负责人和其他人员</w:t>
      </w:r>
    </w:p>
    <w:p w14:paraId="518AB4D9">
      <w:pPr>
        <w:pStyle w:val="701"/>
        <w:tabs>
          <w:tab w:val="left" w:pos="1082"/>
        </w:tabs>
        <w:autoSpaceDE w:val="0"/>
        <w:autoSpaceDN w:val="0"/>
        <w:spacing w:line="520" w:lineRule="exact"/>
        <w:ind w:firstLine="480"/>
        <w:jc w:val="left"/>
        <w:rPr>
          <w:rFonts w:hint="eastAsia" w:ascii="宋体" w:hAnsi="宋体"/>
          <w:b/>
          <w:sz w:val="24"/>
          <w:highlight w:val="none"/>
        </w:rPr>
      </w:pPr>
      <w:r>
        <w:rPr>
          <w:rFonts w:ascii="宋体" w:hAnsi="宋体"/>
          <w:sz w:val="24"/>
          <w:highlight w:val="none"/>
        </w:rPr>
        <w:t>咨询人应对其项目负责人和其他人员进行有效管理。委托人要求撤换不能胜任本职工作、行为不端或玩忽职守的项目负责人和其他人员的，咨询人应予以撤换。</w:t>
      </w:r>
    </w:p>
    <w:p w14:paraId="565DFDF6">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4.8 保障人员的合法权益</w:t>
      </w:r>
    </w:p>
    <w:p w14:paraId="07F1330A">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4.8.1 咨询人应与其雇用的人员签订劳动合同，并按时发放工资。</w:t>
      </w:r>
    </w:p>
    <w:p w14:paraId="6124C86D">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4.8.2 咨询人应按劳动法的规定安排工作时间，保证其雇</w:t>
      </w:r>
      <w:r>
        <w:rPr>
          <w:rFonts w:hint="eastAsia" w:ascii="宋体" w:hAnsi="宋体"/>
          <w:sz w:val="24"/>
          <w:highlight w:val="none"/>
        </w:rPr>
        <w:t>佣</w:t>
      </w:r>
      <w:r>
        <w:rPr>
          <w:rFonts w:ascii="宋体" w:hAnsi="宋体"/>
          <w:sz w:val="24"/>
          <w:highlight w:val="none"/>
        </w:rPr>
        <w:t>人员享有休息和休假的权利。因咨询服务需要占用休假日或延长工作时间的，应不超过法律规定的限度，并按法律规定给予补休或付酬。</w:t>
      </w:r>
    </w:p>
    <w:p w14:paraId="57A60DE5">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4.8..3 咨询人应按有关法律规定和合同约定，为其雇</w:t>
      </w:r>
      <w:r>
        <w:rPr>
          <w:rFonts w:hint="eastAsia" w:ascii="宋体" w:hAnsi="宋体"/>
          <w:sz w:val="24"/>
          <w:highlight w:val="none"/>
        </w:rPr>
        <w:t>佣</w:t>
      </w:r>
      <w:r>
        <w:rPr>
          <w:rFonts w:ascii="宋体" w:hAnsi="宋体"/>
          <w:sz w:val="24"/>
          <w:highlight w:val="none"/>
        </w:rPr>
        <w:t>人员办理保险。</w:t>
      </w:r>
    </w:p>
    <w:p w14:paraId="6C85FB03">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4.9  合同价款应专款专用</w:t>
      </w:r>
    </w:p>
    <w:p w14:paraId="18D6E458">
      <w:pPr>
        <w:pStyle w:val="35"/>
        <w:spacing w:after="0" w:line="520" w:lineRule="exact"/>
        <w:ind w:firstLine="480" w:firstLineChars="200"/>
        <w:rPr>
          <w:rFonts w:hint="eastAsia" w:ascii="宋体" w:hAnsi="宋体"/>
          <w:sz w:val="24"/>
          <w:highlight w:val="none"/>
        </w:rPr>
      </w:pPr>
      <w:r>
        <w:rPr>
          <w:rFonts w:ascii="宋体" w:hAnsi="宋体"/>
          <w:sz w:val="24"/>
          <w:highlight w:val="none"/>
        </w:rPr>
        <w:t>委托人按合同约定支付给</w:t>
      </w:r>
      <w:r>
        <w:rPr>
          <w:rFonts w:hint="eastAsia" w:ascii="宋体" w:hAnsi="宋体"/>
          <w:sz w:val="24"/>
          <w:highlight w:val="none"/>
        </w:rPr>
        <w:t>咨询人</w:t>
      </w:r>
      <w:r>
        <w:rPr>
          <w:rFonts w:ascii="宋体" w:hAnsi="宋体"/>
          <w:sz w:val="24"/>
          <w:highlight w:val="none"/>
        </w:rPr>
        <w:t>的各项价款，应专用于合同</w:t>
      </w:r>
      <w:r>
        <w:rPr>
          <w:rFonts w:hint="eastAsia" w:ascii="宋体" w:hAnsi="宋体"/>
          <w:sz w:val="24"/>
          <w:highlight w:val="none"/>
        </w:rPr>
        <w:t>咨询服务</w:t>
      </w:r>
      <w:r>
        <w:rPr>
          <w:rFonts w:ascii="宋体" w:hAnsi="宋体"/>
          <w:sz w:val="24"/>
          <w:highlight w:val="none"/>
        </w:rPr>
        <w:t>工作。</w:t>
      </w:r>
    </w:p>
    <w:p w14:paraId="033C377E">
      <w:pPr>
        <w:pStyle w:val="723"/>
        <w:spacing w:line="520" w:lineRule="exact"/>
        <w:ind w:firstLine="482"/>
        <w:outlineLvl w:val="1"/>
        <w:rPr>
          <w:rFonts w:ascii="宋体" w:hAnsi="宋体" w:eastAsia="宋体"/>
          <w:bCs/>
          <w:szCs w:val="24"/>
          <w:highlight w:val="none"/>
        </w:rPr>
      </w:pPr>
      <w:bookmarkStart w:id="40" w:name="_Toc161231747"/>
      <w:bookmarkStart w:id="41" w:name="_Toc156986235"/>
      <w:r>
        <w:rPr>
          <w:rFonts w:ascii="宋体" w:hAnsi="宋体" w:eastAsia="宋体"/>
          <w:bCs/>
          <w:szCs w:val="24"/>
          <w:highlight w:val="none"/>
        </w:rPr>
        <w:t>5.咨询服务要求</w:t>
      </w:r>
      <w:bookmarkEnd w:id="40"/>
      <w:bookmarkEnd w:id="41"/>
    </w:p>
    <w:p w14:paraId="16640205">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5.1 一般要求</w:t>
      </w:r>
    </w:p>
    <w:p w14:paraId="00D45953">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5.1.1 委托人应当遵守法律和规范标准，不得以任何理由要求咨询人违反法律和工程质量、安全标准、环保标准进行咨询服务，降低工程质量。</w:t>
      </w:r>
    </w:p>
    <w:p w14:paraId="50162D63">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5.1.2咨询人应按照法律规定，以及国家、行业和地方的规范和标准完成咨询服务工作，并应符合委托人要求。各项规范、标准和委托人要求之间如对同一内容的描述不一致时，应以描述更为严格的内容为准。</w:t>
      </w:r>
    </w:p>
    <w:p w14:paraId="4F72FC21">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5.1.3 除专用合同条款另有约定外，咨询人完成咨询服务工作所应遵守的法律规定，以及国家、行业和地方的规范和标准，均应视为在基准日适用的版本。基准日之后，前述版本发生重大变化，或者有新的法律，以及国家、行业和地方的规范和标准实施的，咨询人应向委托人提出遵守新规定的建议。委托人应在收到建议后 7天内发出是否遵守新规定的指示。委托人指示遵守新规定的，按照第11条约定执行。</w:t>
      </w:r>
    </w:p>
    <w:p w14:paraId="3C9AD0BD">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5.1.4咨询人在咨询服务中选用的材料、设备，应当注明其规格、型号、性能等技术指标及适应性，满足质量、安全、节能、环保等要求。</w:t>
      </w:r>
    </w:p>
    <w:p w14:paraId="2873074D">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 xml:space="preserve">5.2 </w:t>
      </w:r>
      <w:r>
        <w:rPr>
          <w:rFonts w:ascii="宋体" w:hAnsi="宋体"/>
          <w:b/>
          <w:bCs/>
          <w:sz w:val="24"/>
          <w:highlight w:val="none"/>
        </w:rPr>
        <w:t>咨询服务</w:t>
      </w:r>
      <w:r>
        <w:rPr>
          <w:rFonts w:ascii="宋体" w:hAnsi="宋体"/>
          <w:b/>
          <w:sz w:val="24"/>
          <w:highlight w:val="none"/>
        </w:rPr>
        <w:t>依据</w:t>
      </w:r>
    </w:p>
    <w:p w14:paraId="0B0A451F">
      <w:pPr>
        <w:pStyle w:val="35"/>
        <w:spacing w:after="0" w:line="520" w:lineRule="exact"/>
        <w:ind w:firstLine="480" w:firstLineChars="200"/>
        <w:rPr>
          <w:rFonts w:hint="eastAsia" w:ascii="宋体" w:hAnsi="宋体"/>
          <w:sz w:val="24"/>
          <w:highlight w:val="none"/>
        </w:rPr>
      </w:pPr>
      <w:r>
        <w:rPr>
          <w:rFonts w:ascii="宋体" w:hAnsi="宋体"/>
          <w:sz w:val="24"/>
          <w:highlight w:val="none"/>
        </w:rPr>
        <w:t>除专用合同条款另有约定外，本工程的</w:t>
      </w:r>
      <w:r>
        <w:rPr>
          <w:rFonts w:hint="eastAsia" w:ascii="宋体" w:hAnsi="宋体"/>
          <w:sz w:val="24"/>
          <w:highlight w:val="none"/>
        </w:rPr>
        <w:t>咨询服务</w:t>
      </w:r>
      <w:r>
        <w:rPr>
          <w:rFonts w:ascii="宋体" w:hAnsi="宋体"/>
          <w:sz w:val="24"/>
          <w:highlight w:val="none"/>
        </w:rPr>
        <w:t>依据如下：</w:t>
      </w:r>
    </w:p>
    <w:p w14:paraId="3DED2E6A">
      <w:pPr>
        <w:pStyle w:val="701"/>
        <w:tabs>
          <w:tab w:val="left" w:pos="151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（1）适用的法律、行政法规及部门规章；</w:t>
      </w:r>
    </w:p>
    <w:p w14:paraId="4243C487">
      <w:pPr>
        <w:pStyle w:val="701"/>
        <w:tabs>
          <w:tab w:val="left" w:pos="151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（2）相关的规范、标准、规程；</w:t>
      </w:r>
    </w:p>
    <w:p w14:paraId="0958170D">
      <w:pPr>
        <w:pStyle w:val="701"/>
        <w:tabs>
          <w:tab w:val="left" w:pos="151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（3）基础资料及其他文件；</w:t>
      </w:r>
    </w:p>
    <w:p w14:paraId="0D08C238">
      <w:pPr>
        <w:pStyle w:val="701"/>
        <w:tabs>
          <w:tab w:val="left" w:pos="150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（4）本咨询服务合同及补充合同（如有）；</w:t>
      </w:r>
    </w:p>
    <w:p w14:paraId="29B10B38">
      <w:pPr>
        <w:pStyle w:val="701"/>
        <w:tabs>
          <w:tab w:val="left" w:pos="151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（5）本工程前期成果文件；</w:t>
      </w:r>
    </w:p>
    <w:p w14:paraId="1BA56534">
      <w:pPr>
        <w:pStyle w:val="701"/>
        <w:tabs>
          <w:tab w:val="left" w:pos="151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（6）合同履行中与咨询服务有关的来往函件；</w:t>
      </w:r>
    </w:p>
    <w:p w14:paraId="2455CBEF">
      <w:pPr>
        <w:pStyle w:val="701"/>
        <w:tabs>
          <w:tab w:val="left" w:pos="151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（7）其他咨询服务依据。</w:t>
      </w:r>
    </w:p>
    <w:p w14:paraId="3D92A599">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5.3 咨询服务范围</w:t>
      </w:r>
    </w:p>
    <w:p w14:paraId="49CC3A4D">
      <w:pPr>
        <w:pStyle w:val="35"/>
        <w:spacing w:after="0" w:line="520" w:lineRule="exact"/>
        <w:ind w:firstLine="480" w:firstLineChars="200"/>
        <w:rPr>
          <w:rFonts w:hint="eastAsia" w:ascii="宋体" w:hAnsi="宋体"/>
          <w:sz w:val="24"/>
          <w:highlight w:val="none"/>
        </w:rPr>
      </w:pPr>
      <w:r>
        <w:rPr>
          <w:rFonts w:ascii="宋体" w:hAnsi="宋体"/>
          <w:sz w:val="24"/>
          <w:highlight w:val="none"/>
        </w:rPr>
        <w:t>本合同的</w:t>
      </w:r>
      <w:r>
        <w:rPr>
          <w:rFonts w:hint="eastAsia" w:ascii="宋体" w:hAnsi="宋体"/>
          <w:sz w:val="24"/>
          <w:highlight w:val="none"/>
        </w:rPr>
        <w:t>咨询服务</w:t>
      </w:r>
      <w:r>
        <w:rPr>
          <w:rFonts w:ascii="宋体" w:hAnsi="宋体"/>
          <w:sz w:val="24"/>
          <w:highlight w:val="none"/>
        </w:rPr>
        <w:t>范围具体范围在专用合同条款中约定。</w:t>
      </w:r>
    </w:p>
    <w:p w14:paraId="71DCBC4A">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5.4 咨询服务成果文件要求</w:t>
      </w:r>
    </w:p>
    <w:p w14:paraId="4FC54E83">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5.4.1 咨询服务成果文件的编制应符合法律法规、规范标准的强制性规定和委托人要求，咨询服务依据应完整、准确、可靠，咨询服务方案论证充分，计算成果规范可靠，并能够实施。</w:t>
      </w:r>
    </w:p>
    <w:p w14:paraId="256B68A8">
      <w:pPr>
        <w:pStyle w:val="701"/>
        <w:tabs>
          <w:tab w:val="left" w:pos="146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5.4.2 咨询服务应当根据法律、规范标准和委托人要求，并在咨询服务成果文件中予以注明。</w:t>
      </w:r>
    </w:p>
    <w:p w14:paraId="60CC52C9">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5.4.3 咨询服务成果文件的深度应满足本合同相应咨询服务阶段的规定要求，满足委托人的下步工作需要，并应符合国家和行业现行规定。</w:t>
      </w:r>
    </w:p>
    <w:p w14:paraId="64F7C04F">
      <w:pPr>
        <w:pStyle w:val="723"/>
        <w:spacing w:line="520" w:lineRule="exact"/>
        <w:ind w:firstLine="482"/>
        <w:outlineLvl w:val="1"/>
        <w:rPr>
          <w:rFonts w:ascii="宋体" w:hAnsi="宋体" w:eastAsia="宋体"/>
          <w:b w:val="0"/>
          <w:bCs/>
          <w:szCs w:val="24"/>
          <w:highlight w:val="none"/>
        </w:rPr>
      </w:pPr>
      <w:bookmarkStart w:id="42" w:name="_Toc161231748"/>
      <w:bookmarkStart w:id="43" w:name="_Toc156986236"/>
      <w:r>
        <w:rPr>
          <w:rFonts w:ascii="宋体" w:hAnsi="宋体" w:eastAsia="宋体"/>
          <w:bCs/>
          <w:szCs w:val="24"/>
          <w:highlight w:val="none"/>
        </w:rPr>
        <w:t>6.开始咨询服务和完成咨询服务</w:t>
      </w:r>
      <w:bookmarkEnd w:id="42"/>
      <w:bookmarkEnd w:id="43"/>
    </w:p>
    <w:p w14:paraId="1AC70710">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6.1 开始咨询服务</w:t>
      </w:r>
    </w:p>
    <w:p w14:paraId="664A87E9">
      <w:pPr>
        <w:pStyle w:val="701"/>
        <w:tabs>
          <w:tab w:val="left" w:pos="145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6.1.1 符合专用合同条款约定的开始咨询服务条件的，委托人应提前7天向咨询人发出开始咨询服务通知。咨询服务期限自开始咨询服务通知中载明的开始咨询服务日期起计算。</w:t>
      </w:r>
    </w:p>
    <w:p w14:paraId="3688D055">
      <w:pPr>
        <w:pStyle w:val="701"/>
        <w:tabs>
          <w:tab w:val="left" w:pos="147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6.1.2 除专用合同条款另有约定外，因委托人原因造成合同签订之日起90天内未能发出开始咨询服务通知的，咨询人有权提出价格调整要求，或者解除合同。委托人应当承担由此增加的费用和（或）周期延误。</w:t>
      </w:r>
    </w:p>
    <w:p w14:paraId="53CC0F44">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6.2 委托人引起的周期延误</w:t>
      </w:r>
    </w:p>
    <w:p w14:paraId="7191AD60">
      <w:pPr>
        <w:pStyle w:val="35"/>
        <w:spacing w:after="0" w:line="520" w:lineRule="exact"/>
        <w:ind w:firstLine="480" w:firstLineChars="200"/>
        <w:rPr>
          <w:rFonts w:hint="eastAsia" w:ascii="宋体" w:hAnsi="宋体"/>
          <w:sz w:val="24"/>
          <w:highlight w:val="none"/>
        </w:rPr>
      </w:pPr>
      <w:r>
        <w:rPr>
          <w:rFonts w:ascii="宋体" w:hAnsi="宋体"/>
          <w:sz w:val="24"/>
          <w:highlight w:val="none"/>
        </w:rPr>
        <w:t>在履行合同过程中，由于委托人的下列原因造成</w:t>
      </w:r>
      <w:r>
        <w:rPr>
          <w:rFonts w:hint="eastAsia" w:ascii="宋体" w:hAnsi="宋体"/>
          <w:sz w:val="24"/>
          <w:highlight w:val="none"/>
        </w:rPr>
        <w:t>咨询服务</w:t>
      </w:r>
      <w:r>
        <w:rPr>
          <w:rFonts w:ascii="宋体" w:hAnsi="宋体"/>
          <w:sz w:val="24"/>
          <w:highlight w:val="none"/>
        </w:rPr>
        <w:t>期限延误的，委托人应当延长</w:t>
      </w:r>
      <w:r>
        <w:rPr>
          <w:rFonts w:hint="eastAsia" w:ascii="宋体" w:hAnsi="宋体"/>
          <w:sz w:val="24"/>
          <w:highlight w:val="none"/>
        </w:rPr>
        <w:t>咨询服务</w:t>
      </w:r>
      <w:r>
        <w:rPr>
          <w:rFonts w:ascii="宋体" w:hAnsi="宋体"/>
          <w:sz w:val="24"/>
          <w:highlight w:val="none"/>
        </w:rPr>
        <w:t>期限并增加</w:t>
      </w:r>
      <w:r>
        <w:rPr>
          <w:rFonts w:hint="eastAsia" w:ascii="宋体" w:hAnsi="宋体"/>
          <w:sz w:val="24"/>
          <w:highlight w:val="none"/>
        </w:rPr>
        <w:t>咨询服务</w:t>
      </w:r>
      <w:r>
        <w:rPr>
          <w:rFonts w:ascii="宋体" w:hAnsi="宋体"/>
          <w:sz w:val="24"/>
          <w:highlight w:val="none"/>
        </w:rPr>
        <w:t>费用，具体方法在专用合同条款中约定。</w:t>
      </w:r>
    </w:p>
    <w:p w14:paraId="750E4A10">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（1）合同变更；</w:t>
      </w:r>
    </w:p>
    <w:p w14:paraId="5B4A9C0F">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（2）未按合同约定期限及时答复咨询服务事项；</w:t>
      </w:r>
    </w:p>
    <w:p w14:paraId="18D77BCC">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（3）因委托人原因导致的暂停咨询服务；</w:t>
      </w:r>
    </w:p>
    <w:p w14:paraId="5DE53D25">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（4）未按合同约定及时支付咨询服务费用；</w:t>
      </w:r>
    </w:p>
    <w:p w14:paraId="5A41BC09">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（5）委托人提供的基准资料错误；</w:t>
      </w:r>
    </w:p>
    <w:p w14:paraId="4E90A992">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（6）未及时按照履行合同约定的相关义务；</w:t>
      </w:r>
    </w:p>
    <w:p w14:paraId="4E032CA6">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（7）未能按照合同约定期限对咨询服务成果文件进行审查；</w:t>
      </w:r>
    </w:p>
    <w:p w14:paraId="16A241E7">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（8）委托人造成周期延误的其他原因。</w:t>
      </w:r>
    </w:p>
    <w:p w14:paraId="6DAAA30D">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 xml:space="preserve">6.3 </w:t>
      </w:r>
      <w:r>
        <w:rPr>
          <w:rFonts w:ascii="宋体" w:hAnsi="宋体"/>
          <w:b/>
          <w:bCs/>
          <w:sz w:val="24"/>
          <w:highlight w:val="none"/>
        </w:rPr>
        <w:t>咨询人</w:t>
      </w:r>
      <w:r>
        <w:rPr>
          <w:rFonts w:ascii="宋体" w:hAnsi="宋体"/>
          <w:b/>
          <w:sz w:val="24"/>
          <w:highlight w:val="none"/>
        </w:rPr>
        <w:t>引起的周期延误</w:t>
      </w:r>
    </w:p>
    <w:p w14:paraId="674D67C9">
      <w:pPr>
        <w:pStyle w:val="35"/>
        <w:spacing w:after="0" w:line="520" w:lineRule="exact"/>
        <w:ind w:firstLine="480" w:firstLineChars="200"/>
        <w:rPr>
          <w:rFonts w:hint="eastAsia" w:ascii="宋体" w:hAnsi="宋体"/>
          <w:sz w:val="24"/>
          <w:highlight w:val="none"/>
        </w:rPr>
      </w:pPr>
      <w:r>
        <w:rPr>
          <w:rFonts w:ascii="宋体" w:hAnsi="宋体"/>
          <w:sz w:val="24"/>
          <w:highlight w:val="none"/>
        </w:rPr>
        <w:t>由于</w:t>
      </w:r>
      <w:r>
        <w:rPr>
          <w:rFonts w:hint="eastAsia" w:ascii="宋体" w:hAnsi="宋体"/>
          <w:sz w:val="24"/>
          <w:highlight w:val="none"/>
        </w:rPr>
        <w:t>咨询人</w:t>
      </w:r>
      <w:r>
        <w:rPr>
          <w:rFonts w:ascii="宋体" w:hAnsi="宋体"/>
          <w:sz w:val="24"/>
          <w:highlight w:val="none"/>
        </w:rPr>
        <w:t>原因造成周期延误，</w:t>
      </w:r>
      <w:r>
        <w:rPr>
          <w:rFonts w:hint="eastAsia" w:ascii="宋体" w:hAnsi="宋体"/>
          <w:sz w:val="24"/>
          <w:highlight w:val="none"/>
        </w:rPr>
        <w:t>咨询人</w:t>
      </w:r>
      <w:r>
        <w:rPr>
          <w:rFonts w:ascii="宋体" w:hAnsi="宋体"/>
          <w:sz w:val="24"/>
          <w:highlight w:val="none"/>
        </w:rPr>
        <w:t>应支付逾期违约金。逾期违约金的计算方法和最高限额在专用合同条款中约定。</w:t>
      </w:r>
    </w:p>
    <w:p w14:paraId="740881F5">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6.4 第三人引起的周期延误</w:t>
      </w:r>
    </w:p>
    <w:p w14:paraId="64339A50">
      <w:pPr>
        <w:pStyle w:val="35"/>
        <w:spacing w:after="0" w:line="520" w:lineRule="exact"/>
        <w:ind w:firstLine="480" w:firstLineChars="200"/>
        <w:rPr>
          <w:rFonts w:hint="eastAsia" w:ascii="宋体" w:hAnsi="宋体"/>
          <w:sz w:val="24"/>
          <w:highlight w:val="none"/>
        </w:rPr>
      </w:pPr>
      <w:r>
        <w:rPr>
          <w:rFonts w:ascii="宋体" w:hAnsi="宋体"/>
          <w:sz w:val="24"/>
          <w:highlight w:val="none"/>
        </w:rPr>
        <w:t>由于行政管理部门审查或其他第三人原因造成费用增加和（或）周期延误的，由委托人承担。</w:t>
      </w:r>
    </w:p>
    <w:p w14:paraId="6EAC6653">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6.5 完成咨询服务</w:t>
      </w:r>
    </w:p>
    <w:p w14:paraId="79CBD154">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6.5.1 咨询人完成咨询服务之后，应当根据法律、规范标准、合同约定和委托人要求提交咨询服务成果文件。</w:t>
      </w:r>
    </w:p>
    <w:p w14:paraId="281FC09D">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6.5.2 咨询服务成果文件是工程咨询服务的最终成果之一，应当根据本工程的咨询服务内容和不同阶段的咨询服务任务、目的和要求等进行编制。</w:t>
      </w:r>
    </w:p>
    <w:p w14:paraId="1270749A">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6.5.3 除专用合同条款另有约定外，咨询服务成果文件包括纸质文件和电子文件两种形式，内容应当一致。两者若有不一致时，应以纸质文件为准。纸质文件一式八份，应当加盖单位章和项目负责人注册执业印章；电子文件中的文字为 WORD 格式、图形为 CAD、JPG 等格式，并应使用光盘和 U 盘分别贮存。</w:t>
      </w:r>
    </w:p>
    <w:p w14:paraId="03C7C119">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6.6 提前完成咨询服务</w:t>
      </w:r>
    </w:p>
    <w:p w14:paraId="76B442FF">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6.6.1 根据委托人要求或者基于专业能力判断，咨询人认为能够提前完成咨询服务的，可向委托人递交一份提前完成咨询服务建议书，包括实施方案、提前时间、咨询服务费用变动等内容。除专用合同条款另有约定之外，委托人接受建议书的，不因提前完成咨询服务而减少咨询服务费用；增加咨询服务费用的，所增费用由委托人承担。</w:t>
      </w:r>
    </w:p>
    <w:p w14:paraId="2AAC2F04">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6.6.2 委托人要求提前完成咨询服务但咨询人认为无法实施的，应在收到委托人书面指示后7天内提出书面异议，说明不能提前完成的理由。委托人应在收到异议后7天内予以答复。任何情况下，委托人不得压缩合理的咨询服务期限。</w:t>
      </w:r>
    </w:p>
    <w:p w14:paraId="5730A643">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6.6.3 由于咨询人提前完成咨询服务而给委托人带来经济效益的，委托人可以在专用合同条款中约定咨询人因此获得的奖励内容。</w:t>
      </w:r>
    </w:p>
    <w:p w14:paraId="5D248309">
      <w:pPr>
        <w:pStyle w:val="723"/>
        <w:spacing w:line="520" w:lineRule="exact"/>
        <w:ind w:firstLine="482"/>
        <w:outlineLvl w:val="1"/>
        <w:rPr>
          <w:rFonts w:ascii="宋体" w:hAnsi="宋体" w:eastAsia="宋体"/>
          <w:b w:val="0"/>
          <w:bCs/>
          <w:szCs w:val="24"/>
          <w:highlight w:val="none"/>
        </w:rPr>
      </w:pPr>
      <w:bookmarkStart w:id="44" w:name="_Toc156986237"/>
      <w:bookmarkStart w:id="45" w:name="_Toc161231749"/>
      <w:r>
        <w:rPr>
          <w:rFonts w:ascii="宋体" w:hAnsi="宋体" w:eastAsia="宋体"/>
          <w:bCs/>
          <w:szCs w:val="24"/>
          <w:highlight w:val="none"/>
        </w:rPr>
        <w:t>7.暂停咨询服务</w:t>
      </w:r>
      <w:bookmarkEnd w:id="44"/>
      <w:bookmarkEnd w:id="45"/>
    </w:p>
    <w:p w14:paraId="1C13413E">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7.1 委托人原因暂停咨询服务</w:t>
      </w:r>
    </w:p>
    <w:p w14:paraId="0CB5397F">
      <w:pPr>
        <w:pStyle w:val="35"/>
        <w:spacing w:after="0" w:line="520" w:lineRule="exact"/>
        <w:ind w:firstLine="480" w:firstLineChars="200"/>
        <w:rPr>
          <w:rFonts w:hint="eastAsia" w:ascii="宋体" w:hAnsi="宋体"/>
          <w:sz w:val="24"/>
          <w:highlight w:val="none"/>
        </w:rPr>
      </w:pPr>
      <w:r>
        <w:rPr>
          <w:rFonts w:ascii="宋体" w:hAnsi="宋体"/>
          <w:sz w:val="24"/>
          <w:highlight w:val="none"/>
        </w:rPr>
        <w:t>合同履行中发生下列情形之一的，</w:t>
      </w:r>
      <w:r>
        <w:rPr>
          <w:rFonts w:hint="eastAsia" w:ascii="宋体" w:hAnsi="宋体"/>
          <w:sz w:val="24"/>
          <w:highlight w:val="none"/>
        </w:rPr>
        <w:t>咨询人</w:t>
      </w:r>
      <w:r>
        <w:rPr>
          <w:rFonts w:ascii="宋体" w:hAnsi="宋体"/>
          <w:sz w:val="24"/>
          <w:highlight w:val="none"/>
        </w:rPr>
        <w:t>可向委托人发出通知，要求委托人采取有效措施予以纠正。委托人收到</w:t>
      </w:r>
      <w:r>
        <w:rPr>
          <w:rFonts w:hint="eastAsia" w:ascii="宋体" w:hAnsi="宋体"/>
          <w:sz w:val="24"/>
          <w:highlight w:val="none"/>
        </w:rPr>
        <w:t>咨询人</w:t>
      </w:r>
      <w:r>
        <w:rPr>
          <w:rFonts w:ascii="宋体" w:hAnsi="宋体"/>
          <w:sz w:val="24"/>
          <w:highlight w:val="none"/>
        </w:rPr>
        <w:t>通知后的28天内仍不履行合同义务时，</w:t>
      </w:r>
      <w:r>
        <w:rPr>
          <w:rFonts w:hint="eastAsia" w:ascii="宋体" w:hAnsi="宋体"/>
          <w:sz w:val="24"/>
          <w:highlight w:val="none"/>
        </w:rPr>
        <w:t>咨询人</w:t>
      </w:r>
      <w:r>
        <w:rPr>
          <w:rFonts w:ascii="宋体" w:hAnsi="宋体"/>
          <w:sz w:val="24"/>
          <w:highlight w:val="none"/>
        </w:rPr>
        <w:t>有权暂停</w:t>
      </w:r>
      <w:r>
        <w:rPr>
          <w:rFonts w:hint="eastAsia" w:ascii="宋体" w:hAnsi="宋体"/>
          <w:sz w:val="24"/>
          <w:highlight w:val="none"/>
        </w:rPr>
        <w:t>咨询服务</w:t>
      </w:r>
      <w:r>
        <w:rPr>
          <w:rFonts w:ascii="宋体" w:hAnsi="宋体"/>
          <w:sz w:val="24"/>
          <w:highlight w:val="none"/>
        </w:rPr>
        <w:t>并通知委托人；委托人应承担由此导致的费用增加和（或）周期延误。</w:t>
      </w:r>
    </w:p>
    <w:p w14:paraId="463622BF">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（1）委托人违约；</w:t>
      </w:r>
    </w:p>
    <w:p w14:paraId="6A7DEC21">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（2）委托人确定暂停咨询服务；</w:t>
      </w:r>
    </w:p>
    <w:p w14:paraId="3C738E67">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（3）合同约定由委托人承担责任的其他情形。</w:t>
      </w:r>
    </w:p>
    <w:p w14:paraId="5EB37884">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7.2 咨询人原因暂停咨询服务</w:t>
      </w:r>
    </w:p>
    <w:p w14:paraId="1B7FF2DF">
      <w:pPr>
        <w:pStyle w:val="35"/>
        <w:spacing w:after="0" w:line="520" w:lineRule="exact"/>
        <w:ind w:firstLine="480" w:firstLineChars="200"/>
        <w:rPr>
          <w:rFonts w:hint="eastAsia" w:ascii="宋体" w:hAnsi="宋体"/>
          <w:sz w:val="24"/>
          <w:highlight w:val="none"/>
        </w:rPr>
      </w:pPr>
      <w:r>
        <w:rPr>
          <w:rFonts w:ascii="宋体" w:hAnsi="宋体"/>
          <w:sz w:val="24"/>
          <w:highlight w:val="none"/>
        </w:rPr>
        <w:t>合同履行中发生下列情形之一的，委托人可向</w:t>
      </w:r>
      <w:r>
        <w:rPr>
          <w:rFonts w:hint="eastAsia" w:ascii="宋体" w:hAnsi="宋体"/>
          <w:sz w:val="24"/>
          <w:highlight w:val="none"/>
        </w:rPr>
        <w:t>咨询人</w:t>
      </w:r>
      <w:r>
        <w:rPr>
          <w:rFonts w:ascii="宋体" w:hAnsi="宋体"/>
          <w:sz w:val="24"/>
          <w:highlight w:val="none"/>
        </w:rPr>
        <w:t>发出通知暂停</w:t>
      </w:r>
      <w:r>
        <w:rPr>
          <w:rFonts w:hint="eastAsia" w:ascii="宋体" w:hAnsi="宋体"/>
          <w:sz w:val="24"/>
          <w:highlight w:val="none"/>
        </w:rPr>
        <w:t>咨询服务</w:t>
      </w:r>
      <w:r>
        <w:rPr>
          <w:rFonts w:ascii="宋体" w:hAnsi="宋体"/>
          <w:sz w:val="24"/>
          <w:highlight w:val="none"/>
        </w:rPr>
        <w:t>，由此造成费用的增加和（或）周期延误由</w:t>
      </w:r>
      <w:r>
        <w:rPr>
          <w:rFonts w:hint="eastAsia" w:ascii="宋体" w:hAnsi="宋体"/>
          <w:sz w:val="24"/>
          <w:highlight w:val="none"/>
        </w:rPr>
        <w:t>咨询人</w:t>
      </w:r>
      <w:r>
        <w:rPr>
          <w:rFonts w:ascii="宋体" w:hAnsi="宋体"/>
          <w:sz w:val="24"/>
          <w:highlight w:val="none"/>
        </w:rPr>
        <w:t>承担：</w:t>
      </w:r>
    </w:p>
    <w:p w14:paraId="4D1B8497">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（1）咨询人违约；</w:t>
      </w:r>
    </w:p>
    <w:p w14:paraId="33D0AC7E">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（2）咨询人擅自暂停咨询服务；</w:t>
      </w:r>
    </w:p>
    <w:p w14:paraId="5858BF80">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（3）合同约定由咨询人承担责任的其他情形。</w:t>
      </w:r>
    </w:p>
    <w:p w14:paraId="0FEC20B3">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7.3 暂停期间的文件照管</w:t>
      </w:r>
    </w:p>
    <w:p w14:paraId="2C98837D">
      <w:pPr>
        <w:pStyle w:val="35"/>
        <w:spacing w:after="0" w:line="520" w:lineRule="exact"/>
        <w:ind w:firstLine="480" w:firstLineChars="200"/>
        <w:rPr>
          <w:rFonts w:hint="eastAsia" w:ascii="宋体" w:hAnsi="宋体"/>
          <w:sz w:val="24"/>
          <w:highlight w:val="none"/>
        </w:rPr>
      </w:pPr>
      <w:r>
        <w:rPr>
          <w:rFonts w:ascii="宋体" w:hAnsi="宋体"/>
          <w:sz w:val="24"/>
          <w:highlight w:val="none"/>
        </w:rPr>
        <w:t>不论由于何种原因引起暂停</w:t>
      </w:r>
      <w:r>
        <w:rPr>
          <w:rFonts w:hint="eastAsia" w:ascii="宋体" w:hAnsi="宋体"/>
          <w:sz w:val="24"/>
          <w:highlight w:val="none"/>
        </w:rPr>
        <w:t>咨询服务</w:t>
      </w:r>
      <w:r>
        <w:rPr>
          <w:rFonts w:ascii="宋体" w:hAnsi="宋体"/>
          <w:sz w:val="24"/>
          <w:highlight w:val="none"/>
        </w:rPr>
        <w:t>的，暂停期间</w:t>
      </w:r>
      <w:r>
        <w:rPr>
          <w:rFonts w:hint="eastAsia" w:ascii="宋体" w:hAnsi="宋体"/>
          <w:sz w:val="24"/>
          <w:highlight w:val="none"/>
        </w:rPr>
        <w:t>咨询人</w:t>
      </w:r>
      <w:r>
        <w:rPr>
          <w:rFonts w:ascii="宋体" w:hAnsi="宋体"/>
          <w:sz w:val="24"/>
          <w:highlight w:val="none"/>
        </w:rPr>
        <w:t>应负责妥善保护已完部分的</w:t>
      </w:r>
      <w:r>
        <w:rPr>
          <w:rFonts w:hint="eastAsia" w:ascii="宋体" w:hAnsi="宋体"/>
          <w:sz w:val="24"/>
          <w:highlight w:val="none"/>
        </w:rPr>
        <w:t>咨询服务</w:t>
      </w:r>
      <w:r>
        <w:rPr>
          <w:rFonts w:ascii="宋体" w:hAnsi="宋体"/>
          <w:sz w:val="24"/>
          <w:highlight w:val="none"/>
        </w:rPr>
        <w:t>成果文件，由此增加的费用由责任方承担。</w:t>
      </w:r>
    </w:p>
    <w:p w14:paraId="6E18ECBB">
      <w:pPr>
        <w:pStyle w:val="723"/>
        <w:spacing w:line="520" w:lineRule="exact"/>
        <w:ind w:firstLine="482"/>
        <w:outlineLvl w:val="1"/>
        <w:rPr>
          <w:rFonts w:ascii="宋体" w:hAnsi="宋体" w:eastAsia="宋体"/>
          <w:b w:val="0"/>
          <w:bCs/>
          <w:szCs w:val="24"/>
          <w:highlight w:val="none"/>
        </w:rPr>
      </w:pPr>
      <w:bookmarkStart w:id="46" w:name="_Toc156986238"/>
      <w:bookmarkStart w:id="47" w:name="_Toc161231750"/>
      <w:r>
        <w:rPr>
          <w:rFonts w:ascii="宋体" w:hAnsi="宋体" w:eastAsia="宋体"/>
          <w:bCs/>
          <w:szCs w:val="24"/>
          <w:highlight w:val="none"/>
        </w:rPr>
        <w:t>8.咨询服务成果文件</w:t>
      </w:r>
      <w:bookmarkEnd w:id="46"/>
      <w:bookmarkEnd w:id="47"/>
    </w:p>
    <w:p w14:paraId="700631D8">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8.1 咨询服务成果文件接收</w:t>
      </w:r>
    </w:p>
    <w:p w14:paraId="51721434">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8.1.1 委托人应当及时接收咨询人提交的咨询服务成果文件。如无正当理由拒收的，视为委托人已经接收咨询服务成果文件。</w:t>
      </w:r>
    </w:p>
    <w:p w14:paraId="448D5F2B">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8.1.2 委托人接收咨询服务成果文件时，应向咨询人出具文件签收凭证。</w:t>
      </w:r>
    </w:p>
    <w:p w14:paraId="21DD7D02">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8.1.3 咨询服务成果文件提交的份数、内容、纸幅、装订格式、电子文件要求，在专用合同条款中约定。</w:t>
      </w:r>
    </w:p>
    <w:p w14:paraId="1D68351E">
      <w:pPr>
        <w:pStyle w:val="701"/>
        <w:tabs>
          <w:tab w:val="left" w:pos="1082"/>
        </w:tabs>
        <w:autoSpaceDE w:val="0"/>
        <w:autoSpaceDN w:val="0"/>
        <w:spacing w:line="520" w:lineRule="exact"/>
        <w:ind w:firstLine="482"/>
        <w:jc w:val="left"/>
        <w:rPr>
          <w:rFonts w:hint="eastAsia" w:ascii="宋体" w:hAnsi="宋体"/>
          <w:sz w:val="24"/>
          <w:highlight w:val="none"/>
        </w:rPr>
      </w:pPr>
      <w:r>
        <w:rPr>
          <w:rFonts w:ascii="宋体" w:hAnsi="宋体"/>
          <w:b/>
          <w:sz w:val="24"/>
          <w:highlight w:val="none"/>
        </w:rPr>
        <w:t>8.2 委托人审查咨询服务成果文件</w:t>
      </w:r>
    </w:p>
    <w:p w14:paraId="4C0BF368">
      <w:pPr>
        <w:pStyle w:val="701"/>
        <w:tabs>
          <w:tab w:val="left" w:pos="150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8.2.1 委托人接收咨询服务成果文件之后，可以自行或者组织专家会进行审查，咨询人应当给予配合。审查标准应当符合法律、规范标准、合同约定和委托人要求等；审查的具体范围、明细内容和费用分担，在专用合同条款中约定。</w:t>
      </w:r>
    </w:p>
    <w:p w14:paraId="6ED80CAC">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8.2.2 除专用合同条款另有约定外，委托人对于咨询服务成果文件的审查期限，自文件接收之日起不应超过14天。委托人逾期未做出审查结论且未提出异议的，视为咨询人的咨询服务成果文件已经通过委托人审查。</w:t>
      </w:r>
    </w:p>
    <w:p w14:paraId="10F85AC9">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8.2.3 委托人审查后不同意咨询服务成果文件的，应以书面形式通知咨询人，说明审查不通过的理由及其具体内容。咨询人应根据委托人的审查意见修改完善咨询服务成果文件，并重新报送委托人审查，审查期限重新起算。</w:t>
      </w:r>
    </w:p>
    <w:p w14:paraId="026DE576">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8.3 审查机构审查咨询服务成果文件</w:t>
      </w:r>
    </w:p>
    <w:p w14:paraId="722DDE00">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8.3.1 咨询服务成果文件需经政府有关部门审查或批准的，委托人应在审查同意后，按照有关主管部门要求，将咨询服务成果文件和相关资料报送政府有关部门进行审查。委托人的审查和审查机构的审查不减免咨询人因为服务质量问题而应承担的咨询服务责任。</w:t>
      </w:r>
    </w:p>
    <w:p w14:paraId="440AF14E">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8.3.2 对于审查机构的审查意见，如不需要修改委托人要求的，应由咨询人按照审查意见修改完善咨询服务成果文件，由此导致的费用增加和（或）周期延误由咨询人承担；如需修改委托人要求的，则由委托人重新修改和提出委托人要求，再由咨询人根据新的委托人要求修改完善咨询服务成果文件，由此导致的费用增加和（或）周期延误由委托人承担。</w:t>
      </w:r>
    </w:p>
    <w:p w14:paraId="72781C0B">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8.3.3 由于自身原因造成咨询服务成果文件未通过审查机构审查的，咨询人应当承担违约责任，采取补救措施直至达到合同约定的质量标准，并自行承担由此导致的费用增加和（或）周期延误。</w:t>
      </w:r>
    </w:p>
    <w:p w14:paraId="4181AE71">
      <w:pPr>
        <w:pStyle w:val="723"/>
        <w:spacing w:line="520" w:lineRule="exact"/>
        <w:ind w:firstLine="482"/>
        <w:outlineLvl w:val="1"/>
        <w:rPr>
          <w:rFonts w:ascii="宋体" w:hAnsi="宋体" w:eastAsia="宋体"/>
          <w:b w:val="0"/>
          <w:bCs/>
          <w:szCs w:val="24"/>
          <w:highlight w:val="none"/>
        </w:rPr>
      </w:pPr>
      <w:bookmarkStart w:id="48" w:name="_Toc156986239"/>
      <w:bookmarkStart w:id="49" w:name="_Toc161231751"/>
      <w:r>
        <w:rPr>
          <w:rFonts w:ascii="宋体" w:hAnsi="宋体" w:eastAsia="宋体"/>
          <w:bCs/>
          <w:szCs w:val="24"/>
          <w:highlight w:val="none"/>
        </w:rPr>
        <w:t>9.咨询服务责任与保险</w:t>
      </w:r>
      <w:bookmarkEnd w:id="48"/>
      <w:bookmarkEnd w:id="49"/>
    </w:p>
    <w:p w14:paraId="7EBA051A">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9.1 工作质量责任</w:t>
      </w:r>
    </w:p>
    <w:p w14:paraId="5123783B">
      <w:pPr>
        <w:pStyle w:val="701"/>
        <w:tabs>
          <w:tab w:val="left" w:pos="142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9.1.1 咨询服务工作质量应满足法律规定、规范标准、合同约定和委托人要求等。</w:t>
      </w:r>
    </w:p>
    <w:p w14:paraId="07B44C33">
      <w:pPr>
        <w:pStyle w:val="701"/>
        <w:tabs>
          <w:tab w:val="left" w:pos="148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9.1.2 咨询人应做好咨询服务的质量与技术管理工作，加强咨询服务全过程的质量控制，建立完整的咨询服务成果文件的咨询服务、复核、审核、会签和批准制度，明确各阶段的责任人。</w:t>
      </w:r>
    </w:p>
    <w:p w14:paraId="77405B14">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9.1.3 咨询人应按合同约定对咨询服务进行全过程的质量检查和检验，并作详细记录，编制咨询服务工作质量报表，报送委托人审查。</w:t>
      </w:r>
    </w:p>
    <w:p w14:paraId="3F7D91E0">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9.1.4 委托人有权对咨询服务工作质量进行检查和审核。咨询人应为委托人的检查和检验提供方便，包括委托人到咨询服务场地或合同约定的其他地方进行察看，查阅、审核咨询服务的原始记录和其他文件。委托人的检查和审核，不免除咨询人按合同约定应负的责任。</w:t>
      </w:r>
    </w:p>
    <w:p w14:paraId="30CA4789">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 xml:space="preserve">9.2 </w:t>
      </w:r>
      <w:r>
        <w:rPr>
          <w:rFonts w:hint="eastAsia" w:ascii="宋体" w:hAnsi="宋体"/>
          <w:b/>
          <w:sz w:val="24"/>
          <w:highlight w:val="none"/>
        </w:rPr>
        <w:t>咨询</w:t>
      </w:r>
      <w:r>
        <w:rPr>
          <w:rFonts w:ascii="宋体" w:hAnsi="宋体"/>
          <w:b/>
          <w:sz w:val="24"/>
          <w:highlight w:val="none"/>
        </w:rPr>
        <w:t>成果文件错误责任</w:t>
      </w:r>
    </w:p>
    <w:p w14:paraId="6A4DA3EB">
      <w:pPr>
        <w:pStyle w:val="701"/>
        <w:tabs>
          <w:tab w:val="left" w:pos="144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9.2.1 咨询服务成果文件存在错误、遗漏、含混、矛盾、不充分之处或其他缺陷，无论咨询人是否通过了委托人审查或审查机构审查，咨询人均应自费对前述问题带来的缺陷和工程问题进行改正，但因第1.6.2项约定由委托人提供的文件错误导致的除外。</w:t>
      </w:r>
    </w:p>
    <w:p w14:paraId="7D0C94ED">
      <w:pPr>
        <w:pStyle w:val="701"/>
        <w:tabs>
          <w:tab w:val="left" w:pos="151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9.2.2 因咨询人原因造成咨询服务成果文件不合格的，委托人有权要求咨询人采取补救措施，直至达到合同要求的质量标准，并按第14.1款的约定承担责任。</w:t>
      </w:r>
    </w:p>
    <w:p w14:paraId="4FAC97E9">
      <w:pPr>
        <w:pStyle w:val="701"/>
        <w:tabs>
          <w:tab w:val="left" w:pos="143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9.2.3 因委托人原因造成咨询服务成果文件不合格的，咨询人应当采取补救措施，直至达到合同要求的质量标准，由此造成的咨询服务费用增加和（或）咨询服务期限延误由委托人承担。</w:t>
      </w:r>
    </w:p>
    <w:p w14:paraId="276FD297">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9.3 咨询责任主体</w:t>
      </w:r>
    </w:p>
    <w:p w14:paraId="7121F38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w:t>
      </w:r>
      <w:r>
        <w:rPr>
          <w:rFonts w:ascii="宋体" w:hAnsi="宋体"/>
          <w:sz w:val="24"/>
          <w:highlight w:val="none"/>
        </w:rPr>
        <w:t>应运用一切合理的专业技术、知识技能和项目经验，按照职业道德准则和行业公认标准尽其全部职责，勤勉、谨慎、公正地履行其在本合同项下的责任和义务。</w:t>
      </w:r>
    </w:p>
    <w:p w14:paraId="34B72880">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9.4 咨询保险</w:t>
      </w:r>
    </w:p>
    <w:p w14:paraId="3F204429">
      <w:pPr>
        <w:pStyle w:val="35"/>
        <w:spacing w:after="0" w:line="520" w:lineRule="exact"/>
        <w:ind w:firstLine="480" w:firstLineChars="200"/>
        <w:rPr>
          <w:rFonts w:hint="eastAsia" w:ascii="宋体" w:hAnsi="宋体"/>
          <w:sz w:val="24"/>
          <w:highlight w:val="none"/>
        </w:rPr>
      </w:pPr>
      <w:r>
        <w:rPr>
          <w:rFonts w:ascii="宋体" w:hAnsi="宋体"/>
          <w:sz w:val="24"/>
          <w:highlight w:val="none"/>
        </w:rPr>
        <w:t>除专用合同条款另有约定外，</w:t>
      </w:r>
      <w:r>
        <w:rPr>
          <w:rFonts w:hint="eastAsia" w:ascii="宋体" w:hAnsi="宋体"/>
          <w:sz w:val="24"/>
          <w:highlight w:val="none"/>
        </w:rPr>
        <w:t>咨询人</w:t>
      </w:r>
      <w:r>
        <w:rPr>
          <w:rFonts w:ascii="宋体" w:hAnsi="宋体"/>
          <w:sz w:val="24"/>
          <w:highlight w:val="none"/>
        </w:rPr>
        <w:t>宜具有委托人认可的、履行本合同所需要的工程相关保险并使其于合同责任期内保持有效。</w:t>
      </w:r>
    </w:p>
    <w:p w14:paraId="3DE0CCAD">
      <w:pPr>
        <w:pStyle w:val="35"/>
        <w:spacing w:after="0" w:line="520" w:lineRule="exact"/>
        <w:ind w:firstLine="480" w:firstLineChars="200"/>
        <w:rPr>
          <w:rFonts w:hint="eastAsia" w:ascii="宋体" w:hAnsi="宋体"/>
          <w:sz w:val="24"/>
          <w:highlight w:val="none"/>
        </w:rPr>
      </w:pPr>
      <w:r>
        <w:rPr>
          <w:rFonts w:ascii="宋体" w:hAnsi="宋体"/>
          <w:sz w:val="24"/>
          <w:highlight w:val="none"/>
        </w:rPr>
        <w:t>工程相关保险应承担由于</w:t>
      </w:r>
      <w:r>
        <w:rPr>
          <w:rFonts w:hint="eastAsia" w:ascii="宋体" w:hAnsi="宋体"/>
          <w:sz w:val="24"/>
          <w:highlight w:val="none"/>
        </w:rPr>
        <w:t>咨询人</w:t>
      </w:r>
      <w:r>
        <w:rPr>
          <w:rFonts w:ascii="宋体" w:hAnsi="宋体"/>
          <w:sz w:val="24"/>
          <w:highlight w:val="none"/>
        </w:rPr>
        <w:t>的疏忽或过失而引发的工程质量事故所造成的建设工程本身的物质损失以及第三者人身伤亡、财产损失或费用的赔偿责任。</w:t>
      </w:r>
    </w:p>
    <w:p w14:paraId="0BD615B6">
      <w:pPr>
        <w:pStyle w:val="723"/>
        <w:spacing w:line="520" w:lineRule="exact"/>
        <w:ind w:firstLine="482"/>
        <w:outlineLvl w:val="1"/>
        <w:rPr>
          <w:rFonts w:ascii="宋体" w:hAnsi="宋体" w:eastAsia="宋体"/>
          <w:b w:val="0"/>
          <w:bCs/>
          <w:szCs w:val="24"/>
          <w:highlight w:val="none"/>
        </w:rPr>
      </w:pPr>
      <w:bookmarkStart w:id="50" w:name="_Toc161231752"/>
      <w:bookmarkStart w:id="51" w:name="_Toc156986240"/>
      <w:r>
        <w:rPr>
          <w:rFonts w:ascii="宋体" w:hAnsi="宋体" w:eastAsia="宋体"/>
          <w:bCs/>
          <w:szCs w:val="24"/>
          <w:highlight w:val="none"/>
        </w:rPr>
        <w:t>10.施工期间配合</w:t>
      </w:r>
      <w:bookmarkEnd w:id="50"/>
      <w:bookmarkEnd w:id="51"/>
    </w:p>
    <w:p w14:paraId="1FE23BB6">
      <w:pPr>
        <w:pStyle w:val="701"/>
        <w:tabs>
          <w:tab w:val="left" w:pos="1423"/>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10.1 施工配合指咨询人配合施工承包人，在施工期间提供的咨询服务或其他配合工作，直至工程通过竣工验收为止。</w:t>
      </w:r>
    </w:p>
    <w:p w14:paraId="273BB423">
      <w:pPr>
        <w:pStyle w:val="701"/>
        <w:tabs>
          <w:tab w:val="left" w:pos="1426"/>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10.2 除专用合同条款另有约定外，委托人应为咨询人派赴施工现场的工作人员，在施工期间提供办公房间、办公桌椅、互联网接口、冷暖设施、生活设施、进出现场交通服务和其他便利条件。</w:t>
      </w:r>
    </w:p>
    <w:p w14:paraId="6C160F43">
      <w:pPr>
        <w:pStyle w:val="701"/>
        <w:tabs>
          <w:tab w:val="left" w:pos="136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10.3 咨询人应在本工程的施工期间，积极提供咨询服务，包括并不限于</w:t>
      </w:r>
      <w:r>
        <w:rPr>
          <w:rFonts w:hint="eastAsia" w:ascii="宋体" w:hAnsi="宋体"/>
          <w:sz w:val="24"/>
          <w:highlight w:val="none"/>
        </w:rPr>
        <w:t>咨询</w:t>
      </w:r>
      <w:r>
        <w:rPr>
          <w:rFonts w:ascii="宋体" w:hAnsi="宋体"/>
          <w:sz w:val="24"/>
          <w:highlight w:val="none"/>
        </w:rPr>
        <w:t>服务技术交底、施工现场</w:t>
      </w:r>
      <w:r>
        <w:rPr>
          <w:rFonts w:hint="eastAsia" w:ascii="宋体" w:hAnsi="宋体"/>
          <w:sz w:val="24"/>
          <w:highlight w:val="none"/>
        </w:rPr>
        <w:t>咨询</w:t>
      </w:r>
      <w:r>
        <w:rPr>
          <w:rFonts w:ascii="宋体" w:hAnsi="宋体"/>
          <w:sz w:val="24"/>
          <w:highlight w:val="none"/>
        </w:rPr>
        <w:t>服务、参与施工过程验收、参与投产试车（试运行）、参与工程竣工验收等工作。</w:t>
      </w:r>
    </w:p>
    <w:p w14:paraId="4BF9943E">
      <w:pPr>
        <w:pStyle w:val="701"/>
        <w:tabs>
          <w:tab w:val="left" w:pos="136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 xml:space="preserve">10.4 </w:t>
      </w:r>
      <w:r>
        <w:rPr>
          <w:rFonts w:hint="eastAsia" w:ascii="宋体" w:hAnsi="宋体"/>
          <w:sz w:val="24"/>
          <w:highlight w:val="none"/>
        </w:rPr>
        <w:t>委</w:t>
      </w:r>
      <w:r>
        <w:rPr>
          <w:rFonts w:ascii="宋体" w:hAnsi="宋体"/>
          <w:sz w:val="24"/>
          <w:highlight w:val="none"/>
        </w:rPr>
        <w:t>托人应当组织</w:t>
      </w:r>
      <w:r>
        <w:rPr>
          <w:rFonts w:hint="eastAsia" w:ascii="宋体" w:hAnsi="宋体"/>
          <w:sz w:val="24"/>
          <w:highlight w:val="none"/>
        </w:rPr>
        <w:t>咨询</w:t>
      </w:r>
      <w:r>
        <w:rPr>
          <w:rFonts w:ascii="宋体" w:hAnsi="宋体"/>
          <w:sz w:val="24"/>
          <w:highlight w:val="none"/>
        </w:rPr>
        <w:t>服务技术交底会，由咨询人向委托人、监理人和施工承包人等进行</w:t>
      </w:r>
      <w:r>
        <w:rPr>
          <w:rFonts w:hint="eastAsia" w:ascii="宋体" w:hAnsi="宋体"/>
          <w:sz w:val="24"/>
          <w:highlight w:val="none"/>
        </w:rPr>
        <w:t>咨询</w:t>
      </w:r>
      <w:r>
        <w:rPr>
          <w:rFonts w:ascii="宋体" w:hAnsi="宋体"/>
          <w:sz w:val="24"/>
          <w:highlight w:val="none"/>
        </w:rPr>
        <w:t>服务交底，对本工程的</w:t>
      </w:r>
      <w:r>
        <w:rPr>
          <w:rFonts w:hint="eastAsia" w:ascii="宋体" w:hAnsi="宋体"/>
          <w:sz w:val="24"/>
          <w:highlight w:val="none"/>
        </w:rPr>
        <w:t>咨询</w:t>
      </w:r>
      <w:r>
        <w:rPr>
          <w:rFonts w:ascii="宋体" w:hAnsi="宋体"/>
          <w:sz w:val="24"/>
          <w:highlight w:val="none"/>
        </w:rPr>
        <w:t>服务意图、</w:t>
      </w:r>
      <w:r>
        <w:rPr>
          <w:rFonts w:hint="eastAsia" w:ascii="宋体" w:hAnsi="宋体"/>
          <w:sz w:val="24"/>
          <w:highlight w:val="none"/>
        </w:rPr>
        <w:t>咨询</w:t>
      </w:r>
      <w:r>
        <w:rPr>
          <w:rFonts w:ascii="宋体" w:hAnsi="宋体"/>
          <w:sz w:val="24"/>
          <w:highlight w:val="none"/>
        </w:rPr>
        <w:t>服务成果文件和施工要求等进行系统地说明和解释。</w:t>
      </w:r>
    </w:p>
    <w:p w14:paraId="2311C3A4">
      <w:pPr>
        <w:pStyle w:val="701"/>
        <w:tabs>
          <w:tab w:val="left" w:pos="136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 xml:space="preserve">10.5 </w:t>
      </w:r>
      <w:r>
        <w:rPr>
          <w:rFonts w:hint="eastAsia" w:ascii="宋体" w:hAnsi="宋体"/>
          <w:sz w:val="24"/>
          <w:highlight w:val="none"/>
        </w:rPr>
        <w:t>工</w:t>
      </w:r>
      <w:r>
        <w:rPr>
          <w:rFonts w:ascii="宋体" w:hAnsi="宋体"/>
          <w:sz w:val="24"/>
          <w:highlight w:val="none"/>
        </w:rPr>
        <w:t>程施工完毕后，委托人应当组织投产试车（试运行）和工程竣工验收，咨询人参加验收并出具本单位的验收结论。如因咨询服务原因致使工程不合格的，咨询人应当承担违约责任，免费修改咨询服务成果文件和赔偿委托人由此产生的经济损失。</w:t>
      </w:r>
    </w:p>
    <w:p w14:paraId="4ABB63C4">
      <w:pPr>
        <w:pStyle w:val="723"/>
        <w:spacing w:line="520" w:lineRule="exact"/>
        <w:ind w:firstLine="482"/>
        <w:outlineLvl w:val="1"/>
        <w:rPr>
          <w:rFonts w:ascii="宋体" w:hAnsi="宋体" w:eastAsia="宋体"/>
          <w:b w:val="0"/>
          <w:bCs/>
          <w:szCs w:val="24"/>
          <w:highlight w:val="none"/>
        </w:rPr>
      </w:pPr>
      <w:bookmarkStart w:id="52" w:name="_Toc156986241"/>
      <w:bookmarkStart w:id="53" w:name="_Toc161231753"/>
      <w:r>
        <w:rPr>
          <w:rFonts w:ascii="宋体" w:hAnsi="宋体" w:eastAsia="宋体"/>
          <w:bCs/>
          <w:szCs w:val="24"/>
          <w:highlight w:val="none"/>
        </w:rPr>
        <w:t>11.合同变更</w:t>
      </w:r>
      <w:bookmarkEnd w:id="52"/>
      <w:bookmarkEnd w:id="53"/>
    </w:p>
    <w:p w14:paraId="72F2CD81">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11.1 变更情形</w:t>
      </w:r>
    </w:p>
    <w:p w14:paraId="67939103">
      <w:pPr>
        <w:pStyle w:val="701"/>
        <w:tabs>
          <w:tab w:val="left" w:pos="160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11.1.1 合同履行中发生下述情形时，合同一方均可向对方提出变更请求，经双方协商一致后进行变更，咨询服务期限和咨询服务费用的调整方法在专用合同条款中约定。</w:t>
      </w:r>
    </w:p>
    <w:p w14:paraId="45645427">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（1）咨询服务范围发生变化；</w:t>
      </w:r>
    </w:p>
    <w:p w14:paraId="54B0431C">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（2）除不可抗力外，非咨询人的原因引起的周期延误；</w:t>
      </w:r>
    </w:p>
    <w:p w14:paraId="3F83977D">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（3）非咨询人的原因，全部或部分重复进行咨询服务；</w:t>
      </w:r>
    </w:p>
    <w:p w14:paraId="59084C42">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（4）非咨询人的原因，暂停咨询服务及恢复咨询服务。</w:t>
      </w:r>
    </w:p>
    <w:p w14:paraId="00870103">
      <w:pPr>
        <w:pStyle w:val="701"/>
        <w:tabs>
          <w:tab w:val="left" w:pos="155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11.1.2 基准日后，因颁布新的或修订原有法律、法规、规范和标准等引发合同变更情形的，按照上述约定进行调整。</w:t>
      </w:r>
    </w:p>
    <w:p w14:paraId="4FED58D4">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11.2 合理化建议</w:t>
      </w:r>
    </w:p>
    <w:p w14:paraId="1AB57330">
      <w:pPr>
        <w:pStyle w:val="701"/>
        <w:tabs>
          <w:tab w:val="left" w:pos="1601"/>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11.2.1 合同履行中，咨询人可对委托人要求提出合理化建议。合理化建议应以书面形式提交委托人，被委托人采纳并构成变更的，执行第 11.1 款约定。</w:t>
      </w:r>
    </w:p>
    <w:p w14:paraId="7FE36878">
      <w:pPr>
        <w:pStyle w:val="701"/>
        <w:tabs>
          <w:tab w:val="left" w:pos="162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11.2.2 咨询人提出的合理化建议能给委托人增加收益或减少损失的，委托人可以给</w:t>
      </w:r>
      <w:r>
        <w:rPr>
          <w:rFonts w:hint="eastAsia" w:ascii="宋体" w:hAnsi="宋体"/>
          <w:sz w:val="24"/>
          <w:highlight w:val="none"/>
        </w:rPr>
        <w:t>予</w:t>
      </w:r>
      <w:r>
        <w:rPr>
          <w:rFonts w:ascii="宋体" w:hAnsi="宋体"/>
          <w:sz w:val="24"/>
          <w:highlight w:val="none"/>
        </w:rPr>
        <w:t>奖励，奖励的方式在专用合同条款中约定。</w:t>
      </w:r>
    </w:p>
    <w:p w14:paraId="07814371">
      <w:pPr>
        <w:pStyle w:val="723"/>
        <w:spacing w:line="520" w:lineRule="exact"/>
        <w:ind w:firstLine="482"/>
        <w:outlineLvl w:val="1"/>
        <w:rPr>
          <w:rFonts w:ascii="宋体" w:hAnsi="宋体" w:eastAsia="宋体"/>
          <w:b w:val="0"/>
          <w:bCs/>
          <w:szCs w:val="24"/>
          <w:highlight w:val="none"/>
        </w:rPr>
      </w:pPr>
      <w:bookmarkStart w:id="54" w:name="_Toc156986242"/>
      <w:bookmarkStart w:id="55" w:name="_Toc161231754"/>
      <w:r>
        <w:rPr>
          <w:rFonts w:ascii="宋体" w:hAnsi="宋体" w:eastAsia="宋体"/>
          <w:bCs/>
          <w:szCs w:val="24"/>
          <w:highlight w:val="none"/>
        </w:rPr>
        <w:t>12.合同价格与支付</w:t>
      </w:r>
      <w:bookmarkEnd w:id="54"/>
      <w:bookmarkEnd w:id="55"/>
    </w:p>
    <w:p w14:paraId="2A961FC1">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12.1 合同价格</w:t>
      </w:r>
    </w:p>
    <w:p w14:paraId="7972BF93">
      <w:pPr>
        <w:pStyle w:val="701"/>
        <w:tabs>
          <w:tab w:val="left" w:pos="163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12.1.1 本合同的价款确定方式、调整方式和风险范围划分，在专用合同条款中约定。</w:t>
      </w:r>
    </w:p>
    <w:p w14:paraId="32BED2DC">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12.1.2 咨询服务费用实行委托人签证制度，即咨询人完成咨询服务项目后通知委托人进行验收，通过验收后由委托人代表对实施的咨询服务项目、数量、质量和实施时间签字确认，以此作为计算咨询服务费用的依据之一。</w:t>
      </w:r>
    </w:p>
    <w:p w14:paraId="5754036C">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12.1.3 除专用合同条款另有约定外，合同价格应当包括收集资料，踏勘现场，进行咨询服务、评估、审查等，编制咨询服务成果文件，施工配合等全部费用和国家规定的增值税税金。</w:t>
      </w:r>
    </w:p>
    <w:p w14:paraId="04CCFE74">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12.1.4 委托人要求咨询人进行外出考察、试验检测、专项</w:t>
      </w:r>
      <w:r>
        <w:rPr>
          <w:rFonts w:hint="eastAsia" w:ascii="宋体" w:hAnsi="宋体"/>
          <w:sz w:val="24"/>
          <w:highlight w:val="none"/>
        </w:rPr>
        <w:t>咨询</w:t>
      </w:r>
      <w:r>
        <w:rPr>
          <w:rFonts w:ascii="宋体" w:hAnsi="宋体"/>
          <w:sz w:val="24"/>
          <w:highlight w:val="none"/>
        </w:rPr>
        <w:t>或专家评审时，相应费用不含在合同价格之中，由委托人另行支付。</w:t>
      </w:r>
    </w:p>
    <w:p w14:paraId="6F62BB92">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12.2 定金或预付款</w:t>
      </w:r>
    </w:p>
    <w:p w14:paraId="501C0943">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12.2.1 定金或预付款应专用于本工程的咨询服务。定金或预付款的额度、支付方式及抵扣方式在专用合同条款中约定。</w:t>
      </w:r>
    </w:p>
    <w:p w14:paraId="7838A949">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12.2.2 委托人应在收到定金或预付款支付申请后28天内，将定金或预付款支付给咨询人；咨询人应当提供等额的增值税发票。</w:t>
      </w:r>
    </w:p>
    <w:p w14:paraId="3E7B6A60">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12.2.3 咨询服务完成之前，由于不可抗力或其他非咨询人的原因解除合同时，定金不予退还。</w:t>
      </w:r>
    </w:p>
    <w:p w14:paraId="36EE5A46">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12.3 中期支付</w:t>
      </w:r>
    </w:p>
    <w:p w14:paraId="5850012B">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12.3.1咨询人应按委托人批准或专用合同条款约定的格式及份数，向委托人提交中期支付申请，并附相应的支持性证明文件。</w:t>
      </w:r>
    </w:p>
    <w:p w14:paraId="3B7AE40C">
      <w:pPr>
        <w:pStyle w:val="701"/>
        <w:tabs>
          <w:tab w:val="left" w:pos="163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12.3.2 委托人应在收到中期支付申请后的28天内，将应付款项支付给咨询人；咨询人应当提供等额的增值税发票。委托人未能在前述时间内完成审批或不予答复的，视为委托人同意中期支付申请。委托人不按期支付的，按专用合同条款的约定支付逾期付款违约金。</w:t>
      </w:r>
    </w:p>
    <w:p w14:paraId="72569C50">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12.3.3 中期支付涉及政府投资资金的，按照国库集中支付等国家相关规定和专用合同条款的约定执行。</w:t>
      </w:r>
    </w:p>
    <w:p w14:paraId="7F405260">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12.4 费用结算</w:t>
      </w:r>
    </w:p>
    <w:p w14:paraId="0EBD891A">
      <w:pPr>
        <w:pStyle w:val="701"/>
        <w:tabs>
          <w:tab w:val="left" w:pos="156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12.4.1 提交咨询服务成果文件后，咨询人可按专用合同条款约定的份数和期限，向委托人提交咨询服务费用结算申请，并提供相关证明材料。</w:t>
      </w:r>
    </w:p>
    <w:p w14:paraId="23F40918">
      <w:pPr>
        <w:pStyle w:val="701"/>
        <w:tabs>
          <w:tab w:val="left" w:pos="156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12.4.2 委托人应在收到费用结算申请后的28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咨询人应当提供等额的增值税发票。委托人未能在前述时间内完成审批或不予答复的，视为委托人同意费用结算申请。委托人不按期支付的，按专用合同条款的约定支付逾期付款违约金。</w:t>
      </w:r>
    </w:p>
    <w:p w14:paraId="596A7E77">
      <w:pPr>
        <w:pStyle w:val="701"/>
        <w:tabs>
          <w:tab w:val="left" w:pos="156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12.4.3 最终结清付款涉及政府投资资金的，按第12.3.3项的约定执行。</w:t>
      </w:r>
    </w:p>
    <w:p w14:paraId="5BEBDCD1">
      <w:pPr>
        <w:pStyle w:val="723"/>
        <w:spacing w:line="520" w:lineRule="exact"/>
        <w:ind w:firstLine="482"/>
        <w:outlineLvl w:val="1"/>
        <w:rPr>
          <w:rFonts w:ascii="宋体" w:hAnsi="宋体" w:eastAsia="宋体"/>
          <w:b w:val="0"/>
          <w:bCs/>
          <w:szCs w:val="24"/>
          <w:highlight w:val="none"/>
        </w:rPr>
      </w:pPr>
      <w:bookmarkStart w:id="56" w:name="_Toc161231755"/>
      <w:bookmarkStart w:id="57" w:name="_Toc156986243"/>
      <w:r>
        <w:rPr>
          <w:rFonts w:ascii="宋体" w:hAnsi="宋体" w:eastAsia="宋体"/>
          <w:bCs/>
          <w:szCs w:val="24"/>
          <w:highlight w:val="none"/>
        </w:rPr>
        <w:t>13.不可抗力</w:t>
      </w:r>
      <w:bookmarkEnd w:id="56"/>
      <w:bookmarkEnd w:id="57"/>
    </w:p>
    <w:p w14:paraId="5ECEE661">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13.1 不可抗力的确认</w:t>
      </w:r>
    </w:p>
    <w:p w14:paraId="7D8C04C5">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13.1.1 不可抗力是指咨询人和委托人在订立合同时不可预见，在履行合同过程中不可避免发生并不能克服的自然灾害和社会性突发事件，如地震、海啸、瘟疫、水灾、骚乱、暴动、战争和专用合同条款约定的其他情形。</w:t>
      </w:r>
    </w:p>
    <w:p w14:paraId="75889C50">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13.1.2 不可抗力发生后，委托人和咨询人应及时认真统计所造成的损失，收集不可抗力造成损失的证据。合同双方对是否属于不可抗力或其损失的意见不一致的， 由合同双方协商确定。</w:t>
      </w:r>
    </w:p>
    <w:p w14:paraId="346A1C0B">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13.2 不可抗力的通知</w:t>
      </w:r>
    </w:p>
    <w:p w14:paraId="6173A4A2">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13.2.1 合同一方当事人遇到不可抗力事件，使其履行合同义务受到阻碍时，应立即通知合同另一方当事人，书面说明不可抗力和受阻碍的详细情况，并提供必要的证明。</w:t>
      </w:r>
    </w:p>
    <w:p w14:paraId="395E832E">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13.2.2 如不可抗力持续发生，合同一方当事人应及时向合同另一方当事人提交中间报告，说明不可抗力和履行合同受阻的情况，并于不可抗力事件结束后28天内提交最终报告及有关资料。</w:t>
      </w:r>
    </w:p>
    <w:p w14:paraId="7D2DBDBD">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13.3 不可抗力后果及其处理</w:t>
      </w:r>
    </w:p>
    <w:p w14:paraId="1A51AB5A">
      <w:pPr>
        <w:pStyle w:val="701"/>
        <w:tabs>
          <w:tab w:val="left" w:pos="156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13.3.1 不可抗力引起的后果及其损失，应由合同当事人依据法律规定各自承担。不可抗力发生前已完成的咨询服务工作，应当按照合同约定进行支付。</w:t>
      </w:r>
    </w:p>
    <w:p w14:paraId="264D5873">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13.3.2 不可抗力发生后，合同当事人应当采取有效措施避免损失进一步扩大，如未采取有效措施致使损失扩大的，应当自行承担扩大部分的损失。</w:t>
      </w:r>
    </w:p>
    <w:p w14:paraId="458BD72F">
      <w:pPr>
        <w:pStyle w:val="701"/>
        <w:tabs>
          <w:tab w:val="left" w:pos="1750"/>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13.3.3 因一方当事人迟延履行合同义务，致使迟延履行期间遭遇不可抗力的，应由该当事人承担全部损失且不免除其违约责任。</w:t>
      </w:r>
    </w:p>
    <w:p w14:paraId="17DC0AC2">
      <w:pPr>
        <w:pStyle w:val="723"/>
        <w:spacing w:line="520" w:lineRule="exact"/>
        <w:ind w:firstLine="482"/>
        <w:outlineLvl w:val="1"/>
        <w:rPr>
          <w:rFonts w:ascii="宋体" w:hAnsi="宋体" w:eastAsia="宋体"/>
          <w:b w:val="0"/>
          <w:bCs/>
          <w:szCs w:val="24"/>
          <w:highlight w:val="none"/>
        </w:rPr>
      </w:pPr>
      <w:bookmarkStart w:id="58" w:name="_Toc156986244"/>
      <w:bookmarkStart w:id="59" w:name="_Toc161231756"/>
      <w:r>
        <w:rPr>
          <w:rFonts w:ascii="宋体" w:hAnsi="宋体" w:eastAsia="宋体"/>
          <w:bCs/>
          <w:szCs w:val="24"/>
          <w:highlight w:val="none"/>
        </w:rPr>
        <w:t>14.违约</w:t>
      </w:r>
      <w:bookmarkEnd w:id="58"/>
      <w:bookmarkEnd w:id="59"/>
    </w:p>
    <w:p w14:paraId="346A7B8A">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14.1 咨询人违约</w:t>
      </w:r>
    </w:p>
    <w:p w14:paraId="75213C89">
      <w:pPr>
        <w:pStyle w:val="701"/>
        <w:tabs>
          <w:tab w:val="left" w:pos="156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14.1.1 合同履行中发生下列情况之一的，属咨询人违约：</w:t>
      </w:r>
    </w:p>
    <w:p w14:paraId="6CADD86B">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（1）咨询服务成果文件不符合法律以及合同约定；</w:t>
      </w:r>
    </w:p>
    <w:p w14:paraId="6546B89C">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（2）咨询人转包、违法分包或者未经委托人同意擅自分包；</w:t>
      </w:r>
    </w:p>
    <w:p w14:paraId="145A8380">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（3）咨询人未按合同计划完成咨询服务，从而造成工程损失；</w:t>
      </w:r>
    </w:p>
    <w:p w14:paraId="6FBF2B0F">
      <w:pPr>
        <w:pStyle w:val="701"/>
        <w:tabs>
          <w:tab w:val="left" w:pos="1506"/>
        </w:tabs>
        <w:autoSpaceDE w:val="0"/>
        <w:autoSpaceDN w:val="0"/>
        <w:spacing w:line="520" w:lineRule="exact"/>
        <w:ind w:firstLine="480"/>
        <w:rPr>
          <w:rFonts w:hint="eastAsia" w:ascii="宋体" w:hAnsi="宋体"/>
          <w:sz w:val="24"/>
          <w:highlight w:val="none"/>
        </w:rPr>
      </w:pPr>
      <w:r>
        <w:rPr>
          <w:rFonts w:ascii="宋体" w:hAnsi="宋体"/>
          <w:sz w:val="24"/>
          <w:highlight w:val="none"/>
        </w:rPr>
        <w:t>（4）咨询人明确表示或以其行为表明不履行合同主要义务的；</w:t>
      </w:r>
    </w:p>
    <w:p w14:paraId="106A946E">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（5）咨询人不履行合同约定的其他义务。</w:t>
      </w:r>
    </w:p>
    <w:p w14:paraId="2B59735E">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14.1.2 咨询人发生违约情况时，委托人可向咨询人发出整改通知，要求其在限定期限内纠正；逾期仍不纠正的，委托人有权解除合同并向咨询人发出解除合同通知。咨询人应当承担由于违约所造成的费用增加、周期延误和委托人损失等。</w:t>
      </w:r>
    </w:p>
    <w:p w14:paraId="4E09A72F">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14.2 委托人违约</w:t>
      </w:r>
    </w:p>
    <w:p w14:paraId="0A4A0098">
      <w:pPr>
        <w:pStyle w:val="701"/>
        <w:tabs>
          <w:tab w:val="left" w:pos="1567"/>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14.2.1 合同履行中发生下列情况之一的，属委托人违约：</w:t>
      </w:r>
    </w:p>
    <w:p w14:paraId="3C7EE3CD">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（1）委托人未按合同约定支付咨询服务费用；</w:t>
      </w:r>
    </w:p>
    <w:p w14:paraId="6547FDB0">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（2）委托人原因造成咨询服务停止；</w:t>
      </w:r>
    </w:p>
    <w:p w14:paraId="72A9169D">
      <w:pPr>
        <w:pStyle w:val="701"/>
        <w:tabs>
          <w:tab w:val="left" w:pos="1506"/>
        </w:tabs>
        <w:autoSpaceDE w:val="0"/>
        <w:autoSpaceDN w:val="0"/>
        <w:spacing w:line="520" w:lineRule="exact"/>
        <w:ind w:firstLine="480"/>
        <w:rPr>
          <w:rFonts w:hint="eastAsia" w:ascii="宋体" w:hAnsi="宋体"/>
          <w:sz w:val="24"/>
          <w:highlight w:val="none"/>
        </w:rPr>
      </w:pPr>
      <w:r>
        <w:rPr>
          <w:rFonts w:ascii="宋体" w:hAnsi="宋体"/>
          <w:sz w:val="24"/>
          <w:highlight w:val="none"/>
        </w:rPr>
        <w:t>（3）委托人明确表示或以其行为表明不履行合同主要义务的；</w:t>
      </w:r>
    </w:p>
    <w:p w14:paraId="3FFAC05E">
      <w:pPr>
        <w:pStyle w:val="701"/>
        <w:tabs>
          <w:tab w:val="left" w:pos="1511"/>
        </w:tabs>
        <w:autoSpaceDE w:val="0"/>
        <w:autoSpaceDN w:val="0"/>
        <w:spacing w:line="520" w:lineRule="exact"/>
        <w:ind w:firstLine="480"/>
        <w:rPr>
          <w:rFonts w:hint="eastAsia" w:ascii="宋体" w:hAnsi="宋体"/>
          <w:sz w:val="24"/>
          <w:highlight w:val="none"/>
        </w:rPr>
      </w:pPr>
      <w:r>
        <w:rPr>
          <w:rFonts w:ascii="宋体" w:hAnsi="宋体"/>
          <w:sz w:val="24"/>
          <w:highlight w:val="none"/>
        </w:rPr>
        <w:t>（4）委托人不履行合同约定的其他义务。</w:t>
      </w:r>
    </w:p>
    <w:p w14:paraId="216E1063">
      <w:pPr>
        <w:pStyle w:val="701"/>
        <w:tabs>
          <w:tab w:val="left" w:pos="1598"/>
        </w:tabs>
        <w:autoSpaceDE w:val="0"/>
        <w:autoSpaceDN w:val="0"/>
        <w:spacing w:line="520" w:lineRule="exact"/>
        <w:ind w:firstLine="480"/>
        <w:jc w:val="left"/>
        <w:rPr>
          <w:rFonts w:hint="eastAsia" w:ascii="宋体" w:hAnsi="宋体"/>
          <w:sz w:val="24"/>
          <w:highlight w:val="none"/>
        </w:rPr>
      </w:pPr>
      <w:r>
        <w:rPr>
          <w:rFonts w:ascii="宋体" w:hAnsi="宋体"/>
          <w:sz w:val="24"/>
          <w:highlight w:val="none"/>
        </w:rPr>
        <w:t>14.2.2 委托人发生违约情况时，咨询人可向委托人发出暂停咨询服务通知，要求其在限定期限内纠正；逾期仍不纠正的，咨询人有权解除合同并向委托人发出解除合同通知。委托人应当承担由于违约所造成的费用增加、周期延误和咨询人损失等。</w:t>
      </w:r>
    </w:p>
    <w:p w14:paraId="61AC2B2A">
      <w:pPr>
        <w:pStyle w:val="701"/>
        <w:tabs>
          <w:tab w:val="left" w:pos="1082"/>
        </w:tabs>
        <w:autoSpaceDE w:val="0"/>
        <w:autoSpaceDN w:val="0"/>
        <w:spacing w:line="520" w:lineRule="exact"/>
        <w:ind w:firstLine="482"/>
        <w:jc w:val="left"/>
        <w:rPr>
          <w:rFonts w:hint="eastAsia" w:ascii="宋体" w:hAnsi="宋体"/>
          <w:b/>
          <w:sz w:val="24"/>
          <w:highlight w:val="none"/>
        </w:rPr>
      </w:pPr>
      <w:r>
        <w:rPr>
          <w:rFonts w:ascii="宋体" w:hAnsi="宋体"/>
          <w:b/>
          <w:sz w:val="24"/>
          <w:highlight w:val="none"/>
        </w:rPr>
        <w:t>14.3 第三人造成的违约</w:t>
      </w:r>
    </w:p>
    <w:p w14:paraId="414347DA">
      <w:pPr>
        <w:pStyle w:val="35"/>
        <w:spacing w:after="0" w:line="520" w:lineRule="exact"/>
        <w:ind w:firstLine="480" w:firstLineChars="200"/>
        <w:rPr>
          <w:rFonts w:hint="eastAsia" w:ascii="宋体" w:hAnsi="宋体"/>
          <w:sz w:val="24"/>
          <w:highlight w:val="none"/>
        </w:rPr>
      </w:pPr>
      <w:r>
        <w:rPr>
          <w:rFonts w:ascii="宋体" w:hAnsi="宋体"/>
          <w:sz w:val="24"/>
          <w:highlight w:val="none"/>
        </w:rPr>
        <w:t>在履行合同过程中，一方当事人因第三人的原因造成违约的，应当向对方当事人承担违约责任。一方当事人和第三人之间的纠纷，依照法律规定或者按照约定解决。</w:t>
      </w:r>
    </w:p>
    <w:p w14:paraId="210E4922">
      <w:pPr>
        <w:pStyle w:val="723"/>
        <w:spacing w:line="520" w:lineRule="exact"/>
        <w:ind w:firstLine="482"/>
        <w:outlineLvl w:val="1"/>
        <w:rPr>
          <w:rFonts w:ascii="宋体" w:hAnsi="宋体" w:eastAsia="宋体"/>
          <w:b w:val="0"/>
          <w:bCs/>
          <w:szCs w:val="24"/>
          <w:highlight w:val="none"/>
        </w:rPr>
      </w:pPr>
      <w:bookmarkStart w:id="60" w:name="_Toc156986245"/>
      <w:bookmarkStart w:id="61" w:name="_Toc161231757"/>
      <w:r>
        <w:rPr>
          <w:rFonts w:ascii="宋体" w:hAnsi="宋体" w:eastAsia="宋体"/>
          <w:bCs/>
          <w:szCs w:val="24"/>
          <w:highlight w:val="none"/>
        </w:rPr>
        <w:t>15.争议的解决</w:t>
      </w:r>
      <w:bookmarkEnd w:id="60"/>
      <w:bookmarkEnd w:id="61"/>
    </w:p>
    <w:p w14:paraId="39BF6C02">
      <w:pPr>
        <w:spacing w:line="520" w:lineRule="exact"/>
        <w:ind w:firstLine="480" w:firstLineChars="200"/>
        <w:rPr>
          <w:rFonts w:hint="eastAsia" w:ascii="宋体" w:hAnsi="宋体"/>
          <w:sz w:val="24"/>
          <w:highlight w:val="none"/>
        </w:rPr>
      </w:pPr>
      <w:r>
        <w:rPr>
          <w:rFonts w:ascii="宋体" w:hAnsi="宋体"/>
          <w:sz w:val="24"/>
          <w:highlight w:val="none"/>
        </w:rPr>
        <w:t>委托人和咨询人在履行合同中发生争议的，可以友好协商解决。合同当事人友好协商解决不成的，可在专用合同条款中约定下列一种方式解决：</w:t>
      </w:r>
    </w:p>
    <w:p w14:paraId="6B7B2A80">
      <w:pPr>
        <w:spacing w:line="520" w:lineRule="exact"/>
        <w:ind w:firstLine="480" w:firstLineChars="200"/>
        <w:rPr>
          <w:rFonts w:hint="eastAsia" w:ascii="宋体" w:hAnsi="宋体"/>
          <w:sz w:val="24"/>
          <w:highlight w:val="none"/>
        </w:rPr>
      </w:pPr>
      <w:r>
        <w:rPr>
          <w:rFonts w:ascii="宋体" w:hAnsi="宋体"/>
          <w:sz w:val="24"/>
          <w:highlight w:val="none"/>
        </w:rPr>
        <w:t>（1）向约定的仲裁委员会申请仲裁；</w:t>
      </w:r>
    </w:p>
    <w:p w14:paraId="1EA0C766">
      <w:pPr>
        <w:spacing w:line="520" w:lineRule="exact"/>
        <w:ind w:firstLine="480" w:firstLineChars="200"/>
        <w:rPr>
          <w:rFonts w:hint="eastAsia" w:ascii="宋体" w:hAnsi="宋体"/>
          <w:sz w:val="24"/>
          <w:highlight w:val="none"/>
        </w:rPr>
      </w:pPr>
      <w:r>
        <w:rPr>
          <w:rFonts w:ascii="宋体" w:hAnsi="宋体"/>
          <w:sz w:val="24"/>
          <w:highlight w:val="none"/>
        </w:rPr>
        <w:t>（2）向有管辖权的人民法院提起诉讼。</w:t>
      </w:r>
    </w:p>
    <w:p w14:paraId="7120B897">
      <w:pPr>
        <w:spacing w:line="360" w:lineRule="auto"/>
        <w:rPr>
          <w:sz w:val="24"/>
          <w:highlight w:val="none"/>
        </w:rPr>
      </w:pPr>
    </w:p>
    <w:p w14:paraId="0ECB5739">
      <w:pPr>
        <w:spacing w:before="260" w:after="260" w:line="440" w:lineRule="atLeast"/>
        <w:jc w:val="center"/>
        <w:outlineLvl w:val="1"/>
        <w:rPr>
          <w:rFonts w:eastAsia="黑体"/>
          <w:b/>
          <w:spacing w:val="1"/>
          <w:kern w:val="0"/>
          <w:sz w:val="32"/>
          <w:szCs w:val="32"/>
          <w:highlight w:val="none"/>
        </w:rPr>
      </w:pPr>
      <w:r>
        <w:rPr>
          <w:sz w:val="24"/>
          <w:highlight w:val="none"/>
        </w:rPr>
        <w:br w:type="page"/>
      </w:r>
      <w:bookmarkEnd w:id="21"/>
      <w:bookmarkEnd w:id="22"/>
      <w:bookmarkEnd w:id="23"/>
      <w:bookmarkEnd w:id="24"/>
      <w:bookmarkEnd w:id="25"/>
      <w:bookmarkEnd w:id="26"/>
      <w:bookmarkEnd w:id="27"/>
      <w:bookmarkEnd w:id="28"/>
      <w:bookmarkEnd w:id="29"/>
      <w:bookmarkEnd w:id="30"/>
      <w:bookmarkEnd w:id="31"/>
      <w:r>
        <w:rPr>
          <w:rFonts w:eastAsia="黑体"/>
          <w:b/>
          <w:spacing w:val="1"/>
          <w:kern w:val="0"/>
          <w:sz w:val="32"/>
          <w:szCs w:val="32"/>
          <w:highlight w:val="none"/>
        </w:rPr>
        <w:t>第二节</w:t>
      </w:r>
      <w:r>
        <w:rPr>
          <w:rFonts w:hint="eastAsia" w:eastAsia="黑体"/>
          <w:b/>
          <w:spacing w:val="1"/>
          <w:kern w:val="0"/>
          <w:sz w:val="32"/>
          <w:szCs w:val="32"/>
          <w:highlight w:val="none"/>
        </w:rPr>
        <w:t xml:space="preserve">  </w:t>
      </w:r>
      <w:r>
        <w:rPr>
          <w:rFonts w:eastAsia="黑体"/>
          <w:b/>
          <w:spacing w:val="1"/>
          <w:kern w:val="0"/>
          <w:sz w:val="32"/>
          <w:szCs w:val="32"/>
          <w:highlight w:val="none"/>
        </w:rPr>
        <w:t>专用合同条款</w:t>
      </w:r>
    </w:p>
    <w:p w14:paraId="7A3CAD47">
      <w:pPr>
        <w:spacing w:after="120" w:line="440" w:lineRule="atLeast"/>
        <w:ind w:firstLine="480" w:firstLineChars="200"/>
        <w:rPr>
          <w:rFonts w:hint="eastAsia" w:ascii="宋体" w:hAnsi="宋体" w:cs="宋体"/>
          <w:sz w:val="24"/>
          <w:highlight w:val="none"/>
        </w:rPr>
      </w:pPr>
      <w:bookmarkStart w:id="62" w:name="_Toc234833230"/>
      <w:r>
        <w:rPr>
          <w:rFonts w:hint="eastAsia" w:ascii="宋体" w:hAnsi="宋体" w:cs="宋体"/>
          <w:sz w:val="24"/>
          <w:highlight w:val="none"/>
        </w:rPr>
        <w:t>本合同条款是对咨询服务通用合同条款中相关条款的补充、修改或增加。当专用合同条款与通用条款不一致时，以专用合同条款为准，通用合同条款中未作修改或增补的条款继续有效。</w:t>
      </w:r>
    </w:p>
    <w:p w14:paraId="0AFC0527">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1.一般约定</w:t>
      </w:r>
    </w:p>
    <w:p w14:paraId="183D84AA">
      <w:pPr>
        <w:pStyle w:val="152"/>
        <w:tabs>
          <w:tab w:val="left" w:pos="1082"/>
        </w:tabs>
        <w:autoSpaceDE w:val="0"/>
        <w:autoSpaceDN w:val="0"/>
        <w:spacing w:line="520" w:lineRule="exact"/>
        <w:ind w:firstLine="482"/>
        <w:rPr>
          <w:rFonts w:hint="eastAsia"/>
          <w:highlight w:val="none"/>
        </w:rPr>
      </w:pPr>
      <w:r>
        <w:rPr>
          <w:b/>
          <w:highlight w:val="none"/>
        </w:rPr>
        <w:t>1.1 词语定义</w:t>
      </w:r>
    </w:p>
    <w:p w14:paraId="2BE079F9">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1.1.3检测服务</w:t>
      </w:r>
    </w:p>
    <w:p w14:paraId="1685A706">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1.1.3.1本合同检测服务：</w:t>
      </w:r>
      <w:r>
        <w:rPr>
          <w:rFonts w:hint="eastAsia" w:ascii="宋体" w:hAnsi="宋体" w:cs="宋体"/>
          <w:b/>
          <w:bCs/>
          <w:sz w:val="24"/>
          <w:highlight w:val="none"/>
          <w:u w:val="single"/>
        </w:rPr>
        <w:t>G59</w:t>
      </w:r>
      <w:r>
        <w:rPr>
          <w:rFonts w:hint="eastAsia" w:ascii="宋体" w:hAnsi="宋体" w:cs="宋体"/>
          <w:b/>
          <w:bCs/>
          <w:sz w:val="24"/>
          <w:highlight w:val="none"/>
          <w:u w:val="single"/>
          <w:lang w:val="en-US" w:eastAsia="zh-CN"/>
        </w:rPr>
        <w:t>张官</w:t>
      </w:r>
      <w:r>
        <w:rPr>
          <w:rFonts w:hint="eastAsia" w:ascii="宋体" w:hAnsi="宋体" w:cs="宋体"/>
          <w:b/>
          <w:bCs/>
          <w:sz w:val="24"/>
          <w:highlight w:val="none"/>
          <w:u w:val="single"/>
        </w:rPr>
        <w:t>高速公路</w:t>
      </w:r>
      <w:r>
        <w:rPr>
          <w:rFonts w:hint="eastAsia" w:ascii="宋体" w:hAnsi="宋体" w:cs="宋体"/>
          <w:b/>
          <w:bCs/>
          <w:sz w:val="24"/>
          <w:highlight w:val="none"/>
          <w:u w:val="single"/>
          <w:lang w:val="en-US" w:eastAsia="zh-CN"/>
        </w:rPr>
        <w:t>第二标段</w:t>
      </w:r>
      <w:r>
        <w:rPr>
          <w:rFonts w:hint="eastAsia" w:ascii="宋体" w:hAnsi="宋体" w:cs="宋体"/>
          <w:b/>
          <w:bCs/>
          <w:sz w:val="24"/>
          <w:highlight w:val="none"/>
          <w:u w:val="single"/>
        </w:rPr>
        <w:t>房建工程竣工质量检测技术服务</w:t>
      </w:r>
      <w:r>
        <w:rPr>
          <w:rFonts w:hint="eastAsia" w:ascii="宋体" w:hAnsi="宋体"/>
          <w:sz w:val="24"/>
          <w:highlight w:val="none"/>
        </w:rPr>
        <w:t>。</w:t>
      </w:r>
    </w:p>
    <w:p w14:paraId="76CEA683">
      <w:pPr>
        <w:pStyle w:val="152"/>
        <w:tabs>
          <w:tab w:val="left" w:pos="1082"/>
        </w:tabs>
        <w:autoSpaceDE w:val="0"/>
        <w:autoSpaceDN w:val="0"/>
        <w:spacing w:line="520" w:lineRule="exact"/>
        <w:ind w:firstLine="482"/>
        <w:rPr>
          <w:rFonts w:hint="eastAsia"/>
          <w:b/>
          <w:highlight w:val="none"/>
        </w:rPr>
      </w:pPr>
      <w:r>
        <w:rPr>
          <w:b/>
          <w:highlight w:val="none"/>
        </w:rPr>
        <w:t>1.4 合同文件的优先顺序</w:t>
      </w:r>
    </w:p>
    <w:p w14:paraId="0CA094C1">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合同文件组成及解释合同文件的优先顺序如下：</w:t>
      </w:r>
    </w:p>
    <w:p w14:paraId="2ACDFE8D">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合同协议书及附件；</w:t>
      </w:r>
    </w:p>
    <w:p w14:paraId="6C172CB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成交通知书；</w:t>
      </w:r>
    </w:p>
    <w:p w14:paraId="15C77665">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rPr>
        <w:tab/>
      </w:r>
      <w:r>
        <w:rPr>
          <w:rFonts w:hint="eastAsia" w:ascii="宋体" w:hAnsi="宋体"/>
          <w:sz w:val="24"/>
          <w:highlight w:val="none"/>
        </w:rPr>
        <w:t>响应文件；</w:t>
      </w:r>
    </w:p>
    <w:p w14:paraId="54642F60">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rPr>
        <w:tab/>
      </w:r>
      <w:r>
        <w:rPr>
          <w:rFonts w:hint="eastAsia" w:ascii="宋体" w:hAnsi="宋体"/>
          <w:sz w:val="24"/>
          <w:highlight w:val="none"/>
        </w:rPr>
        <w:t>项目专用合同条款；</w:t>
      </w:r>
    </w:p>
    <w:p w14:paraId="71CA357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rPr>
        <w:tab/>
      </w:r>
      <w:r>
        <w:rPr>
          <w:rFonts w:hint="eastAsia" w:ascii="宋体" w:hAnsi="宋体"/>
          <w:sz w:val="24"/>
          <w:highlight w:val="none"/>
        </w:rPr>
        <w:t>通用合同条款；</w:t>
      </w:r>
    </w:p>
    <w:p w14:paraId="79C81914">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w:t>
      </w:r>
      <w:r>
        <w:rPr>
          <w:rFonts w:hint="eastAsia" w:ascii="宋体" w:hAnsi="宋体"/>
          <w:sz w:val="24"/>
          <w:highlight w:val="none"/>
        </w:rPr>
        <w:tab/>
      </w:r>
      <w:r>
        <w:rPr>
          <w:rFonts w:hint="eastAsia" w:ascii="宋体" w:hAnsi="宋体"/>
          <w:sz w:val="24"/>
          <w:highlight w:val="none"/>
        </w:rPr>
        <w:t>委托人要求；</w:t>
      </w:r>
    </w:p>
    <w:p w14:paraId="087DA97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rPr>
        <w:tab/>
      </w:r>
      <w:r>
        <w:rPr>
          <w:rFonts w:hint="eastAsia" w:ascii="宋体" w:hAnsi="宋体"/>
          <w:sz w:val="24"/>
          <w:highlight w:val="none"/>
        </w:rPr>
        <w:t>检测服务费用清单；</w:t>
      </w:r>
    </w:p>
    <w:p w14:paraId="25CD6E29">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rPr>
        <w:tab/>
      </w:r>
      <w:r>
        <w:rPr>
          <w:rFonts w:hint="eastAsia" w:ascii="宋体" w:hAnsi="宋体"/>
          <w:sz w:val="24"/>
          <w:highlight w:val="none"/>
        </w:rPr>
        <w:t>检测服务方案；</w:t>
      </w:r>
    </w:p>
    <w:p w14:paraId="572F6A08">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（9）</w:t>
      </w:r>
      <w:r>
        <w:rPr>
          <w:rFonts w:hint="eastAsia" w:ascii="宋体" w:hAnsi="宋体"/>
          <w:sz w:val="24"/>
          <w:highlight w:val="none"/>
        </w:rPr>
        <w:tab/>
      </w:r>
      <w:r>
        <w:rPr>
          <w:rFonts w:hint="eastAsia" w:ascii="宋体" w:hAnsi="宋体"/>
          <w:sz w:val="24"/>
          <w:highlight w:val="none"/>
        </w:rPr>
        <w:t>合同其他附件。</w:t>
      </w:r>
    </w:p>
    <w:p w14:paraId="5BD68D63">
      <w:pPr>
        <w:pStyle w:val="152"/>
        <w:tabs>
          <w:tab w:val="left" w:pos="1082"/>
        </w:tabs>
        <w:autoSpaceDE w:val="0"/>
        <w:autoSpaceDN w:val="0"/>
        <w:spacing w:line="520" w:lineRule="exact"/>
        <w:ind w:firstLine="482"/>
        <w:rPr>
          <w:rFonts w:hint="eastAsia"/>
          <w:b/>
          <w:highlight w:val="none"/>
        </w:rPr>
      </w:pPr>
      <w:r>
        <w:rPr>
          <w:b/>
          <w:highlight w:val="none"/>
        </w:rPr>
        <w:t>1.6 文件的提供</w:t>
      </w:r>
    </w:p>
    <w:p w14:paraId="1A797489">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1.6.1检测服务成果文件的提供</w:t>
      </w:r>
    </w:p>
    <w:p w14:paraId="0B083EC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咨询人向委托人提供检测服务成果文件的期限：</w:t>
      </w:r>
      <w:r>
        <w:rPr>
          <w:rFonts w:hint="eastAsia" w:ascii="宋体" w:hAnsi="宋体"/>
          <w:sz w:val="24"/>
          <w:highlight w:val="none"/>
          <w:u w:val="single"/>
        </w:rPr>
        <w:t>以项目进度要求为准</w:t>
      </w:r>
      <w:r>
        <w:rPr>
          <w:rFonts w:hint="eastAsia" w:ascii="宋体" w:hAnsi="宋体"/>
          <w:sz w:val="24"/>
          <w:highlight w:val="none"/>
        </w:rPr>
        <w:t>。</w:t>
      </w:r>
    </w:p>
    <w:p w14:paraId="4E0D3C44">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咨询人向委托人提供检测服务成果文件的份数：</w:t>
      </w:r>
      <w:r>
        <w:rPr>
          <w:rFonts w:ascii="宋体" w:hAnsi="宋体"/>
          <w:sz w:val="24"/>
          <w:highlight w:val="none"/>
          <w:u w:val="single"/>
        </w:rPr>
        <w:t>8</w:t>
      </w:r>
      <w:r>
        <w:rPr>
          <w:rFonts w:hint="eastAsia" w:ascii="宋体" w:hAnsi="宋体"/>
          <w:sz w:val="24"/>
          <w:highlight w:val="none"/>
          <w:u w:val="single"/>
        </w:rPr>
        <w:t>份</w:t>
      </w:r>
      <w:r>
        <w:rPr>
          <w:rFonts w:hint="eastAsia" w:ascii="宋体" w:hAnsi="宋体"/>
          <w:sz w:val="24"/>
          <w:highlight w:val="none"/>
        </w:rPr>
        <w:t>。</w:t>
      </w:r>
    </w:p>
    <w:p w14:paraId="2F733C7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合同约定检测服务成果文件应经委托人批复的，委托人应当在</w:t>
      </w:r>
      <w:r>
        <w:rPr>
          <w:rFonts w:hint="eastAsia" w:ascii="宋体" w:hAnsi="宋体"/>
          <w:sz w:val="24"/>
          <w:highlight w:val="none"/>
          <w:u w:val="single"/>
        </w:rPr>
        <w:t>14</w:t>
      </w:r>
      <w:r>
        <w:rPr>
          <w:rFonts w:hint="eastAsia" w:ascii="宋体" w:hAnsi="宋体"/>
          <w:sz w:val="24"/>
          <w:highlight w:val="none"/>
        </w:rPr>
        <w:t>日内批复或提出修改意见。</w:t>
      </w:r>
    </w:p>
    <w:p w14:paraId="78CB3A1B">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1.6.2委托人提供的文件</w:t>
      </w:r>
    </w:p>
    <w:p w14:paraId="6ADA3E0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委托人向咨询人提供检测服务资料的内容：</w:t>
      </w:r>
      <w:r>
        <w:rPr>
          <w:rFonts w:hint="eastAsia" w:ascii="宋体" w:hAnsi="宋体"/>
          <w:sz w:val="24"/>
          <w:highlight w:val="none"/>
          <w:u w:val="single"/>
        </w:rPr>
        <w:t>合同图纸和相关的标准图纸及说明1套</w:t>
      </w:r>
    </w:p>
    <w:p w14:paraId="68138D06">
      <w:pPr>
        <w:pStyle w:val="152"/>
        <w:tabs>
          <w:tab w:val="left" w:pos="1082"/>
        </w:tabs>
        <w:autoSpaceDE w:val="0"/>
        <w:autoSpaceDN w:val="0"/>
        <w:spacing w:line="520" w:lineRule="exact"/>
        <w:ind w:firstLine="482"/>
        <w:rPr>
          <w:rFonts w:hint="eastAsia"/>
          <w:b/>
          <w:highlight w:val="none"/>
        </w:rPr>
      </w:pPr>
      <w:r>
        <w:rPr>
          <w:b/>
          <w:highlight w:val="none"/>
        </w:rPr>
        <w:t>1.7 联络</w:t>
      </w:r>
    </w:p>
    <w:p w14:paraId="01E58C8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1.7.2委托人和咨询人应将与合同有关的通知、批准、证明、证书、指示、要求、请求、同意、意见、确定和决定等来往函件，送达指定的地点和指定的接收人，并办理签收手续。</w:t>
      </w:r>
    </w:p>
    <w:p w14:paraId="5D175FF6">
      <w:pPr>
        <w:pStyle w:val="35"/>
        <w:spacing w:after="0" w:line="520" w:lineRule="exact"/>
        <w:ind w:firstLine="480" w:firstLineChars="200"/>
        <w:rPr>
          <w:rFonts w:hint="eastAsia" w:ascii="宋体" w:hAnsi="宋体"/>
          <w:sz w:val="24"/>
          <w:highlight w:val="none"/>
          <w:u w:val="single"/>
        </w:rPr>
      </w:pPr>
      <w:r>
        <w:rPr>
          <w:rFonts w:hint="eastAsia" w:ascii="宋体" w:hAnsi="宋体"/>
          <w:sz w:val="24"/>
          <w:highlight w:val="none"/>
        </w:rPr>
        <w:t>指定的地点和接收人如下：</w:t>
      </w:r>
      <w:r>
        <w:rPr>
          <w:rFonts w:hint="eastAsia" w:ascii="宋体" w:hAnsi="宋体"/>
          <w:sz w:val="24"/>
          <w:highlight w:val="none"/>
          <w:u w:val="single"/>
        </w:rPr>
        <w:t xml:space="preserve"> </w:t>
      </w:r>
      <w:r>
        <w:rPr>
          <w:rFonts w:ascii="宋体" w:hAnsi="宋体"/>
          <w:sz w:val="24"/>
          <w:highlight w:val="none"/>
          <w:u w:val="single"/>
        </w:rPr>
        <w:t xml:space="preserve">                      </w:t>
      </w:r>
    </w:p>
    <w:p w14:paraId="2D481594">
      <w:pPr>
        <w:pStyle w:val="35"/>
        <w:spacing w:after="0" w:line="520" w:lineRule="exact"/>
        <w:ind w:firstLine="480" w:firstLineChars="200"/>
        <w:rPr>
          <w:rFonts w:hint="eastAsia" w:ascii="宋体" w:hAnsi="宋体"/>
          <w:sz w:val="24"/>
          <w:highlight w:val="none"/>
          <w:u w:val="single"/>
        </w:rPr>
      </w:pPr>
      <w:r>
        <w:rPr>
          <w:rFonts w:hint="eastAsia" w:ascii="宋体" w:hAnsi="宋体"/>
          <w:sz w:val="24"/>
          <w:highlight w:val="none"/>
        </w:rPr>
        <w:t>委托人接收来往函件的指定地点：</w:t>
      </w:r>
      <w:r>
        <w:rPr>
          <w:rFonts w:hint="eastAsia" w:ascii="宋体" w:hAnsi="宋体"/>
          <w:sz w:val="24"/>
          <w:highlight w:val="none"/>
          <w:u w:val="single"/>
        </w:rPr>
        <w:t xml:space="preserve"> </w:t>
      </w:r>
      <w:r>
        <w:rPr>
          <w:rFonts w:ascii="宋体" w:hAnsi="宋体"/>
          <w:sz w:val="24"/>
          <w:highlight w:val="none"/>
          <w:u w:val="single"/>
        </w:rPr>
        <w:t xml:space="preserve">                </w:t>
      </w:r>
    </w:p>
    <w:p w14:paraId="5E0D6DD4">
      <w:pPr>
        <w:pStyle w:val="35"/>
        <w:spacing w:after="0" w:line="520" w:lineRule="exact"/>
        <w:ind w:firstLine="480" w:firstLineChars="200"/>
        <w:rPr>
          <w:rFonts w:hint="eastAsia" w:ascii="宋体" w:hAnsi="宋体"/>
          <w:sz w:val="24"/>
          <w:highlight w:val="none"/>
          <w:u w:val="single"/>
        </w:rPr>
      </w:pPr>
      <w:r>
        <w:rPr>
          <w:rFonts w:hint="eastAsia" w:ascii="宋体" w:hAnsi="宋体"/>
          <w:sz w:val="24"/>
          <w:highlight w:val="none"/>
        </w:rPr>
        <w:t>委托人接收来往函件的指定接收人：</w:t>
      </w:r>
      <w:r>
        <w:rPr>
          <w:rFonts w:ascii="宋体" w:hAnsi="宋体"/>
          <w:sz w:val="24"/>
          <w:highlight w:val="none"/>
          <w:u w:val="single"/>
        </w:rPr>
        <w:t xml:space="preserve">                </w:t>
      </w:r>
    </w:p>
    <w:p w14:paraId="44C4AA97">
      <w:pPr>
        <w:pStyle w:val="35"/>
        <w:spacing w:after="0" w:line="520" w:lineRule="exact"/>
        <w:ind w:firstLine="480" w:firstLineChars="200"/>
        <w:rPr>
          <w:rFonts w:hint="eastAsia" w:ascii="宋体" w:hAnsi="宋体"/>
          <w:sz w:val="24"/>
          <w:highlight w:val="none"/>
          <w:u w:val="single"/>
        </w:rPr>
      </w:pPr>
      <w:r>
        <w:rPr>
          <w:rFonts w:hint="eastAsia" w:ascii="宋体" w:hAnsi="宋体"/>
          <w:sz w:val="24"/>
          <w:highlight w:val="none"/>
        </w:rPr>
        <w:t>委托人指定的联系方式：</w:t>
      </w:r>
      <w:r>
        <w:rPr>
          <w:rFonts w:hint="eastAsia" w:ascii="宋体" w:hAnsi="宋体"/>
          <w:sz w:val="24"/>
          <w:highlight w:val="none"/>
          <w:u w:val="single"/>
        </w:rPr>
        <w:t xml:space="preserve"> </w:t>
      </w:r>
      <w:r>
        <w:rPr>
          <w:rFonts w:ascii="宋体" w:hAnsi="宋体"/>
          <w:sz w:val="24"/>
          <w:highlight w:val="none"/>
          <w:u w:val="single"/>
        </w:rPr>
        <w:t xml:space="preserve">                     </w:t>
      </w:r>
    </w:p>
    <w:p w14:paraId="2D176D3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咨询人接收来往函件的指定地点：</w:t>
      </w:r>
      <w:r>
        <w:rPr>
          <w:rFonts w:hint="eastAsia" w:ascii="宋体" w:hAnsi="宋体"/>
          <w:sz w:val="24"/>
          <w:highlight w:val="none"/>
          <w:u w:val="single"/>
        </w:rPr>
        <w:t xml:space="preserve"> </w:t>
      </w:r>
      <w:r>
        <w:rPr>
          <w:rFonts w:ascii="宋体" w:hAnsi="宋体"/>
          <w:sz w:val="24"/>
          <w:highlight w:val="none"/>
          <w:u w:val="single"/>
        </w:rPr>
        <w:t xml:space="preserve">               </w:t>
      </w:r>
    </w:p>
    <w:p w14:paraId="6497310D">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咨询人接收来往函件的指定接收人：</w:t>
      </w:r>
      <w:r>
        <w:rPr>
          <w:rFonts w:hint="eastAsia" w:ascii="宋体" w:hAnsi="宋体"/>
          <w:sz w:val="24"/>
          <w:highlight w:val="none"/>
          <w:u w:val="single"/>
        </w:rPr>
        <w:t xml:space="preserve"> </w:t>
      </w:r>
      <w:r>
        <w:rPr>
          <w:rFonts w:ascii="宋体" w:hAnsi="宋体"/>
          <w:sz w:val="24"/>
          <w:highlight w:val="none"/>
          <w:u w:val="single"/>
        </w:rPr>
        <w:t xml:space="preserve">                  </w:t>
      </w:r>
    </w:p>
    <w:p w14:paraId="7C59760D">
      <w:pPr>
        <w:pStyle w:val="35"/>
        <w:spacing w:after="0" w:line="520" w:lineRule="exact"/>
        <w:ind w:firstLine="480" w:firstLineChars="200"/>
        <w:rPr>
          <w:rFonts w:hint="eastAsia" w:ascii="宋体" w:hAnsi="宋体"/>
          <w:sz w:val="24"/>
          <w:highlight w:val="none"/>
          <w:u w:val="single"/>
        </w:rPr>
      </w:pPr>
      <w:r>
        <w:rPr>
          <w:rFonts w:hint="eastAsia" w:ascii="宋体" w:hAnsi="宋体"/>
          <w:sz w:val="24"/>
          <w:highlight w:val="none"/>
        </w:rPr>
        <w:t>咨询人指定的联系方式：</w:t>
      </w:r>
      <w:r>
        <w:rPr>
          <w:rFonts w:hint="eastAsia" w:ascii="宋体" w:hAnsi="宋体"/>
          <w:sz w:val="24"/>
          <w:highlight w:val="none"/>
          <w:u w:val="single"/>
        </w:rPr>
        <w:t xml:space="preserve"> </w:t>
      </w:r>
      <w:r>
        <w:rPr>
          <w:rFonts w:ascii="宋体" w:hAnsi="宋体"/>
          <w:sz w:val="24"/>
          <w:highlight w:val="none"/>
          <w:u w:val="single"/>
        </w:rPr>
        <w:t xml:space="preserve">                         </w:t>
      </w:r>
    </w:p>
    <w:p w14:paraId="73488B98">
      <w:pPr>
        <w:pStyle w:val="152"/>
        <w:tabs>
          <w:tab w:val="left" w:pos="1082"/>
        </w:tabs>
        <w:autoSpaceDE w:val="0"/>
        <w:autoSpaceDN w:val="0"/>
        <w:spacing w:line="520" w:lineRule="exact"/>
        <w:ind w:firstLine="482"/>
        <w:rPr>
          <w:rFonts w:hint="eastAsia"/>
          <w:b/>
          <w:highlight w:val="none"/>
        </w:rPr>
      </w:pPr>
      <w:r>
        <w:rPr>
          <w:b/>
          <w:highlight w:val="none"/>
        </w:rPr>
        <w:t>1.8 转让</w:t>
      </w:r>
    </w:p>
    <w:p w14:paraId="3AB97D41">
      <w:pPr>
        <w:pStyle w:val="152"/>
        <w:tabs>
          <w:tab w:val="left" w:pos="1082"/>
        </w:tabs>
        <w:autoSpaceDE w:val="0"/>
        <w:autoSpaceDN w:val="0"/>
        <w:spacing w:line="520" w:lineRule="exact"/>
        <w:ind w:firstLine="480"/>
        <w:rPr>
          <w:rFonts w:hint="eastAsia"/>
          <w:bCs/>
          <w:highlight w:val="none"/>
        </w:rPr>
      </w:pPr>
      <w:r>
        <w:rPr>
          <w:bCs/>
          <w:highlight w:val="none"/>
        </w:rPr>
        <w:t>关于转让合同权利义务的约定：</w:t>
      </w:r>
      <w:r>
        <w:rPr>
          <w:bCs/>
          <w:highlight w:val="none"/>
          <w:u w:val="single"/>
        </w:rPr>
        <w:t>未经对方当事人同意，一方当事人不得将合同权利全部或部分转让给第三人，也不得全部或部分转移合同义务。</w:t>
      </w:r>
    </w:p>
    <w:p w14:paraId="346F036F">
      <w:pPr>
        <w:pStyle w:val="152"/>
        <w:tabs>
          <w:tab w:val="left" w:pos="1082"/>
        </w:tabs>
        <w:autoSpaceDE w:val="0"/>
        <w:autoSpaceDN w:val="0"/>
        <w:spacing w:line="520" w:lineRule="exact"/>
        <w:ind w:firstLine="482"/>
        <w:rPr>
          <w:rFonts w:hint="eastAsia"/>
          <w:b/>
          <w:highlight w:val="none"/>
        </w:rPr>
      </w:pPr>
      <w:r>
        <w:rPr>
          <w:b/>
          <w:highlight w:val="none"/>
        </w:rPr>
        <w:t>1.10 知识产权</w:t>
      </w:r>
    </w:p>
    <w:p w14:paraId="40C84AF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1.10.2修改为：</w:t>
      </w:r>
      <w:r>
        <w:rPr>
          <w:rFonts w:hint="eastAsia" w:ascii="宋体" w:hAnsi="宋体"/>
          <w:sz w:val="24"/>
          <w:highlight w:val="none"/>
          <w:u w:val="single"/>
        </w:rPr>
        <w:t>咨询人在从事检测服务活动时，不得侵犯他人的知识产权。因侵犯专利权或其他知识产权所引起的责任，由咨询人自行承担</w:t>
      </w:r>
      <w:r>
        <w:rPr>
          <w:rFonts w:hint="eastAsia" w:ascii="宋体" w:hAnsi="宋体"/>
          <w:sz w:val="24"/>
          <w:highlight w:val="none"/>
        </w:rPr>
        <w:t>。</w:t>
      </w:r>
    </w:p>
    <w:p w14:paraId="2DA94B9A">
      <w:pPr>
        <w:pStyle w:val="152"/>
        <w:tabs>
          <w:tab w:val="left" w:pos="1082"/>
        </w:tabs>
        <w:autoSpaceDE w:val="0"/>
        <w:autoSpaceDN w:val="0"/>
        <w:spacing w:line="520" w:lineRule="exact"/>
        <w:ind w:firstLine="482"/>
        <w:rPr>
          <w:rFonts w:hint="eastAsia"/>
          <w:b/>
          <w:highlight w:val="none"/>
        </w:rPr>
      </w:pPr>
      <w:r>
        <w:rPr>
          <w:b/>
          <w:highlight w:val="none"/>
        </w:rPr>
        <w:t>1.12 委托人要求</w:t>
      </w:r>
    </w:p>
    <w:p w14:paraId="2055566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1.12.1修改为：</w:t>
      </w:r>
      <w:r>
        <w:rPr>
          <w:rFonts w:hint="eastAsia" w:ascii="宋体" w:hAnsi="宋体"/>
          <w:sz w:val="24"/>
          <w:highlight w:val="none"/>
          <w:u w:val="single"/>
        </w:rPr>
        <w:t>咨询人应认真阅读、复核委托人要求，发现错误的，应及时书面通知委托人。无论是否存在错误，委托人均有权修改委托人要求，并在修改后3天内通知咨询人。由此导致咨询人费用增加，委托人不另行支付；周期延误的，顺延周期</w:t>
      </w:r>
      <w:r>
        <w:rPr>
          <w:rFonts w:hint="eastAsia" w:ascii="宋体" w:hAnsi="宋体"/>
          <w:sz w:val="24"/>
          <w:highlight w:val="none"/>
        </w:rPr>
        <w:t>。</w:t>
      </w:r>
    </w:p>
    <w:p w14:paraId="23FE29F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1.12.3修改为：</w:t>
      </w:r>
      <w:r>
        <w:rPr>
          <w:rFonts w:hint="eastAsia" w:ascii="宋体" w:hAnsi="宋体"/>
          <w:sz w:val="24"/>
          <w:highlight w:val="none"/>
          <w:u w:val="single"/>
        </w:rPr>
        <w:t>如果委托人要求违反法律规定，咨询人应在发现或及时书面通知委托人，要求其改正</w:t>
      </w:r>
      <w:r>
        <w:rPr>
          <w:rFonts w:hint="eastAsia" w:ascii="宋体" w:hAnsi="宋体"/>
          <w:sz w:val="24"/>
          <w:highlight w:val="none"/>
        </w:rPr>
        <w:t>。</w:t>
      </w:r>
    </w:p>
    <w:p w14:paraId="59D4C5A6">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3.委托人管理</w:t>
      </w:r>
    </w:p>
    <w:p w14:paraId="7515BC3C">
      <w:pPr>
        <w:pStyle w:val="152"/>
        <w:tabs>
          <w:tab w:val="left" w:pos="1082"/>
        </w:tabs>
        <w:autoSpaceDE w:val="0"/>
        <w:autoSpaceDN w:val="0"/>
        <w:spacing w:line="520" w:lineRule="exact"/>
        <w:ind w:firstLine="482"/>
        <w:rPr>
          <w:rFonts w:hint="eastAsia"/>
          <w:b/>
          <w:highlight w:val="none"/>
        </w:rPr>
      </w:pPr>
      <w:r>
        <w:rPr>
          <w:b/>
          <w:highlight w:val="none"/>
        </w:rPr>
        <w:t>3.2 委托人的指示</w:t>
      </w:r>
    </w:p>
    <w:p w14:paraId="63B194A4">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3.2.5修改为：</w:t>
      </w:r>
      <w:r>
        <w:rPr>
          <w:rFonts w:hint="eastAsia" w:ascii="宋体" w:hAnsi="宋体"/>
          <w:sz w:val="24"/>
          <w:highlight w:val="none"/>
          <w:u w:val="single"/>
        </w:rPr>
        <w:t>由于委托人未能按合同约定发出指示、指示延误或错误而导致咨询人周期延误的，委托人应承担由此增加的周期延误；导致咨询人费用增加的，委托人不另行支付</w:t>
      </w:r>
      <w:r>
        <w:rPr>
          <w:rFonts w:hint="eastAsia" w:ascii="宋体" w:hAnsi="宋体"/>
          <w:sz w:val="24"/>
          <w:highlight w:val="none"/>
        </w:rPr>
        <w:t>。</w:t>
      </w:r>
    </w:p>
    <w:p w14:paraId="2EB32C73">
      <w:pPr>
        <w:pStyle w:val="152"/>
        <w:tabs>
          <w:tab w:val="left" w:pos="1082"/>
        </w:tabs>
        <w:autoSpaceDE w:val="0"/>
        <w:autoSpaceDN w:val="0"/>
        <w:spacing w:line="520" w:lineRule="exact"/>
        <w:ind w:firstLine="482"/>
        <w:rPr>
          <w:rFonts w:hint="eastAsia"/>
          <w:b/>
          <w:highlight w:val="none"/>
        </w:rPr>
      </w:pPr>
      <w:r>
        <w:rPr>
          <w:b/>
          <w:highlight w:val="none"/>
        </w:rPr>
        <w:t>3.3 决定或答复</w:t>
      </w:r>
    </w:p>
    <w:p w14:paraId="56CF866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3.3.2委托人对咨询人书面提出的事项作出书面答复的时间：</w:t>
      </w:r>
      <w:r>
        <w:rPr>
          <w:rFonts w:ascii="宋体" w:hAnsi="宋体"/>
          <w:sz w:val="24"/>
          <w:highlight w:val="none"/>
          <w:u w:val="single"/>
        </w:rPr>
        <w:t>委托人应在14天之内，对</w:t>
      </w:r>
      <w:r>
        <w:rPr>
          <w:rFonts w:hint="eastAsia" w:ascii="宋体" w:hAnsi="宋体"/>
          <w:sz w:val="24"/>
          <w:highlight w:val="none"/>
          <w:u w:val="single"/>
        </w:rPr>
        <w:t>咨询</w:t>
      </w:r>
      <w:r>
        <w:rPr>
          <w:rFonts w:ascii="宋体" w:hAnsi="宋体"/>
          <w:sz w:val="24"/>
          <w:highlight w:val="none"/>
          <w:u w:val="single"/>
        </w:rPr>
        <w:t>人书面提出的事项作出书面答复；逾期没有做出答复的，</w:t>
      </w:r>
      <w:r>
        <w:rPr>
          <w:rFonts w:hint="eastAsia" w:ascii="宋体" w:hAnsi="宋体"/>
          <w:sz w:val="24"/>
          <w:highlight w:val="none"/>
          <w:u w:val="single"/>
        </w:rPr>
        <w:t>咨询</w:t>
      </w:r>
      <w:r>
        <w:rPr>
          <w:rFonts w:ascii="宋体" w:hAnsi="宋体"/>
          <w:sz w:val="24"/>
          <w:highlight w:val="none"/>
          <w:u w:val="single"/>
        </w:rPr>
        <w:t>人予以谅解，不视为已获得委托人的批准</w:t>
      </w:r>
      <w:r>
        <w:rPr>
          <w:rFonts w:ascii="宋体" w:hAnsi="宋体"/>
          <w:sz w:val="24"/>
          <w:highlight w:val="none"/>
        </w:rPr>
        <w:t>。</w:t>
      </w:r>
    </w:p>
    <w:p w14:paraId="4C30F421">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4.咨询人义务</w:t>
      </w:r>
    </w:p>
    <w:p w14:paraId="3863B555">
      <w:pPr>
        <w:pStyle w:val="152"/>
        <w:tabs>
          <w:tab w:val="left" w:pos="1082"/>
        </w:tabs>
        <w:autoSpaceDE w:val="0"/>
        <w:autoSpaceDN w:val="0"/>
        <w:spacing w:line="520" w:lineRule="exact"/>
        <w:ind w:firstLine="482"/>
        <w:rPr>
          <w:rFonts w:hint="eastAsia"/>
          <w:b/>
          <w:highlight w:val="none"/>
        </w:rPr>
      </w:pPr>
      <w:r>
        <w:rPr>
          <w:b/>
          <w:highlight w:val="none"/>
        </w:rPr>
        <w:t>4.2 履约保证金</w:t>
      </w:r>
    </w:p>
    <w:p w14:paraId="6E9C2E0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本款修改为：</w:t>
      </w:r>
      <w:r>
        <w:rPr>
          <w:rFonts w:hint="eastAsia" w:ascii="宋体" w:hAnsi="宋体"/>
          <w:sz w:val="24"/>
          <w:highlight w:val="none"/>
          <w:u w:val="single"/>
        </w:rPr>
        <w:t>咨询人应在合同签订前1</w:t>
      </w:r>
      <w:r>
        <w:rPr>
          <w:rFonts w:ascii="宋体" w:hAnsi="宋体"/>
          <w:sz w:val="24"/>
          <w:highlight w:val="none"/>
          <w:u w:val="single"/>
        </w:rPr>
        <w:t>5</w:t>
      </w:r>
      <w:r>
        <w:rPr>
          <w:rFonts w:hint="eastAsia" w:ascii="宋体" w:hAnsi="宋体"/>
          <w:sz w:val="24"/>
          <w:highlight w:val="none"/>
          <w:u w:val="single"/>
        </w:rPr>
        <w:t>天提交履约担保，履约担保方式为现金或履约保函，履约担保金额为签约合同价的</w:t>
      </w:r>
      <w:r>
        <w:rPr>
          <w:rFonts w:ascii="宋体" w:hAnsi="宋体"/>
          <w:sz w:val="24"/>
          <w:highlight w:val="none"/>
          <w:u w:val="single"/>
        </w:rPr>
        <w:t>10</w:t>
      </w:r>
      <w:r>
        <w:rPr>
          <w:rFonts w:hint="eastAsia" w:ascii="宋体" w:hAnsi="宋体"/>
          <w:sz w:val="24"/>
          <w:highlight w:val="none"/>
          <w:u w:val="single"/>
        </w:rPr>
        <w:t>%，咨询人应保证其履约担保在服务工作实质上完工（咨询人检测成果全部提交且经委托人验收通过）前一直有效，履约担保在所检测范围内的项目验收通过后28日内退还咨询人。保函应由具有相应担保额度的银行（国有股份制度商业银行）开立</w:t>
      </w:r>
      <w:r>
        <w:rPr>
          <w:rFonts w:hint="eastAsia" w:ascii="宋体" w:hAnsi="宋体"/>
          <w:sz w:val="24"/>
          <w:highlight w:val="none"/>
        </w:rPr>
        <w:t>。</w:t>
      </w:r>
    </w:p>
    <w:p w14:paraId="18CEEA98">
      <w:pPr>
        <w:pStyle w:val="152"/>
        <w:tabs>
          <w:tab w:val="left" w:pos="1082"/>
        </w:tabs>
        <w:autoSpaceDE w:val="0"/>
        <w:autoSpaceDN w:val="0"/>
        <w:spacing w:line="520" w:lineRule="exact"/>
        <w:ind w:firstLine="482"/>
        <w:rPr>
          <w:rFonts w:hint="eastAsia"/>
          <w:b/>
          <w:highlight w:val="none"/>
        </w:rPr>
      </w:pPr>
      <w:r>
        <w:rPr>
          <w:b/>
          <w:highlight w:val="none"/>
        </w:rPr>
        <w:t>4.3 分包和不得转包</w:t>
      </w:r>
    </w:p>
    <w:p w14:paraId="2ED5C6A6">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4.3.2关于分包的约定：</w:t>
      </w:r>
      <w:r>
        <w:rPr>
          <w:rFonts w:hint="eastAsia" w:ascii="宋体" w:hAnsi="宋体"/>
          <w:sz w:val="24"/>
          <w:highlight w:val="none"/>
          <w:u w:val="single"/>
        </w:rPr>
        <w:t>咨询人不得将本项目全部或部分咨询工作分包给第三人，但特殊要求的检测项目除外。特殊要求的检测项目经委托人同意，可委托给其他有资质的单位检测。分包检测项目费用己包含在本合同总价中，委托人不另行支付</w:t>
      </w:r>
      <w:r>
        <w:rPr>
          <w:rFonts w:hint="eastAsia" w:ascii="宋体" w:hAnsi="宋体"/>
          <w:sz w:val="24"/>
          <w:highlight w:val="none"/>
        </w:rPr>
        <w:t>。</w:t>
      </w:r>
    </w:p>
    <w:p w14:paraId="287C1719">
      <w:pPr>
        <w:pStyle w:val="152"/>
        <w:tabs>
          <w:tab w:val="left" w:pos="1082"/>
        </w:tabs>
        <w:autoSpaceDE w:val="0"/>
        <w:autoSpaceDN w:val="0"/>
        <w:spacing w:line="520" w:lineRule="exact"/>
        <w:ind w:firstLine="482"/>
        <w:rPr>
          <w:rFonts w:hint="eastAsia"/>
          <w:b/>
          <w:highlight w:val="none"/>
        </w:rPr>
      </w:pPr>
      <w:r>
        <w:rPr>
          <w:b/>
          <w:highlight w:val="none"/>
        </w:rPr>
        <w:t>4.5 项目负责人</w:t>
      </w:r>
    </w:p>
    <w:p w14:paraId="26BEF17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4.5.1项细化为：</w:t>
      </w:r>
      <w:r>
        <w:rPr>
          <w:rFonts w:hint="eastAsia" w:ascii="宋体" w:hAnsi="宋体"/>
          <w:sz w:val="24"/>
          <w:highlight w:val="none"/>
          <w:u w:val="single"/>
        </w:rPr>
        <w:t>咨询人应安排在响应文件中承诺的项目负责人在约定的期限内到职，否则，采购人将取消其成交资格（除不可抗力外）。在项目实施过程中不允许变更项目负责人，咨询人更换项目负责人或根据第4.7款撤换项目负责人，咨询人应事先向委托人提出申请，用不低于原资历人员更换，委托人审查合格后方能更换，同时委托人将按照本合同条款第14款具体规定课以违约金。项目负责人两天内不能履行职责的，应事先征得委托人的同意，并委派代表代行其职责，否则视为咨询人违约。</w:t>
      </w:r>
    </w:p>
    <w:p w14:paraId="7D6CA3EB">
      <w:pPr>
        <w:pStyle w:val="152"/>
        <w:tabs>
          <w:tab w:val="left" w:pos="1082"/>
        </w:tabs>
        <w:autoSpaceDE w:val="0"/>
        <w:autoSpaceDN w:val="0"/>
        <w:spacing w:line="520" w:lineRule="exact"/>
        <w:ind w:firstLine="482"/>
        <w:rPr>
          <w:rFonts w:hint="eastAsia"/>
          <w:b/>
          <w:highlight w:val="none"/>
        </w:rPr>
      </w:pPr>
      <w:r>
        <w:rPr>
          <w:b/>
          <w:highlight w:val="none"/>
        </w:rPr>
        <w:t>4.6 咨询人员的管理</w:t>
      </w:r>
    </w:p>
    <w:p w14:paraId="3BFDB04C">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4.6.1补充:</w:t>
      </w:r>
    </w:p>
    <w:p w14:paraId="1BCE1C5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u w:val="single"/>
        </w:rPr>
        <w:t>在合同实施过程中，委托人有对咨询人派驻的人员及其工作进行检查和监督的权利，对不称职的、严重失职的、有故意或恶意违约行为的人员有权要求咨询人员更换。若人员数量、结构不能满足工作的需要，委托人有权要求增加或更换人员，合同总价不予调整</w:t>
      </w:r>
      <w:r>
        <w:rPr>
          <w:rFonts w:hint="eastAsia" w:ascii="宋体" w:hAnsi="宋体"/>
          <w:sz w:val="24"/>
          <w:highlight w:val="none"/>
        </w:rPr>
        <w:t>。</w:t>
      </w:r>
    </w:p>
    <w:p w14:paraId="02C9F5E8">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4.6.2主要咨询人员包括：</w:t>
      </w:r>
      <w:r>
        <w:rPr>
          <w:rFonts w:hint="eastAsia" w:ascii="宋体" w:hAnsi="宋体"/>
          <w:sz w:val="24"/>
          <w:highlight w:val="none"/>
          <w:u w:val="single"/>
        </w:rPr>
        <w:t>项目负责人、技术负责人、试验检测工程师、试验检测员等</w:t>
      </w:r>
      <w:r>
        <w:rPr>
          <w:rFonts w:hint="eastAsia" w:ascii="宋体" w:hAnsi="宋体"/>
          <w:sz w:val="24"/>
          <w:highlight w:val="none"/>
        </w:rPr>
        <w:t>。</w:t>
      </w:r>
    </w:p>
    <w:p w14:paraId="0AE27A46">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增加4.6.5项:在合同实施过程中，本项目现场服务的所有人员在项目实施过程中不得随意更换，遇特殊情况需要更换人员的，必须按委托人相关管理办法办理，经委托人同意后方可更换。</w:t>
      </w:r>
    </w:p>
    <w:p w14:paraId="1E584D68">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5.试验检测服务要求</w:t>
      </w:r>
    </w:p>
    <w:p w14:paraId="11CAA42A">
      <w:pPr>
        <w:pStyle w:val="152"/>
        <w:tabs>
          <w:tab w:val="left" w:pos="1082"/>
        </w:tabs>
        <w:autoSpaceDE w:val="0"/>
        <w:autoSpaceDN w:val="0"/>
        <w:spacing w:line="520" w:lineRule="exact"/>
        <w:ind w:firstLine="482"/>
        <w:rPr>
          <w:rFonts w:hint="eastAsia"/>
          <w:b/>
          <w:highlight w:val="none"/>
        </w:rPr>
      </w:pPr>
      <w:r>
        <w:rPr>
          <w:b/>
          <w:highlight w:val="none"/>
        </w:rPr>
        <w:t>第5.3 款细化为：</w:t>
      </w:r>
    </w:p>
    <w:p w14:paraId="6797EC6F">
      <w:pPr>
        <w:pStyle w:val="152"/>
        <w:tabs>
          <w:tab w:val="left" w:pos="1082"/>
        </w:tabs>
        <w:autoSpaceDE w:val="0"/>
        <w:autoSpaceDN w:val="0"/>
        <w:spacing w:line="520" w:lineRule="exact"/>
        <w:ind w:firstLine="482"/>
        <w:rPr>
          <w:rFonts w:hint="eastAsia"/>
          <w:b/>
          <w:highlight w:val="none"/>
        </w:rPr>
      </w:pPr>
      <w:r>
        <w:rPr>
          <w:b/>
          <w:highlight w:val="none"/>
        </w:rPr>
        <w:t>5.3 试验检测服务范围</w:t>
      </w:r>
    </w:p>
    <w:p w14:paraId="47C97C3D">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5.3.1咨询人必须依据现行国家和行业规范完成合同约定的所有检测项目以及为保证本项目交工验收通过所新增的检测项目，保证检测、检测有关数据的真实、准确、完成、可靠和合理性</w:t>
      </w:r>
      <w:r>
        <w:rPr>
          <w:rFonts w:ascii="宋体" w:hAnsi="宋体"/>
          <w:sz w:val="24"/>
          <w:highlight w:val="none"/>
        </w:rPr>
        <w:t>。</w:t>
      </w:r>
      <w:r>
        <w:rPr>
          <w:rFonts w:hint="eastAsia" w:ascii="宋体" w:hAnsi="宋体"/>
          <w:sz w:val="24"/>
          <w:highlight w:val="none"/>
        </w:rPr>
        <w:t>若委托人要求增加检测项目和提高抽检频率，已包含在响应报价中，费用不另计。</w:t>
      </w:r>
    </w:p>
    <w:p w14:paraId="69DE7FBF">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5.3.2为完成正常服务工作，咨询人所提供的人员、材料、设备（使用、进退场）检测试验、方案编制、报告编写等所有工作均视为附加服务。</w:t>
      </w:r>
    </w:p>
    <w:p w14:paraId="3F957D9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5.3.3咨询人</w:t>
      </w:r>
      <w:r>
        <w:rPr>
          <w:rFonts w:ascii="宋体" w:hAnsi="宋体"/>
          <w:sz w:val="24"/>
          <w:highlight w:val="none"/>
        </w:rPr>
        <w:t>负责的</w:t>
      </w:r>
      <w:r>
        <w:rPr>
          <w:rFonts w:hint="eastAsia" w:ascii="宋体" w:hAnsi="宋体"/>
          <w:sz w:val="24"/>
          <w:highlight w:val="none"/>
        </w:rPr>
        <w:t>房建工程竣工</w:t>
      </w:r>
      <w:r>
        <w:rPr>
          <w:rFonts w:ascii="宋体" w:hAnsi="宋体"/>
          <w:sz w:val="24"/>
          <w:highlight w:val="none"/>
        </w:rPr>
        <w:t>质量检测</w:t>
      </w:r>
      <w:r>
        <w:rPr>
          <w:rFonts w:hint="eastAsia" w:ascii="宋体" w:hAnsi="宋体"/>
          <w:sz w:val="24"/>
          <w:highlight w:val="none"/>
        </w:rPr>
        <w:t>技术</w:t>
      </w:r>
      <w:r>
        <w:rPr>
          <w:rFonts w:ascii="宋体" w:hAnsi="宋体"/>
          <w:sz w:val="24"/>
          <w:highlight w:val="none"/>
        </w:rPr>
        <w:t>工作应按照交通</w:t>
      </w:r>
      <w:r>
        <w:rPr>
          <w:rFonts w:hint="eastAsia" w:ascii="宋体" w:hAnsi="宋体"/>
          <w:sz w:val="24"/>
          <w:highlight w:val="none"/>
        </w:rPr>
        <w:t>运输</w:t>
      </w:r>
      <w:r>
        <w:rPr>
          <w:rFonts w:ascii="宋体" w:hAnsi="宋体"/>
          <w:sz w:val="24"/>
          <w:highlight w:val="none"/>
        </w:rPr>
        <w:t>部</w:t>
      </w:r>
      <w:bookmarkStart w:id="63" w:name="_Hlk152409818"/>
      <w:r>
        <w:rPr>
          <w:rFonts w:ascii="宋体" w:hAnsi="宋体"/>
          <w:sz w:val="24"/>
          <w:highlight w:val="none"/>
        </w:rPr>
        <w:t>《公路工程竣</w:t>
      </w:r>
      <w:r>
        <w:rPr>
          <w:rFonts w:hint="eastAsia" w:ascii="宋体" w:hAnsi="宋体"/>
          <w:sz w:val="24"/>
          <w:highlight w:val="none"/>
        </w:rPr>
        <w:t>（交）</w:t>
      </w:r>
      <w:r>
        <w:rPr>
          <w:rFonts w:ascii="宋体" w:hAnsi="宋体"/>
          <w:sz w:val="24"/>
          <w:highlight w:val="none"/>
        </w:rPr>
        <w:t>工验收办法》、《公路工程竣</w:t>
      </w:r>
      <w:r>
        <w:rPr>
          <w:rFonts w:hint="eastAsia" w:ascii="宋体" w:hAnsi="宋体"/>
          <w:sz w:val="24"/>
          <w:highlight w:val="none"/>
        </w:rPr>
        <w:t>（交）</w:t>
      </w:r>
      <w:r>
        <w:rPr>
          <w:rFonts w:ascii="宋体" w:hAnsi="宋体"/>
          <w:sz w:val="24"/>
          <w:highlight w:val="none"/>
        </w:rPr>
        <w:t>工验收办法实施细则》、</w:t>
      </w:r>
      <w:bookmarkEnd w:id="63"/>
      <w:r>
        <w:rPr>
          <w:rFonts w:hint="eastAsia" w:ascii="宋体" w:hAnsi="宋体"/>
          <w:sz w:val="24"/>
          <w:highlight w:val="none"/>
        </w:rPr>
        <w:t>《建筑地基检测技术规范》、《建筑基桩检测技术规范》、《建筑工程施工质量验收统一标准》、《混凝土结构工程施工质量验收规范》、《建筑结构检测技术标准》</w:t>
      </w:r>
      <w:r>
        <w:rPr>
          <w:rFonts w:ascii="宋体" w:hAnsi="宋体"/>
          <w:sz w:val="24"/>
          <w:highlight w:val="none"/>
        </w:rPr>
        <w:t>等相关文件的要求对本项目范围内</w:t>
      </w:r>
      <w:r>
        <w:rPr>
          <w:rFonts w:hint="eastAsia" w:ascii="宋体" w:hAnsi="宋体"/>
          <w:sz w:val="24"/>
          <w:highlight w:val="none"/>
        </w:rPr>
        <w:t>房建</w:t>
      </w:r>
      <w:r>
        <w:rPr>
          <w:rFonts w:ascii="宋体" w:hAnsi="宋体"/>
          <w:sz w:val="24"/>
          <w:highlight w:val="none"/>
        </w:rPr>
        <w:t>工程进行</w:t>
      </w:r>
      <w:r>
        <w:rPr>
          <w:rFonts w:hint="eastAsia" w:ascii="宋体" w:hAnsi="宋体"/>
          <w:sz w:val="24"/>
          <w:highlight w:val="none"/>
        </w:rPr>
        <w:t>竣工</w:t>
      </w:r>
      <w:r>
        <w:rPr>
          <w:rFonts w:ascii="宋体" w:hAnsi="宋体"/>
          <w:sz w:val="24"/>
          <w:highlight w:val="none"/>
        </w:rPr>
        <w:t>质量检测工作。</w:t>
      </w:r>
    </w:p>
    <w:p w14:paraId="30E51AFA">
      <w:pPr>
        <w:pStyle w:val="152"/>
        <w:tabs>
          <w:tab w:val="left" w:pos="1082"/>
        </w:tabs>
        <w:autoSpaceDE w:val="0"/>
        <w:autoSpaceDN w:val="0"/>
        <w:spacing w:line="520" w:lineRule="exact"/>
        <w:ind w:firstLine="482"/>
        <w:rPr>
          <w:rFonts w:hint="eastAsia"/>
          <w:b/>
          <w:highlight w:val="none"/>
        </w:rPr>
      </w:pPr>
      <w:r>
        <w:rPr>
          <w:b/>
          <w:highlight w:val="none"/>
        </w:rPr>
        <w:t>增加 5.5 、5.6款</w:t>
      </w:r>
    </w:p>
    <w:p w14:paraId="3C3FAA80">
      <w:pPr>
        <w:pStyle w:val="152"/>
        <w:tabs>
          <w:tab w:val="left" w:pos="1082"/>
        </w:tabs>
        <w:autoSpaceDE w:val="0"/>
        <w:autoSpaceDN w:val="0"/>
        <w:spacing w:line="520" w:lineRule="exact"/>
        <w:ind w:firstLine="482"/>
        <w:rPr>
          <w:rFonts w:hint="eastAsia"/>
          <w:b/>
          <w:highlight w:val="none"/>
        </w:rPr>
      </w:pPr>
      <w:r>
        <w:rPr>
          <w:b/>
          <w:highlight w:val="none"/>
        </w:rPr>
        <w:t>5.5 试验检测服务的目标</w:t>
      </w:r>
    </w:p>
    <w:p w14:paraId="112C85B2">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总体目标：以“客观、公正、科学、准确”为原则，“及时、高效、优质”的服务态度进行检测试验，以确保检测试验结果的“真实、可靠”性，确保交竣工验收通过。</w:t>
      </w:r>
    </w:p>
    <w:p w14:paraId="1939B1E1">
      <w:pPr>
        <w:pStyle w:val="35"/>
        <w:tabs>
          <w:tab w:val="left" w:pos="2520"/>
        </w:tabs>
        <w:spacing w:after="0" w:line="520" w:lineRule="exact"/>
        <w:ind w:firstLine="480" w:firstLineChars="200"/>
        <w:rPr>
          <w:rFonts w:hint="eastAsia" w:ascii="宋体" w:hAnsi="宋体"/>
          <w:sz w:val="24"/>
          <w:highlight w:val="none"/>
        </w:rPr>
      </w:pPr>
      <w:r>
        <w:rPr>
          <w:rFonts w:hint="eastAsia" w:ascii="宋体" w:hAnsi="宋体"/>
          <w:sz w:val="24"/>
          <w:highlight w:val="none"/>
        </w:rPr>
        <w:t>分项目标：全面了解和掌握本项目施工过程中的各项质量参数，及时发现工程施工中存在的各类质量问题，消除工程质量隐患（过程控制），督促咨询人提高质量意识，提高本项目建设质量水平和投资效益。</w:t>
      </w:r>
    </w:p>
    <w:p w14:paraId="7E07422D">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5.5.1 咨询人应按照湖南省交通运输厅《公路水运工程试验检测管理办法》实施细则的规定及相关法律、法规开展服务，按要求配备完成合同所需的劳务、材料、设备和其他物品，以及按合同约定的设备等，在其检测机构《等级证书》核定的业务范围内开展试验检测工作。不具备相应试验检测能力的，应送至取得《等级证书》并具有相应检测能力的检测机构进行试验检测。</w:t>
      </w:r>
    </w:p>
    <w:p w14:paraId="4D9D45A2">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5.5.2 咨询人须达到合同条款中约定的检测项目及频率要求，并为委托人对上述材料、设备和质量检测提供必要的试验资料和原始记录。按合同约定应由委托人与咨询人共同进行试验和检验的，由咨询人负责提供必要的试验资料和原始记录。其提供的试验检测资料要保证其真实性、可靠性和完整性。委托人对检测结论有异议的，可另行委托检测机构复检。复检结论与原检测结论相同，由委托人支付复检费用：反之，则由咨询人承担复检费用，造成委托人及第三方损失的应予以全额赔偿。对复检结论仍有异议的，委托人或咨询人均可向有关主管部门申请专家论证解决 。</w:t>
      </w:r>
    </w:p>
    <w:p w14:paraId="3A565852">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5.5.3检测试验工作要求</w:t>
      </w:r>
    </w:p>
    <w:p w14:paraId="5651EB4C">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（1）以“客观公正、科学准确、服务规范”为质量方针 ，为委托人及工程质量监督机构提供可靠的数据 、真实客观的工程质量评价及高质量的服务；</w:t>
      </w:r>
    </w:p>
    <w:p w14:paraId="74B936D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（2）咨询人是具有独立法人地位、独立开展业务并承担相应法律责任的机构，从事的检测试验工作，不应受任何行政、经济和其他方面的干预。</w:t>
      </w:r>
    </w:p>
    <w:p w14:paraId="41226B9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（3）咨询人检测试验人员必须做到文明检测、规范服务、严守法纪、道规守制。若工作中出现弄虚作假和彻私舞弊的情况，一经查实将按国家有关规定严肃处理。</w:t>
      </w:r>
    </w:p>
    <w:p w14:paraId="4704BDC4">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（4）现场配置专业巡视员，以随时掌握工程动态信息，及时与委托人和本工程咨询人和监理人等单位衔接。</w:t>
      </w:r>
    </w:p>
    <w:p w14:paraId="5FEAE706">
      <w:pPr>
        <w:pStyle w:val="152"/>
        <w:tabs>
          <w:tab w:val="left" w:pos="1082"/>
        </w:tabs>
        <w:autoSpaceDE w:val="0"/>
        <w:autoSpaceDN w:val="0"/>
        <w:spacing w:line="520" w:lineRule="exact"/>
        <w:ind w:firstLine="482"/>
        <w:rPr>
          <w:rFonts w:hint="eastAsia"/>
          <w:b/>
          <w:highlight w:val="none"/>
        </w:rPr>
      </w:pPr>
      <w:r>
        <w:rPr>
          <w:b/>
          <w:highlight w:val="none"/>
        </w:rPr>
        <w:t>5.5 后续服务</w:t>
      </w:r>
    </w:p>
    <w:p w14:paraId="1E010B99">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（1）免费为委托人、监理人提供本工程检测试验有关技术检测服务。</w:t>
      </w:r>
    </w:p>
    <w:p w14:paraId="4124A892">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（2）对工程质量存在问题的项目进行跟踪检测，确保工程质量满足正常使用要求。</w:t>
      </w:r>
    </w:p>
    <w:p w14:paraId="1702BF8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（3）及时配合委托人另行委托的其它检测试验工作。</w:t>
      </w:r>
    </w:p>
    <w:p w14:paraId="1A2A11CE">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6.开始检测服务和完成检测服务</w:t>
      </w:r>
    </w:p>
    <w:p w14:paraId="50454B51">
      <w:pPr>
        <w:pStyle w:val="152"/>
        <w:tabs>
          <w:tab w:val="left" w:pos="1082"/>
        </w:tabs>
        <w:autoSpaceDE w:val="0"/>
        <w:autoSpaceDN w:val="0"/>
        <w:spacing w:line="520" w:lineRule="exact"/>
        <w:ind w:firstLine="482"/>
        <w:rPr>
          <w:rFonts w:hint="eastAsia"/>
          <w:b/>
          <w:highlight w:val="none"/>
        </w:rPr>
      </w:pPr>
      <w:r>
        <w:rPr>
          <w:b/>
          <w:highlight w:val="none"/>
        </w:rPr>
        <w:t>6.1 开始检测服务</w:t>
      </w:r>
    </w:p>
    <w:p w14:paraId="4E72237C">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6.1.1开始检测服务应具备的条件：委托人应提前7天向咨询人发出开始房建工程竣工质量检测技术服务通知。房建工程竣工质量检测技术的服务期限自开始房建工程竣工质量检测技术服务通知中载明的质量检测服务日期及咨询人首批人员实际进场日期起算，以时间在后者为准。</w:t>
      </w:r>
    </w:p>
    <w:p w14:paraId="007CD5B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咨询人应按照房建工程竣工质量检测技术服务合同约定的时间和有关期限履行和完成房建工程竣工质量检测技术服务，根据本项目工程的进展情况和委托人批准的人员进场计划，安排质量检测咨询人员及时进场。</w:t>
      </w:r>
    </w:p>
    <w:p w14:paraId="633A8C0F">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6.1.2因委托人原因造成合同签订之日起90天内未能发出开始检测服务通知，对于本合同履行及相关费用、服务期延长承担的约定：</w:t>
      </w:r>
      <w:r>
        <w:rPr>
          <w:rFonts w:hint="eastAsia" w:ascii="宋体" w:hAnsi="宋体"/>
          <w:sz w:val="24"/>
          <w:highlight w:val="none"/>
          <w:u w:val="single"/>
        </w:rPr>
        <w:t>不承担由此增加的费用，承担由此增加的周期延误</w:t>
      </w:r>
      <w:r>
        <w:rPr>
          <w:rFonts w:hint="eastAsia" w:ascii="宋体" w:hAnsi="宋体"/>
          <w:sz w:val="24"/>
          <w:highlight w:val="none"/>
        </w:rPr>
        <w:t>。</w:t>
      </w:r>
    </w:p>
    <w:p w14:paraId="0250EFF8">
      <w:pPr>
        <w:pStyle w:val="152"/>
        <w:tabs>
          <w:tab w:val="left" w:pos="1082"/>
        </w:tabs>
        <w:autoSpaceDE w:val="0"/>
        <w:autoSpaceDN w:val="0"/>
        <w:spacing w:line="520" w:lineRule="exact"/>
        <w:ind w:firstLine="482"/>
        <w:rPr>
          <w:rFonts w:hint="eastAsia"/>
          <w:b/>
          <w:highlight w:val="none"/>
        </w:rPr>
      </w:pPr>
      <w:r>
        <w:rPr>
          <w:b/>
          <w:highlight w:val="none"/>
        </w:rPr>
        <w:t>6.2 委托人引起的周期延误</w:t>
      </w:r>
    </w:p>
    <w:p w14:paraId="6433404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在履行合同过程中，由于委托人的下列原因造成检测服务期限延误的，咨询人要求延长检测服务期限并增加检测服务费用的具体方法：</w:t>
      </w:r>
      <w:r>
        <w:rPr>
          <w:rFonts w:hint="eastAsia" w:ascii="宋体" w:hAnsi="宋体"/>
          <w:sz w:val="24"/>
          <w:highlight w:val="none"/>
          <w:u w:val="single"/>
        </w:rPr>
        <w:t>不增加费用，服务周期顺延</w:t>
      </w:r>
      <w:r>
        <w:rPr>
          <w:rFonts w:hint="eastAsia" w:ascii="宋体" w:hAnsi="宋体"/>
          <w:sz w:val="24"/>
          <w:highlight w:val="none"/>
        </w:rPr>
        <w:t>。</w:t>
      </w:r>
    </w:p>
    <w:p w14:paraId="6A292B50">
      <w:pPr>
        <w:pStyle w:val="152"/>
        <w:tabs>
          <w:tab w:val="left" w:pos="1082"/>
        </w:tabs>
        <w:autoSpaceDE w:val="0"/>
        <w:autoSpaceDN w:val="0"/>
        <w:spacing w:line="520" w:lineRule="exact"/>
        <w:ind w:firstLine="482"/>
        <w:rPr>
          <w:rFonts w:hint="eastAsia"/>
          <w:b/>
          <w:highlight w:val="none"/>
        </w:rPr>
      </w:pPr>
      <w:r>
        <w:rPr>
          <w:b/>
          <w:highlight w:val="none"/>
        </w:rPr>
        <w:t>6.3 咨询人引起的周期延误</w:t>
      </w:r>
    </w:p>
    <w:p w14:paraId="7BEB2C6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咨询人支付逾期违约金的计算方法：</w:t>
      </w:r>
      <w:r>
        <w:rPr>
          <w:rFonts w:hint="eastAsia" w:ascii="宋体" w:hAnsi="宋体"/>
          <w:sz w:val="24"/>
          <w:highlight w:val="none"/>
          <w:u w:val="single"/>
        </w:rPr>
        <w:t>2000元/天</w:t>
      </w:r>
      <w:r>
        <w:rPr>
          <w:rFonts w:hint="eastAsia" w:ascii="宋体" w:hAnsi="宋体"/>
          <w:sz w:val="24"/>
          <w:highlight w:val="none"/>
        </w:rPr>
        <w:t>。</w:t>
      </w:r>
    </w:p>
    <w:p w14:paraId="5E412E1A">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咨询人支付逾期违约金的最高限额：</w:t>
      </w:r>
      <w:r>
        <w:rPr>
          <w:rFonts w:hint="eastAsia" w:ascii="宋体" w:hAnsi="宋体"/>
          <w:sz w:val="24"/>
          <w:highlight w:val="none"/>
          <w:u w:val="single"/>
        </w:rPr>
        <w:t>合同总额的</w:t>
      </w:r>
      <w:r>
        <w:rPr>
          <w:rFonts w:ascii="宋体" w:hAnsi="宋体"/>
          <w:sz w:val="24"/>
          <w:highlight w:val="none"/>
          <w:u w:val="single"/>
        </w:rPr>
        <w:t>1</w:t>
      </w:r>
      <w:r>
        <w:rPr>
          <w:rFonts w:hint="eastAsia" w:ascii="宋体" w:hAnsi="宋体"/>
          <w:sz w:val="24"/>
          <w:highlight w:val="none"/>
          <w:u w:val="single"/>
        </w:rPr>
        <w:t>0%</w:t>
      </w:r>
      <w:r>
        <w:rPr>
          <w:rFonts w:hint="eastAsia" w:ascii="宋体" w:hAnsi="宋体"/>
          <w:sz w:val="24"/>
          <w:highlight w:val="none"/>
        </w:rPr>
        <w:t>。</w:t>
      </w:r>
    </w:p>
    <w:p w14:paraId="26660C94">
      <w:pPr>
        <w:pStyle w:val="152"/>
        <w:tabs>
          <w:tab w:val="left" w:pos="1082"/>
        </w:tabs>
        <w:autoSpaceDE w:val="0"/>
        <w:autoSpaceDN w:val="0"/>
        <w:spacing w:line="520" w:lineRule="exact"/>
        <w:ind w:firstLine="482"/>
        <w:rPr>
          <w:rFonts w:hint="eastAsia"/>
          <w:b/>
          <w:highlight w:val="none"/>
        </w:rPr>
      </w:pPr>
      <w:r>
        <w:rPr>
          <w:b/>
          <w:highlight w:val="none"/>
        </w:rPr>
        <w:t>6.4 第三人引起的周期延误</w:t>
      </w:r>
    </w:p>
    <w:p w14:paraId="13C3F524">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本款修改为:</w:t>
      </w:r>
    </w:p>
    <w:p w14:paraId="6047BF91">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6.4</w:t>
      </w:r>
      <w:r>
        <w:rPr>
          <w:rFonts w:hint="eastAsia" w:ascii="宋体" w:hAnsi="宋体"/>
          <w:sz w:val="24"/>
          <w:highlight w:val="none"/>
          <w:u w:val="single"/>
        </w:rPr>
        <w:t>由于行政管理部门审查或其他第三人原因造成费用增加和(或)周期延误的，周期延长，费用不增加</w:t>
      </w:r>
      <w:r>
        <w:rPr>
          <w:rFonts w:hint="eastAsia" w:ascii="宋体" w:hAnsi="宋体"/>
          <w:sz w:val="24"/>
          <w:highlight w:val="none"/>
        </w:rPr>
        <w:t>。</w:t>
      </w:r>
    </w:p>
    <w:p w14:paraId="256D266A">
      <w:pPr>
        <w:pStyle w:val="152"/>
        <w:tabs>
          <w:tab w:val="left" w:pos="1082"/>
        </w:tabs>
        <w:autoSpaceDE w:val="0"/>
        <w:autoSpaceDN w:val="0"/>
        <w:spacing w:line="520" w:lineRule="exact"/>
        <w:ind w:firstLine="482"/>
        <w:rPr>
          <w:rFonts w:hint="eastAsia"/>
          <w:b/>
          <w:highlight w:val="none"/>
        </w:rPr>
      </w:pPr>
      <w:r>
        <w:rPr>
          <w:b/>
          <w:highlight w:val="none"/>
        </w:rPr>
        <w:t>6.5 完成检测服务</w:t>
      </w:r>
    </w:p>
    <w:p w14:paraId="50B32B4B">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6.5.3检测服务成果文件的形式：书面检测报告和电子文档；若有不一致时，应以书面检测报告为准。</w:t>
      </w:r>
    </w:p>
    <w:p w14:paraId="1C4CCC92">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检测服务成果文件各种形式的份数和要求：</w:t>
      </w:r>
      <w:r>
        <w:rPr>
          <w:rFonts w:hint="eastAsia" w:ascii="宋体" w:hAnsi="宋体"/>
          <w:sz w:val="24"/>
          <w:highlight w:val="none"/>
          <w:u w:val="single"/>
        </w:rPr>
        <w:t>8份，并对出具的检测数据负责。如在检测过程中发现重大问题，咨询人应在5个工作日内将检测报告上报委托人，并附相关原始资料。咨询人向委托人报送的所有资料、报告均应按规定签字并加盖单位公章。全部房建工程竣工质量检测工作结束后15天内向委托人提交最终检测报告等资料，最终检测报告一式8份和电子版文档</w:t>
      </w:r>
      <w:r>
        <w:rPr>
          <w:rFonts w:hint="eastAsia" w:ascii="宋体" w:hAnsi="宋体"/>
          <w:sz w:val="24"/>
          <w:highlight w:val="none"/>
        </w:rPr>
        <w:t>。</w:t>
      </w:r>
    </w:p>
    <w:p w14:paraId="1D0AF95B">
      <w:pPr>
        <w:pStyle w:val="152"/>
        <w:tabs>
          <w:tab w:val="left" w:pos="1082"/>
        </w:tabs>
        <w:autoSpaceDE w:val="0"/>
        <w:autoSpaceDN w:val="0"/>
        <w:spacing w:line="520" w:lineRule="exact"/>
        <w:ind w:firstLine="482"/>
        <w:rPr>
          <w:rFonts w:hint="eastAsia"/>
          <w:b/>
          <w:highlight w:val="none"/>
        </w:rPr>
      </w:pPr>
      <w:r>
        <w:rPr>
          <w:b/>
          <w:highlight w:val="none"/>
        </w:rPr>
        <w:t>6.6 提前完成检测服务</w:t>
      </w:r>
    </w:p>
    <w:p w14:paraId="7FDE3EE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6.6.1委托人接受建议书的，检测服务费用增加或减少部分的承担：</w:t>
      </w:r>
      <w:r>
        <w:rPr>
          <w:rFonts w:hint="eastAsia" w:ascii="宋体" w:hAnsi="宋体"/>
          <w:sz w:val="24"/>
          <w:highlight w:val="none"/>
          <w:u w:val="single"/>
        </w:rPr>
        <w:t>不调整</w:t>
      </w:r>
    </w:p>
    <w:p w14:paraId="325735DB">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6.6.3由于咨询人提前完成检测服务而给委托人带来经济效益的，委托人给予咨询人奖励：</w:t>
      </w:r>
      <w:r>
        <w:rPr>
          <w:rFonts w:hint="eastAsia" w:ascii="宋体" w:hAnsi="宋体"/>
          <w:sz w:val="24"/>
          <w:highlight w:val="none"/>
          <w:u w:val="single"/>
        </w:rPr>
        <w:t>不奖励</w:t>
      </w:r>
      <w:r>
        <w:rPr>
          <w:rFonts w:hint="eastAsia" w:ascii="宋体" w:hAnsi="宋体"/>
          <w:sz w:val="24"/>
          <w:highlight w:val="none"/>
        </w:rPr>
        <w:t>。</w:t>
      </w:r>
    </w:p>
    <w:p w14:paraId="62D00A60">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7.暂停检测服务</w:t>
      </w:r>
    </w:p>
    <w:p w14:paraId="4356BC27">
      <w:pPr>
        <w:pStyle w:val="152"/>
        <w:tabs>
          <w:tab w:val="left" w:pos="1082"/>
        </w:tabs>
        <w:autoSpaceDE w:val="0"/>
        <w:autoSpaceDN w:val="0"/>
        <w:spacing w:line="520" w:lineRule="exact"/>
        <w:ind w:firstLine="482"/>
        <w:rPr>
          <w:rFonts w:hint="eastAsia"/>
          <w:b/>
          <w:highlight w:val="none"/>
        </w:rPr>
      </w:pPr>
      <w:r>
        <w:rPr>
          <w:b/>
          <w:highlight w:val="none"/>
        </w:rPr>
        <w:t>7.1委托人原因暂停检测服务</w:t>
      </w:r>
    </w:p>
    <w:p w14:paraId="069BFBEF">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本款修改为:</w:t>
      </w:r>
    </w:p>
    <w:p w14:paraId="06A53A48">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合同履行过程中发生下列情形之一的，咨询人可向委托人发出通知，要求委托人采取有效措施予以纠正。委托人收到咨询人通知后的28天内仍不履行合同义务时，咨询人有权暂停检测服务并通知委托人:</w:t>
      </w:r>
      <w:r>
        <w:rPr>
          <w:rFonts w:hint="eastAsia" w:ascii="宋体" w:hAnsi="宋体"/>
          <w:sz w:val="24"/>
          <w:highlight w:val="none"/>
          <w:u w:val="single"/>
        </w:rPr>
        <w:t>委托人应承担由此导致周期延误，费用不增加</w:t>
      </w:r>
      <w:r>
        <w:rPr>
          <w:rFonts w:hint="eastAsia" w:ascii="宋体" w:hAnsi="宋体"/>
          <w:sz w:val="24"/>
          <w:highlight w:val="none"/>
        </w:rPr>
        <w:t xml:space="preserve">。 </w:t>
      </w:r>
    </w:p>
    <w:p w14:paraId="2681DD5F">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 xml:space="preserve">(1)委托人违约； </w:t>
      </w:r>
    </w:p>
    <w:p w14:paraId="389C801D">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 xml:space="preserve">(2)委托人确定暂停检测服务； </w:t>
      </w:r>
    </w:p>
    <w:p w14:paraId="3342E4B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(3)合同约定由委托人承担责任的其他情形。</w:t>
      </w:r>
    </w:p>
    <w:p w14:paraId="73A73F0E">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8.检测服务成果文件</w:t>
      </w:r>
    </w:p>
    <w:p w14:paraId="683230BF">
      <w:pPr>
        <w:pStyle w:val="152"/>
        <w:tabs>
          <w:tab w:val="left" w:pos="1082"/>
        </w:tabs>
        <w:autoSpaceDE w:val="0"/>
        <w:autoSpaceDN w:val="0"/>
        <w:spacing w:line="520" w:lineRule="exact"/>
        <w:ind w:firstLine="482"/>
        <w:rPr>
          <w:rFonts w:hint="eastAsia"/>
          <w:b/>
          <w:highlight w:val="none"/>
        </w:rPr>
      </w:pPr>
      <w:r>
        <w:rPr>
          <w:b/>
          <w:highlight w:val="none"/>
        </w:rPr>
        <w:t>8.1 检测服务成果文件接收</w:t>
      </w:r>
    </w:p>
    <w:p w14:paraId="39365CE1">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8.1.3检测服务成果文件内容：依据</w:t>
      </w:r>
      <w:bookmarkStart w:id="64" w:name="_Hlk152410072"/>
      <w:r>
        <w:rPr>
          <w:rFonts w:ascii="宋体" w:hAnsi="宋体"/>
          <w:sz w:val="24"/>
          <w:highlight w:val="none"/>
        </w:rPr>
        <w:t>《公路工程竣（交）工验收办法》、</w:t>
      </w:r>
      <w:bookmarkEnd w:id="64"/>
      <w:r>
        <w:rPr>
          <w:rFonts w:ascii="宋体" w:hAnsi="宋体"/>
          <w:sz w:val="24"/>
          <w:highlight w:val="none"/>
        </w:rPr>
        <w:t>《公路工程竣（交）工验收办法实施细则》、</w:t>
      </w:r>
      <w:r>
        <w:rPr>
          <w:rFonts w:hint="eastAsia" w:ascii="宋体" w:hAnsi="宋体"/>
          <w:sz w:val="24"/>
          <w:highlight w:val="none"/>
        </w:rPr>
        <w:t>《建筑地基检测技术规范》、《建筑基桩检测技术规范》、《建筑工程施工质量验收统一标准》、《混凝土结构工程施工质量验收规范》、《建筑结构检测技术标准》</w:t>
      </w:r>
      <w:r>
        <w:rPr>
          <w:rFonts w:hint="eastAsia" w:ascii="宋体" w:hAnsi="宋体" w:cs="宋体"/>
          <w:sz w:val="24"/>
          <w:highlight w:val="none"/>
        </w:rPr>
        <w:t>等工程质量验收国家标准及现行相关国家强制性技术标准、规范和规程的要求</w:t>
      </w:r>
      <w:r>
        <w:rPr>
          <w:rFonts w:hint="eastAsia" w:ascii="宋体" w:hAnsi="宋体"/>
          <w:sz w:val="24"/>
          <w:highlight w:val="none"/>
        </w:rPr>
        <w:t>，在委托人授权权限范围内进行本项目质量检测工作，井出具房建工程竣工质量检测报告(含阶段性质量检测报告)。</w:t>
      </w:r>
    </w:p>
    <w:p w14:paraId="1B6DD686">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检测服务成果文件提交的要求：</w:t>
      </w:r>
    </w:p>
    <w:p w14:paraId="0AD591B9">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当日检测试验结果在检测试验、数据整理分析完毕后，咨询人应在当日向委托人提交2份检测报告(简报)和电子版文档。如遇检测试验结果不满足相关标准规范要求，咨询人应在2小时内以书面形式及时通知委托人。</w:t>
      </w:r>
    </w:p>
    <w:p w14:paraId="49371D6B">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(2)咨询人应在每月28日向委托人提供完整、真实、齐全检测试验成果的月检测报告书8份和电子版文档。</w:t>
      </w:r>
    </w:p>
    <w:p w14:paraId="0223309F">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(3)全部交工检测工作结束后15天内向委托人提交最终检测报告等资料，最终检测报告一式8份和电子版文档。</w:t>
      </w:r>
    </w:p>
    <w:p w14:paraId="0FE5B271">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各检测报告应按有关规定和相应权限签字监章，并对提供的报告书内容及相关数据的科学性、准确性、真实性负责。</w:t>
      </w:r>
    </w:p>
    <w:p w14:paraId="3FCD5B6C">
      <w:pPr>
        <w:pStyle w:val="35"/>
        <w:spacing w:after="0" w:line="520" w:lineRule="exact"/>
        <w:ind w:firstLine="480" w:firstLineChars="20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eq \o\ac(□,√)</w:instrText>
      </w:r>
      <w:r>
        <w:rPr>
          <w:rFonts w:ascii="宋体" w:hAnsi="宋体"/>
          <w:sz w:val="24"/>
          <w:highlight w:val="none"/>
        </w:rPr>
        <w:fldChar w:fldCharType="end"/>
      </w:r>
      <w:r>
        <w:rPr>
          <w:rFonts w:hint="eastAsia" w:ascii="宋体" w:hAnsi="宋体"/>
          <w:sz w:val="24"/>
          <w:highlight w:val="none"/>
        </w:rPr>
        <w:t>纸质文件，纸幅、装订格式、份数等要求：A4.股装(200页以上分册装订)、8份。</w:t>
      </w:r>
    </w:p>
    <w:p w14:paraId="038FD51E">
      <w:pPr>
        <w:pStyle w:val="35"/>
        <w:spacing w:after="0" w:line="520" w:lineRule="exact"/>
        <w:ind w:firstLine="480" w:firstLineChars="20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eq \o\ac(□,√)</w:instrText>
      </w:r>
      <w:r>
        <w:rPr>
          <w:rFonts w:ascii="宋体" w:hAnsi="宋体"/>
          <w:sz w:val="24"/>
          <w:highlight w:val="none"/>
        </w:rPr>
        <w:fldChar w:fldCharType="end"/>
      </w:r>
      <w:r>
        <w:rPr>
          <w:rFonts w:hint="eastAsia" w:ascii="宋体" w:hAnsi="宋体"/>
          <w:sz w:val="24"/>
          <w:highlight w:val="none"/>
        </w:rPr>
        <w:t>电子文件，使用光盘和 U 盘分别贮存，份数要求：4GB以上U盘拷贝，2份</w:t>
      </w:r>
    </w:p>
    <w:p w14:paraId="0776C727">
      <w:pPr>
        <w:pStyle w:val="152"/>
        <w:tabs>
          <w:tab w:val="left" w:pos="1082"/>
        </w:tabs>
        <w:autoSpaceDE w:val="0"/>
        <w:autoSpaceDN w:val="0"/>
        <w:spacing w:line="520" w:lineRule="exact"/>
        <w:ind w:firstLine="482"/>
        <w:rPr>
          <w:rFonts w:hint="eastAsia"/>
          <w:b/>
          <w:highlight w:val="none"/>
        </w:rPr>
      </w:pPr>
      <w:r>
        <w:rPr>
          <w:b/>
          <w:highlight w:val="none"/>
        </w:rPr>
        <w:t>8.2委托人审查检测服务成果文件</w:t>
      </w:r>
    </w:p>
    <w:p w14:paraId="58A8A356">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8.2.1委托人审查检测服务成果文件的具体范围:G</w:t>
      </w:r>
      <w:r>
        <w:rPr>
          <w:rFonts w:ascii="宋体" w:hAnsi="宋体"/>
          <w:sz w:val="24"/>
          <w:highlight w:val="none"/>
        </w:rPr>
        <w:t>59</w:t>
      </w:r>
      <w:r>
        <w:rPr>
          <w:rFonts w:hint="eastAsia" w:ascii="宋体" w:hAnsi="宋体"/>
          <w:sz w:val="24"/>
          <w:highlight w:val="none"/>
          <w:lang w:val="en-US" w:eastAsia="zh-CN"/>
        </w:rPr>
        <w:t>张官</w:t>
      </w:r>
      <w:r>
        <w:rPr>
          <w:rFonts w:hint="eastAsia" w:ascii="宋体" w:hAnsi="宋体"/>
          <w:sz w:val="24"/>
          <w:highlight w:val="none"/>
        </w:rPr>
        <w:t>高速公路</w:t>
      </w:r>
      <w:r>
        <w:rPr>
          <w:rFonts w:hint="eastAsia" w:ascii="宋体" w:hAnsi="宋体"/>
          <w:sz w:val="24"/>
          <w:highlight w:val="none"/>
          <w:lang w:val="en-US" w:eastAsia="zh-CN"/>
        </w:rPr>
        <w:t>第二标</w:t>
      </w:r>
      <w:r>
        <w:rPr>
          <w:rFonts w:hint="eastAsia" w:ascii="宋体" w:hAnsi="宋体"/>
          <w:sz w:val="24"/>
          <w:highlight w:val="none"/>
        </w:rPr>
        <w:t>段房建工程竣工质量检测技术服务，并出具相应的质量检测报告。</w:t>
      </w:r>
    </w:p>
    <w:p w14:paraId="32C26253">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试验检测成果:依据</w:t>
      </w:r>
      <w:r>
        <w:rPr>
          <w:rFonts w:ascii="宋体" w:hAnsi="宋体"/>
          <w:sz w:val="24"/>
          <w:highlight w:val="none"/>
        </w:rPr>
        <w:t>《公路工程竣（交）工验收办法》、</w:t>
      </w:r>
      <w:r>
        <w:rPr>
          <w:rFonts w:hint="eastAsia" w:ascii="宋体" w:hAnsi="宋体" w:cs="宋体"/>
          <w:sz w:val="24"/>
          <w:highlight w:val="none"/>
        </w:rPr>
        <w:t>《公路工程竣（交）工验收办法实施细则》《建筑地基检测技术规范》、《建筑基桩检测技术规范》、《建筑工程施工质量验收统一标准》、《混凝土结构工程施工质量验收规范》、《建筑结构检测技术标准》等工程质量验收国家标准及现行相关国家强制性技术标准、规范和规程的要求</w:t>
      </w:r>
      <w:r>
        <w:rPr>
          <w:rFonts w:hint="eastAsia" w:ascii="宋体" w:hAnsi="宋体"/>
          <w:sz w:val="24"/>
          <w:highlight w:val="none"/>
        </w:rPr>
        <w:t>出具的试验检测报告、原始记录和试验检测台账。</w:t>
      </w:r>
    </w:p>
    <w:p w14:paraId="16087B1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审查会务费由咨询人承担，委托人不另行支付。</w:t>
      </w:r>
    </w:p>
    <w:p w14:paraId="3147E2A9">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8.2.2委托人审查检测服务成果文件的期限要求：14天</w:t>
      </w:r>
    </w:p>
    <w:p w14:paraId="703ABE69">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10.施工期间配合</w:t>
      </w:r>
    </w:p>
    <w:p w14:paraId="6CF9BE0C">
      <w:pPr>
        <w:pStyle w:val="152"/>
        <w:tabs>
          <w:tab w:val="left" w:pos="1082"/>
        </w:tabs>
        <w:autoSpaceDE w:val="0"/>
        <w:autoSpaceDN w:val="0"/>
        <w:spacing w:line="520" w:lineRule="exact"/>
        <w:ind w:firstLine="482"/>
        <w:rPr>
          <w:rFonts w:hint="eastAsia"/>
          <w:b/>
          <w:highlight w:val="none"/>
        </w:rPr>
      </w:pPr>
      <w:r>
        <w:rPr>
          <w:b/>
          <w:highlight w:val="none"/>
        </w:rPr>
        <w:t>第10.2 款调整为</w:t>
      </w:r>
    </w:p>
    <w:p w14:paraId="777C5433">
      <w:pPr>
        <w:pStyle w:val="35"/>
        <w:spacing w:after="0" w:line="520" w:lineRule="exact"/>
        <w:ind w:firstLine="480" w:firstLineChars="200"/>
        <w:rPr>
          <w:rFonts w:hint="eastAsia" w:ascii="宋体" w:hAnsi="宋体"/>
          <w:sz w:val="24"/>
          <w:highlight w:val="none"/>
        </w:rPr>
      </w:pPr>
      <w:r>
        <w:rPr>
          <w:rFonts w:ascii="宋体" w:hAnsi="宋体"/>
          <w:sz w:val="24"/>
          <w:highlight w:val="none"/>
        </w:rPr>
        <w:t>10.2修改为：</w:t>
      </w:r>
      <w:r>
        <w:rPr>
          <w:rFonts w:ascii="宋体" w:hAnsi="宋体"/>
          <w:sz w:val="24"/>
          <w:highlight w:val="none"/>
          <w:u w:val="single"/>
        </w:rPr>
        <w:t>委托人不提供办公房间、办公桌椅、互联网接口、冷暖设施、生活设施、进出现场交通服务和其他便利条件</w:t>
      </w:r>
      <w:r>
        <w:rPr>
          <w:rFonts w:hint="eastAsia" w:ascii="宋体" w:hAnsi="宋体"/>
          <w:sz w:val="24"/>
          <w:highlight w:val="none"/>
          <w:u w:val="single"/>
        </w:rPr>
        <w:t>，由咨询人自行负责</w:t>
      </w:r>
      <w:r>
        <w:rPr>
          <w:rFonts w:ascii="宋体" w:hAnsi="宋体"/>
          <w:sz w:val="24"/>
          <w:highlight w:val="none"/>
        </w:rPr>
        <w:t>。</w:t>
      </w:r>
    </w:p>
    <w:p w14:paraId="67C9DAA1">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11.合同变更</w:t>
      </w:r>
    </w:p>
    <w:p w14:paraId="04D3939C">
      <w:pPr>
        <w:pStyle w:val="152"/>
        <w:tabs>
          <w:tab w:val="left" w:pos="1082"/>
        </w:tabs>
        <w:autoSpaceDE w:val="0"/>
        <w:autoSpaceDN w:val="0"/>
        <w:spacing w:line="520" w:lineRule="exact"/>
        <w:ind w:firstLine="482"/>
        <w:rPr>
          <w:rFonts w:hint="eastAsia"/>
          <w:b/>
          <w:highlight w:val="none"/>
        </w:rPr>
      </w:pPr>
      <w:r>
        <w:rPr>
          <w:b/>
          <w:highlight w:val="none"/>
        </w:rPr>
        <w:t>11.1 变更情形</w:t>
      </w:r>
    </w:p>
    <w:p w14:paraId="4565119D">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11.1.1双方协商一致后进行变更，检测服务期限和检测服务费用的调整方法：</w:t>
      </w:r>
      <w:r>
        <w:rPr>
          <w:rFonts w:hint="eastAsia" w:ascii="宋体" w:hAnsi="宋体"/>
          <w:sz w:val="24"/>
          <w:highlight w:val="none"/>
          <w:u w:val="single"/>
        </w:rPr>
        <w:t>服务期限根据协商延长，检测服务费用不调整</w:t>
      </w:r>
      <w:r>
        <w:rPr>
          <w:rFonts w:hint="eastAsia" w:ascii="宋体" w:hAnsi="宋体"/>
          <w:sz w:val="24"/>
          <w:highlight w:val="none"/>
        </w:rPr>
        <w:t>。</w:t>
      </w:r>
    </w:p>
    <w:p w14:paraId="0AA9BEF8">
      <w:pPr>
        <w:pStyle w:val="152"/>
        <w:tabs>
          <w:tab w:val="left" w:pos="1082"/>
        </w:tabs>
        <w:autoSpaceDE w:val="0"/>
        <w:autoSpaceDN w:val="0"/>
        <w:spacing w:line="520" w:lineRule="exact"/>
        <w:ind w:firstLine="482"/>
        <w:rPr>
          <w:rFonts w:hint="eastAsia"/>
          <w:b/>
          <w:highlight w:val="none"/>
        </w:rPr>
      </w:pPr>
      <w:r>
        <w:rPr>
          <w:b/>
          <w:highlight w:val="none"/>
        </w:rPr>
        <w:t>11.2 合理化建议</w:t>
      </w:r>
    </w:p>
    <w:p w14:paraId="13C25A70">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11.2.2委托人给予的奖励：</w:t>
      </w:r>
      <w:r>
        <w:rPr>
          <w:rFonts w:hint="eastAsia" w:ascii="宋体" w:hAnsi="宋体"/>
          <w:sz w:val="24"/>
          <w:highlight w:val="none"/>
          <w:u w:val="single"/>
        </w:rPr>
        <w:t>不适用</w:t>
      </w:r>
      <w:r>
        <w:rPr>
          <w:rFonts w:hint="eastAsia" w:ascii="宋体" w:hAnsi="宋体"/>
          <w:sz w:val="24"/>
          <w:highlight w:val="none"/>
        </w:rPr>
        <w:t>。</w:t>
      </w:r>
    </w:p>
    <w:p w14:paraId="1AC0EB6E">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12.合同价格与支付</w:t>
      </w:r>
    </w:p>
    <w:p w14:paraId="2515AD05">
      <w:pPr>
        <w:pStyle w:val="152"/>
        <w:tabs>
          <w:tab w:val="left" w:pos="1082"/>
        </w:tabs>
        <w:autoSpaceDE w:val="0"/>
        <w:autoSpaceDN w:val="0"/>
        <w:spacing w:line="520" w:lineRule="exact"/>
        <w:ind w:firstLine="482"/>
        <w:rPr>
          <w:rFonts w:hint="eastAsia"/>
          <w:b/>
          <w:highlight w:val="none"/>
        </w:rPr>
      </w:pPr>
      <w:r>
        <w:rPr>
          <w:b/>
          <w:highlight w:val="none"/>
        </w:rPr>
        <w:t>第12.1  款调整为：</w:t>
      </w:r>
    </w:p>
    <w:p w14:paraId="39632EE0">
      <w:pPr>
        <w:pStyle w:val="152"/>
        <w:tabs>
          <w:tab w:val="left" w:pos="1082"/>
        </w:tabs>
        <w:autoSpaceDE w:val="0"/>
        <w:autoSpaceDN w:val="0"/>
        <w:spacing w:line="520" w:lineRule="exact"/>
        <w:ind w:firstLine="482"/>
        <w:rPr>
          <w:rFonts w:hint="eastAsia"/>
          <w:b/>
          <w:highlight w:val="none"/>
        </w:rPr>
      </w:pPr>
      <w:r>
        <w:rPr>
          <w:b/>
          <w:highlight w:val="none"/>
        </w:rPr>
        <w:t>12.1 合同价格</w:t>
      </w:r>
    </w:p>
    <w:p w14:paraId="4CD37393">
      <w:pPr>
        <w:pStyle w:val="152"/>
        <w:tabs>
          <w:tab w:val="left" w:pos="1630"/>
        </w:tabs>
        <w:autoSpaceDE w:val="0"/>
        <w:autoSpaceDN w:val="0"/>
        <w:spacing w:line="520" w:lineRule="exact"/>
        <w:ind w:firstLine="480"/>
        <w:rPr>
          <w:rFonts w:hint="eastAsia"/>
          <w:highlight w:val="none"/>
        </w:rPr>
      </w:pPr>
      <w:r>
        <w:rPr>
          <w:highlight w:val="none"/>
        </w:rPr>
        <w:t>12.1.1 本合同为总价合同</w:t>
      </w:r>
      <w:r>
        <w:rPr>
          <w:rFonts w:hint="eastAsia"/>
          <w:highlight w:val="none"/>
        </w:rPr>
        <w:t>，包括通过房建工程竣工质量检测验收备案的全部费用。</w:t>
      </w:r>
    </w:p>
    <w:p w14:paraId="2ED9456E">
      <w:pPr>
        <w:pStyle w:val="152"/>
        <w:tabs>
          <w:tab w:val="left" w:pos="1598"/>
        </w:tabs>
        <w:autoSpaceDE w:val="0"/>
        <w:autoSpaceDN w:val="0"/>
        <w:spacing w:line="520" w:lineRule="exact"/>
        <w:ind w:firstLine="480"/>
        <w:rPr>
          <w:rFonts w:hint="eastAsia"/>
          <w:highlight w:val="none"/>
        </w:rPr>
      </w:pPr>
      <w:r>
        <w:rPr>
          <w:highlight w:val="none"/>
        </w:rPr>
        <w:t xml:space="preserve">12.1.2 </w:t>
      </w:r>
      <w:r>
        <w:rPr>
          <w:spacing w:val="-2"/>
          <w:highlight w:val="none"/>
        </w:rPr>
        <w:t>试验检测服务</w:t>
      </w:r>
      <w:r>
        <w:rPr>
          <w:highlight w:val="none"/>
        </w:rPr>
        <w:t>费用实行委托人签证制度，即</w:t>
      </w:r>
      <w:r>
        <w:rPr>
          <w:spacing w:val="-2"/>
          <w:highlight w:val="none"/>
        </w:rPr>
        <w:t>咨询人</w:t>
      </w:r>
      <w:r>
        <w:rPr>
          <w:highlight w:val="none"/>
        </w:rPr>
        <w:t>完成</w:t>
      </w:r>
      <w:r>
        <w:rPr>
          <w:spacing w:val="-2"/>
          <w:highlight w:val="none"/>
        </w:rPr>
        <w:t>试验检测服务</w:t>
      </w:r>
      <w:r>
        <w:rPr>
          <w:highlight w:val="none"/>
        </w:rPr>
        <w:t>项目后通知委托人进行验收，通过验收后由委托人代表对实施的</w:t>
      </w:r>
      <w:r>
        <w:rPr>
          <w:spacing w:val="-2"/>
          <w:highlight w:val="none"/>
        </w:rPr>
        <w:t>试验检测服务</w:t>
      </w:r>
      <w:r>
        <w:rPr>
          <w:highlight w:val="none"/>
        </w:rPr>
        <w:t>项目、数量、质量和实施时间签字确认，以此作为计算</w:t>
      </w:r>
      <w:r>
        <w:rPr>
          <w:spacing w:val="-2"/>
          <w:highlight w:val="none"/>
        </w:rPr>
        <w:t>试验检测服务</w:t>
      </w:r>
      <w:r>
        <w:rPr>
          <w:highlight w:val="none"/>
        </w:rPr>
        <w:t>费用的依据之一。</w:t>
      </w:r>
    </w:p>
    <w:p w14:paraId="407C8C8A">
      <w:pPr>
        <w:pStyle w:val="152"/>
        <w:tabs>
          <w:tab w:val="left" w:pos="1598"/>
        </w:tabs>
        <w:autoSpaceDE w:val="0"/>
        <w:autoSpaceDN w:val="0"/>
        <w:spacing w:line="520" w:lineRule="exact"/>
        <w:ind w:firstLine="480"/>
        <w:rPr>
          <w:rFonts w:hint="eastAsia"/>
          <w:highlight w:val="none"/>
        </w:rPr>
      </w:pPr>
      <w:r>
        <w:rPr>
          <w:highlight w:val="none"/>
        </w:rPr>
        <w:t>12.1.3 合同价格包括收集资料，踏勘现场，进行</w:t>
      </w:r>
      <w:r>
        <w:rPr>
          <w:spacing w:val="-2"/>
          <w:highlight w:val="none"/>
        </w:rPr>
        <w:t>试验检测服务</w:t>
      </w:r>
      <w:r>
        <w:rPr>
          <w:highlight w:val="none"/>
        </w:rPr>
        <w:t>、评估、审查等，编制</w:t>
      </w:r>
      <w:r>
        <w:rPr>
          <w:spacing w:val="-2"/>
          <w:highlight w:val="none"/>
        </w:rPr>
        <w:t>试验检测服务</w:t>
      </w:r>
      <w:r>
        <w:rPr>
          <w:highlight w:val="none"/>
        </w:rPr>
        <w:t>成果文件，施工配合等全部费用和国家规定的增值税税金。</w:t>
      </w:r>
    </w:p>
    <w:p w14:paraId="38D70482">
      <w:pPr>
        <w:pStyle w:val="152"/>
        <w:tabs>
          <w:tab w:val="left" w:pos="1598"/>
        </w:tabs>
        <w:autoSpaceDE w:val="0"/>
        <w:autoSpaceDN w:val="0"/>
        <w:spacing w:line="520" w:lineRule="exact"/>
        <w:ind w:firstLine="480"/>
        <w:rPr>
          <w:rFonts w:hint="eastAsia"/>
          <w:highlight w:val="none"/>
        </w:rPr>
      </w:pPr>
      <w:r>
        <w:rPr>
          <w:highlight w:val="none"/>
        </w:rPr>
        <w:t>12.1.4 委托人要求咨询人进行外出考察、试验检测、专项检测或专家评审时，相应费用已包含在合同价格之中，委托人不另行支付。</w:t>
      </w:r>
    </w:p>
    <w:p w14:paraId="057682DE">
      <w:pPr>
        <w:pStyle w:val="152"/>
        <w:tabs>
          <w:tab w:val="left" w:pos="1082"/>
        </w:tabs>
        <w:autoSpaceDE w:val="0"/>
        <w:autoSpaceDN w:val="0"/>
        <w:spacing w:line="520" w:lineRule="exact"/>
        <w:ind w:firstLine="482"/>
        <w:rPr>
          <w:rFonts w:hint="eastAsia"/>
          <w:b/>
          <w:highlight w:val="none"/>
        </w:rPr>
      </w:pPr>
      <w:r>
        <w:rPr>
          <w:b/>
          <w:highlight w:val="none"/>
        </w:rPr>
        <w:t>第12.2 款调整为：</w:t>
      </w:r>
    </w:p>
    <w:p w14:paraId="13662CFD">
      <w:pPr>
        <w:pStyle w:val="152"/>
        <w:tabs>
          <w:tab w:val="left" w:pos="1082"/>
        </w:tabs>
        <w:autoSpaceDE w:val="0"/>
        <w:autoSpaceDN w:val="0"/>
        <w:spacing w:line="520" w:lineRule="exact"/>
        <w:ind w:firstLine="482"/>
        <w:rPr>
          <w:rFonts w:hint="eastAsia"/>
          <w:b/>
          <w:highlight w:val="none"/>
        </w:rPr>
      </w:pPr>
      <w:r>
        <w:rPr>
          <w:b/>
          <w:highlight w:val="none"/>
        </w:rPr>
        <w:t>12.2 定金或预付款</w:t>
      </w:r>
    </w:p>
    <w:p w14:paraId="21A677FD">
      <w:pPr>
        <w:pStyle w:val="152"/>
        <w:tabs>
          <w:tab w:val="left" w:pos="1082"/>
        </w:tabs>
        <w:autoSpaceDE w:val="0"/>
        <w:autoSpaceDN w:val="0"/>
        <w:spacing w:line="520" w:lineRule="exact"/>
        <w:ind w:firstLine="480"/>
        <w:rPr>
          <w:rFonts w:hint="eastAsia"/>
          <w:highlight w:val="none"/>
        </w:rPr>
      </w:pPr>
      <w:r>
        <w:rPr>
          <w:highlight w:val="none"/>
        </w:rPr>
        <w:t>本合同无定金和预付款。</w:t>
      </w:r>
    </w:p>
    <w:p w14:paraId="63C61069">
      <w:pPr>
        <w:pStyle w:val="152"/>
        <w:tabs>
          <w:tab w:val="left" w:pos="1082"/>
        </w:tabs>
        <w:autoSpaceDE w:val="0"/>
        <w:autoSpaceDN w:val="0"/>
        <w:spacing w:line="520" w:lineRule="exact"/>
        <w:ind w:firstLine="482"/>
        <w:rPr>
          <w:rFonts w:hint="eastAsia"/>
          <w:b/>
          <w:highlight w:val="none"/>
        </w:rPr>
      </w:pPr>
      <w:r>
        <w:rPr>
          <w:b/>
          <w:highlight w:val="none"/>
        </w:rPr>
        <w:t>12.3 中期支付</w:t>
      </w:r>
    </w:p>
    <w:p w14:paraId="3312EF66">
      <w:pPr>
        <w:pStyle w:val="152"/>
        <w:tabs>
          <w:tab w:val="left" w:pos="1082"/>
        </w:tabs>
        <w:autoSpaceDE w:val="0"/>
        <w:autoSpaceDN w:val="0"/>
        <w:spacing w:line="520" w:lineRule="exact"/>
        <w:ind w:firstLine="480"/>
        <w:rPr>
          <w:rFonts w:hint="eastAsia"/>
          <w:highlight w:val="none"/>
        </w:rPr>
      </w:pPr>
      <w:r>
        <w:rPr>
          <w:highlight w:val="none"/>
        </w:rPr>
        <w:t>本款更改为：</w:t>
      </w:r>
    </w:p>
    <w:p w14:paraId="2E6CD92F">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提交整套检测报告(评审稿)(其技术成果文件应符合国家法律法规及房屋建筑行业相关标准规范的要求)后，委托人在收到结算等相关资料后20个工作日内支付结算金额的50%；提交最终整套房屋工程竣工质量检测报告，通过房建工程竣工质量检测验收备案并经委托人认可后，委托人在收到结算等相关资料20个工作日后支付剩余款项。</w:t>
      </w:r>
    </w:p>
    <w:p w14:paraId="723AE5F2">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咨询服务费支付前，咨询人应按当期结算金额向委托人开具满足委托人要求的增值税专用发票，否则委托人有权拒绝支付并不构成迟延支付。委托人不按期支付的，根据迟延履行的金额及时间，按照同期中国人民银行公布的活期存款基准利率的标准向咨询人支付迟延付款违约金，违约金累计不超过逾期付款总额的2%。</w:t>
      </w:r>
    </w:p>
    <w:p w14:paraId="68DBE0CF">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开票信息：</w:t>
      </w:r>
    </w:p>
    <w:p w14:paraId="02504967">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单位名称：湖南省新新张官高速公路建设开发有限公司</w:t>
      </w:r>
    </w:p>
    <w:p w14:paraId="39BD0DCD">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税号：9143 0000 MA4T G1XJ 6N</w:t>
      </w:r>
    </w:p>
    <w:p w14:paraId="7BB007AE">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单位地址：长沙市开福区三一大道500号马兰山公寓综合楼1801房</w:t>
      </w:r>
    </w:p>
    <w:p w14:paraId="55F56001">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电话：0731-89757277</w:t>
      </w:r>
    </w:p>
    <w:p w14:paraId="05B23F4A">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开户银行：中国银行股份有限公司长沙市狮子山支行</w:t>
      </w:r>
    </w:p>
    <w:p w14:paraId="7AD2C975">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银行账户：5846 7725 3939</w:t>
      </w:r>
    </w:p>
    <w:p w14:paraId="3F067E4F">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委托人应将咨询服务费支付咨询人账户。咨询人账户信息：</w:t>
      </w:r>
    </w:p>
    <w:p w14:paraId="74EFD69F">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 xml:space="preserve">名称： </w:t>
      </w:r>
    </w:p>
    <w:p w14:paraId="45BBDBE4">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 xml:space="preserve">开户银行： </w:t>
      </w:r>
    </w:p>
    <w:p w14:paraId="68616AA2">
      <w:pPr>
        <w:pStyle w:val="152"/>
        <w:tabs>
          <w:tab w:val="left" w:pos="1598"/>
        </w:tabs>
        <w:autoSpaceDE w:val="0"/>
        <w:autoSpaceDN w:val="0"/>
        <w:spacing w:line="520" w:lineRule="exact"/>
        <w:ind w:firstLine="472"/>
        <w:rPr>
          <w:rFonts w:hint="eastAsia"/>
          <w:spacing w:val="-2"/>
          <w:highlight w:val="none"/>
        </w:rPr>
      </w:pPr>
      <w:r>
        <w:rPr>
          <w:rFonts w:hint="eastAsia"/>
          <w:spacing w:val="-2"/>
          <w:highlight w:val="none"/>
        </w:rPr>
        <w:t>银行账户：</w:t>
      </w:r>
    </w:p>
    <w:p w14:paraId="6904DBF9">
      <w:pPr>
        <w:pStyle w:val="152"/>
        <w:tabs>
          <w:tab w:val="left" w:pos="1082"/>
        </w:tabs>
        <w:autoSpaceDE w:val="0"/>
        <w:autoSpaceDN w:val="0"/>
        <w:spacing w:line="520" w:lineRule="exact"/>
        <w:ind w:firstLine="482"/>
        <w:rPr>
          <w:rFonts w:hint="eastAsia"/>
          <w:b/>
          <w:highlight w:val="none"/>
        </w:rPr>
      </w:pPr>
      <w:r>
        <w:rPr>
          <w:b/>
          <w:highlight w:val="none"/>
        </w:rPr>
        <w:t>12.4 费用结算</w:t>
      </w:r>
    </w:p>
    <w:p w14:paraId="21CFFF03">
      <w:pPr>
        <w:pStyle w:val="152"/>
        <w:tabs>
          <w:tab w:val="left" w:pos="1567"/>
        </w:tabs>
        <w:autoSpaceDE w:val="0"/>
        <w:autoSpaceDN w:val="0"/>
        <w:spacing w:line="520" w:lineRule="exact"/>
        <w:ind w:firstLine="480"/>
        <w:rPr>
          <w:rFonts w:hint="eastAsia"/>
          <w:highlight w:val="none"/>
        </w:rPr>
      </w:pPr>
      <w:r>
        <w:rPr>
          <w:highlight w:val="none"/>
        </w:rPr>
        <w:t>第12.4.1项修改为</w:t>
      </w:r>
    </w:p>
    <w:p w14:paraId="74A4EE9E">
      <w:pPr>
        <w:pStyle w:val="152"/>
        <w:tabs>
          <w:tab w:val="left" w:pos="1567"/>
        </w:tabs>
        <w:autoSpaceDE w:val="0"/>
        <w:autoSpaceDN w:val="0"/>
        <w:spacing w:line="520" w:lineRule="exact"/>
        <w:ind w:firstLine="480"/>
        <w:rPr>
          <w:rFonts w:hint="eastAsia"/>
          <w:highlight w:val="none"/>
        </w:rPr>
      </w:pPr>
      <w:r>
        <w:rPr>
          <w:rFonts w:hint="eastAsia"/>
          <w:highlight w:val="none"/>
        </w:rPr>
        <w:t>12.4.1 咨询人应按合同约定的支付节点向委托人提交进度支付申请（一式</w:t>
      </w:r>
      <w:r>
        <w:rPr>
          <w:rFonts w:hint="eastAsia"/>
          <w:highlight w:val="none"/>
          <w:lang w:val="en-US" w:eastAsia="zh-CN"/>
        </w:rPr>
        <w:t>五</w:t>
      </w:r>
      <w:r>
        <w:rPr>
          <w:rFonts w:hint="eastAsia"/>
          <w:highlight w:val="none"/>
        </w:rPr>
        <w:t>份），并提供相关证明材料。</w:t>
      </w:r>
    </w:p>
    <w:p w14:paraId="382C1D80">
      <w:pPr>
        <w:pStyle w:val="152"/>
        <w:tabs>
          <w:tab w:val="left" w:pos="1567"/>
        </w:tabs>
        <w:autoSpaceDE w:val="0"/>
        <w:autoSpaceDN w:val="0"/>
        <w:spacing w:line="520" w:lineRule="exact"/>
        <w:ind w:firstLine="480"/>
        <w:rPr>
          <w:rFonts w:hint="eastAsia"/>
          <w:highlight w:val="none"/>
        </w:rPr>
      </w:pPr>
      <w:r>
        <w:rPr>
          <w:rFonts w:hint="eastAsia"/>
          <w:highlight w:val="none"/>
        </w:rPr>
        <w:t>第12.4.2项细化为</w:t>
      </w:r>
    </w:p>
    <w:p w14:paraId="11258A20">
      <w:pPr>
        <w:pStyle w:val="152"/>
        <w:tabs>
          <w:tab w:val="left" w:pos="1567"/>
        </w:tabs>
        <w:autoSpaceDE w:val="0"/>
        <w:autoSpaceDN w:val="0"/>
        <w:spacing w:line="520" w:lineRule="exact"/>
        <w:ind w:firstLine="480"/>
        <w:rPr>
          <w:rFonts w:hint="eastAsia"/>
          <w:highlight w:val="none"/>
        </w:rPr>
      </w:pPr>
      <w:r>
        <w:rPr>
          <w:rFonts w:hint="eastAsia"/>
          <w:highlight w:val="none"/>
        </w:rPr>
        <w:t>12.4.2 委托人应在收到费用结算申请后的28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委托人未能在前述时间内完成审批或不予答复的，咨询人予以谅解，不视为委托人同意费用结算申请。委托人不按期支付的，根据迟延履行的金额及时间，按照同期中国人民银行公布的活期存款基准利率的标准向咨询人支付迟延付款违约金，违约金累计不超过逾期付款总额的2%。</w:t>
      </w:r>
    </w:p>
    <w:p w14:paraId="28605717">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14.违约</w:t>
      </w:r>
    </w:p>
    <w:p w14:paraId="4AA88115">
      <w:pPr>
        <w:pStyle w:val="152"/>
        <w:tabs>
          <w:tab w:val="left" w:pos="1082"/>
        </w:tabs>
        <w:autoSpaceDE w:val="0"/>
        <w:autoSpaceDN w:val="0"/>
        <w:spacing w:line="520" w:lineRule="exact"/>
        <w:ind w:firstLine="482"/>
        <w:rPr>
          <w:rFonts w:hint="eastAsia"/>
          <w:b/>
          <w:highlight w:val="none"/>
        </w:rPr>
      </w:pPr>
      <w:r>
        <w:rPr>
          <w:b/>
          <w:highlight w:val="none"/>
        </w:rPr>
        <w:t>第14.1款修改为：</w:t>
      </w:r>
    </w:p>
    <w:p w14:paraId="5DA997A7">
      <w:pPr>
        <w:pStyle w:val="152"/>
        <w:tabs>
          <w:tab w:val="left" w:pos="1082"/>
        </w:tabs>
        <w:autoSpaceDE w:val="0"/>
        <w:autoSpaceDN w:val="0"/>
        <w:spacing w:line="520" w:lineRule="exact"/>
        <w:ind w:firstLine="482"/>
        <w:rPr>
          <w:rFonts w:hint="eastAsia"/>
          <w:b/>
          <w:highlight w:val="none"/>
        </w:rPr>
      </w:pPr>
      <w:r>
        <w:rPr>
          <w:b/>
          <w:highlight w:val="none"/>
        </w:rPr>
        <w:t>14.1 咨询人违约</w:t>
      </w:r>
    </w:p>
    <w:p w14:paraId="1FFD1A67">
      <w:pPr>
        <w:pStyle w:val="152"/>
        <w:tabs>
          <w:tab w:val="left" w:pos="1567"/>
        </w:tabs>
        <w:autoSpaceDE w:val="0"/>
        <w:autoSpaceDN w:val="0"/>
        <w:spacing w:line="520" w:lineRule="exact"/>
        <w:ind w:firstLine="480"/>
        <w:rPr>
          <w:rFonts w:hint="eastAsia"/>
          <w:highlight w:val="none"/>
        </w:rPr>
      </w:pPr>
      <w:r>
        <w:rPr>
          <w:highlight w:val="none"/>
        </w:rPr>
        <w:t>14.1.1 咨询人的一般违约及责任</w:t>
      </w:r>
    </w:p>
    <w:p w14:paraId="0D0D5A6C">
      <w:pPr>
        <w:pStyle w:val="152"/>
        <w:tabs>
          <w:tab w:val="left" w:pos="1567"/>
        </w:tabs>
        <w:autoSpaceDE w:val="0"/>
        <w:autoSpaceDN w:val="0"/>
        <w:spacing w:line="520" w:lineRule="exact"/>
        <w:ind w:firstLine="480"/>
        <w:rPr>
          <w:rFonts w:hint="eastAsia"/>
          <w:highlight w:val="none"/>
        </w:rPr>
      </w:pPr>
      <w:r>
        <w:rPr>
          <w:highlight w:val="none"/>
        </w:rPr>
        <w:t>（1）咨询人违反服务合同的规定，将服务的任何部分违法转让或非法分包；</w:t>
      </w:r>
    </w:p>
    <w:p w14:paraId="4A4482EA">
      <w:pPr>
        <w:pStyle w:val="152"/>
        <w:tabs>
          <w:tab w:val="left" w:pos="1567"/>
        </w:tabs>
        <w:autoSpaceDE w:val="0"/>
        <w:autoSpaceDN w:val="0"/>
        <w:spacing w:line="520" w:lineRule="exact"/>
        <w:ind w:firstLine="480"/>
        <w:rPr>
          <w:rFonts w:hint="eastAsia"/>
          <w:highlight w:val="none"/>
        </w:rPr>
      </w:pPr>
      <w:r>
        <w:rPr>
          <w:highlight w:val="none"/>
        </w:rPr>
        <w:t>（2）咨询人未能按照响应文件的承诺配备满足服务要求的人员和设备或擅自进行调整或擅自缺岗，咨询人不能根据实际工作的需要接受委托人指令及时进行人员和设备的调整；</w:t>
      </w:r>
    </w:p>
    <w:p w14:paraId="1FF90EB6">
      <w:pPr>
        <w:pStyle w:val="152"/>
        <w:tabs>
          <w:tab w:val="left" w:pos="1567"/>
        </w:tabs>
        <w:autoSpaceDE w:val="0"/>
        <w:autoSpaceDN w:val="0"/>
        <w:spacing w:line="520" w:lineRule="exact"/>
        <w:ind w:firstLine="480"/>
        <w:rPr>
          <w:rFonts w:hint="eastAsia"/>
          <w:highlight w:val="none"/>
        </w:rPr>
      </w:pPr>
      <w:r>
        <w:rPr>
          <w:highlight w:val="none"/>
        </w:rPr>
        <w:t>（3）咨询人不履行职责，失职、渎职或向相关人行贿索贿、谋取私利，或与相关人串通损害委托人利益，给委托人造成损失；</w:t>
      </w:r>
    </w:p>
    <w:p w14:paraId="56FD597B">
      <w:pPr>
        <w:pStyle w:val="152"/>
        <w:tabs>
          <w:tab w:val="left" w:pos="1567"/>
        </w:tabs>
        <w:autoSpaceDE w:val="0"/>
        <w:autoSpaceDN w:val="0"/>
        <w:spacing w:line="520" w:lineRule="exact"/>
        <w:ind w:firstLine="480"/>
        <w:rPr>
          <w:rFonts w:hint="eastAsia"/>
          <w:highlight w:val="none"/>
        </w:rPr>
      </w:pPr>
      <w:r>
        <w:rPr>
          <w:highlight w:val="none"/>
        </w:rPr>
        <w:t>（4）咨询人因服务因素收集不全、不准确、虚假、错误等致使未能按合同进度计划或质量要求或委托人指令及时完成合同约定的服务工作，或不能及时提交服务成果并提供服务，对工程建设与管理造成了影响；</w:t>
      </w:r>
    </w:p>
    <w:p w14:paraId="2D51BC2C">
      <w:pPr>
        <w:pStyle w:val="152"/>
        <w:tabs>
          <w:tab w:val="left" w:pos="1567"/>
        </w:tabs>
        <w:autoSpaceDE w:val="0"/>
        <w:autoSpaceDN w:val="0"/>
        <w:spacing w:line="520" w:lineRule="exact"/>
        <w:ind w:firstLine="480"/>
        <w:rPr>
          <w:rFonts w:hint="eastAsia"/>
          <w:highlight w:val="none"/>
        </w:rPr>
      </w:pPr>
      <w:r>
        <w:rPr>
          <w:highlight w:val="none"/>
        </w:rPr>
        <w:t>（5）因咨询人泄露保密资料、未保护好财产，导致委托人利益发生损害；</w:t>
      </w:r>
    </w:p>
    <w:p w14:paraId="3B38648C">
      <w:pPr>
        <w:pStyle w:val="152"/>
        <w:tabs>
          <w:tab w:val="left" w:pos="1567"/>
        </w:tabs>
        <w:autoSpaceDE w:val="0"/>
        <w:autoSpaceDN w:val="0"/>
        <w:spacing w:line="520" w:lineRule="exact"/>
        <w:ind w:firstLine="480"/>
        <w:rPr>
          <w:rFonts w:hint="eastAsia"/>
          <w:highlight w:val="none"/>
        </w:rPr>
      </w:pPr>
      <w:r>
        <w:rPr>
          <w:highlight w:val="none"/>
        </w:rPr>
        <w:t>（6）擅自采用他人成果或侵犯他人知识产权的；私自转让、赠与本服务成果，</w:t>
      </w:r>
    </w:p>
    <w:p w14:paraId="0C3C2B53">
      <w:pPr>
        <w:pStyle w:val="152"/>
        <w:tabs>
          <w:tab w:val="left" w:pos="1567"/>
        </w:tabs>
        <w:autoSpaceDE w:val="0"/>
        <w:autoSpaceDN w:val="0"/>
        <w:spacing w:line="520" w:lineRule="exact"/>
        <w:ind w:firstLine="480"/>
        <w:rPr>
          <w:rFonts w:hint="eastAsia"/>
          <w:highlight w:val="none"/>
        </w:rPr>
      </w:pPr>
      <w:r>
        <w:rPr>
          <w:highlight w:val="none"/>
        </w:rPr>
        <w:t xml:space="preserve"> 上述一般违约行为，委托人将责令咨询人限期改正。如咨询人延迟或拒绝改正的，委托人有权终止合同、停止支付，造成委托人损失的，委托人有权按责任比例计算扣减支付或以履约保证金作为违约赔偿。</w:t>
      </w:r>
    </w:p>
    <w:p w14:paraId="6721AFAC">
      <w:pPr>
        <w:pStyle w:val="152"/>
        <w:tabs>
          <w:tab w:val="left" w:pos="1567"/>
        </w:tabs>
        <w:autoSpaceDE w:val="0"/>
        <w:autoSpaceDN w:val="0"/>
        <w:spacing w:line="520" w:lineRule="exact"/>
        <w:ind w:firstLine="480"/>
        <w:rPr>
          <w:rFonts w:hint="eastAsia"/>
          <w:highlight w:val="none"/>
        </w:rPr>
      </w:pPr>
      <w:r>
        <w:rPr>
          <w:highlight w:val="none"/>
        </w:rPr>
        <w:t>14.1.2 咨询人的严重违约及责任</w:t>
      </w:r>
    </w:p>
    <w:p w14:paraId="77E67253">
      <w:pPr>
        <w:pStyle w:val="152"/>
        <w:tabs>
          <w:tab w:val="left" w:pos="1567"/>
        </w:tabs>
        <w:autoSpaceDE w:val="0"/>
        <w:autoSpaceDN w:val="0"/>
        <w:spacing w:line="520" w:lineRule="exact"/>
        <w:ind w:firstLine="480"/>
        <w:rPr>
          <w:rFonts w:hint="eastAsia"/>
          <w:highlight w:val="none"/>
        </w:rPr>
      </w:pPr>
      <w:r>
        <w:rPr>
          <w:highlight w:val="none"/>
        </w:rPr>
        <w:t>（1）因咨询人未及时提供服务给委托人造成严重的损失、工期延误的；或咨询人提供的虚假成果、错误成果，导致委托人的工程建设与管理出现质量、安全事故的；</w:t>
      </w:r>
    </w:p>
    <w:p w14:paraId="33BC4C05">
      <w:pPr>
        <w:pStyle w:val="152"/>
        <w:tabs>
          <w:tab w:val="left" w:pos="1567"/>
        </w:tabs>
        <w:autoSpaceDE w:val="0"/>
        <w:autoSpaceDN w:val="0"/>
        <w:spacing w:line="520" w:lineRule="exact"/>
        <w:ind w:firstLine="480"/>
        <w:rPr>
          <w:rFonts w:hint="eastAsia"/>
          <w:highlight w:val="none"/>
        </w:rPr>
      </w:pPr>
      <w:r>
        <w:rPr>
          <w:highlight w:val="none"/>
        </w:rPr>
        <w:t>（2）除不可抗力原因外 ，因咨询人发生委托人不可接受的违约导致的服务项目不得不终止；</w:t>
      </w:r>
    </w:p>
    <w:p w14:paraId="46F9B74F">
      <w:pPr>
        <w:pStyle w:val="152"/>
        <w:tabs>
          <w:tab w:val="left" w:pos="1567"/>
        </w:tabs>
        <w:autoSpaceDE w:val="0"/>
        <w:autoSpaceDN w:val="0"/>
        <w:spacing w:line="520" w:lineRule="exact"/>
        <w:ind w:firstLine="480"/>
        <w:rPr>
          <w:rFonts w:hint="eastAsia"/>
          <w:highlight w:val="none"/>
        </w:rPr>
      </w:pPr>
      <w:r>
        <w:rPr>
          <w:highlight w:val="none"/>
        </w:rPr>
        <w:t xml:space="preserve"> 发生上述两种严重违约行为，委托人有权终止服务合同，追回全部支付，并追诉相应法律责任。</w:t>
      </w:r>
    </w:p>
    <w:p w14:paraId="7BEF39BE">
      <w:pPr>
        <w:pStyle w:val="152"/>
        <w:tabs>
          <w:tab w:val="left" w:pos="1082"/>
        </w:tabs>
        <w:autoSpaceDE w:val="0"/>
        <w:autoSpaceDN w:val="0"/>
        <w:spacing w:line="520" w:lineRule="exact"/>
        <w:ind w:firstLine="482"/>
        <w:rPr>
          <w:rFonts w:hint="eastAsia"/>
          <w:b/>
          <w:highlight w:val="none"/>
        </w:rPr>
      </w:pPr>
      <w:r>
        <w:rPr>
          <w:b/>
          <w:highlight w:val="none"/>
        </w:rPr>
        <w:t>14.2 委托人违约</w:t>
      </w:r>
    </w:p>
    <w:p w14:paraId="6943FAB3">
      <w:pPr>
        <w:pStyle w:val="152"/>
        <w:tabs>
          <w:tab w:val="left" w:pos="1567"/>
        </w:tabs>
        <w:autoSpaceDE w:val="0"/>
        <w:autoSpaceDN w:val="0"/>
        <w:spacing w:line="520" w:lineRule="exact"/>
        <w:ind w:firstLine="480"/>
        <w:rPr>
          <w:rFonts w:hint="eastAsia"/>
          <w:highlight w:val="none"/>
        </w:rPr>
      </w:pPr>
      <w:r>
        <w:rPr>
          <w:highlight w:val="none"/>
        </w:rPr>
        <w:t>14.2.1 合同履行中发生下列情况之一的，属委托人违约：</w:t>
      </w:r>
    </w:p>
    <w:p w14:paraId="2663EBC4">
      <w:pPr>
        <w:pStyle w:val="152"/>
        <w:tabs>
          <w:tab w:val="left" w:pos="1511"/>
        </w:tabs>
        <w:autoSpaceDE w:val="0"/>
        <w:autoSpaceDN w:val="0"/>
        <w:spacing w:line="520" w:lineRule="exact"/>
        <w:ind w:firstLine="480"/>
        <w:rPr>
          <w:rFonts w:hint="eastAsia"/>
          <w:highlight w:val="none"/>
        </w:rPr>
      </w:pPr>
      <w:r>
        <w:rPr>
          <w:highlight w:val="none"/>
        </w:rPr>
        <w:t>（1）委托人未按合同约定支付</w:t>
      </w:r>
      <w:r>
        <w:rPr>
          <w:spacing w:val="-2"/>
          <w:highlight w:val="none"/>
        </w:rPr>
        <w:t>试验检测服务</w:t>
      </w:r>
      <w:r>
        <w:rPr>
          <w:highlight w:val="none"/>
        </w:rPr>
        <w:t>费用；</w:t>
      </w:r>
    </w:p>
    <w:p w14:paraId="16348257">
      <w:pPr>
        <w:pStyle w:val="152"/>
        <w:tabs>
          <w:tab w:val="left" w:pos="1511"/>
        </w:tabs>
        <w:autoSpaceDE w:val="0"/>
        <w:autoSpaceDN w:val="0"/>
        <w:spacing w:line="520" w:lineRule="exact"/>
        <w:ind w:firstLine="480"/>
        <w:rPr>
          <w:rFonts w:hint="eastAsia"/>
          <w:highlight w:val="none"/>
        </w:rPr>
      </w:pPr>
      <w:r>
        <w:rPr>
          <w:highlight w:val="none"/>
        </w:rPr>
        <w:t>（2）委托人原因造成</w:t>
      </w:r>
      <w:r>
        <w:rPr>
          <w:spacing w:val="-2"/>
          <w:highlight w:val="none"/>
        </w:rPr>
        <w:t>试验检测服务</w:t>
      </w:r>
      <w:r>
        <w:rPr>
          <w:highlight w:val="none"/>
        </w:rPr>
        <w:t>停止；</w:t>
      </w:r>
    </w:p>
    <w:p w14:paraId="60F8C583">
      <w:pPr>
        <w:pStyle w:val="152"/>
        <w:tabs>
          <w:tab w:val="left" w:pos="1506"/>
        </w:tabs>
        <w:autoSpaceDE w:val="0"/>
        <w:autoSpaceDN w:val="0"/>
        <w:spacing w:line="520" w:lineRule="exact"/>
        <w:ind w:firstLine="480"/>
        <w:rPr>
          <w:rFonts w:hint="eastAsia"/>
          <w:highlight w:val="none"/>
        </w:rPr>
      </w:pPr>
      <w:r>
        <w:rPr>
          <w:highlight w:val="none"/>
        </w:rPr>
        <w:t>（3）委托人明确表示或以其行为表明不履行合同主要义务的；</w:t>
      </w:r>
    </w:p>
    <w:p w14:paraId="6480E4AF">
      <w:pPr>
        <w:pStyle w:val="152"/>
        <w:tabs>
          <w:tab w:val="left" w:pos="1511"/>
        </w:tabs>
        <w:autoSpaceDE w:val="0"/>
        <w:autoSpaceDN w:val="0"/>
        <w:spacing w:line="520" w:lineRule="exact"/>
        <w:ind w:firstLine="480"/>
        <w:rPr>
          <w:rFonts w:hint="eastAsia"/>
          <w:highlight w:val="none"/>
        </w:rPr>
      </w:pPr>
      <w:r>
        <w:rPr>
          <w:highlight w:val="none"/>
        </w:rPr>
        <w:t>（4）委托人不履行合同约定的其他义务。</w:t>
      </w:r>
    </w:p>
    <w:p w14:paraId="03C14217">
      <w:pPr>
        <w:pStyle w:val="152"/>
        <w:tabs>
          <w:tab w:val="left" w:pos="1598"/>
        </w:tabs>
        <w:autoSpaceDE w:val="0"/>
        <w:autoSpaceDN w:val="0"/>
        <w:spacing w:line="520" w:lineRule="exact"/>
        <w:ind w:firstLine="480"/>
        <w:rPr>
          <w:rFonts w:hint="eastAsia"/>
          <w:highlight w:val="none"/>
        </w:rPr>
      </w:pPr>
      <w:r>
        <w:rPr>
          <w:highlight w:val="none"/>
        </w:rPr>
        <w:t>14.2.2 委托人发生违约情况时，</w:t>
      </w:r>
      <w:r>
        <w:rPr>
          <w:spacing w:val="-2"/>
          <w:highlight w:val="none"/>
        </w:rPr>
        <w:t>咨询人</w:t>
      </w:r>
      <w:r>
        <w:rPr>
          <w:highlight w:val="none"/>
        </w:rPr>
        <w:t>可向委托人发出暂停</w:t>
      </w:r>
      <w:r>
        <w:rPr>
          <w:spacing w:val="-2"/>
          <w:highlight w:val="none"/>
        </w:rPr>
        <w:t>试验检测服务</w:t>
      </w:r>
      <w:r>
        <w:rPr>
          <w:highlight w:val="none"/>
        </w:rPr>
        <w:t>通知，要求其在限定期限内纠正；逾期仍不纠正的，</w:t>
      </w:r>
      <w:r>
        <w:rPr>
          <w:spacing w:val="-2"/>
          <w:highlight w:val="none"/>
        </w:rPr>
        <w:t>咨询人</w:t>
      </w:r>
      <w:r>
        <w:rPr>
          <w:highlight w:val="none"/>
        </w:rPr>
        <w:t>有权解除合同并向委托人发出解除合同通知。委托人应当承担由于违约所造成的费用增加、周期延误和</w:t>
      </w:r>
      <w:r>
        <w:rPr>
          <w:spacing w:val="-2"/>
          <w:highlight w:val="none"/>
        </w:rPr>
        <w:t>咨询人</w:t>
      </w:r>
      <w:r>
        <w:rPr>
          <w:highlight w:val="none"/>
        </w:rPr>
        <w:t>损失等。</w:t>
      </w:r>
    </w:p>
    <w:p w14:paraId="3356B766">
      <w:pPr>
        <w:pStyle w:val="152"/>
        <w:tabs>
          <w:tab w:val="left" w:pos="1082"/>
        </w:tabs>
        <w:autoSpaceDE w:val="0"/>
        <w:autoSpaceDN w:val="0"/>
        <w:spacing w:line="520" w:lineRule="exact"/>
        <w:ind w:firstLine="482"/>
        <w:rPr>
          <w:rFonts w:hint="eastAsia"/>
          <w:b/>
          <w:highlight w:val="none"/>
        </w:rPr>
      </w:pPr>
      <w:r>
        <w:rPr>
          <w:b/>
          <w:highlight w:val="none"/>
        </w:rPr>
        <w:t>14.3 第三人造成的违约</w:t>
      </w:r>
    </w:p>
    <w:p w14:paraId="2E42FD91">
      <w:pPr>
        <w:pStyle w:val="35"/>
        <w:spacing w:after="0" w:line="520" w:lineRule="exact"/>
        <w:ind w:firstLine="480" w:firstLineChars="200"/>
        <w:rPr>
          <w:rFonts w:hint="eastAsia" w:ascii="宋体" w:hAnsi="宋体"/>
          <w:sz w:val="24"/>
          <w:highlight w:val="none"/>
        </w:rPr>
      </w:pPr>
      <w:r>
        <w:rPr>
          <w:rFonts w:ascii="宋体" w:hAnsi="宋体"/>
          <w:sz w:val="24"/>
          <w:highlight w:val="none"/>
        </w:rPr>
        <w:t>在履行合同过程中，一方当事人因第三人的原因造成违约的，应当向对方当事人承担违约责任。一方当事人和第三人之间的纠纷，依照法律规定或者按照约定解决。</w:t>
      </w:r>
    </w:p>
    <w:p w14:paraId="614BB20C">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增加第14.4款</w:t>
      </w:r>
    </w:p>
    <w:p w14:paraId="2282D2BD">
      <w:pPr>
        <w:pStyle w:val="35"/>
        <w:spacing w:after="0" w:line="520" w:lineRule="exact"/>
        <w:ind w:firstLine="482" w:firstLineChars="200"/>
        <w:rPr>
          <w:rFonts w:hint="eastAsia" w:ascii="宋体" w:hAnsi="宋体"/>
          <w:b/>
          <w:sz w:val="24"/>
          <w:highlight w:val="none"/>
        </w:rPr>
      </w:pPr>
      <w:r>
        <w:rPr>
          <w:rFonts w:hint="eastAsia" w:ascii="宋体" w:hAnsi="宋体"/>
          <w:b/>
          <w:sz w:val="24"/>
          <w:highlight w:val="none"/>
        </w:rPr>
        <w:t>14.1 咨询人违约赔偿责任</w:t>
      </w:r>
    </w:p>
    <w:p w14:paraId="40B5C925">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发生14.1.1（1）目的情形时，委托人视情节轻重向咨询人处以50000元的违约金，并上报上级部门进行行政处罚 ；</w:t>
      </w:r>
    </w:p>
    <w:p w14:paraId="3A2CBCFE">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发生14.1.1（2）目的情形时，委托人将对咨询人处以5000元/人</w:t>
      </w:r>
      <w:r>
        <w:rPr>
          <w:rFonts w:hint="eastAsia" w:ascii="宋体" w:hAnsi="宋体" w:cs="宋体"/>
          <w:sz w:val="24"/>
          <w:highlight w:val="none"/>
        </w:rPr>
        <w:t>*</w:t>
      </w:r>
      <w:r>
        <w:rPr>
          <w:rFonts w:hint="eastAsia" w:ascii="宋体" w:hAnsi="宋体"/>
          <w:sz w:val="24"/>
          <w:highlight w:val="none"/>
        </w:rPr>
        <w:t>次（设备</w:t>
      </w:r>
      <w:r>
        <w:rPr>
          <w:rFonts w:hint="eastAsia" w:ascii="宋体" w:hAnsi="宋体" w:cs="宋体"/>
          <w:sz w:val="24"/>
          <w:highlight w:val="none"/>
        </w:rPr>
        <w:t>*</w:t>
      </w:r>
      <w:r>
        <w:rPr>
          <w:rFonts w:hint="eastAsia" w:ascii="宋体" w:hAnsi="宋体"/>
          <w:sz w:val="24"/>
          <w:highlight w:val="none"/>
        </w:rPr>
        <w:t>台次）的违约金；擅自缺岗委托人将对咨询人处以1000元/人</w:t>
      </w:r>
      <w:r>
        <w:rPr>
          <w:rFonts w:hint="eastAsia" w:ascii="宋体" w:hAnsi="宋体" w:cs="宋体"/>
          <w:sz w:val="24"/>
          <w:highlight w:val="none"/>
        </w:rPr>
        <w:t>*</w:t>
      </w:r>
      <w:r>
        <w:rPr>
          <w:rFonts w:hint="eastAsia" w:ascii="宋体" w:hAnsi="宋体"/>
          <w:sz w:val="24"/>
          <w:highlight w:val="none"/>
        </w:rPr>
        <w:t>天的违约金。</w:t>
      </w:r>
    </w:p>
    <w:p w14:paraId="53B2A140">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发生14.1.1（3） 目所述情况，委托人将对咨询人处以10000元/人*次的违约金，并要求咨询人更换此咨询人人员。因咨询人人员失职而造成服务返工的，委托人将对咨询人处以10000元/次的违约金，返工造成的经济损失达100万元及以上的，委托人将对咨询人处以20000元/次的违约金，造成重大质量、安全事故的，委托人将对咨询人处以合同额10%的违约金，并依法追究其法律责任；有违法所得的，还按此咨询人人员所得金额双倍再处以咨询人违约金，触犯国家法律的，依法移交司法机关处理；</w:t>
      </w:r>
    </w:p>
    <w:p w14:paraId="013213A7">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发生14.1.1（4）目所述情况，委托人将对咨询人处以10000元/人*次的违约金，在14天以内未整改到位的委托人将对咨询人处以20000元/次的违约金并有权终止合同。</w:t>
      </w:r>
    </w:p>
    <w:p w14:paraId="108EC865">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发生14.1.1（5）、14.1.1（6）目所述情况，委托人将对咨询人处以20000元/次的违约金，在14 天以内未整改到位的委托人将对咨询人处以50000元/次的违约金并有权终止合同。</w:t>
      </w:r>
    </w:p>
    <w:p w14:paraId="7145CE62">
      <w:pPr>
        <w:pStyle w:val="35"/>
        <w:spacing w:after="0" w:line="520" w:lineRule="exact"/>
        <w:ind w:firstLine="480" w:firstLineChars="200"/>
        <w:rPr>
          <w:rFonts w:hint="eastAsia" w:ascii="宋体" w:hAnsi="宋体"/>
          <w:sz w:val="24"/>
          <w:highlight w:val="none"/>
        </w:rPr>
      </w:pPr>
      <w:r>
        <w:rPr>
          <w:rFonts w:hint="eastAsia" w:ascii="宋体" w:hAnsi="宋体"/>
          <w:sz w:val="24"/>
          <w:highlight w:val="none"/>
        </w:rPr>
        <w:t>咨询人违反上述约定应承担的违约责任，委托人将上报上级部门，将咨询人违约行为纳入信用信息管理系统。</w:t>
      </w:r>
    </w:p>
    <w:p w14:paraId="6E1294D4">
      <w:pPr>
        <w:pStyle w:val="723"/>
        <w:spacing w:line="520" w:lineRule="exact"/>
        <w:ind w:firstLine="479" w:firstLineChars="199"/>
        <w:outlineLvl w:val="1"/>
        <w:rPr>
          <w:rFonts w:ascii="宋体" w:hAnsi="宋体" w:eastAsia="宋体"/>
          <w:szCs w:val="24"/>
          <w:highlight w:val="none"/>
        </w:rPr>
      </w:pPr>
      <w:r>
        <w:rPr>
          <w:rFonts w:ascii="宋体" w:hAnsi="宋体" w:eastAsia="宋体"/>
          <w:szCs w:val="24"/>
          <w:highlight w:val="none"/>
        </w:rPr>
        <w:t>15.争议的解决</w:t>
      </w:r>
    </w:p>
    <w:p w14:paraId="09E81D72">
      <w:pPr>
        <w:spacing w:line="520" w:lineRule="exact"/>
        <w:ind w:firstLine="480" w:firstLineChars="200"/>
        <w:rPr>
          <w:rFonts w:hint="eastAsia" w:ascii="宋体" w:hAnsi="宋体" w:cs="宋体"/>
          <w:sz w:val="24"/>
          <w:highlight w:val="none"/>
        </w:rPr>
      </w:pPr>
      <w:r>
        <w:rPr>
          <w:rFonts w:ascii="宋体" w:hAnsi="宋体"/>
          <w:sz w:val="24"/>
          <w:highlight w:val="none"/>
        </w:rPr>
        <w:t>本条修改为：</w:t>
      </w:r>
      <w:r>
        <w:rPr>
          <w:rFonts w:hint="eastAsia" w:ascii="宋体" w:hAnsi="宋体"/>
          <w:sz w:val="24"/>
          <w:highlight w:val="none"/>
          <w:u w:val="single"/>
        </w:rPr>
        <w:t>委托人和咨询人在履行合同中发生争议的，可以友好协商解决。合同当事人友好协商解决不成的，可向项目所在地有管辖权的人民法院提起诉讼</w:t>
      </w:r>
      <w:r>
        <w:rPr>
          <w:rFonts w:ascii="宋体" w:hAnsi="宋体"/>
          <w:sz w:val="24"/>
          <w:highlight w:val="none"/>
        </w:rPr>
        <w:t>。</w:t>
      </w:r>
    </w:p>
    <w:p w14:paraId="115D97B5">
      <w:pPr>
        <w:spacing w:after="120" w:line="440" w:lineRule="atLeast"/>
        <w:ind w:firstLine="480" w:firstLineChars="200"/>
        <w:rPr>
          <w:rFonts w:hint="eastAsia" w:ascii="宋体" w:hAnsi="宋体" w:cs="宋体"/>
          <w:sz w:val="24"/>
          <w:highlight w:val="none"/>
        </w:rPr>
      </w:pPr>
    </w:p>
    <w:p w14:paraId="326424C7">
      <w:pPr>
        <w:spacing w:after="120" w:line="440" w:lineRule="atLeast"/>
        <w:ind w:firstLine="480" w:firstLineChars="200"/>
        <w:rPr>
          <w:rFonts w:hint="eastAsia" w:ascii="宋体" w:hAnsi="宋体" w:cs="宋体"/>
          <w:sz w:val="24"/>
          <w:highlight w:val="none"/>
        </w:rPr>
      </w:pPr>
    </w:p>
    <w:p w14:paraId="30E5E292">
      <w:pPr>
        <w:spacing w:after="120" w:line="440" w:lineRule="atLeast"/>
        <w:ind w:firstLine="480" w:firstLineChars="200"/>
        <w:rPr>
          <w:rFonts w:hint="eastAsia" w:ascii="宋体" w:hAnsi="宋体" w:cs="宋体"/>
          <w:sz w:val="24"/>
          <w:highlight w:val="none"/>
        </w:rPr>
      </w:pPr>
    </w:p>
    <w:p w14:paraId="5EC8E9AF">
      <w:pPr>
        <w:spacing w:after="120" w:line="440" w:lineRule="atLeast"/>
        <w:ind w:firstLine="480" w:firstLineChars="200"/>
        <w:rPr>
          <w:rFonts w:hint="eastAsia" w:ascii="宋体" w:hAnsi="宋体" w:cs="宋体"/>
          <w:sz w:val="24"/>
          <w:highlight w:val="none"/>
        </w:rPr>
      </w:pPr>
    </w:p>
    <w:p w14:paraId="13FB08DD">
      <w:pPr>
        <w:spacing w:after="120" w:line="440" w:lineRule="atLeast"/>
        <w:ind w:firstLine="480" w:firstLineChars="200"/>
        <w:rPr>
          <w:rFonts w:hint="eastAsia" w:ascii="宋体" w:hAnsi="宋体" w:cs="宋体"/>
          <w:sz w:val="24"/>
          <w:highlight w:val="none"/>
        </w:rPr>
      </w:pPr>
    </w:p>
    <w:p w14:paraId="763FC41D">
      <w:pPr>
        <w:spacing w:after="120" w:line="440" w:lineRule="atLeast"/>
        <w:ind w:firstLine="480" w:firstLineChars="200"/>
        <w:rPr>
          <w:rFonts w:hint="eastAsia" w:ascii="宋体" w:hAnsi="宋体" w:cs="宋体"/>
          <w:sz w:val="24"/>
          <w:highlight w:val="none"/>
        </w:rPr>
      </w:pPr>
    </w:p>
    <w:p w14:paraId="7A1BFC4D">
      <w:pPr>
        <w:spacing w:after="120" w:line="440" w:lineRule="atLeast"/>
        <w:ind w:firstLine="480" w:firstLineChars="200"/>
        <w:rPr>
          <w:rFonts w:hint="eastAsia" w:ascii="宋体" w:hAnsi="宋体" w:cs="宋体"/>
          <w:sz w:val="24"/>
          <w:highlight w:val="none"/>
        </w:rPr>
      </w:pPr>
    </w:p>
    <w:p w14:paraId="38E36805">
      <w:pPr>
        <w:spacing w:after="120" w:line="440" w:lineRule="atLeast"/>
        <w:ind w:firstLine="480" w:firstLineChars="200"/>
        <w:rPr>
          <w:rFonts w:hint="eastAsia" w:ascii="宋体" w:hAnsi="宋体" w:cs="宋体"/>
          <w:sz w:val="24"/>
          <w:highlight w:val="none"/>
        </w:rPr>
      </w:pPr>
    </w:p>
    <w:p w14:paraId="097D8734">
      <w:pPr>
        <w:spacing w:after="120" w:line="440" w:lineRule="atLeast"/>
        <w:ind w:firstLine="480" w:firstLineChars="200"/>
        <w:rPr>
          <w:rFonts w:hint="eastAsia" w:ascii="宋体" w:hAnsi="宋体" w:cs="宋体"/>
          <w:sz w:val="24"/>
          <w:highlight w:val="none"/>
        </w:rPr>
      </w:pPr>
    </w:p>
    <w:p w14:paraId="1CA5AF2B">
      <w:pPr>
        <w:spacing w:after="120" w:line="440" w:lineRule="atLeast"/>
        <w:ind w:firstLine="482" w:firstLineChars="200"/>
        <w:rPr>
          <w:rFonts w:hint="eastAsia" w:ascii="宋体" w:hAnsi="宋体" w:cs="宋体"/>
          <w:b/>
          <w:bCs/>
          <w:sz w:val="24"/>
          <w:highlight w:val="none"/>
        </w:rPr>
      </w:pPr>
    </w:p>
    <w:p w14:paraId="48C05626">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3D850E81">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12C83C8E">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6478C1B0">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14975CE4">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69288102">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40BC415E">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7872D998">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726DCDB6">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144AE92E">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39EF9B7B">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29CCA329">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060143A4">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11536340">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2DFB699F">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1CCE60C0">
      <w:pPr>
        <w:pStyle w:val="182"/>
        <w:tabs>
          <w:tab w:val="left" w:pos="6720"/>
        </w:tabs>
        <w:spacing w:before="0" w:after="0" w:line="440" w:lineRule="atLeast"/>
        <w:rPr>
          <w:rFonts w:ascii="Times New Roman" w:hAnsi="Times New Roman" w:eastAsia="宋体"/>
          <w:spacing w:val="1"/>
          <w:sz w:val="24"/>
          <w:szCs w:val="24"/>
          <w:highlight w:val="none"/>
          <w:lang w:eastAsia="zh-CN"/>
        </w:rPr>
      </w:pPr>
    </w:p>
    <w:p w14:paraId="5EAAB334">
      <w:pPr>
        <w:pStyle w:val="4"/>
        <w:spacing w:before="240" w:after="240" w:line="440" w:lineRule="atLeast"/>
        <w:jc w:val="center"/>
        <w:rPr>
          <w:rFonts w:eastAsia="黑体"/>
          <w:b w:val="0"/>
          <w:sz w:val="42"/>
          <w:szCs w:val="42"/>
          <w:highlight w:val="none"/>
        </w:rPr>
      </w:pPr>
      <w:bookmarkStart w:id="65" w:name="_Toc510015787"/>
      <w:r>
        <w:rPr>
          <w:rFonts w:eastAsia="黑体"/>
          <w:b w:val="0"/>
          <w:sz w:val="42"/>
          <w:szCs w:val="42"/>
          <w:highlight w:val="none"/>
        </w:rPr>
        <w:t>第三节  合同附件格式</w:t>
      </w:r>
      <w:bookmarkEnd w:id="62"/>
      <w:bookmarkEnd w:id="65"/>
    </w:p>
    <w:p w14:paraId="0448A393">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397C934A">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68D16CAD">
      <w:pPr>
        <w:pStyle w:val="182"/>
        <w:tabs>
          <w:tab w:val="left" w:pos="6720"/>
        </w:tabs>
        <w:spacing w:before="0" w:after="0" w:line="440" w:lineRule="atLeast"/>
        <w:ind w:firstLine="484" w:firstLineChars="200"/>
        <w:rPr>
          <w:rFonts w:ascii="Times New Roman" w:hAnsi="Times New Roman" w:eastAsia="宋体"/>
          <w:spacing w:val="1"/>
          <w:sz w:val="24"/>
          <w:szCs w:val="24"/>
          <w:highlight w:val="none"/>
          <w:lang w:eastAsia="zh-CN"/>
        </w:rPr>
      </w:pPr>
    </w:p>
    <w:p w14:paraId="5044DEDC">
      <w:pPr>
        <w:pStyle w:val="160"/>
        <w:spacing w:before="260" w:after="260" w:line="440" w:lineRule="atLeast"/>
        <w:jc w:val="center"/>
        <w:outlineLvl w:val="1"/>
        <w:rPr>
          <w:rFonts w:ascii="Times New Roman" w:hAnsi="Times New Roman" w:eastAsia="黑体"/>
          <w:sz w:val="24"/>
          <w:szCs w:val="24"/>
          <w:highlight w:val="none"/>
          <w:lang w:eastAsia="zh-CN"/>
        </w:rPr>
      </w:pPr>
      <w:r>
        <w:rPr>
          <w:rFonts w:ascii="Times New Roman" w:hAnsi="Times New Roman" w:eastAsia="黑体"/>
          <w:sz w:val="24"/>
          <w:szCs w:val="24"/>
          <w:highlight w:val="none"/>
          <w:lang w:eastAsia="zh-CN"/>
        </w:rPr>
        <w:br w:type="page"/>
      </w:r>
      <w:bookmarkStart w:id="66" w:name="_Toc234833231"/>
      <w:bookmarkStart w:id="67" w:name="_Toc510015788"/>
    </w:p>
    <w:p w14:paraId="2C058DFE">
      <w:pPr>
        <w:pStyle w:val="160"/>
        <w:spacing w:before="260" w:after="260" w:line="440" w:lineRule="atLeast"/>
        <w:ind w:firstLine="117" w:firstLineChars="49"/>
        <w:outlineLvl w:val="2"/>
        <w:rPr>
          <w:rFonts w:ascii="Times New Roman" w:hAnsi="Times New Roman" w:eastAsia="黑体"/>
          <w:sz w:val="24"/>
          <w:szCs w:val="24"/>
          <w:highlight w:val="none"/>
          <w:lang w:eastAsia="zh-CN"/>
        </w:rPr>
      </w:pPr>
      <w:bookmarkStart w:id="68" w:name="_Toc506006182"/>
      <w:bookmarkStart w:id="69" w:name="_Toc508200460"/>
      <w:bookmarkStart w:id="70" w:name="_Toc499646507"/>
      <w:bookmarkStart w:id="71" w:name="_Toc508201398"/>
      <w:r>
        <w:rPr>
          <w:rFonts w:ascii="Times New Roman" w:hAnsi="Times New Roman" w:eastAsia="黑体"/>
          <w:sz w:val="24"/>
          <w:szCs w:val="24"/>
          <w:highlight w:val="none"/>
          <w:lang w:eastAsia="zh-CN"/>
        </w:rPr>
        <w:t>附件一：合同协议书</w:t>
      </w:r>
      <w:bookmarkEnd w:id="68"/>
      <w:bookmarkEnd w:id="69"/>
      <w:bookmarkEnd w:id="70"/>
      <w:bookmarkEnd w:id="71"/>
    </w:p>
    <w:p w14:paraId="53D94B64">
      <w:pPr>
        <w:pStyle w:val="184"/>
        <w:spacing w:beforeLines="50" w:after="120" w:afterLines="50" w:line="440" w:lineRule="atLeast"/>
        <w:ind w:left="3617"/>
        <w:jc w:val="left"/>
        <w:rPr>
          <w:rFonts w:ascii="Times New Roman" w:hAnsi="Times New Roman" w:eastAsia="黑体"/>
          <w:sz w:val="32"/>
          <w:szCs w:val="32"/>
          <w:highlight w:val="none"/>
          <w:lang w:eastAsia="zh-CN"/>
        </w:rPr>
      </w:pPr>
      <w:r>
        <w:rPr>
          <w:rFonts w:ascii="Times New Roman" w:hAnsi="Times New Roman" w:eastAsia="黑体"/>
          <w:sz w:val="32"/>
          <w:szCs w:val="32"/>
          <w:highlight w:val="none"/>
          <w:lang w:eastAsia="zh-CN"/>
        </w:rPr>
        <w:t>合同协议书</w:t>
      </w:r>
    </w:p>
    <w:p w14:paraId="3CC3D026">
      <w:pPr>
        <w:pStyle w:val="184"/>
        <w:spacing w:before="0" w:after="0" w:line="440" w:lineRule="atLeast"/>
        <w:ind w:firstLine="484" w:firstLineChars="200"/>
        <w:jc w:val="left"/>
        <w:rPr>
          <w:rFonts w:ascii="Times New Roman" w:hAnsi="Times New Roman" w:eastAsia="宋体"/>
          <w:spacing w:val="1"/>
          <w:sz w:val="24"/>
          <w:szCs w:val="24"/>
          <w:highlight w:val="none"/>
          <w:lang w:eastAsia="zh-CN"/>
        </w:rPr>
      </w:pPr>
    </w:p>
    <w:p w14:paraId="07375626">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（委托人名称，以下简称</w:t>
      </w:r>
      <w:r>
        <w:rPr>
          <w:rFonts w:ascii="Times New Roman" w:hAnsi="Times New Roman"/>
          <w:sz w:val="24"/>
          <w:szCs w:val="24"/>
          <w:highlight w:val="none"/>
          <w:lang w:eastAsia="zh-CN"/>
        </w:rPr>
        <w:t>“</w:t>
      </w:r>
      <w:r>
        <w:rPr>
          <w:rFonts w:ascii="Times New Roman" w:hAnsi="Times New Roman" w:eastAsia="宋体"/>
          <w:spacing w:val="1"/>
          <w:sz w:val="24"/>
          <w:szCs w:val="24"/>
          <w:highlight w:val="none"/>
          <w:lang w:eastAsia="zh-CN"/>
        </w:rPr>
        <w:t>委托人</w:t>
      </w:r>
      <w:r>
        <w:rPr>
          <w:rFonts w:ascii="Times New Roman" w:hAnsi="Times New Roman"/>
          <w:sz w:val="24"/>
          <w:szCs w:val="24"/>
          <w:highlight w:val="none"/>
          <w:lang w:eastAsia="zh-CN"/>
        </w:rPr>
        <w:t>”</w:t>
      </w:r>
      <w:r>
        <w:rPr>
          <w:rFonts w:ascii="Times New Roman" w:hAnsi="Times New Roman" w:eastAsia="宋体"/>
          <w:sz w:val="24"/>
          <w:szCs w:val="24"/>
          <w:highlight w:val="none"/>
          <w:lang w:eastAsia="zh-CN"/>
        </w:rPr>
        <w:t>）为实施</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（项目</w:t>
      </w:r>
      <w:r>
        <w:rPr>
          <w:rFonts w:ascii="Times New Roman" w:hAnsi="Times New Roman" w:eastAsia="宋体"/>
          <w:spacing w:val="-14"/>
          <w:sz w:val="24"/>
          <w:szCs w:val="24"/>
          <w:highlight w:val="none"/>
          <w:lang w:eastAsia="zh-CN"/>
        </w:rPr>
        <w:t>名称），已接受</w:t>
      </w:r>
      <w:r>
        <w:rPr>
          <w:rFonts w:ascii="Times New Roman" w:hAnsi="Times New Roman" w:eastAsia="宋体"/>
          <w:spacing w:val="1"/>
          <w:sz w:val="24"/>
          <w:szCs w:val="24"/>
          <w:highlight w:val="none"/>
          <w:lang w:eastAsia="zh-CN"/>
        </w:rPr>
        <w:t>_________（咨询人名称，以下简称</w:t>
      </w:r>
      <w:r>
        <w:rPr>
          <w:rFonts w:ascii="Times New Roman" w:hAnsi="Times New Roman"/>
          <w:sz w:val="24"/>
          <w:szCs w:val="24"/>
          <w:highlight w:val="none"/>
          <w:lang w:eastAsia="zh-CN"/>
        </w:rPr>
        <w:t>“</w:t>
      </w:r>
      <w:r>
        <w:rPr>
          <w:rFonts w:ascii="Times New Roman" w:hAnsi="Times New Roman" w:eastAsia="宋体"/>
          <w:spacing w:val="1"/>
          <w:sz w:val="24"/>
          <w:szCs w:val="24"/>
          <w:highlight w:val="none"/>
          <w:lang w:eastAsia="zh-CN"/>
        </w:rPr>
        <w:t>咨询人</w:t>
      </w:r>
      <w:r>
        <w:rPr>
          <w:rFonts w:ascii="Times New Roman" w:hAnsi="Times New Roman"/>
          <w:sz w:val="24"/>
          <w:szCs w:val="24"/>
          <w:highlight w:val="none"/>
          <w:lang w:eastAsia="zh-CN"/>
        </w:rPr>
        <w:t>”</w:t>
      </w:r>
      <w:r>
        <w:rPr>
          <w:rFonts w:ascii="Times New Roman" w:hAnsi="Times New Roman" w:eastAsia="宋体"/>
          <w:spacing w:val="1"/>
          <w:sz w:val="24"/>
          <w:szCs w:val="24"/>
          <w:highlight w:val="none"/>
          <w:lang w:eastAsia="zh-CN"/>
        </w:rPr>
        <w:t>）对该项目咨询服务投标。</w:t>
      </w:r>
      <w:r>
        <w:rPr>
          <w:rFonts w:ascii="Times New Roman" w:hAnsi="Times New Roman" w:eastAsia="宋体"/>
          <w:sz w:val="24"/>
          <w:szCs w:val="24"/>
          <w:highlight w:val="none"/>
          <w:lang w:eastAsia="zh-CN"/>
        </w:rPr>
        <w:t>委托人和咨询人共同达成如下协议。</w:t>
      </w:r>
    </w:p>
    <w:p w14:paraId="23A2791F">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spacing w:val="1"/>
          <w:sz w:val="24"/>
          <w:szCs w:val="24"/>
          <w:highlight w:val="none"/>
          <w:lang w:eastAsia="zh-CN"/>
        </w:rPr>
        <w:t xml:space="preserve">1. </w:t>
      </w:r>
      <w:r>
        <w:rPr>
          <w:rFonts w:ascii="Times New Roman" w:hAnsi="Times New Roman" w:eastAsia="宋体"/>
          <w:sz w:val="24"/>
          <w:szCs w:val="24"/>
          <w:highlight w:val="none"/>
          <w:lang w:eastAsia="zh-CN"/>
        </w:rPr>
        <w:t>下列文件一起构成合同文件：</w:t>
      </w:r>
    </w:p>
    <w:p w14:paraId="24750D90">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1</w:t>
      </w:r>
      <w:r>
        <w:rPr>
          <w:rFonts w:ascii="Times New Roman" w:hAnsi="Times New Roman" w:eastAsia="宋体"/>
          <w:sz w:val="24"/>
          <w:szCs w:val="24"/>
          <w:highlight w:val="none"/>
          <w:lang w:eastAsia="zh-CN"/>
        </w:rPr>
        <w:t>）合同协议书；</w:t>
      </w:r>
    </w:p>
    <w:p w14:paraId="1CC2A386">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2</w:t>
      </w:r>
      <w:r>
        <w:rPr>
          <w:rFonts w:ascii="Times New Roman" w:hAnsi="Times New Roman" w:eastAsia="宋体"/>
          <w:sz w:val="24"/>
          <w:szCs w:val="24"/>
          <w:highlight w:val="none"/>
          <w:lang w:eastAsia="zh-CN"/>
        </w:rPr>
        <w:t>）</w:t>
      </w:r>
      <w:r>
        <w:rPr>
          <w:rFonts w:hint="eastAsia" w:ascii="Times New Roman" w:hAnsi="Times New Roman" w:eastAsia="宋体"/>
          <w:sz w:val="24"/>
          <w:szCs w:val="24"/>
          <w:highlight w:val="none"/>
          <w:lang w:eastAsia="zh-CN"/>
        </w:rPr>
        <w:t>成交</w:t>
      </w:r>
      <w:r>
        <w:rPr>
          <w:rFonts w:ascii="Times New Roman" w:hAnsi="Times New Roman" w:eastAsia="宋体"/>
          <w:sz w:val="24"/>
          <w:szCs w:val="24"/>
          <w:highlight w:val="none"/>
          <w:lang w:eastAsia="zh-CN"/>
        </w:rPr>
        <w:t>通知书；</w:t>
      </w:r>
    </w:p>
    <w:p w14:paraId="433B3E34">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3</w:t>
      </w:r>
      <w:r>
        <w:rPr>
          <w:rFonts w:ascii="Times New Roman" w:hAnsi="Times New Roman" w:eastAsia="宋体"/>
          <w:sz w:val="24"/>
          <w:szCs w:val="24"/>
          <w:highlight w:val="none"/>
          <w:lang w:eastAsia="zh-CN"/>
        </w:rPr>
        <w:t>）</w:t>
      </w:r>
      <w:r>
        <w:rPr>
          <w:rFonts w:hint="eastAsia" w:ascii="Times New Roman" w:hAnsi="Times New Roman" w:eastAsia="宋体"/>
          <w:sz w:val="24"/>
          <w:szCs w:val="24"/>
          <w:highlight w:val="none"/>
          <w:lang w:eastAsia="zh-CN"/>
        </w:rPr>
        <w:t>响应</w:t>
      </w:r>
      <w:r>
        <w:rPr>
          <w:rFonts w:ascii="Times New Roman" w:hAnsi="Times New Roman" w:eastAsia="宋体"/>
          <w:sz w:val="24"/>
          <w:szCs w:val="24"/>
          <w:highlight w:val="none"/>
          <w:lang w:eastAsia="zh-CN"/>
        </w:rPr>
        <w:t>函；</w:t>
      </w:r>
    </w:p>
    <w:p w14:paraId="6222790C">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4</w:t>
      </w:r>
      <w:r>
        <w:rPr>
          <w:rFonts w:ascii="Times New Roman" w:hAnsi="Times New Roman" w:eastAsia="宋体"/>
          <w:sz w:val="24"/>
          <w:szCs w:val="24"/>
          <w:highlight w:val="none"/>
          <w:lang w:eastAsia="zh-CN"/>
        </w:rPr>
        <w:t>）专用合同条款；</w:t>
      </w:r>
    </w:p>
    <w:p w14:paraId="1B671EF9">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5</w:t>
      </w:r>
      <w:r>
        <w:rPr>
          <w:rFonts w:ascii="Times New Roman" w:hAnsi="Times New Roman" w:eastAsia="宋体"/>
          <w:sz w:val="24"/>
          <w:szCs w:val="24"/>
          <w:highlight w:val="none"/>
          <w:lang w:eastAsia="zh-CN"/>
        </w:rPr>
        <w:t>）通用合同条款；</w:t>
      </w:r>
    </w:p>
    <w:p w14:paraId="2ED854EB">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6</w:t>
      </w:r>
      <w:r>
        <w:rPr>
          <w:rFonts w:ascii="Times New Roman" w:hAnsi="Times New Roman" w:eastAsia="宋体"/>
          <w:sz w:val="24"/>
          <w:szCs w:val="24"/>
          <w:highlight w:val="none"/>
          <w:lang w:eastAsia="zh-CN"/>
        </w:rPr>
        <w:t>）委托人要求；</w:t>
      </w:r>
    </w:p>
    <w:p w14:paraId="787AA4F9">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7</w:t>
      </w:r>
      <w:r>
        <w:rPr>
          <w:rFonts w:ascii="Times New Roman" w:hAnsi="Times New Roman" w:eastAsia="宋体"/>
          <w:sz w:val="24"/>
          <w:szCs w:val="24"/>
          <w:highlight w:val="none"/>
          <w:lang w:eastAsia="zh-CN"/>
        </w:rPr>
        <w:t>）咨询服务费用清单；</w:t>
      </w:r>
    </w:p>
    <w:p w14:paraId="3AA22E17">
      <w:pPr>
        <w:pStyle w:val="184"/>
        <w:spacing w:before="0" w:after="0" w:line="440" w:lineRule="atLeast"/>
        <w:ind w:firstLine="484" w:firstLineChars="200"/>
        <w:jc w:val="left"/>
        <w:rPr>
          <w:rFonts w:ascii="Times New Roman" w:hAnsi="Times New Roman" w:eastAsia="宋体"/>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8</w:t>
      </w:r>
      <w:r>
        <w:rPr>
          <w:rFonts w:ascii="Times New Roman" w:hAnsi="Times New Roman" w:eastAsia="宋体"/>
          <w:sz w:val="24"/>
          <w:szCs w:val="24"/>
          <w:highlight w:val="none"/>
          <w:lang w:eastAsia="zh-CN"/>
        </w:rPr>
        <w:t>）咨询服务方案；</w:t>
      </w:r>
    </w:p>
    <w:p w14:paraId="771A7233">
      <w:pPr>
        <w:pStyle w:val="184"/>
        <w:spacing w:before="0" w:after="0" w:line="440" w:lineRule="atLeast"/>
        <w:ind w:firstLine="484" w:firstLineChars="200"/>
        <w:jc w:val="left"/>
        <w:rPr>
          <w:rFonts w:ascii="Times New Roman" w:hAnsi="Times New Roman" w:eastAsia="宋体"/>
          <w:sz w:val="24"/>
          <w:szCs w:val="24"/>
          <w:highlight w:val="none"/>
          <w:lang w:eastAsia="zh-CN"/>
        </w:rPr>
      </w:pPr>
      <w:r>
        <w:rPr>
          <w:rFonts w:ascii="Times New Roman" w:hAnsi="Times New Roman" w:eastAsia="宋体"/>
          <w:spacing w:val="1"/>
          <w:sz w:val="24"/>
          <w:szCs w:val="24"/>
          <w:highlight w:val="none"/>
          <w:lang w:eastAsia="zh-CN"/>
        </w:rPr>
        <w:t>（</w:t>
      </w:r>
      <w:r>
        <w:rPr>
          <w:rFonts w:ascii="Times New Roman" w:hAnsi="Times New Roman"/>
          <w:spacing w:val="1"/>
          <w:sz w:val="24"/>
          <w:szCs w:val="24"/>
          <w:highlight w:val="none"/>
          <w:lang w:eastAsia="zh-CN"/>
        </w:rPr>
        <w:t>9</w:t>
      </w:r>
      <w:r>
        <w:rPr>
          <w:rFonts w:ascii="Times New Roman" w:hAnsi="Times New Roman" w:eastAsia="宋体"/>
          <w:sz w:val="24"/>
          <w:szCs w:val="24"/>
          <w:highlight w:val="none"/>
          <w:lang w:eastAsia="zh-CN"/>
        </w:rPr>
        <w:t>）附录，即：</w:t>
      </w:r>
    </w:p>
    <w:p w14:paraId="48FC66C6">
      <w:pPr>
        <w:pStyle w:val="184"/>
        <w:spacing w:before="0" w:after="0" w:line="440" w:lineRule="atLeast"/>
        <w:ind w:firstLine="1132" w:firstLineChars="472"/>
        <w:jc w:val="left"/>
        <w:rPr>
          <w:rFonts w:ascii="Times New Roman" w:hAnsi="Times New Roman" w:eastAsia="宋体"/>
          <w:sz w:val="24"/>
          <w:szCs w:val="24"/>
          <w:highlight w:val="none"/>
          <w:lang w:eastAsia="zh-CN"/>
        </w:rPr>
      </w:pPr>
      <w:r>
        <w:rPr>
          <w:rFonts w:ascii="Times New Roman" w:hAnsi="Times New Roman" w:eastAsia="宋体"/>
          <w:sz w:val="24"/>
          <w:szCs w:val="24"/>
          <w:highlight w:val="none"/>
          <w:lang w:eastAsia="zh-CN"/>
        </w:rPr>
        <w:t>附录A  咨询服务相关工作的范围和内容</w:t>
      </w:r>
    </w:p>
    <w:p w14:paraId="3012EF15">
      <w:pPr>
        <w:pStyle w:val="184"/>
        <w:spacing w:before="0" w:after="0" w:line="440" w:lineRule="atLeast"/>
        <w:ind w:firstLine="1132" w:firstLineChars="472"/>
        <w:jc w:val="left"/>
        <w:rPr>
          <w:rFonts w:ascii="Times New Roman" w:hAnsi="Times New Roman" w:eastAsia="宋体"/>
          <w:sz w:val="24"/>
          <w:szCs w:val="24"/>
          <w:highlight w:val="none"/>
          <w:lang w:eastAsia="zh-CN"/>
        </w:rPr>
      </w:pPr>
      <w:r>
        <w:rPr>
          <w:rFonts w:ascii="Times New Roman" w:hAnsi="Times New Roman" w:eastAsia="宋体"/>
          <w:sz w:val="24"/>
          <w:szCs w:val="24"/>
          <w:highlight w:val="none"/>
          <w:lang w:eastAsia="zh-CN"/>
        </w:rPr>
        <w:t>附录B  委托人提供的资料</w:t>
      </w:r>
    </w:p>
    <w:p w14:paraId="6CBBF353">
      <w:pPr>
        <w:pStyle w:val="184"/>
        <w:spacing w:before="0" w:after="0" w:line="440" w:lineRule="atLeast"/>
        <w:ind w:firstLine="1132" w:firstLineChars="472"/>
        <w:jc w:val="left"/>
        <w:rPr>
          <w:rFonts w:ascii="Times New Roman" w:hAnsi="Times New Roman" w:eastAsia="宋体"/>
          <w:sz w:val="24"/>
          <w:szCs w:val="24"/>
          <w:highlight w:val="none"/>
          <w:lang w:eastAsia="zh-CN"/>
        </w:rPr>
      </w:pPr>
      <w:r>
        <w:rPr>
          <w:rFonts w:ascii="Times New Roman" w:hAnsi="Times New Roman" w:eastAsia="宋体"/>
          <w:sz w:val="24"/>
          <w:szCs w:val="24"/>
          <w:highlight w:val="none"/>
          <w:lang w:eastAsia="zh-CN"/>
        </w:rPr>
        <w:t>附录C  咨询人</w:t>
      </w:r>
      <w:bookmarkStart w:id="72" w:name="_Hlk513455213"/>
      <w:r>
        <w:rPr>
          <w:rFonts w:ascii="Times New Roman" w:hAnsi="Times New Roman" w:eastAsia="宋体"/>
          <w:sz w:val="24"/>
          <w:szCs w:val="24"/>
          <w:highlight w:val="none"/>
          <w:lang w:eastAsia="zh-CN"/>
        </w:rPr>
        <w:t>项目负责人及其他</w:t>
      </w:r>
      <w:bookmarkEnd w:id="72"/>
      <w:r>
        <w:rPr>
          <w:rFonts w:ascii="Times New Roman" w:hAnsi="Times New Roman" w:eastAsia="宋体"/>
          <w:sz w:val="24"/>
          <w:szCs w:val="24"/>
          <w:highlight w:val="none"/>
          <w:lang w:eastAsia="zh-CN"/>
        </w:rPr>
        <w:t>主要人员配置表</w:t>
      </w:r>
    </w:p>
    <w:p w14:paraId="170610C4">
      <w:pPr>
        <w:pStyle w:val="184"/>
        <w:spacing w:before="0" w:after="0" w:line="440" w:lineRule="atLeast"/>
        <w:ind w:firstLine="480" w:firstLineChars="200"/>
        <w:jc w:val="left"/>
        <w:rPr>
          <w:rFonts w:ascii="Times New Roman" w:hAnsi="Times New Roman" w:eastAsia="宋体"/>
          <w:sz w:val="24"/>
          <w:szCs w:val="24"/>
          <w:highlight w:val="none"/>
          <w:lang w:eastAsia="zh-CN"/>
        </w:rPr>
      </w:pPr>
      <w:r>
        <w:rPr>
          <w:rFonts w:ascii="Times New Roman" w:hAnsi="Times New Roman" w:eastAsia="宋体"/>
          <w:sz w:val="24"/>
          <w:szCs w:val="24"/>
          <w:highlight w:val="none"/>
          <w:lang w:eastAsia="zh-CN"/>
        </w:rPr>
        <w:t>（10）合同其他附件。</w:t>
      </w:r>
    </w:p>
    <w:p w14:paraId="578F86FF">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spacing w:val="1"/>
          <w:sz w:val="24"/>
          <w:szCs w:val="24"/>
          <w:highlight w:val="none"/>
          <w:lang w:eastAsia="zh-CN"/>
        </w:rPr>
        <w:t xml:space="preserve">2. </w:t>
      </w:r>
      <w:r>
        <w:rPr>
          <w:rFonts w:ascii="Times New Roman" w:hAnsi="Times New Roman" w:eastAsia="宋体"/>
          <w:spacing w:val="-1"/>
          <w:sz w:val="24"/>
          <w:szCs w:val="24"/>
          <w:highlight w:val="none"/>
          <w:lang w:eastAsia="zh-CN"/>
        </w:rPr>
        <w:t>上述合同文件互相补充和解释。如果合同文件之间存在矛盾或不一致之处，以上述文件</w:t>
      </w:r>
      <w:r>
        <w:rPr>
          <w:rFonts w:ascii="Times New Roman" w:hAnsi="Times New Roman" w:eastAsia="宋体"/>
          <w:sz w:val="24"/>
          <w:szCs w:val="24"/>
          <w:highlight w:val="none"/>
          <w:lang w:eastAsia="zh-CN"/>
        </w:rPr>
        <w:t>的排列顺序在先者为准。</w:t>
      </w:r>
    </w:p>
    <w:p w14:paraId="1AE86570">
      <w:pPr>
        <w:pStyle w:val="184"/>
        <w:spacing w:before="0" w:after="0" w:line="440" w:lineRule="atLeast"/>
        <w:ind w:firstLine="484" w:firstLineChars="200"/>
        <w:jc w:val="left"/>
        <w:rPr>
          <w:rFonts w:ascii="Times New Roman" w:hAnsi="Times New Roman" w:eastAsia="宋体"/>
          <w:sz w:val="24"/>
          <w:szCs w:val="24"/>
          <w:highlight w:val="none"/>
          <w:lang w:eastAsia="zh-CN"/>
        </w:rPr>
      </w:pPr>
      <w:r>
        <w:rPr>
          <w:rFonts w:ascii="Times New Roman" w:hAnsi="Times New Roman"/>
          <w:spacing w:val="1"/>
          <w:sz w:val="24"/>
          <w:szCs w:val="24"/>
          <w:highlight w:val="none"/>
          <w:lang w:eastAsia="zh-CN"/>
        </w:rPr>
        <w:t xml:space="preserve">3. </w:t>
      </w:r>
      <w:r>
        <w:rPr>
          <w:rFonts w:ascii="Times New Roman" w:hAnsi="Times New Roman" w:eastAsia="宋体"/>
          <w:sz w:val="24"/>
          <w:szCs w:val="24"/>
          <w:highlight w:val="none"/>
          <w:lang w:eastAsia="zh-CN"/>
        </w:rPr>
        <w:t>签约合同价：</w:t>
      </w:r>
      <w:bookmarkStart w:id="73" w:name="_Hlk513490029"/>
      <w:r>
        <w:rPr>
          <w:rFonts w:ascii="Times New Roman" w:hAnsi="Times New Roman" w:eastAsia="宋体"/>
          <w:sz w:val="24"/>
          <w:szCs w:val="24"/>
          <w:highlight w:val="none"/>
          <w:lang w:eastAsia="zh-CN"/>
        </w:rPr>
        <w:t>人民币（大写）</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w:t>
      </w:r>
      <w:r>
        <w:rPr>
          <w:rFonts w:hint="eastAsia" w:ascii="宋体" w:hAnsi="宋体" w:eastAsia="宋体" w:cs="宋体"/>
          <w:sz w:val="24"/>
          <w:szCs w:val="24"/>
          <w:highlight w:val="none"/>
          <w:lang w:eastAsia="zh-CN"/>
        </w:rPr>
        <w:t>，该金额为含税金额。其中，不含税金额为人民币（大写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），增值税税率为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%，税款为人民币（大写）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房建工程竣工质量检测技术服务费包括为完成本合同全部工作内容所需的一切费用（含完成合同项目所需的劳务、材料、设备、仪器、运输、检测与试验、管理、保险、税费、利润等费用，因后续政策调整及相关新的要求而增加的内容的费用，以及合同明示或暗示的所有责任、义务和一般风险等的一切费用在内）。合同签订后任何一方不得擅自调整合同价格，但因国家税收政策变化可作调整。不含税价固定不变，不因物价、国家政策、法律规的变化和工期的延长而调整，增值税若在合同履行期间，遇国家税率调整，则相应调整。</w:t>
      </w:r>
    </w:p>
    <w:bookmarkEnd w:id="73"/>
    <w:p w14:paraId="4969F6D8">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spacing w:val="1"/>
          <w:sz w:val="24"/>
          <w:szCs w:val="24"/>
          <w:highlight w:val="none"/>
          <w:lang w:eastAsia="zh-CN"/>
        </w:rPr>
        <w:t xml:space="preserve">4. </w:t>
      </w:r>
      <w:r>
        <w:rPr>
          <w:rFonts w:ascii="Times New Roman" w:hAnsi="Times New Roman" w:eastAsia="宋体"/>
          <w:sz w:val="24"/>
          <w:szCs w:val="24"/>
          <w:highlight w:val="none"/>
          <w:lang w:eastAsia="zh-CN"/>
        </w:rPr>
        <w:t>项目负责人：</w:t>
      </w:r>
      <w:r>
        <w:rPr>
          <w:rFonts w:ascii="Times New Roman" w:hAnsi="Times New Roman" w:eastAsia="宋体"/>
          <w:kern w:val="2"/>
          <w:sz w:val="24"/>
          <w:szCs w:val="24"/>
          <w:highlight w:val="none"/>
          <w:lang w:eastAsia="zh-CN"/>
        </w:rPr>
        <w:t>姓名</w:t>
      </w:r>
      <w:r>
        <w:rPr>
          <w:rFonts w:ascii="Times New Roman" w:hAnsi="Times New Roman" w:eastAsia="宋体"/>
          <w:spacing w:val="1"/>
          <w:sz w:val="24"/>
          <w:szCs w:val="24"/>
          <w:highlight w:val="none"/>
          <w:lang w:eastAsia="zh-CN"/>
        </w:rPr>
        <w:t>_________</w:t>
      </w:r>
      <w:r>
        <w:rPr>
          <w:rFonts w:ascii="Times New Roman" w:hAnsi="Times New Roman" w:eastAsia="宋体"/>
          <w:kern w:val="2"/>
          <w:sz w:val="24"/>
          <w:szCs w:val="24"/>
          <w:highlight w:val="none"/>
          <w:lang w:eastAsia="zh-CN"/>
        </w:rPr>
        <w:t>，身份证号</w:t>
      </w:r>
      <w:r>
        <w:rPr>
          <w:rFonts w:ascii="Times New Roman" w:hAnsi="Times New Roman" w:eastAsia="宋体"/>
          <w:spacing w:val="1"/>
          <w:sz w:val="24"/>
          <w:szCs w:val="24"/>
          <w:highlight w:val="none"/>
          <w:lang w:eastAsia="zh-CN"/>
        </w:rPr>
        <w:t>_________</w:t>
      </w:r>
      <w:r>
        <w:rPr>
          <w:rFonts w:ascii="Times New Roman" w:hAnsi="Times New Roman" w:eastAsia="宋体"/>
          <w:kern w:val="2"/>
          <w:sz w:val="24"/>
          <w:szCs w:val="24"/>
          <w:highlight w:val="none"/>
          <w:lang w:eastAsia="zh-CN"/>
        </w:rPr>
        <w:t>，注册号</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w:t>
      </w:r>
    </w:p>
    <w:p w14:paraId="743E62CC">
      <w:pPr>
        <w:pStyle w:val="184"/>
        <w:spacing w:before="0" w:after="0" w:line="440" w:lineRule="atLeast"/>
        <w:ind w:firstLine="484" w:firstLineChars="200"/>
        <w:jc w:val="left"/>
        <w:rPr>
          <w:rFonts w:ascii="Times New Roman" w:hAnsi="Times New Roman" w:eastAsia="宋体"/>
          <w:sz w:val="24"/>
          <w:szCs w:val="24"/>
          <w:highlight w:val="none"/>
          <w:lang w:eastAsia="zh-CN"/>
        </w:rPr>
      </w:pPr>
      <w:r>
        <w:rPr>
          <w:rFonts w:ascii="Times New Roman" w:hAnsi="Times New Roman"/>
          <w:spacing w:val="1"/>
          <w:sz w:val="24"/>
          <w:szCs w:val="24"/>
          <w:highlight w:val="none"/>
          <w:lang w:eastAsia="zh-CN"/>
        </w:rPr>
        <w:t xml:space="preserve">5. </w:t>
      </w:r>
      <w:r>
        <w:rPr>
          <w:rFonts w:ascii="Times New Roman" w:hAnsi="Times New Roman" w:eastAsia="宋体"/>
          <w:sz w:val="24"/>
          <w:szCs w:val="24"/>
          <w:highlight w:val="none"/>
          <w:lang w:eastAsia="zh-CN"/>
        </w:rPr>
        <w:t>咨询服务工作质量符合的标准和要求：</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w:t>
      </w:r>
    </w:p>
    <w:p w14:paraId="5D6B6E02">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spacing w:val="1"/>
          <w:sz w:val="24"/>
          <w:szCs w:val="24"/>
          <w:highlight w:val="none"/>
          <w:lang w:eastAsia="zh-CN"/>
        </w:rPr>
        <w:t xml:space="preserve">6. </w:t>
      </w:r>
      <w:r>
        <w:rPr>
          <w:rFonts w:ascii="Times New Roman" w:hAnsi="Times New Roman" w:eastAsia="宋体"/>
          <w:sz w:val="24"/>
          <w:szCs w:val="24"/>
          <w:highlight w:val="none"/>
          <w:lang w:eastAsia="zh-CN"/>
        </w:rPr>
        <w:t>咨询人承诺按合同约定承担工程的咨询服务工作。</w:t>
      </w:r>
    </w:p>
    <w:p w14:paraId="7EF89702">
      <w:pPr>
        <w:pStyle w:val="184"/>
        <w:spacing w:before="0" w:after="0" w:line="440" w:lineRule="atLeast"/>
        <w:ind w:firstLine="484" w:firstLineChars="200"/>
        <w:jc w:val="left"/>
        <w:rPr>
          <w:rFonts w:ascii="Times New Roman" w:hAnsi="Times New Roman" w:eastAsia="宋体"/>
          <w:spacing w:val="1"/>
          <w:sz w:val="24"/>
          <w:szCs w:val="24"/>
          <w:highlight w:val="none"/>
          <w:lang w:eastAsia="zh-CN"/>
        </w:rPr>
      </w:pPr>
      <w:r>
        <w:rPr>
          <w:rFonts w:ascii="Times New Roman" w:hAnsi="Times New Roman"/>
          <w:spacing w:val="1"/>
          <w:sz w:val="24"/>
          <w:szCs w:val="24"/>
          <w:highlight w:val="none"/>
          <w:lang w:eastAsia="zh-CN"/>
        </w:rPr>
        <w:t xml:space="preserve">7. </w:t>
      </w:r>
      <w:r>
        <w:rPr>
          <w:rFonts w:ascii="Times New Roman" w:hAnsi="Times New Roman" w:eastAsia="宋体"/>
          <w:spacing w:val="1"/>
          <w:sz w:val="24"/>
          <w:szCs w:val="24"/>
          <w:highlight w:val="none"/>
          <w:lang w:eastAsia="zh-CN"/>
        </w:rPr>
        <w:t>委托人承诺按合同约定的条件、时间和方式向咨询人支付合同价款。</w:t>
      </w:r>
    </w:p>
    <w:p w14:paraId="57F080F9">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spacing w:val="1"/>
          <w:sz w:val="24"/>
          <w:szCs w:val="24"/>
          <w:highlight w:val="none"/>
          <w:lang w:eastAsia="zh-CN"/>
        </w:rPr>
        <w:t xml:space="preserve">8. </w:t>
      </w:r>
      <w:r>
        <w:rPr>
          <w:rFonts w:ascii="Times New Roman" w:hAnsi="Times New Roman" w:eastAsia="宋体"/>
          <w:spacing w:val="1"/>
          <w:sz w:val="24"/>
          <w:szCs w:val="24"/>
          <w:highlight w:val="none"/>
          <w:lang w:eastAsia="zh-CN"/>
        </w:rPr>
        <w:t>咨询人计划开始咨询服务日期：_________，实际日期按照委托人在开始咨询服务通知中载明的开始咨询服务日期为准。</w:t>
      </w:r>
      <w:r>
        <w:rPr>
          <w:rFonts w:ascii="Times New Roman" w:hAnsi="Times New Roman" w:eastAsia="宋体"/>
          <w:sz w:val="24"/>
          <w:szCs w:val="24"/>
          <w:highlight w:val="none"/>
          <w:lang w:eastAsia="zh-CN"/>
        </w:rPr>
        <w:t>咨询服务期限为</w:t>
      </w:r>
      <w:r>
        <w:rPr>
          <w:rFonts w:ascii="Times New Roman" w:hAnsi="Times New Roman" w:eastAsia="宋体"/>
          <w:spacing w:val="1"/>
          <w:sz w:val="24"/>
          <w:szCs w:val="24"/>
          <w:highlight w:val="none"/>
          <w:lang w:eastAsia="zh-CN"/>
        </w:rPr>
        <w:t>_________天。</w:t>
      </w:r>
    </w:p>
    <w:p w14:paraId="5856B3F7">
      <w:pPr>
        <w:pStyle w:val="184"/>
        <w:spacing w:before="0" w:after="0" w:line="440" w:lineRule="atLeast"/>
        <w:ind w:firstLine="484" w:firstLineChars="200"/>
        <w:jc w:val="left"/>
        <w:rPr>
          <w:rFonts w:ascii="Times New Roman" w:hAnsi="Times New Roman"/>
          <w:sz w:val="24"/>
          <w:szCs w:val="24"/>
          <w:highlight w:val="none"/>
          <w:lang w:eastAsia="zh-CN"/>
        </w:rPr>
      </w:pPr>
      <w:r>
        <w:rPr>
          <w:rFonts w:ascii="Times New Roman" w:hAnsi="Times New Roman"/>
          <w:spacing w:val="1"/>
          <w:sz w:val="24"/>
          <w:szCs w:val="24"/>
          <w:highlight w:val="none"/>
          <w:lang w:eastAsia="zh-CN"/>
        </w:rPr>
        <w:t xml:space="preserve">9. </w:t>
      </w:r>
      <w:r>
        <w:rPr>
          <w:rFonts w:ascii="Times New Roman" w:hAnsi="Times New Roman" w:eastAsia="宋体"/>
          <w:sz w:val="24"/>
          <w:szCs w:val="24"/>
          <w:highlight w:val="none"/>
          <w:lang w:eastAsia="zh-CN"/>
        </w:rPr>
        <w:t>本合同协议书</w:t>
      </w:r>
      <w:bookmarkStart w:id="74" w:name="_Hlk513490320"/>
      <w:r>
        <w:rPr>
          <w:rFonts w:ascii="Times New Roman" w:hAnsi="Times New Roman" w:eastAsia="宋体"/>
          <w:sz w:val="24"/>
          <w:szCs w:val="24"/>
          <w:highlight w:val="none"/>
          <w:lang w:eastAsia="zh-CN"/>
        </w:rPr>
        <w:t>一式</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份，合同双方各执</w:t>
      </w:r>
      <w:bookmarkStart w:id="75" w:name="_Hlk513490284"/>
      <w:bookmarkEnd w:id="75"/>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份</w:t>
      </w:r>
      <w:bookmarkEnd w:id="74"/>
      <w:r>
        <w:rPr>
          <w:rFonts w:ascii="Times New Roman" w:hAnsi="Times New Roman" w:eastAsia="宋体"/>
          <w:spacing w:val="-1"/>
          <w:sz w:val="24"/>
          <w:szCs w:val="24"/>
          <w:highlight w:val="none"/>
          <w:lang w:eastAsia="zh-CN"/>
        </w:rPr>
        <w:t>。</w:t>
      </w:r>
    </w:p>
    <w:p w14:paraId="3F210FC5">
      <w:pPr>
        <w:pStyle w:val="184"/>
        <w:spacing w:before="0" w:after="0" w:line="440" w:lineRule="atLeast"/>
        <w:ind w:firstLine="484" w:firstLineChars="200"/>
        <w:jc w:val="left"/>
        <w:rPr>
          <w:rFonts w:ascii="Times New Roman" w:hAnsi="Times New Roman" w:eastAsia="宋体"/>
          <w:sz w:val="24"/>
          <w:szCs w:val="24"/>
          <w:highlight w:val="none"/>
          <w:lang w:eastAsia="zh-CN"/>
        </w:rPr>
      </w:pPr>
      <w:r>
        <w:rPr>
          <w:rFonts w:ascii="Times New Roman" w:hAnsi="Times New Roman"/>
          <w:spacing w:val="1"/>
          <w:sz w:val="24"/>
          <w:szCs w:val="24"/>
          <w:highlight w:val="none"/>
          <w:lang w:eastAsia="zh-CN"/>
        </w:rPr>
        <w:t xml:space="preserve">10. </w:t>
      </w:r>
      <w:r>
        <w:rPr>
          <w:rFonts w:ascii="Times New Roman" w:hAnsi="Times New Roman" w:eastAsia="宋体"/>
          <w:sz w:val="24"/>
          <w:szCs w:val="24"/>
          <w:highlight w:val="none"/>
          <w:lang w:eastAsia="zh-CN"/>
        </w:rPr>
        <w:t>合同未尽事宜，双方另行签订补充协议。补充协议是合同的组成部分。</w:t>
      </w:r>
    </w:p>
    <w:p w14:paraId="5A297A09">
      <w:pPr>
        <w:pStyle w:val="184"/>
        <w:spacing w:before="0" w:after="0" w:line="440" w:lineRule="atLeast"/>
        <w:ind w:firstLine="480" w:firstLineChars="200"/>
        <w:jc w:val="left"/>
        <w:rPr>
          <w:rFonts w:ascii="Times New Roman" w:hAnsi="Times New Roman" w:eastAsia="宋体"/>
          <w:sz w:val="24"/>
          <w:szCs w:val="24"/>
          <w:highlight w:val="none"/>
          <w:lang w:eastAsia="zh-CN"/>
        </w:rPr>
      </w:pPr>
    </w:p>
    <w:p w14:paraId="69B68405">
      <w:pPr>
        <w:pStyle w:val="184"/>
        <w:spacing w:before="0" w:after="0" w:line="440" w:lineRule="atLeast"/>
        <w:ind w:firstLine="480" w:firstLineChars="200"/>
        <w:jc w:val="left"/>
        <w:rPr>
          <w:rFonts w:ascii="Times New Roman" w:hAnsi="Times New Roman"/>
          <w:sz w:val="24"/>
          <w:szCs w:val="24"/>
          <w:highlight w:val="none"/>
          <w:lang w:eastAsia="zh-CN"/>
        </w:rPr>
      </w:pPr>
    </w:p>
    <w:p w14:paraId="13CDDAB0">
      <w:pPr>
        <w:pStyle w:val="183"/>
        <w:spacing w:before="0" w:after="0" w:line="440" w:lineRule="atLeast"/>
        <w:jc w:val="left"/>
        <w:rPr>
          <w:rFonts w:ascii="Times New Roman" w:hAnsi="Times New Roman"/>
          <w:sz w:val="24"/>
          <w:szCs w:val="24"/>
          <w:highlight w:val="none"/>
          <w:lang w:eastAsia="zh-CN"/>
        </w:rPr>
      </w:pPr>
      <w:r>
        <w:rPr>
          <w:rFonts w:ascii="Times New Roman" w:hAnsi="Times New Roman" w:eastAsia="宋体"/>
          <w:sz w:val="24"/>
          <w:szCs w:val="24"/>
          <w:highlight w:val="none"/>
          <w:lang w:eastAsia="zh-CN"/>
        </w:rPr>
        <w:t>委托人：</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（盖单位章）              咨询人：</w:t>
      </w:r>
      <w:r>
        <w:rPr>
          <w:rFonts w:ascii="Times New Roman" w:hAnsi="Times New Roman" w:eastAsia="宋体"/>
          <w:spacing w:val="1"/>
          <w:sz w:val="24"/>
          <w:szCs w:val="24"/>
          <w:highlight w:val="none"/>
          <w:lang w:eastAsia="zh-CN"/>
        </w:rPr>
        <w:t>_________</w:t>
      </w:r>
      <w:r>
        <w:rPr>
          <w:rFonts w:ascii="Times New Roman" w:hAnsi="Times New Roman" w:eastAsia="宋体"/>
          <w:sz w:val="24"/>
          <w:szCs w:val="24"/>
          <w:highlight w:val="none"/>
          <w:lang w:eastAsia="zh-CN"/>
        </w:rPr>
        <w:t>（盖单位章）</w:t>
      </w:r>
    </w:p>
    <w:p w14:paraId="322E3193">
      <w:pPr>
        <w:pStyle w:val="183"/>
        <w:spacing w:before="0" w:after="0" w:line="440" w:lineRule="atLeast"/>
        <w:jc w:val="left"/>
        <w:rPr>
          <w:rFonts w:ascii="Times New Roman" w:hAnsi="Times New Roman"/>
          <w:sz w:val="24"/>
          <w:szCs w:val="24"/>
          <w:highlight w:val="none"/>
          <w:lang w:eastAsia="zh-CN"/>
        </w:rPr>
      </w:pPr>
      <w:r>
        <w:rPr>
          <w:rFonts w:ascii="Times New Roman" w:hAnsi="Times New Roman" w:eastAsia="宋体"/>
          <w:sz w:val="24"/>
          <w:szCs w:val="24"/>
          <w:highlight w:val="none"/>
          <w:lang w:eastAsia="zh-CN"/>
        </w:rPr>
        <w:t>法定代表人或其委托代理人：___（签字）     法定代表人或其委托代理人：___（签字）</w:t>
      </w:r>
    </w:p>
    <w:p w14:paraId="35E4F0AB">
      <w:pPr>
        <w:pStyle w:val="35"/>
        <w:spacing w:line="440" w:lineRule="atLeast"/>
        <w:ind w:firstLine="2520" w:firstLineChars="1050"/>
        <w:rPr>
          <w:sz w:val="24"/>
          <w:highlight w:val="none"/>
        </w:rPr>
      </w:pPr>
      <w:r>
        <w:rPr>
          <w:sz w:val="24"/>
          <w:highlight w:val="none"/>
        </w:rPr>
        <w:t>___年___月___日                  ___年___月___日</w:t>
      </w:r>
    </w:p>
    <w:p w14:paraId="2BCE0CA8">
      <w:pPr>
        <w:pStyle w:val="35"/>
        <w:spacing w:line="440" w:lineRule="atLeast"/>
        <w:rPr>
          <w:sz w:val="24"/>
          <w:highlight w:val="none"/>
        </w:rPr>
      </w:pPr>
      <w:r>
        <w:rPr>
          <w:sz w:val="24"/>
          <w:highlight w:val="none"/>
        </w:rPr>
        <w:br w:type="page"/>
      </w:r>
    </w:p>
    <w:p w14:paraId="5F984DB7">
      <w:pPr>
        <w:pStyle w:val="450"/>
        <w:adjustRightInd w:val="0"/>
        <w:snapToGrid w:val="0"/>
        <w:spacing w:after="120" w:line="440" w:lineRule="atLeast"/>
        <w:jc w:val="center"/>
        <w:outlineLvl w:val="3"/>
        <w:rPr>
          <w:rFonts w:hint="eastAsia"/>
          <w:sz w:val="24"/>
          <w:highlight w:val="none"/>
        </w:rPr>
      </w:pPr>
      <w:r>
        <w:rPr>
          <w:sz w:val="24"/>
          <w:highlight w:val="none"/>
        </w:rPr>
        <w:t>附录A  咨询服务相关工作的范围和内容</w:t>
      </w:r>
    </w:p>
    <w:p w14:paraId="102AD411">
      <w:pPr>
        <w:pStyle w:val="184"/>
        <w:spacing w:beforeLines="50" w:after="120" w:afterLines="50" w:line="440" w:lineRule="atLeast"/>
        <w:jc w:val="center"/>
        <w:outlineLvl w:val="3"/>
        <w:rPr>
          <w:rFonts w:ascii="Times New Roman" w:hAnsi="Times New Roman" w:eastAsia="宋体"/>
          <w:kern w:val="2"/>
          <w:sz w:val="24"/>
          <w:szCs w:val="24"/>
          <w:highlight w:val="none"/>
          <w:lang w:eastAsia="zh-CN"/>
        </w:rPr>
      </w:pPr>
      <w:r>
        <w:rPr>
          <w:rFonts w:ascii="Times New Roman" w:hAnsi="Times New Roman" w:eastAsia="宋体"/>
          <w:kern w:val="2"/>
          <w:sz w:val="24"/>
          <w:szCs w:val="24"/>
          <w:highlight w:val="none"/>
          <w:lang w:eastAsia="zh-CN"/>
        </w:rPr>
        <w:t>附录B  委托人提供的资料</w:t>
      </w:r>
    </w:p>
    <w:p w14:paraId="7AEE83AA">
      <w:pPr>
        <w:pStyle w:val="184"/>
        <w:spacing w:beforeLines="50" w:after="120" w:afterLines="50" w:line="440" w:lineRule="atLeast"/>
        <w:jc w:val="center"/>
        <w:outlineLvl w:val="3"/>
        <w:rPr>
          <w:rFonts w:ascii="Times New Roman" w:hAnsi="Times New Roman" w:eastAsia="宋体"/>
          <w:sz w:val="24"/>
          <w:szCs w:val="24"/>
          <w:highlight w:val="none"/>
          <w:lang w:eastAsia="zh-CN"/>
        </w:rPr>
      </w:pPr>
      <w:r>
        <w:rPr>
          <w:rFonts w:ascii="Times New Roman" w:hAnsi="Times New Roman" w:eastAsia="宋体"/>
          <w:sz w:val="24"/>
          <w:szCs w:val="24"/>
          <w:highlight w:val="none"/>
          <w:lang w:eastAsia="zh-CN"/>
        </w:rPr>
        <w:t>附录C  咨询人项目负责人及其他主要人员配置表</w:t>
      </w:r>
    </w:p>
    <w:p w14:paraId="3833B6E5">
      <w:pPr>
        <w:pStyle w:val="184"/>
        <w:spacing w:beforeLines="50" w:after="120" w:afterLines="50" w:line="440" w:lineRule="atLeast"/>
        <w:outlineLvl w:val="3"/>
        <w:rPr>
          <w:rFonts w:ascii="Times New Roman" w:hAnsi="Times New Roman" w:eastAsia="宋体"/>
          <w:sz w:val="24"/>
          <w:szCs w:val="24"/>
          <w:highlight w:val="none"/>
          <w:lang w:eastAsia="zh-CN"/>
        </w:rPr>
      </w:pPr>
    </w:p>
    <w:p w14:paraId="2A0E1EAB">
      <w:pPr>
        <w:pStyle w:val="4"/>
        <w:spacing w:before="0" w:after="0" w:line="380" w:lineRule="atLeast"/>
        <w:rPr>
          <w:rFonts w:eastAsia="黑体"/>
          <w:b w:val="0"/>
          <w:sz w:val="24"/>
          <w:szCs w:val="24"/>
          <w:highlight w:val="none"/>
        </w:rPr>
      </w:pPr>
      <w:r>
        <w:rPr>
          <w:highlight w:val="none"/>
        </w:rPr>
        <w:br w:type="page"/>
      </w:r>
      <w:bookmarkEnd w:id="66"/>
      <w:bookmarkEnd w:id="67"/>
      <w:bookmarkStart w:id="76" w:name="_Toc509993927"/>
      <w:bookmarkStart w:id="77" w:name="_Toc234833232"/>
      <w:bookmarkStart w:id="78" w:name="_Toc510015792"/>
      <w:r>
        <w:rPr>
          <w:rFonts w:eastAsia="黑体"/>
          <w:b w:val="0"/>
          <w:sz w:val="24"/>
          <w:szCs w:val="24"/>
          <w:highlight w:val="none"/>
        </w:rPr>
        <w:t>附件二 廉政合同</w:t>
      </w:r>
      <w:bookmarkEnd w:id="76"/>
      <w:bookmarkEnd w:id="77"/>
    </w:p>
    <w:p w14:paraId="09C6AE90">
      <w:pPr>
        <w:spacing w:line="440" w:lineRule="exact"/>
        <w:jc w:val="center"/>
        <w:rPr>
          <w:rFonts w:eastAsia="黑体"/>
          <w:sz w:val="28"/>
          <w:szCs w:val="28"/>
          <w:highlight w:val="none"/>
        </w:rPr>
      </w:pPr>
      <w:r>
        <w:rPr>
          <w:rFonts w:eastAsia="黑体"/>
          <w:sz w:val="28"/>
          <w:szCs w:val="28"/>
          <w:highlight w:val="none"/>
        </w:rPr>
        <w:t>廉 政 合 同</w:t>
      </w:r>
    </w:p>
    <w:p w14:paraId="08219561">
      <w:pPr>
        <w:spacing w:line="400" w:lineRule="atLeast"/>
        <w:rPr>
          <w:rFonts w:eastAsia="黑体"/>
          <w:b/>
          <w:spacing w:val="30"/>
          <w:sz w:val="24"/>
          <w:highlight w:val="none"/>
        </w:rPr>
      </w:pPr>
    </w:p>
    <w:p w14:paraId="4BE9467C">
      <w:pPr>
        <w:spacing w:line="400" w:lineRule="atLeast"/>
        <w:ind w:firstLine="616" w:firstLineChars="257"/>
        <w:rPr>
          <w:sz w:val="24"/>
          <w:highlight w:val="none"/>
        </w:rPr>
      </w:pPr>
      <w:r>
        <w:rPr>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highlight w:val="none"/>
          <w:u w:val="single"/>
        </w:rPr>
        <w:t xml:space="preserve">              </w:t>
      </w:r>
      <w:r>
        <w:rPr>
          <w:sz w:val="24"/>
          <w:highlight w:val="none"/>
        </w:rPr>
        <w:t>（项目名称）的项目法人</w:t>
      </w:r>
      <w:r>
        <w:rPr>
          <w:sz w:val="24"/>
          <w:highlight w:val="none"/>
          <w:u w:val="single"/>
        </w:rPr>
        <w:t xml:space="preserve">           </w:t>
      </w:r>
      <w:r>
        <w:rPr>
          <w:sz w:val="24"/>
          <w:highlight w:val="none"/>
        </w:rPr>
        <w:t>（项目法人名称，以下简称“委托人”）与该项目</w:t>
      </w:r>
      <w:r>
        <w:rPr>
          <w:sz w:val="24"/>
          <w:highlight w:val="none"/>
          <w:u w:val="single"/>
        </w:rPr>
        <w:t xml:space="preserve">     </w:t>
      </w:r>
      <w:r>
        <w:rPr>
          <w:sz w:val="24"/>
          <w:highlight w:val="none"/>
        </w:rPr>
        <w:t>标段的</w:t>
      </w:r>
      <w:r>
        <w:rPr>
          <w:rFonts w:hint="eastAsia"/>
          <w:sz w:val="24"/>
          <w:highlight w:val="none"/>
        </w:rPr>
        <w:t>咨询服务</w:t>
      </w:r>
      <w:r>
        <w:rPr>
          <w:sz w:val="24"/>
          <w:highlight w:val="none"/>
        </w:rPr>
        <w:t>单位</w:t>
      </w:r>
      <w:r>
        <w:rPr>
          <w:sz w:val="24"/>
          <w:highlight w:val="none"/>
          <w:u w:val="single"/>
        </w:rPr>
        <w:t xml:space="preserve">              </w:t>
      </w:r>
      <w:r>
        <w:rPr>
          <w:sz w:val="24"/>
          <w:highlight w:val="none"/>
        </w:rPr>
        <w:t>（</w:t>
      </w:r>
      <w:r>
        <w:rPr>
          <w:rFonts w:hint="eastAsia"/>
          <w:sz w:val="24"/>
          <w:highlight w:val="none"/>
        </w:rPr>
        <w:t>咨询服务</w:t>
      </w:r>
      <w:r>
        <w:rPr>
          <w:sz w:val="24"/>
          <w:highlight w:val="none"/>
        </w:rPr>
        <w:t>单位名称，以下简称“咨询人”），特订立如下合同。</w:t>
      </w:r>
    </w:p>
    <w:p w14:paraId="6E1ABCD0">
      <w:pPr>
        <w:spacing w:line="400" w:lineRule="atLeast"/>
        <w:ind w:firstLine="616" w:firstLineChars="257"/>
        <w:rPr>
          <w:rFonts w:eastAsia="黑体"/>
          <w:sz w:val="24"/>
          <w:highlight w:val="none"/>
        </w:rPr>
      </w:pPr>
      <w:r>
        <w:rPr>
          <w:rFonts w:eastAsia="黑体"/>
          <w:sz w:val="24"/>
          <w:highlight w:val="none"/>
        </w:rPr>
        <w:t>1. 委托人和咨询人双方的权利和义务</w:t>
      </w:r>
    </w:p>
    <w:p w14:paraId="247955A2">
      <w:pPr>
        <w:spacing w:line="400" w:lineRule="atLeast"/>
        <w:ind w:firstLine="616" w:firstLineChars="257"/>
        <w:rPr>
          <w:sz w:val="24"/>
          <w:highlight w:val="none"/>
        </w:rPr>
      </w:pPr>
      <w:r>
        <w:rPr>
          <w:sz w:val="24"/>
          <w:highlight w:val="none"/>
        </w:rPr>
        <w:t>（1）严格遵守党的政策规定和国家有关法律法规及交通运输部的有关规定。</w:t>
      </w:r>
    </w:p>
    <w:p w14:paraId="11CF9188">
      <w:pPr>
        <w:spacing w:line="400" w:lineRule="atLeast"/>
        <w:ind w:firstLine="616" w:firstLineChars="257"/>
        <w:rPr>
          <w:sz w:val="24"/>
          <w:highlight w:val="none"/>
        </w:rPr>
      </w:pPr>
      <w:r>
        <w:rPr>
          <w:sz w:val="24"/>
          <w:highlight w:val="none"/>
        </w:rPr>
        <w:t>（2）严格执行</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w:t>
      </w:r>
      <w:r>
        <w:rPr>
          <w:rFonts w:hint="eastAsia"/>
          <w:sz w:val="24"/>
          <w:highlight w:val="none"/>
        </w:rPr>
        <w:t>咨询服务</w:t>
      </w:r>
      <w:r>
        <w:rPr>
          <w:sz w:val="24"/>
          <w:highlight w:val="none"/>
        </w:rPr>
        <w:t>合同文件，自觉按合同办事。</w:t>
      </w:r>
    </w:p>
    <w:p w14:paraId="49E5ED53">
      <w:pPr>
        <w:spacing w:line="400" w:lineRule="atLeast"/>
        <w:ind w:firstLine="616" w:firstLineChars="257"/>
        <w:rPr>
          <w:sz w:val="24"/>
          <w:highlight w:val="none"/>
        </w:rPr>
      </w:pPr>
      <w:r>
        <w:rPr>
          <w:sz w:val="24"/>
          <w:highlight w:val="none"/>
        </w:rPr>
        <w:t>（3）双方的业务活动坚持公开、公正、诚信、透明的原则（法律认定的商业秘密和合同文件另有规定除外），不得损害国家和集体利益，不得违反工程建设管理规章制度。</w:t>
      </w:r>
    </w:p>
    <w:p w14:paraId="6DD70946">
      <w:pPr>
        <w:spacing w:line="400" w:lineRule="atLeast"/>
        <w:ind w:firstLine="616" w:firstLineChars="257"/>
        <w:rPr>
          <w:sz w:val="24"/>
          <w:highlight w:val="none"/>
        </w:rPr>
      </w:pPr>
      <w:r>
        <w:rPr>
          <w:sz w:val="24"/>
          <w:highlight w:val="none"/>
        </w:rPr>
        <w:t>（4）建立健全廉政制度，开展廉政教育，设立廉政告示牌，公布举报电话，监督并认真查处违法违纪行为。</w:t>
      </w:r>
    </w:p>
    <w:p w14:paraId="155E0DB2">
      <w:pPr>
        <w:spacing w:line="400" w:lineRule="atLeast"/>
        <w:ind w:firstLine="616" w:firstLineChars="257"/>
        <w:rPr>
          <w:sz w:val="24"/>
          <w:highlight w:val="none"/>
        </w:rPr>
      </w:pPr>
      <w:r>
        <w:rPr>
          <w:sz w:val="24"/>
          <w:highlight w:val="none"/>
        </w:rPr>
        <w:t>（5）发现对方在业务活动中有违反廉政规定的行为，有及时提醒对方纠正的权利和义务。</w:t>
      </w:r>
    </w:p>
    <w:p w14:paraId="6DF03E18">
      <w:pPr>
        <w:spacing w:line="400" w:lineRule="atLeast"/>
        <w:ind w:firstLine="616" w:firstLineChars="257"/>
        <w:rPr>
          <w:sz w:val="24"/>
          <w:highlight w:val="none"/>
        </w:rPr>
      </w:pPr>
      <w:r>
        <w:rPr>
          <w:sz w:val="24"/>
          <w:highlight w:val="none"/>
        </w:rPr>
        <w:t>（6）发现对方严重违反本合同义务条款的行为，有向其上级有关部门举报、建议给予处理并要求告知处理结果的权利。</w:t>
      </w:r>
    </w:p>
    <w:p w14:paraId="47B95330">
      <w:pPr>
        <w:spacing w:line="400" w:lineRule="atLeast"/>
        <w:ind w:firstLine="616" w:firstLineChars="257"/>
        <w:rPr>
          <w:rFonts w:eastAsia="黑体"/>
          <w:sz w:val="24"/>
          <w:highlight w:val="none"/>
        </w:rPr>
      </w:pPr>
      <w:r>
        <w:rPr>
          <w:rFonts w:eastAsia="黑体"/>
          <w:sz w:val="24"/>
          <w:highlight w:val="none"/>
        </w:rPr>
        <w:t>2. 委托人的义务</w:t>
      </w:r>
    </w:p>
    <w:p w14:paraId="60ADE99E">
      <w:pPr>
        <w:spacing w:line="400" w:lineRule="atLeast"/>
        <w:ind w:firstLine="616" w:firstLineChars="257"/>
        <w:rPr>
          <w:sz w:val="24"/>
          <w:highlight w:val="none"/>
        </w:rPr>
      </w:pPr>
      <w:r>
        <w:rPr>
          <w:sz w:val="24"/>
          <w:highlight w:val="none"/>
        </w:rPr>
        <w:t>（1）委托人及其工作人员不得索要或接受咨询人的礼金、有价证券和贵重物品，不得让咨询人报销任何应由委托人或委托人工作人员个人支付的费用等。</w:t>
      </w:r>
    </w:p>
    <w:p w14:paraId="7E3A0BFE">
      <w:pPr>
        <w:spacing w:line="400" w:lineRule="atLeast"/>
        <w:ind w:firstLine="616" w:firstLineChars="257"/>
        <w:rPr>
          <w:sz w:val="24"/>
          <w:highlight w:val="none"/>
        </w:rPr>
      </w:pPr>
      <w:r>
        <w:rPr>
          <w:sz w:val="24"/>
          <w:highlight w:val="none"/>
        </w:rPr>
        <w:t>（2）委托人工作人员不得参加咨询人安排的超标准宴请和娱乐活动；不得接受咨询人提供的通信工具、交通工具和高档办公用品等。</w:t>
      </w:r>
    </w:p>
    <w:p w14:paraId="56256E02">
      <w:pPr>
        <w:spacing w:line="400" w:lineRule="atLeast"/>
        <w:ind w:firstLine="616" w:firstLineChars="257"/>
        <w:rPr>
          <w:sz w:val="24"/>
          <w:highlight w:val="none"/>
        </w:rPr>
      </w:pPr>
      <w:r>
        <w:rPr>
          <w:sz w:val="24"/>
          <w:highlight w:val="none"/>
        </w:rPr>
        <w:t>（3）委托人及其工作人员不得要求或者接受咨询人为其住房装修、婚丧嫁娶活动、配偶子女的工作安排以及出国出境、旅游等提供方便等。</w:t>
      </w:r>
    </w:p>
    <w:p w14:paraId="4AA60672">
      <w:pPr>
        <w:spacing w:line="400" w:lineRule="atLeast"/>
        <w:ind w:firstLine="616" w:firstLineChars="257"/>
        <w:rPr>
          <w:sz w:val="24"/>
          <w:highlight w:val="none"/>
        </w:rPr>
      </w:pPr>
      <w:r>
        <w:rPr>
          <w:sz w:val="24"/>
          <w:highlight w:val="none"/>
        </w:rPr>
        <w:t>（4）委托人工作人员及其配偶、子女、亲属不得从事与本</w:t>
      </w:r>
      <w:r>
        <w:rPr>
          <w:rFonts w:hint="eastAsia"/>
          <w:sz w:val="24"/>
          <w:highlight w:val="none"/>
        </w:rPr>
        <w:t>咨询服务</w:t>
      </w:r>
      <w:r>
        <w:rPr>
          <w:sz w:val="24"/>
          <w:highlight w:val="none"/>
        </w:rPr>
        <w:t>合同有关的</w:t>
      </w:r>
      <w:r>
        <w:rPr>
          <w:rFonts w:hint="eastAsia"/>
          <w:sz w:val="24"/>
          <w:highlight w:val="none"/>
        </w:rPr>
        <w:t>咨询服务</w:t>
      </w:r>
      <w:r>
        <w:rPr>
          <w:sz w:val="24"/>
          <w:highlight w:val="none"/>
        </w:rPr>
        <w:t>业务等活动。不得以任何理由要求咨询人和相关单位在设计中使用某种产品、材料和设备。</w:t>
      </w:r>
    </w:p>
    <w:p w14:paraId="52EDD17A">
      <w:pPr>
        <w:spacing w:line="400" w:lineRule="atLeast"/>
        <w:ind w:firstLine="616" w:firstLineChars="257"/>
        <w:rPr>
          <w:sz w:val="24"/>
          <w:highlight w:val="none"/>
        </w:rPr>
      </w:pPr>
      <w:r>
        <w:rPr>
          <w:sz w:val="24"/>
          <w:highlight w:val="none"/>
        </w:rPr>
        <w:t>（5）委托人工作人员要秉公办事，不准营私舞弊，不准利用职权从事各种个人有偿中介活动和安排个人</w:t>
      </w:r>
      <w:r>
        <w:rPr>
          <w:rFonts w:hint="eastAsia"/>
          <w:sz w:val="24"/>
          <w:highlight w:val="none"/>
        </w:rPr>
        <w:t>咨询服务</w:t>
      </w:r>
      <w:r>
        <w:rPr>
          <w:sz w:val="24"/>
          <w:highlight w:val="none"/>
        </w:rPr>
        <w:t>队伍。</w:t>
      </w:r>
    </w:p>
    <w:p w14:paraId="1F672727">
      <w:pPr>
        <w:spacing w:line="400" w:lineRule="atLeast"/>
        <w:ind w:firstLine="616" w:firstLineChars="257"/>
        <w:rPr>
          <w:rFonts w:eastAsia="黑体"/>
          <w:sz w:val="24"/>
          <w:highlight w:val="none"/>
        </w:rPr>
      </w:pPr>
      <w:r>
        <w:rPr>
          <w:sz w:val="24"/>
          <w:highlight w:val="none"/>
        </w:rPr>
        <w:br w:type="page"/>
      </w:r>
      <w:r>
        <w:rPr>
          <w:rFonts w:eastAsia="黑体"/>
          <w:sz w:val="24"/>
          <w:highlight w:val="none"/>
        </w:rPr>
        <w:t>3. 咨询人的义务</w:t>
      </w:r>
    </w:p>
    <w:p w14:paraId="0F1D5DB1">
      <w:pPr>
        <w:spacing w:line="400" w:lineRule="atLeast"/>
        <w:ind w:firstLine="616" w:firstLineChars="257"/>
        <w:rPr>
          <w:sz w:val="24"/>
          <w:highlight w:val="none"/>
        </w:rPr>
      </w:pPr>
      <w:r>
        <w:rPr>
          <w:sz w:val="24"/>
          <w:highlight w:val="none"/>
        </w:rPr>
        <w:t>（1）咨询人不得以任何理由向委托人及其工作人员行贿或馈赠礼金、有价证券、贵重礼品。</w:t>
      </w:r>
    </w:p>
    <w:p w14:paraId="735379B9">
      <w:pPr>
        <w:spacing w:line="400" w:lineRule="atLeast"/>
        <w:ind w:firstLine="616" w:firstLineChars="257"/>
        <w:rPr>
          <w:sz w:val="24"/>
          <w:highlight w:val="none"/>
        </w:rPr>
      </w:pPr>
      <w:r>
        <w:rPr>
          <w:sz w:val="24"/>
          <w:highlight w:val="none"/>
        </w:rPr>
        <w:t>（2）咨询人不得以任何名义为委托人及其工作人员报销应由委托人单位或个人支付的任何费用。</w:t>
      </w:r>
    </w:p>
    <w:p w14:paraId="3A6270A9">
      <w:pPr>
        <w:spacing w:line="400" w:lineRule="atLeast"/>
        <w:ind w:firstLine="616" w:firstLineChars="257"/>
        <w:rPr>
          <w:sz w:val="24"/>
          <w:highlight w:val="none"/>
        </w:rPr>
      </w:pPr>
      <w:r>
        <w:rPr>
          <w:sz w:val="24"/>
          <w:highlight w:val="none"/>
        </w:rPr>
        <w:t>（3）咨询人不得以任何理由安排委托人工作人员参加超标准宴请及娱乐活动。</w:t>
      </w:r>
    </w:p>
    <w:p w14:paraId="408B7DA1">
      <w:pPr>
        <w:spacing w:line="400" w:lineRule="atLeast"/>
        <w:ind w:firstLine="616" w:firstLineChars="257"/>
        <w:rPr>
          <w:sz w:val="24"/>
          <w:highlight w:val="none"/>
        </w:rPr>
      </w:pPr>
      <w:r>
        <w:rPr>
          <w:sz w:val="24"/>
          <w:highlight w:val="none"/>
        </w:rPr>
        <w:t>（4）咨询人不得为委托人单位和个人购置或提供通信工具、交通工具和高档办公用品等。</w:t>
      </w:r>
    </w:p>
    <w:p w14:paraId="6C8A03C3">
      <w:pPr>
        <w:spacing w:line="400" w:lineRule="atLeast"/>
        <w:ind w:firstLine="616" w:firstLineChars="257"/>
        <w:rPr>
          <w:rFonts w:eastAsia="黑体"/>
          <w:sz w:val="24"/>
          <w:highlight w:val="none"/>
        </w:rPr>
      </w:pPr>
      <w:r>
        <w:rPr>
          <w:rFonts w:eastAsia="黑体"/>
          <w:sz w:val="24"/>
          <w:highlight w:val="none"/>
        </w:rPr>
        <w:t>4. 违约责任</w:t>
      </w:r>
    </w:p>
    <w:p w14:paraId="11CF37C1">
      <w:pPr>
        <w:spacing w:line="400" w:lineRule="atLeast"/>
        <w:ind w:firstLine="616" w:firstLineChars="257"/>
        <w:rPr>
          <w:sz w:val="24"/>
          <w:highlight w:val="none"/>
        </w:rPr>
      </w:pPr>
      <w:r>
        <w:rPr>
          <w:sz w:val="24"/>
          <w:highlight w:val="none"/>
        </w:rPr>
        <w:t>（1）委托人及其工作人员违反本合同第1、2条，按管理权限，依据有关规定给予党纪、政纪或组织处理；涉嫌犯罪的，移交司法机关追究刑事责任；给咨询人单位造成经济损失的，应予以赔偿。</w:t>
      </w:r>
    </w:p>
    <w:p w14:paraId="21FD3585">
      <w:pPr>
        <w:spacing w:line="400" w:lineRule="atLeast"/>
        <w:ind w:firstLine="616" w:firstLineChars="257"/>
        <w:rPr>
          <w:sz w:val="24"/>
          <w:highlight w:val="none"/>
        </w:rPr>
      </w:pPr>
      <w:r>
        <w:rPr>
          <w:sz w:val="24"/>
          <w:highlight w:val="none"/>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689A318F">
      <w:pPr>
        <w:spacing w:line="400" w:lineRule="atLeast"/>
        <w:ind w:firstLine="616" w:firstLineChars="257"/>
        <w:rPr>
          <w:sz w:val="24"/>
          <w:highlight w:val="none"/>
        </w:rPr>
      </w:pPr>
      <w:r>
        <w:rPr>
          <w:rFonts w:eastAsia="黑体"/>
          <w:sz w:val="24"/>
          <w:highlight w:val="none"/>
        </w:rPr>
        <w:t>5.</w:t>
      </w:r>
      <w:r>
        <w:rPr>
          <w:sz w:val="24"/>
          <w:highlight w:val="none"/>
        </w:rPr>
        <w:t xml:space="preserve"> 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5EE75448">
      <w:pPr>
        <w:spacing w:line="400" w:lineRule="atLeast"/>
        <w:ind w:firstLine="616" w:firstLineChars="257"/>
        <w:rPr>
          <w:sz w:val="24"/>
          <w:highlight w:val="none"/>
        </w:rPr>
      </w:pPr>
      <w:r>
        <w:rPr>
          <w:rFonts w:eastAsia="黑体"/>
          <w:sz w:val="24"/>
          <w:highlight w:val="none"/>
        </w:rPr>
        <w:t xml:space="preserve">6. </w:t>
      </w:r>
      <w:r>
        <w:rPr>
          <w:sz w:val="24"/>
          <w:highlight w:val="none"/>
        </w:rPr>
        <w:t>本合同有效期为合同双方签署之日起至</w:t>
      </w:r>
      <w:r>
        <w:rPr>
          <w:rFonts w:hint="eastAsia"/>
          <w:sz w:val="24"/>
          <w:highlight w:val="none"/>
        </w:rPr>
        <w:t>咨询服务</w:t>
      </w:r>
      <w:r>
        <w:rPr>
          <w:sz w:val="24"/>
          <w:highlight w:val="none"/>
        </w:rPr>
        <w:t>合同失效日止。</w:t>
      </w:r>
    </w:p>
    <w:p w14:paraId="51849388">
      <w:pPr>
        <w:spacing w:line="400" w:lineRule="atLeast"/>
        <w:ind w:firstLine="616" w:firstLineChars="257"/>
        <w:rPr>
          <w:sz w:val="24"/>
          <w:highlight w:val="none"/>
        </w:rPr>
      </w:pPr>
      <w:r>
        <w:rPr>
          <w:rFonts w:eastAsia="黑体"/>
          <w:sz w:val="24"/>
          <w:highlight w:val="none"/>
        </w:rPr>
        <w:t xml:space="preserve">7. </w:t>
      </w:r>
      <w:r>
        <w:rPr>
          <w:sz w:val="24"/>
          <w:highlight w:val="none"/>
        </w:rPr>
        <w:t>本合同作为</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w:t>
      </w:r>
      <w:r>
        <w:rPr>
          <w:rFonts w:hint="eastAsia"/>
          <w:sz w:val="24"/>
          <w:highlight w:val="none"/>
        </w:rPr>
        <w:t>咨询服务</w:t>
      </w:r>
      <w:r>
        <w:rPr>
          <w:sz w:val="24"/>
          <w:highlight w:val="none"/>
        </w:rPr>
        <w:t>合同的附件，</w:t>
      </w:r>
      <w:bookmarkStart w:id="79" w:name="_Hlk12837718"/>
      <w:r>
        <w:rPr>
          <w:sz w:val="24"/>
          <w:highlight w:val="none"/>
        </w:rPr>
        <w:t>与</w:t>
      </w:r>
      <w:r>
        <w:rPr>
          <w:rFonts w:hint="eastAsia"/>
          <w:sz w:val="24"/>
          <w:highlight w:val="none"/>
        </w:rPr>
        <w:t>咨询服务</w:t>
      </w:r>
      <w:r>
        <w:rPr>
          <w:sz w:val="24"/>
          <w:highlight w:val="none"/>
        </w:rPr>
        <w:t>合同具有同等的法律效力，</w:t>
      </w:r>
      <w:bookmarkEnd w:id="79"/>
      <w:r>
        <w:rPr>
          <w:rFonts w:hint="eastAsia"/>
          <w:sz w:val="24"/>
          <w:highlight w:val="none"/>
        </w:rPr>
        <w:t>自合同双方法定代表人或其委托代理人签字并加盖单位公章之日起生效。</w:t>
      </w:r>
    </w:p>
    <w:p w14:paraId="0664613A">
      <w:pPr>
        <w:spacing w:line="400" w:lineRule="atLeast"/>
        <w:ind w:firstLine="616" w:firstLineChars="257"/>
        <w:rPr>
          <w:sz w:val="24"/>
          <w:highlight w:val="none"/>
        </w:rPr>
      </w:pPr>
      <w:r>
        <w:rPr>
          <w:rFonts w:eastAsia="黑体"/>
          <w:sz w:val="24"/>
          <w:highlight w:val="none"/>
        </w:rPr>
        <w:t>8.</w:t>
      </w:r>
      <w:r>
        <w:rPr>
          <w:sz w:val="24"/>
          <w:highlight w:val="none"/>
        </w:rPr>
        <w:t xml:space="preserve"> 本合同一式</w:t>
      </w:r>
      <w:r>
        <w:rPr>
          <w:rFonts w:hint="eastAsia"/>
          <w:sz w:val="24"/>
          <w:highlight w:val="none"/>
        </w:rPr>
        <w:t xml:space="preserve">  </w:t>
      </w:r>
      <w:r>
        <w:rPr>
          <w:sz w:val="24"/>
          <w:highlight w:val="none"/>
        </w:rPr>
        <w:t>份，由委托人和咨询人各执</w:t>
      </w:r>
      <w:r>
        <w:rPr>
          <w:rFonts w:hint="eastAsia"/>
          <w:sz w:val="24"/>
          <w:highlight w:val="none"/>
        </w:rPr>
        <w:t xml:space="preserve">   </w:t>
      </w:r>
      <w:r>
        <w:rPr>
          <w:sz w:val="24"/>
          <w:highlight w:val="none"/>
        </w:rPr>
        <w:t>份，送交委托人和咨询人的监督单位各一份。</w:t>
      </w:r>
    </w:p>
    <w:p w14:paraId="32317824">
      <w:pPr>
        <w:spacing w:line="400" w:lineRule="atLeast"/>
        <w:rPr>
          <w:sz w:val="24"/>
          <w:highlight w:val="none"/>
        </w:rPr>
      </w:pPr>
    </w:p>
    <w:p w14:paraId="691957D3">
      <w:pPr>
        <w:spacing w:line="440" w:lineRule="exact"/>
        <w:rPr>
          <w:sz w:val="24"/>
          <w:highlight w:val="none"/>
        </w:rPr>
      </w:pPr>
      <w:r>
        <w:rPr>
          <w:sz w:val="24"/>
          <w:highlight w:val="none"/>
        </w:rPr>
        <w:t>委托人：</w:t>
      </w:r>
      <w:r>
        <w:rPr>
          <w:sz w:val="24"/>
          <w:highlight w:val="none"/>
          <w:u w:val="single"/>
        </w:rPr>
        <w:t xml:space="preserve">               </w:t>
      </w:r>
      <w:r>
        <w:rPr>
          <w:sz w:val="24"/>
          <w:highlight w:val="none"/>
        </w:rPr>
        <w:t>（盖单位章）     咨询人：</w:t>
      </w:r>
      <w:r>
        <w:rPr>
          <w:sz w:val="24"/>
          <w:highlight w:val="none"/>
          <w:u w:val="single"/>
        </w:rPr>
        <w:t xml:space="preserve">              </w:t>
      </w:r>
      <w:r>
        <w:rPr>
          <w:sz w:val="24"/>
          <w:highlight w:val="none"/>
        </w:rPr>
        <w:t>（盖单位章）</w:t>
      </w:r>
    </w:p>
    <w:p w14:paraId="0023ED8E">
      <w:pPr>
        <w:spacing w:line="440" w:lineRule="exact"/>
        <w:rPr>
          <w:sz w:val="24"/>
          <w:highlight w:val="none"/>
        </w:rPr>
      </w:pPr>
      <w:r>
        <w:rPr>
          <w:sz w:val="24"/>
          <w:highlight w:val="none"/>
        </w:rPr>
        <w:t>法定代表人或其委托代理人：</w:t>
      </w:r>
      <w:r>
        <w:rPr>
          <w:sz w:val="24"/>
          <w:highlight w:val="none"/>
          <w:u w:val="single"/>
        </w:rPr>
        <w:t xml:space="preserve">  </w:t>
      </w:r>
      <w:r>
        <w:rPr>
          <w:sz w:val="24"/>
          <w:highlight w:val="none"/>
        </w:rPr>
        <w:t>（签字）  法定代表人或其委托代理人：</w:t>
      </w:r>
      <w:r>
        <w:rPr>
          <w:sz w:val="24"/>
          <w:highlight w:val="none"/>
          <w:u w:val="single"/>
        </w:rPr>
        <w:t xml:space="preserve">   </w:t>
      </w:r>
      <w:r>
        <w:rPr>
          <w:sz w:val="24"/>
          <w:highlight w:val="none"/>
        </w:rPr>
        <w:t>（签字）</w:t>
      </w:r>
    </w:p>
    <w:p w14:paraId="15EB1C21">
      <w:pPr>
        <w:spacing w:line="440" w:lineRule="exact"/>
        <w:ind w:firstLine="360" w:firstLineChars="15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         </w:t>
      </w:r>
      <w:r>
        <w:rPr>
          <w:sz w:val="24"/>
          <w:highlight w:val="none"/>
          <w:u w:val="single"/>
        </w:rPr>
        <w:t xml:space="preserve">         </w:t>
      </w:r>
      <w:r>
        <w:rPr>
          <w:sz w:val="24"/>
          <w:highlight w:val="none"/>
        </w:rPr>
        <w:t>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w:t>
      </w:r>
    </w:p>
    <w:p w14:paraId="02253E78">
      <w:pPr>
        <w:spacing w:line="440" w:lineRule="exact"/>
        <w:ind w:firstLine="360" w:firstLineChars="150"/>
        <w:rPr>
          <w:sz w:val="24"/>
          <w:highlight w:val="none"/>
        </w:rPr>
      </w:pPr>
    </w:p>
    <w:p w14:paraId="04180C31">
      <w:pPr>
        <w:spacing w:line="400" w:lineRule="atLeast"/>
        <w:rPr>
          <w:sz w:val="24"/>
          <w:highlight w:val="none"/>
          <w:u w:val="single"/>
        </w:rPr>
      </w:pPr>
    </w:p>
    <w:p w14:paraId="23373B1A">
      <w:pPr>
        <w:spacing w:line="400" w:lineRule="atLeast"/>
        <w:rPr>
          <w:sz w:val="24"/>
          <w:highlight w:val="none"/>
        </w:rPr>
      </w:pPr>
    </w:p>
    <w:p w14:paraId="76B80646">
      <w:pPr>
        <w:pStyle w:val="160"/>
        <w:spacing w:before="260" w:after="260" w:line="440" w:lineRule="atLeast"/>
        <w:ind w:firstLine="117" w:firstLineChars="49"/>
        <w:outlineLvl w:val="2"/>
        <w:rPr>
          <w:rFonts w:ascii="Times New Roman" w:hAnsi="Times New Roman" w:eastAsia="黑体"/>
          <w:sz w:val="24"/>
          <w:szCs w:val="24"/>
          <w:highlight w:val="none"/>
          <w:lang w:eastAsia="zh-CN"/>
        </w:rPr>
      </w:pPr>
      <w:r>
        <w:rPr>
          <w:rFonts w:ascii="Times New Roman" w:hAnsi="Times New Roman"/>
          <w:sz w:val="24"/>
          <w:highlight w:val="none"/>
          <w:lang w:eastAsia="zh-CN"/>
        </w:rPr>
        <w:br w:type="page"/>
      </w:r>
      <w:r>
        <w:rPr>
          <w:rFonts w:ascii="Times New Roman" w:hAnsi="Times New Roman" w:eastAsia="黑体"/>
          <w:sz w:val="24"/>
          <w:szCs w:val="24"/>
          <w:highlight w:val="none"/>
          <w:lang w:eastAsia="zh-CN"/>
        </w:rPr>
        <w:t>附件三 履约保证金格式</w:t>
      </w:r>
      <w:bookmarkEnd w:id="78"/>
    </w:p>
    <w:p w14:paraId="42972DAB">
      <w:pPr>
        <w:spacing w:line="440" w:lineRule="atLeast"/>
        <w:rPr>
          <w:sz w:val="24"/>
          <w:highlight w:val="none"/>
        </w:rPr>
      </w:pPr>
      <w:r>
        <w:rPr>
          <w:sz w:val="24"/>
          <w:highlight w:val="none"/>
        </w:rPr>
        <w:t>如采用银行保函，格式如下。</w:t>
      </w:r>
    </w:p>
    <w:p w14:paraId="066223CB">
      <w:pPr>
        <w:spacing w:line="440" w:lineRule="atLeast"/>
        <w:jc w:val="center"/>
        <w:rPr>
          <w:rFonts w:eastAsia="黑体"/>
          <w:sz w:val="28"/>
          <w:szCs w:val="28"/>
          <w:highlight w:val="none"/>
        </w:rPr>
      </w:pPr>
      <w:r>
        <w:rPr>
          <w:rFonts w:eastAsia="黑体"/>
          <w:sz w:val="28"/>
          <w:szCs w:val="28"/>
          <w:highlight w:val="none"/>
        </w:rPr>
        <w:t>履约保证金</w:t>
      </w:r>
    </w:p>
    <w:p w14:paraId="104FB99A">
      <w:pPr>
        <w:spacing w:line="440" w:lineRule="atLeast"/>
        <w:rPr>
          <w:sz w:val="24"/>
          <w:highlight w:val="none"/>
        </w:rPr>
      </w:pPr>
    </w:p>
    <w:p w14:paraId="6F80DBBD">
      <w:pPr>
        <w:spacing w:line="440" w:lineRule="atLeast"/>
        <w:rPr>
          <w:sz w:val="24"/>
          <w:highlight w:val="none"/>
        </w:rPr>
      </w:pPr>
      <w:r>
        <w:rPr>
          <w:sz w:val="24"/>
          <w:highlight w:val="none"/>
        </w:rPr>
        <w:t xml:space="preserve"> </w:t>
      </w:r>
      <w:r>
        <w:rPr>
          <w:sz w:val="24"/>
          <w:highlight w:val="none"/>
          <w:u w:val="single"/>
        </w:rPr>
        <w:t xml:space="preserve">            </w:t>
      </w:r>
      <w:r>
        <w:rPr>
          <w:sz w:val="24"/>
          <w:highlight w:val="none"/>
          <w:u w:val="single"/>
        </w:rPr>
        <w:tab/>
      </w:r>
      <w:r>
        <w:rPr>
          <w:sz w:val="24"/>
          <w:highlight w:val="none"/>
          <w:u w:val="single"/>
        </w:rPr>
        <w:tab/>
      </w:r>
      <w:r>
        <w:rPr>
          <w:sz w:val="24"/>
          <w:highlight w:val="none"/>
          <w:u w:val="single"/>
        </w:rPr>
        <w:t xml:space="preserve">  </w:t>
      </w:r>
      <w:r>
        <w:rPr>
          <w:sz w:val="24"/>
          <w:highlight w:val="none"/>
        </w:rPr>
        <w:t>（委托人名称）：</w:t>
      </w:r>
    </w:p>
    <w:p w14:paraId="1A3A2101">
      <w:pPr>
        <w:spacing w:line="440" w:lineRule="atLeast"/>
        <w:rPr>
          <w:sz w:val="24"/>
          <w:highlight w:val="none"/>
        </w:rPr>
      </w:pPr>
    </w:p>
    <w:p w14:paraId="2D14DE24">
      <w:pPr>
        <w:spacing w:line="440" w:lineRule="atLeast"/>
        <w:ind w:firstLine="600" w:firstLineChars="250"/>
        <w:rPr>
          <w:sz w:val="24"/>
          <w:highlight w:val="none"/>
        </w:rPr>
      </w:pPr>
      <w:r>
        <w:rPr>
          <w:sz w:val="24"/>
          <w:highlight w:val="none"/>
        </w:rPr>
        <w:t>鉴于</w:t>
      </w:r>
      <w:r>
        <w:rPr>
          <w:sz w:val="24"/>
          <w:highlight w:val="none"/>
          <w:u w:val="single"/>
        </w:rPr>
        <w:t xml:space="preserve">                </w:t>
      </w:r>
      <w:r>
        <w:rPr>
          <w:sz w:val="24"/>
          <w:highlight w:val="none"/>
        </w:rPr>
        <w:t>（委托人名称，以下简称“委托人”）接受</w:t>
      </w:r>
      <w:r>
        <w:rPr>
          <w:sz w:val="24"/>
          <w:highlight w:val="none"/>
          <w:u w:val="single"/>
        </w:rPr>
        <w:t xml:space="preserve">        </w:t>
      </w:r>
      <w:r>
        <w:rPr>
          <w:sz w:val="24"/>
          <w:highlight w:val="none"/>
        </w:rPr>
        <w:t>（咨询人名称）（以下称“咨询人”）于</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日参加</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标段咨询服务的投标。我方愿意无条件地、不可撤销地就咨询人履行与你方订立的合同，向你方提供担保。</w:t>
      </w:r>
    </w:p>
    <w:p w14:paraId="351FB5F8">
      <w:pPr>
        <w:spacing w:line="440" w:lineRule="atLeast"/>
        <w:ind w:firstLine="480" w:firstLineChars="200"/>
        <w:rPr>
          <w:sz w:val="24"/>
          <w:highlight w:val="none"/>
        </w:rPr>
      </w:pPr>
      <w:r>
        <w:rPr>
          <w:sz w:val="24"/>
          <w:highlight w:val="none"/>
        </w:rPr>
        <w:t>1. 担保金额人民币（大写）</w:t>
      </w:r>
      <w:r>
        <w:rPr>
          <w:sz w:val="24"/>
          <w:highlight w:val="none"/>
          <w:u w:val="single"/>
        </w:rPr>
        <w:t xml:space="preserve">                </w:t>
      </w:r>
      <w:r>
        <w:rPr>
          <w:sz w:val="24"/>
          <w:highlight w:val="none"/>
        </w:rPr>
        <w:t xml:space="preserve"> 元（¥</w:t>
      </w:r>
      <w:r>
        <w:rPr>
          <w:sz w:val="24"/>
          <w:highlight w:val="none"/>
          <w:u w:val="single"/>
        </w:rPr>
        <w:t xml:space="preserve">             </w:t>
      </w:r>
      <w:r>
        <w:rPr>
          <w:sz w:val="24"/>
          <w:highlight w:val="none"/>
        </w:rPr>
        <w:t>）。</w:t>
      </w:r>
    </w:p>
    <w:p w14:paraId="69A4A389">
      <w:pPr>
        <w:spacing w:line="440" w:lineRule="atLeast"/>
        <w:ind w:firstLine="480" w:firstLineChars="200"/>
        <w:rPr>
          <w:sz w:val="24"/>
          <w:highlight w:val="none"/>
        </w:rPr>
      </w:pPr>
      <w:r>
        <w:rPr>
          <w:sz w:val="24"/>
          <w:highlight w:val="none"/>
        </w:rPr>
        <w:t>2. 担保有效期自委托人与咨询人签订的合同生效之日起至委托人签发交工验收证书且咨询人按照合同约定提交缺陷责任期保函之日止。</w:t>
      </w:r>
      <w:r>
        <w:rPr>
          <w:rStyle w:val="146"/>
          <w:rFonts w:eastAsia="黑体"/>
          <w:sz w:val="28"/>
          <w:szCs w:val="28"/>
          <w:highlight w:val="none"/>
        </w:rPr>
        <w:footnoteReference w:id="0"/>
      </w:r>
    </w:p>
    <w:p w14:paraId="066E5D50">
      <w:pPr>
        <w:spacing w:line="440" w:lineRule="atLeast"/>
        <w:ind w:firstLine="480" w:firstLineChars="200"/>
        <w:rPr>
          <w:sz w:val="24"/>
          <w:highlight w:val="none"/>
        </w:rPr>
      </w:pPr>
      <w:r>
        <w:rPr>
          <w:sz w:val="24"/>
          <w:highlight w:val="none"/>
        </w:rPr>
        <w:t>3. 在本担保有效期内，因咨询人违反合同约定的义务给你方造成经济损失时，我方在收到你方以书面形式提出的在担保金额内的赔偿要求后，在7天内无条件支付，无须你方出具证明或陈述理由。</w:t>
      </w:r>
    </w:p>
    <w:p w14:paraId="5C8B820F">
      <w:pPr>
        <w:spacing w:line="440" w:lineRule="atLeast"/>
        <w:ind w:firstLine="480" w:firstLineChars="200"/>
        <w:rPr>
          <w:sz w:val="24"/>
          <w:highlight w:val="none"/>
        </w:rPr>
      </w:pPr>
      <w:r>
        <w:rPr>
          <w:sz w:val="24"/>
          <w:highlight w:val="none"/>
        </w:rPr>
        <w:t>4. 委托人和咨询人按合同条款变更合同时，我方承担本担保规定的义务不变。</w:t>
      </w:r>
    </w:p>
    <w:p w14:paraId="68EA6BDE">
      <w:pPr>
        <w:spacing w:line="440" w:lineRule="atLeast"/>
        <w:rPr>
          <w:sz w:val="24"/>
          <w:highlight w:val="none"/>
        </w:rPr>
      </w:pPr>
    </w:p>
    <w:p w14:paraId="15B40159">
      <w:pPr>
        <w:spacing w:line="440" w:lineRule="atLeast"/>
        <w:rPr>
          <w:sz w:val="24"/>
          <w:highlight w:val="none"/>
        </w:rPr>
      </w:pPr>
    </w:p>
    <w:p w14:paraId="309BC4D2">
      <w:pPr>
        <w:spacing w:line="440" w:lineRule="atLeast"/>
        <w:ind w:firstLine="3496" w:firstLineChars="1457"/>
        <w:rPr>
          <w:sz w:val="24"/>
          <w:highlight w:val="none"/>
        </w:rPr>
      </w:pPr>
      <w:r>
        <w:rPr>
          <w:sz w:val="24"/>
          <w:highlight w:val="none"/>
        </w:rPr>
        <w:t>担 保 人：</w:t>
      </w:r>
      <w:r>
        <w:rPr>
          <w:sz w:val="24"/>
          <w:highlight w:val="none"/>
          <w:u w:val="single"/>
        </w:rPr>
        <w:t xml:space="preserve">                       </w:t>
      </w:r>
      <w:r>
        <w:rPr>
          <w:sz w:val="24"/>
          <w:highlight w:val="none"/>
        </w:rPr>
        <w:t>（盖单位章）</w:t>
      </w:r>
    </w:p>
    <w:p w14:paraId="5CC5161A">
      <w:pPr>
        <w:spacing w:line="440" w:lineRule="atLeast"/>
        <w:ind w:firstLine="3496" w:firstLineChars="1457"/>
        <w:rPr>
          <w:sz w:val="24"/>
          <w:highlight w:val="none"/>
        </w:rPr>
      </w:pPr>
      <w:r>
        <w:rPr>
          <w:sz w:val="24"/>
          <w:highlight w:val="none"/>
        </w:rPr>
        <w:t>法定代表人或其委托代理人：</w:t>
      </w:r>
      <w:r>
        <w:rPr>
          <w:sz w:val="24"/>
          <w:highlight w:val="none"/>
          <w:u w:val="single"/>
        </w:rPr>
        <w:t xml:space="preserve">           </w:t>
      </w:r>
      <w:r>
        <w:rPr>
          <w:sz w:val="24"/>
          <w:highlight w:val="none"/>
        </w:rPr>
        <w:t>（签字）</w:t>
      </w:r>
    </w:p>
    <w:p w14:paraId="5AECD0A8">
      <w:pPr>
        <w:spacing w:line="440" w:lineRule="atLeast"/>
        <w:ind w:firstLine="3496" w:firstLineChars="1457"/>
        <w:rPr>
          <w:sz w:val="24"/>
          <w:highlight w:val="none"/>
        </w:rPr>
      </w:pPr>
      <w:r>
        <w:rPr>
          <w:sz w:val="24"/>
          <w:highlight w:val="none"/>
        </w:rPr>
        <w:t>地    址：</w:t>
      </w:r>
      <w:r>
        <w:rPr>
          <w:sz w:val="24"/>
          <w:highlight w:val="none"/>
          <w:u w:val="single"/>
        </w:rPr>
        <w:tab/>
      </w:r>
      <w:r>
        <w:rPr>
          <w:sz w:val="24"/>
          <w:highlight w:val="none"/>
          <w:u w:val="single"/>
        </w:rPr>
        <w:tab/>
      </w:r>
      <w:r>
        <w:rPr>
          <w:sz w:val="24"/>
          <w:highlight w:val="none"/>
          <w:u w:val="single"/>
        </w:rPr>
        <w:tab/>
      </w:r>
      <w:r>
        <w:rPr>
          <w:sz w:val="24"/>
          <w:highlight w:val="none"/>
          <w:u w:val="single"/>
        </w:rPr>
        <w:t xml:space="preserve">            </w:t>
      </w:r>
      <w:r>
        <w:rPr>
          <w:sz w:val="24"/>
          <w:highlight w:val="none"/>
          <w:u w:val="single"/>
        </w:rPr>
        <w:tab/>
      </w:r>
      <w:r>
        <w:rPr>
          <w:sz w:val="24"/>
          <w:highlight w:val="none"/>
          <w:u w:val="single"/>
        </w:rPr>
        <w:tab/>
      </w:r>
      <w:r>
        <w:rPr>
          <w:sz w:val="24"/>
          <w:highlight w:val="none"/>
          <w:u w:val="single"/>
        </w:rPr>
        <w:tab/>
      </w:r>
    </w:p>
    <w:p w14:paraId="42F28DAA">
      <w:pPr>
        <w:spacing w:line="440" w:lineRule="atLeast"/>
        <w:ind w:firstLine="3496" w:firstLineChars="1457"/>
        <w:rPr>
          <w:sz w:val="24"/>
          <w:highlight w:val="none"/>
        </w:rPr>
      </w:pPr>
      <w:r>
        <w:rPr>
          <w:sz w:val="24"/>
          <w:highlight w:val="none"/>
        </w:rPr>
        <w:t>邮政编码：</w:t>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p>
    <w:p w14:paraId="4B8CF358">
      <w:pPr>
        <w:spacing w:line="440" w:lineRule="atLeast"/>
        <w:ind w:firstLine="3496" w:firstLineChars="1457"/>
        <w:rPr>
          <w:sz w:val="24"/>
          <w:highlight w:val="none"/>
        </w:rPr>
      </w:pPr>
      <w:r>
        <w:rPr>
          <w:sz w:val="24"/>
          <w:highlight w:val="none"/>
        </w:rPr>
        <w:t>电    话：</w:t>
      </w:r>
      <w:r>
        <w:rPr>
          <w:sz w:val="24"/>
          <w:highlight w:val="none"/>
          <w:u w:val="single"/>
        </w:rPr>
        <w:t xml:space="preserve">                                </w:t>
      </w:r>
      <w:r>
        <w:rPr>
          <w:sz w:val="24"/>
          <w:highlight w:val="none"/>
        </w:rPr>
        <w:t xml:space="preserve"> </w:t>
      </w:r>
    </w:p>
    <w:p w14:paraId="4AF7FB52">
      <w:pPr>
        <w:spacing w:line="440" w:lineRule="atLeast"/>
        <w:ind w:firstLine="3496" w:firstLineChars="1457"/>
        <w:rPr>
          <w:sz w:val="24"/>
          <w:highlight w:val="none"/>
        </w:rPr>
      </w:pPr>
      <w:r>
        <w:rPr>
          <w:sz w:val="24"/>
          <w:highlight w:val="none"/>
        </w:rPr>
        <w:t>传    真：</w:t>
      </w:r>
      <w:r>
        <w:rPr>
          <w:sz w:val="24"/>
          <w:highlight w:val="none"/>
          <w:u w:val="single"/>
        </w:rPr>
        <w:t xml:space="preserve">                                </w:t>
      </w:r>
      <w:r>
        <w:rPr>
          <w:sz w:val="24"/>
          <w:highlight w:val="none"/>
        </w:rPr>
        <w:t xml:space="preserve"> </w:t>
      </w:r>
    </w:p>
    <w:p w14:paraId="62B4FBCE">
      <w:pPr>
        <w:jc w:val="right"/>
        <w:rPr>
          <w:highlight w:val="none"/>
        </w:rPr>
      </w:pPr>
      <w:r>
        <w:rPr>
          <w:sz w:val="24"/>
          <w:highlight w:val="none"/>
          <w:u w:val="single"/>
        </w:rPr>
        <w:t xml:space="preserve">       </w:t>
      </w:r>
      <w:r>
        <w:rPr>
          <w:sz w:val="24"/>
          <w:highlight w:val="none"/>
        </w:rPr>
        <w:t xml:space="preserve"> 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日</w:t>
      </w:r>
    </w:p>
    <w:p w14:paraId="5114B76D">
      <w:pPr>
        <w:pStyle w:val="35"/>
        <w:spacing w:before="5" w:line="360" w:lineRule="auto"/>
        <w:ind w:firstLine="321" w:firstLineChars="100"/>
        <w:jc w:val="center"/>
        <w:rPr>
          <w:rFonts w:ascii="Microsoft JhengHei"/>
          <w:b/>
          <w:sz w:val="32"/>
          <w:szCs w:val="32"/>
          <w:highlight w:val="none"/>
        </w:rPr>
      </w:pPr>
    </w:p>
    <w:p w14:paraId="6DF8FA30">
      <w:pPr>
        <w:rPr>
          <w:rFonts w:eastAsia="黑体"/>
          <w:sz w:val="24"/>
          <w:highlight w:val="none"/>
        </w:rPr>
      </w:pPr>
      <w:r>
        <w:rPr>
          <w:rFonts w:eastAsia="黑体"/>
          <w:sz w:val="24"/>
          <w:highlight w:val="none"/>
        </w:rPr>
        <w:br w:type="page"/>
      </w:r>
    </w:p>
    <w:p w14:paraId="474BE782">
      <w:pPr>
        <w:rPr>
          <w:highlight w:val="none"/>
        </w:rPr>
      </w:pPr>
    </w:p>
    <w:p w14:paraId="592F54A8">
      <w:pPr>
        <w:pStyle w:val="2"/>
        <w:rPr>
          <w:highlight w:val="none"/>
        </w:rPr>
      </w:pPr>
    </w:p>
    <w:p w14:paraId="70195704">
      <w:pPr>
        <w:pStyle w:val="87"/>
        <w:spacing w:line="440" w:lineRule="atLeast"/>
        <w:ind w:firstLine="720"/>
        <w:rPr>
          <w:rFonts w:hint="eastAsia" w:ascii="宋体" w:hAnsi="宋体" w:cs="宋体"/>
          <w:sz w:val="56"/>
          <w:szCs w:val="56"/>
          <w:highlight w:val="none"/>
        </w:rPr>
      </w:pPr>
      <w:bookmarkStart w:id="80" w:name="_Toc267901496"/>
      <w:bookmarkStart w:id="81" w:name="_Toc461179552"/>
      <w:bookmarkStart w:id="82" w:name="_Toc510015793"/>
    </w:p>
    <w:p w14:paraId="0D59E00F">
      <w:pPr>
        <w:pStyle w:val="87"/>
        <w:spacing w:line="440" w:lineRule="atLeast"/>
        <w:ind w:firstLine="720"/>
        <w:rPr>
          <w:rFonts w:hint="eastAsia" w:ascii="宋体" w:hAnsi="宋体" w:cs="宋体"/>
          <w:sz w:val="56"/>
          <w:szCs w:val="56"/>
          <w:highlight w:val="none"/>
        </w:rPr>
      </w:pPr>
    </w:p>
    <w:p w14:paraId="29D0EA44">
      <w:pPr>
        <w:pStyle w:val="87"/>
        <w:spacing w:line="440" w:lineRule="atLeast"/>
        <w:ind w:firstLine="720"/>
        <w:rPr>
          <w:rFonts w:hint="eastAsia" w:ascii="宋体" w:hAnsi="宋体" w:cs="宋体"/>
          <w:sz w:val="56"/>
          <w:szCs w:val="56"/>
          <w:highlight w:val="none"/>
        </w:rPr>
      </w:pPr>
    </w:p>
    <w:p w14:paraId="7F1592F4">
      <w:pPr>
        <w:pStyle w:val="87"/>
        <w:spacing w:line="440" w:lineRule="atLeast"/>
        <w:ind w:firstLine="720"/>
        <w:rPr>
          <w:rFonts w:hint="eastAsia" w:ascii="宋体" w:hAnsi="宋体" w:cs="宋体"/>
          <w:sz w:val="36"/>
          <w:szCs w:val="36"/>
          <w:highlight w:val="none"/>
        </w:rPr>
      </w:pPr>
      <w:r>
        <w:rPr>
          <w:rFonts w:hint="eastAsia" w:ascii="宋体" w:hAnsi="宋体" w:cs="宋体"/>
          <w:sz w:val="56"/>
          <w:szCs w:val="56"/>
          <w:highlight w:val="none"/>
        </w:rPr>
        <w:t xml:space="preserve">第五章  </w:t>
      </w:r>
      <w:bookmarkEnd w:id="80"/>
      <w:bookmarkEnd w:id="81"/>
      <w:r>
        <w:rPr>
          <w:rFonts w:hint="eastAsia" w:ascii="宋体" w:hAnsi="宋体" w:cs="宋体"/>
          <w:sz w:val="56"/>
          <w:szCs w:val="56"/>
          <w:highlight w:val="none"/>
        </w:rPr>
        <w:t>委托人要求</w:t>
      </w:r>
      <w:bookmarkEnd w:id="82"/>
    </w:p>
    <w:p w14:paraId="4E2290F5">
      <w:pPr>
        <w:spacing w:line="440" w:lineRule="atLeast"/>
        <w:rPr>
          <w:rFonts w:hint="eastAsia" w:ascii="宋体" w:hAnsi="宋体" w:cs="宋体"/>
          <w:sz w:val="20"/>
          <w:szCs w:val="20"/>
          <w:highlight w:val="none"/>
        </w:rPr>
      </w:pPr>
    </w:p>
    <w:p w14:paraId="282F4D6C">
      <w:pPr>
        <w:spacing w:line="440" w:lineRule="atLeast"/>
        <w:rPr>
          <w:rFonts w:hint="eastAsia" w:ascii="宋体" w:hAnsi="宋体" w:cs="宋体"/>
          <w:sz w:val="20"/>
          <w:szCs w:val="20"/>
          <w:highlight w:val="none"/>
        </w:rPr>
      </w:pPr>
    </w:p>
    <w:p w14:paraId="64CA71A5">
      <w:pPr>
        <w:spacing w:line="440" w:lineRule="atLeast"/>
        <w:rPr>
          <w:rFonts w:hint="eastAsia" w:ascii="宋体" w:hAnsi="宋体" w:cs="宋体"/>
          <w:sz w:val="20"/>
          <w:szCs w:val="20"/>
          <w:highlight w:val="none"/>
        </w:rPr>
      </w:pPr>
    </w:p>
    <w:p w14:paraId="6B1883AC">
      <w:pPr>
        <w:spacing w:line="440" w:lineRule="atLeast"/>
        <w:rPr>
          <w:rFonts w:hint="eastAsia" w:ascii="宋体" w:hAnsi="宋体" w:cs="宋体"/>
          <w:sz w:val="20"/>
          <w:szCs w:val="20"/>
          <w:highlight w:val="none"/>
        </w:rPr>
      </w:pPr>
    </w:p>
    <w:p w14:paraId="4FD61BD6">
      <w:pPr>
        <w:spacing w:line="440" w:lineRule="atLeast"/>
        <w:rPr>
          <w:rFonts w:hint="eastAsia" w:ascii="宋体" w:hAnsi="宋体" w:cs="宋体"/>
          <w:sz w:val="20"/>
          <w:szCs w:val="20"/>
          <w:highlight w:val="none"/>
        </w:rPr>
      </w:pPr>
    </w:p>
    <w:p w14:paraId="1F63BE1E">
      <w:pPr>
        <w:spacing w:line="440" w:lineRule="atLeast"/>
        <w:rPr>
          <w:rFonts w:hint="eastAsia" w:ascii="宋体" w:hAnsi="宋体" w:cs="宋体"/>
          <w:sz w:val="20"/>
          <w:szCs w:val="20"/>
          <w:highlight w:val="none"/>
        </w:rPr>
      </w:pPr>
    </w:p>
    <w:p w14:paraId="4D3DE871">
      <w:pPr>
        <w:pStyle w:val="160"/>
        <w:spacing w:before="260" w:after="260" w:line="440" w:lineRule="atLeast"/>
        <w:jc w:val="center"/>
        <w:rPr>
          <w:rFonts w:hint="eastAsia" w:ascii="宋体" w:hAnsi="宋体" w:eastAsia="宋体" w:cs="宋体"/>
          <w:b/>
          <w:spacing w:val="1"/>
          <w:sz w:val="36"/>
          <w:szCs w:val="36"/>
          <w:highlight w:val="none"/>
          <w:lang w:eastAsia="zh-CN"/>
        </w:rPr>
      </w:pPr>
      <w:r>
        <w:rPr>
          <w:rFonts w:hint="eastAsia" w:ascii="宋体" w:hAnsi="宋体" w:eastAsia="宋体" w:cs="宋体"/>
          <w:sz w:val="20"/>
          <w:szCs w:val="20"/>
          <w:highlight w:val="none"/>
          <w:lang w:eastAsia="zh-CN"/>
        </w:rPr>
        <w:br w:type="page"/>
      </w:r>
      <w:r>
        <w:rPr>
          <w:rFonts w:hint="eastAsia" w:ascii="宋体" w:hAnsi="宋体" w:eastAsia="宋体" w:cs="宋体"/>
          <w:b/>
          <w:spacing w:val="1"/>
          <w:sz w:val="36"/>
          <w:szCs w:val="36"/>
          <w:highlight w:val="none"/>
          <w:lang w:eastAsia="zh-CN"/>
        </w:rPr>
        <w:t>委托人要求</w:t>
      </w:r>
    </w:p>
    <w:p w14:paraId="6C7B4428">
      <w:pPr>
        <w:pStyle w:val="957"/>
        <w:spacing w:before="0" w:after="0" w:line="360" w:lineRule="auto"/>
        <w:ind w:firstLine="480" w:firstLineChars="200"/>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委托人要求包括但不限于以下内容：</w:t>
      </w:r>
    </w:p>
    <w:p w14:paraId="67FE8859">
      <w:pPr>
        <w:pStyle w:val="160"/>
        <w:spacing w:before="0" w:after="0" w:line="360" w:lineRule="auto"/>
        <w:outlineLvl w:val="1"/>
        <w:rPr>
          <w:rFonts w:hint="eastAsia" w:cs="宋体" w:asciiTheme="minorEastAsia" w:hAnsiTheme="minorEastAsia" w:eastAsiaTheme="minorEastAsia"/>
          <w:b/>
          <w:spacing w:val="1"/>
          <w:sz w:val="28"/>
          <w:szCs w:val="28"/>
          <w:highlight w:val="none"/>
          <w:lang w:eastAsia="zh-CN"/>
        </w:rPr>
      </w:pPr>
      <w:bookmarkStart w:id="83" w:name="_Toc499646510"/>
      <w:bookmarkStart w:id="84" w:name="_Toc506008212"/>
      <w:bookmarkStart w:id="85" w:name="_Toc513817629"/>
      <w:bookmarkStart w:id="86" w:name="_Toc508886121"/>
      <w:r>
        <w:rPr>
          <w:rFonts w:hint="eastAsia" w:cs="宋体" w:asciiTheme="minorEastAsia" w:hAnsiTheme="minorEastAsia" w:eastAsiaTheme="minorEastAsia"/>
          <w:b/>
          <w:spacing w:val="1"/>
          <w:sz w:val="28"/>
          <w:szCs w:val="28"/>
          <w:highlight w:val="none"/>
          <w:lang w:eastAsia="zh-CN"/>
        </w:rPr>
        <w:t>一、咨询服务要求</w:t>
      </w:r>
      <w:bookmarkEnd w:id="83"/>
      <w:bookmarkEnd w:id="84"/>
      <w:bookmarkEnd w:id="85"/>
      <w:bookmarkEnd w:id="86"/>
    </w:p>
    <w:p w14:paraId="4FAC49C6">
      <w:pPr>
        <w:autoSpaceDE w:val="0"/>
        <w:spacing w:line="360" w:lineRule="auto"/>
        <w:ind w:firstLine="480" w:firstLineChars="200"/>
        <w:rPr>
          <w:rFonts w:hint="eastAsia" w:cs="宋体" w:asciiTheme="minorEastAsia" w:hAnsiTheme="minorEastAsia" w:eastAsiaTheme="minorEastAsia"/>
          <w:sz w:val="24"/>
          <w:highlight w:val="none"/>
        </w:rPr>
      </w:pPr>
      <w:r>
        <w:rPr>
          <w:rFonts w:hint="eastAsia" w:asciiTheme="minorEastAsia" w:hAnsiTheme="minorEastAsia" w:eastAsiaTheme="minorEastAsia"/>
          <w:sz w:val="24"/>
          <w:highlight w:val="none"/>
        </w:rPr>
        <w:t>采购项目概况：</w:t>
      </w:r>
      <w:r>
        <w:rPr>
          <w:rFonts w:hint="eastAsia" w:ascii="宋体" w:hAnsi="宋体" w:eastAsia="宋体" w:cs="Times New Roman"/>
          <w:sz w:val="24"/>
          <w:highlight w:val="none"/>
          <w:lang w:val="en-US" w:eastAsia="zh-CN"/>
        </w:rPr>
        <w:t>G59呼北高速张家界至官庄段第二合同段路线全长27.33km，其中张家界市境内12.488km，怀化市境内14.842km，按双向四车道高速公路标准建设，设计速度100km/h，路基宽度26m。全线共设置服务区1处、互通1处、收费站2处，连接线2条。主线共设桥梁30座，桥梁总长7.808km；设隧道6座，总长6.11km，项目主线桥隧占比51%。合同段含连接线2条，南滩岗连接线6.2km、清浪连接线17.9km，连接线共设桥梁5座，其中特大桥380m/1座。本标段房建项目共设服务区1处、收费大站1处、匝道收费站2处、养护区1处以及配套消防防水泵房及土建变电所。</w:t>
      </w:r>
    </w:p>
    <w:p w14:paraId="67C25A66">
      <w:pPr>
        <w:pStyle w:val="7"/>
        <w:rPr>
          <w:rFonts w:ascii="Arial" w:hAnsi="Arial"/>
          <w:highlight w:val="none"/>
        </w:rPr>
      </w:pPr>
      <w:r>
        <w:rPr>
          <w:rFonts w:hint="eastAsia" w:ascii="黑体" w:hAnsi="黑体"/>
          <w:highlight w:val="none"/>
        </w:rPr>
        <w:t xml:space="preserve">二、采购范围及相关要求 </w:t>
      </w:r>
    </w:p>
    <w:p w14:paraId="1D2A1F5C">
      <w:pPr>
        <w:autoSpaceDE w:val="0"/>
        <w:spacing w:line="400" w:lineRule="exact"/>
        <w:ind w:firstLine="480" w:firstLineChars="200"/>
        <w:rPr>
          <w:rFonts w:hint="eastAsia" w:ascii="宋体" w:hAnsi="宋体"/>
          <w:sz w:val="24"/>
          <w:highlight w:val="none"/>
        </w:rPr>
      </w:pPr>
      <w:r>
        <w:rPr>
          <w:rFonts w:hint="eastAsia" w:ascii="宋体" w:hAnsi="宋体"/>
          <w:sz w:val="24"/>
          <w:highlight w:val="none"/>
        </w:rPr>
        <w:t>2.1 采购范围：本次采购分为1个标包。其标包划分及采购内容等见下表。</w:t>
      </w:r>
    </w:p>
    <w:tbl>
      <w:tblPr>
        <w:tblStyle w:val="90"/>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393"/>
        <w:gridCol w:w="1618"/>
        <w:gridCol w:w="3244"/>
        <w:gridCol w:w="1811"/>
      </w:tblGrid>
      <w:tr w14:paraId="1235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1672E4D5">
            <w:pPr>
              <w:widowControl w:val="0"/>
              <w:jc w:val="center"/>
              <w:rPr>
                <w:rFonts w:hint="eastAsia" w:ascii="宋体" w:hAnsi="宋体" w:cs="宋体"/>
                <w:bCs/>
                <w:szCs w:val="21"/>
                <w:highlight w:val="none"/>
              </w:rPr>
            </w:pPr>
            <w:r>
              <w:rPr>
                <w:rFonts w:hint="eastAsia" w:ascii="宋体" w:hAnsi="宋体" w:cs="宋体"/>
                <w:bCs/>
                <w:szCs w:val="21"/>
                <w:highlight w:val="none"/>
              </w:rPr>
              <w:t>标段</w:t>
            </w:r>
          </w:p>
        </w:tc>
        <w:tc>
          <w:tcPr>
            <w:tcW w:w="1214" w:type="pct"/>
            <w:vAlign w:val="center"/>
          </w:tcPr>
          <w:p w14:paraId="4B473D7E">
            <w:pPr>
              <w:widowControl w:val="0"/>
              <w:jc w:val="center"/>
              <w:rPr>
                <w:szCs w:val="21"/>
                <w:highlight w:val="none"/>
              </w:rPr>
            </w:pPr>
            <w:r>
              <w:rPr>
                <w:rFonts w:hint="eastAsia"/>
                <w:szCs w:val="21"/>
                <w:highlight w:val="none"/>
              </w:rPr>
              <w:t>工作内容</w:t>
            </w:r>
          </w:p>
        </w:tc>
        <w:tc>
          <w:tcPr>
            <w:tcW w:w="821" w:type="pct"/>
            <w:vAlign w:val="center"/>
          </w:tcPr>
          <w:p w14:paraId="4D32DCBF">
            <w:pPr>
              <w:widowControl w:val="0"/>
              <w:jc w:val="center"/>
              <w:rPr>
                <w:szCs w:val="21"/>
                <w:highlight w:val="none"/>
              </w:rPr>
            </w:pPr>
            <w:r>
              <w:rPr>
                <w:rFonts w:hint="eastAsia"/>
                <w:szCs w:val="21"/>
                <w:highlight w:val="none"/>
              </w:rPr>
              <w:t>数 量</w:t>
            </w:r>
          </w:p>
          <w:p w14:paraId="1A87D2A9">
            <w:pPr>
              <w:widowControl w:val="0"/>
              <w:jc w:val="center"/>
              <w:rPr>
                <w:szCs w:val="21"/>
                <w:highlight w:val="none"/>
              </w:rPr>
            </w:pPr>
            <w:r>
              <w:rPr>
                <w:rFonts w:hint="eastAsia"/>
                <w:szCs w:val="21"/>
                <w:highlight w:val="none"/>
              </w:rPr>
              <w:t>（单位：项）</w:t>
            </w:r>
          </w:p>
        </w:tc>
        <w:tc>
          <w:tcPr>
            <w:tcW w:w="1646" w:type="pct"/>
            <w:vAlign w:val="center"/>
          </w:tcPr>
          <w:p w14:paraId="2AA0AE7F">
            <w:pPr>
              <w:widowControl w:val="0"/>
              <w:jc w:val="center"/>
              <w:rPr>
                <w:szCs w:val="21"/>
                <w:highlight w:val="none"/>
              </w:rPr>
            </w:pPr>
            <w:r>
              <w:rPr>
                <w:rFonts w:hint="eastAsia"/>
                <w:szCs w:val="21"/>
                <w:highlight w:val="none"/>
              </w:rPr>
              <w:t>服务范围</w:t>
            </w:r>
          </w:p>
        </w:tc>
        <w:tc>
          <w:tcPr>
            <w:tcW w:w="919" w:type="pct"/>
            <w:vAlign w:val="center"/>
          </w:tcPr>
          <w:p w14:paraId="348CDF65">
            <w:pPr>
              <w:widowControl w:val="0"/>
              <w:jc w:val="center"/>
              <w:rPr>
                <w:szCs w:val="21"/>
                <w:highlight w:val="none"/>
              </w:rPr>
            </w:pPr>
            <w:r>
              <w:rPr>
                <w:rFonts w:hint="eastAsia"/>
                <w:szCs w:val="21"/>
                <w:highlight w:val="none"/>
              </w:rPr>
              <w:t>上限价</w:t>
            </w:r>
          </w:p>
          <w:p w14:paraId="2F409B75">
            <w:pPr>
              <w:widowControl w:val="0"/>
              <w:jc w:val="center"/>
              <w:rPr>
                <w:szCs w:val="21"/>
                <w:highlight w:val="none"/>
              </w:rPr>
            </w:pPr>
            <w:r>
              <w:rPr>
                <w:rFonts w:hint="eastAsia"/>
                <w:szCs w:val="21"/>
                <w:highlight w:val="none"/>
              </w:rPr>
              <w:t>（万元）</w:t>
            </w:r>
          </w:p>
        </w:tc>
      </w:tr>
      <w:tr w14:paraId="1FBA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4BFB5E1E">
            <w:pPr>
              <w:widowControl w:val="0"/>
              <w:spacing w:line="360" w:lineRule="auto"/>
              <w:jc w:val="both"/>
              <w:rPr>
                <w:rFonts w:hint="eastAsia" w:ascii="宋体" w:hAnsi="宋体" w:cs="宋体"/>
                <w:bCs/>
                <w:szCs w:val="21"/>
                <w:highlight w:val="none"/>
              </w:rPr>
            </w:pPr>
            <w:r>
              <w:rPr>
                <w:rFonts w:hint="eastAsia" w:ascii="宋体" w:hAnsi="宋体" w:cs="宋体"/>
                <w:bCs/>
                <w:szCs w:val="21"/>
                <w:highlight w:val="none"/>
              </w:rPr>
              <w:t>1个</w:t>
            </w:r>
          </w:p>
        </w:tc>
        <w:tc>
          <w:tcPr>
            <w:tcW w:w="1214" w:type="pct"/>
            <w:vAlign w:val="center"/>
          </w:tcPr>
          <w:p w14:paraId="58823242">
            <w:pPr>
              <w:widowControl w:val="0"/>
              <w:spacing w:line="360" w:lineRule="auto"/>
              <w:jc w:val="both"/>
              <w:rPr>
                <w:rFonts w:hint="eastAsia" w:ascii="宋体" w:hAnsi="宋体" w:cs="宋体"/>
                <w:bCs/>
                <w:szCs w:val="21"/>
                <w:highlight w:val="none"/>
                <w:shd w:val="clear" w:color="auto" w:fill="FFFFFF"/>
              </w:rPr>
            </w:pPr>
            <w:r>
              <w:rPr>
                <w:rFonts w:hint="eastAsia" w:ascii="宋体" w:hAnsi="宋体" w:cs="宋体"/>
                <w:bCs/>
                <w:szCs w:val="21"/>
                <w:highlight w:val="none"/>
                <w:shd w:val="clear" w:color="auto" w:fill="FFFFFF"/>
              </w:rPr>
              <w:t>G59</w:t>
            </w:r>
            <w:r>
              <w:rPr>
                <w:rFonts w:hint="eastAsia" w:ascii="宋体" w:hAnsi="宋体" w:cs="宋体"/>
                <w:bCs/>
                <w:szCs w:val="21"/>
                <w:highlight w:val="none"/>
                <w:shd w:val="clear" w:color="auto" w:fill="FFFFFF"/>
                <w:lang w:val="en-US" w:eastAsia="zh-CN"/>
              </w:rPr>
              <w:t>张官</w:t>
            </w:r>
            <w:r>
              <w:rPr>
                <w:rFonts w:hint="eastAsia" w:ascii="宋体" w:hAnsi="宋体" w:cs="宋体"/>
                <w:bCs/>
                <w:szCs w:val="21"/>
                <w:highlight w:val="none"/>
                <w:shd w:val="clear" w:color="auto" w:fill="FFFFFF"/>
              </w:rPr>
              <w:t>高速公路</w:t>
            </w:r>
            <w:r>
              <w:rPr>
                <w:rFonts w:hint="eastAsia" w:ascii="宋体" w:hAnsi="宋体" w:cs="宋体"/>
                <w:bCs/>
                <w:szCs w:val="21"/>
                <w:highlight w:val="none"/>
                <w:shd w:val="clear" w:color="auto" w:fill="FFFFFF"/>
                <w:lang w:val="en-US" w:eastAsia="zh-CN"/>
              </w:rPr>
              <w:t>第二标</w:t>
            </w:r>
            <w:r>
              <w:rPr>
                <w:rFonts w:hint="eastAsia" w:ascii="宋体" w:hAnsi="宋体" w:cs="宋体"/>
                <w:bCs/>
                <w:szCs w:val="21"/>
                <w:highlight w:val="none"/>
                <w:shd w:val="clear" w:color="auto" w:fill="FFFFFF"/>
              </w:rPr>
              <w:t>段房建工程竣工质量检测技术服务项目</w:t>
            </w:r>
          </w:p>
        </w:tc>
        <w:tc>
          <w:tcPr>
            <w:tcW w:w="821" w:type="pct"/>
            <w:vAlign w:val="center"/>
          </w:tcPr>
          <w:p w14:paraId="52B5342D">
            <w:pPr>
              <w:widowControl w:val="0"/>
              <w:tabs>
                <w:tab w:val="left" w:pos="438"/>
              </w:tabs>
              <w:spacing w:line="360" w:lineRule="auto"/>
              <w:jc w:val="center"/>
              <w:rPr>
                <w:rFonts w:hint="eastAsia" w:ascii="宋体" w:hAnsi="宋体" w:cs="宋体"/>
                <w:bCs/>
                <w:szCs w:val="21"/>
                <w:highlight w:val="none"/>
                <w:shd w:val="clear" w:color="auto" w:fill="FFFFFF"/>
              </w:rPr>
            </w:pPr>
            <w:r>
              <w:rPr>
                <w:rFonts w:hint="eastAsia" w:ascii="宋体" w:hAnsi="宋体" w:cs="宋体"/>
                <w:bCs/>
                <w:szCs w:val="21"/>
                <w:highlight w:val="none"/>
                <w:shd w:val="clear" w:color="auto" w:fill="FFFFFF"/>
              </w:rPr>
              <w:t>1</w:t>
            </w:r>
          </w:p>
        </w:tc>
        <w:tc>
          <w:tcPr>
            <w:tcW w:w="3244" w:type="dxa"/>
            <w:vAlign w:val="center"/>
          </w:tcPr>
          <w:p w14:paraId="5EC687FB">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 xml:space="preserve"> 服务内容包括但不限于:</w:t>
            </w:r>
          </w:p>
          <w:p w14:paraId="75195E9E">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1）全线房屋建筑工程的竣工验收质量检测，出具相关竣工验收质量检测和质量鉴定检测报告(包含消防设施、电气防火、防雷检测)，并负责与审查专家和相关主管部门的解释、修改和完善直至最终完成房屋竣工验收备案，通过项目竣工验收;</w:t>
            </w:r>
          </w:p>
          <w:p w14:paraId="14D52172">
            <w:pPr>
              <w:widowControl w:val="0"/>
              <w:spacing w:line="360" w:lineRule="auto"/>
              <w:jc w:val="both"/>
              <w:rPr>
                <w:rFonts w:hint="eastAsia" w:ascii="宋体" w:hAnsi="宋体" w:eastAsia="宋体" w:cs="宋体"/>
                <w:szCs w:val="21"/>
                <w:highlight w:val="none"/>
                <w:lang w:eastAsia="zh-CN"/>
              </w:rPr>
            </w:pPr>
            <w:r>
              <w:rPr>
                <w:rFonts w:hint="eastAsia" w:ascii="宋体" w:hAnsi="宋体" w:cs="宋体"/>
                <w:szCs w:val="21"/>
                <w:highlight w:val="none"/>
              </w:rPr>
              <w:t>（2）向采购人提出所检测的房屋质量缺陷及安全隐患问题，以及整改修复后的检测</w:t>
            </w:r>
            <w:r>
              <w:rPr>
                <w:rFonts w:hint="eastAsia" w:ascii="宋体" w:hAnsi="宋体" w:cs="宋体"/>
                <w:szCs w:val="21"/>
                <w:highlight w:val="none"/>
                <w:lang w:eastAsia="zh-CN"/>
              </w:rPr>
              <w:t>；</w:t>
            </w:r>
          </w:p>
          <w:p w14:paraId="3EC01DB0">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（3）负责资料查阅复核，配合采购人完成竣工文件相关数据汇总等；</w:t>
            </w:r>
          </w:p>
          <w:p w14:paraId="0ACBCCF8">
            <w:pPr>
              <w:widowControl w:val="0"/>
              <w:spacing w:line="360" w:lineRule="auto"/>
              <w:jc w:val="both"/>
              <w:rPr>
                <w:rFonts w:hint="eastAsia" w:ascii="宋体" w:hAnsi="宋体" w:cs="宋体"/>
                <w:szCs w:val="21"/>
                <w:highlight w:val="none"/>
              </w:rPr>
            </w:pPr>
            <w:r>
              <w:rPr>
                <w:rFonts w:hint="eastAsia" w:ascii="宋体" w:hAnsi="宋体" w:cs="宋体"/>
                <w:szCs w:val="21"/>
                <w:highlight w:val="none"/>
              </w:rPr>
              <w:t>（4）协助采购人管理本工程相关检测工作，组织施工承包人、监理人参加有关检测问题的协调会，解决试验检测过程中遇到的各种技术问题及争议，及时纠正施工承包人自检、监理人抽检过程中存在的问题。</w:t>
            </w:r>
          </w:p>
        </w:tc>
        <w:tc>
          <w:tcPr>
            <w:tcW w:w="1811" w:type="dxa"/>
            <w:vAlign w:val="center"/>
          </w:tcPr>
          <w:p w14:paraId="13BC9A86">
            <w:pPr>
              <w:widowControl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99.7</w:t>
            </w:r>
          </w:p>
        </w:tc>
      </w:tr>
    </w:tbl>
    <w:p w14:paraId="7EEC12A1">
      <w:pPr>
        <w:autoSpaceDE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2.2 </w:t>
      </w:r>
      <w:r>
        <w:rPr>
          <w:rFonts w:hint="eastAsia" w:ascii="宋体" w:hAnsi="宋体"/>
          <w:sz w:val="24"/>
          <w:highlight w:val="none"/>
        </w:rPr>
        <w:t>服务期限：自合同签订之日起至本项目通过全线房屋竣工验收备案之日止。</w:t>
      </w:r>
    </w:p>
    <w:p w14:paraId="74506F3F">
      <w:pPr>
        <w:autoSpaceDE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 服务地点：采购人指定地点。</w:t>
      </w:r>
    </w:p>
    <w:p w14:paraId="267C0ADB">
      <w:pPr>
        <w:autoSpaceDE w:val="0"/>
        <w:spacing w:line="360" w:lineRule="auto"/>
        <w:ind w:firstLine="480" w:firstLineChars="200"/>
        <w:rPr>
          <w:rFonts w:hint="eastAsia"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2.4 </w:t>
      </w:r>
      <w:r>
        <w:rPr>
          <w:rFonts w:hint="eastAsia" w:asciiTheme="minorEastAsia" w:hAnsiTheme="minorEastAsia" w:eastAsiaTheme="minorEastAsia"/>
          <w:sz w:val="24"/>
          <w:highlight w:val="none"/>
        </w:rPr>
        <w:t>质量要求或服务标准：</w:t>
      </w:r>
    </w:p>
    <w:p w14:paraId="38C94830">
      <w:pPr>
        <w:autoSpaceDE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（1）供应商应按照相关法律法规、技术标准和规范要求，根据采购人需求，开展G59</w:t>
      </w:r>
      <w:r>
        <w:rPr>
          <w:rFonts w:hint="eastAsia" w:asciiTheme="minorEastAsia" w:hAnsiTheme="minorEastAsia" w:eastAsiaTheme="minorEastAsia"/>
          <w:sz w:val="24"/>
          <w:highlight w:val="none"/>
          <w:lang w:val="en-US" w:eastAsia="zh-CN"/>
        </w:rPr>
        <w:t>张官</w:t>
      </w:r>
      <w:r>
        <w:rPr>
          <w:rFonts w:hint="eastAsia" w:asciiTheme="minorEastAsia" w:hAnsiTheme="minorEastAsia" w:eastAsiaTheme="minorEastAsia"/>
          <w:sz w:val="24"/>
          <w:highlight w:val="none"/>
        </w:rPr>
        <w:t>高速公路</w:t>
      </w:r>
      <w:r>
        <w:rPr>
          <w:rFonts w:hint="eastAsia" w:asciiTheme="minorEastAsia" w:hAnsiTheme="minorEastAsia" w:eastAsiaTheme="minorEastAsia"/>
          <w:sz w:val="24"/>
          <w:highlight w:val="none"/>
          <w:lang w:val="en-US" w:eastAsia="zh-CN"/>
        </w:rPr>
        <w:t>第二标</w:t>
      </w:r>
      <w:r>
        <w:rPr>
          <w:rFonts w:hint="eastAsia" w:asciiTheme="minorEastAsia" w:hAnsiTheme="minorEastAsia" w:eastAsiaTheme="minorEastAsia"/>
          <w:sz w:val="24"/>
          <w:highlight w:val="none"/>
        </w:rPr>
        <w:t>段房建工程竣工质量检测技术服务工作。</w:t>
      </w:r>
    </w:p>
    <w:p w14:paraId="5306A16F">
      <w:pPr>
        <w:autoSpaceDE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（2）供应商应按期、按质、按量地完成双方商定的各项工作内容，并对成果报告的质量负责。</w:t>
      </w:r>
    </w:p>
    <w:p w14:paraId="32B9E8B2">
      <w:pPr>
        <w:autoSpaceDE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（3）在编制过程中，供应商应主动和采购人保持密切联系。</w:t>
      </w:r>
    </w:p>
    <w:p w14:paraId="4F05E92B">
      <w:pPr>
        <w:autoSpaceDE w:val="0"/>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（4）供应商的工作进度没有达到响应文件中承诺的进度计划时，采购人有权向供应商提出要求增加服务人员，供应商应无条件满足。</w:t>
      </w:r>
    </w:p>
    <w:p w14:paraId="385ED38B">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二、委托人财产清单</w:t>
      </w:r>
    </w:p>
    <w:p w14:paraId="50DEF5DF">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（一）委托人提供的设备、设施</w:t>
      </w:r>
    </w:p>
    <w:p w14:paraId="01E4FFB9">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1.委托人提供的办公房屋及冷暖设施：无</w:t>
      </w:r>
    </w:p>
    <w:p w14:paraId="45526F95">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2.委托人提供的设备清单：无</w:t>
      </w:r>
    </w:p>
    <w:p w14:paraId="282C74F0">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3.委托人提供的设施清单：无</w:t>
      </w:r>
    </w:p>
    <w:p w14:paraId="32066BAB">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（二）委托人提供的资料</w:t>
      </w:r>
    </w:p>
    <w:p w14:paraId="7D2E06D7">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1.委托人提供的资料</w:t>
      </w:r>
    </w:p>
    <w:p w14:paraId="06C1B27A">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1）项目基础资料和技术规范等资料。</w:t>
      </w:r>
    </w:p>
    <w:p w14:paraId="7F52F741">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2）委托人取得的有关审批、核准和备案材料。</w:t>
      </w:r>
    </w:p>
    <w:p w14:paraId="506A4C3E">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3）委托人制定的相关技术标准、规范。</w:t>
      </w:r>
    </w:p>
    <w:p w14:paraId="6D8F05C7">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2.委托人财产使用要求及退还要求</w:t>
      </w:r>
    </w:p>
    <w:p w14:paraId="1812956C">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 xml:space="preserve">1）委托人财产使用要求：无 </w:t>
      </w:r>
    </w:p>
    <w:p w14:paraId="56CBF51C">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2）委托人财产退还要求：委托人提供的相应原始资料、审批文件、核准文件、备案材料、技术标准、规范文件的原件，应在委托人规定的时间内退还。</w:t>
      </w:r>
    </w:p>
    <w:p w14:paraId="4427E1CC">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（三）委托人财产使用要求及退还要求</w:t>
      </w:r>
    </w:p>
    <w:p w14:paraId="0D4E3EAB">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 xml:space="preserve">1.委托人财产使用要求：无 </w:t>
      </w:r>
    </w:p>
    <w:p w14:paraId="45617AB4">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2.委托人财产退还要求：委托人提供的相应原始资料、审批文件、核准文件、备案材料、技术标准、规范文件的原件，应在委托人规定的时间内退还。</w:t>
      </w:r>
    </w:p>
    <w:p w14:paraId="4A7F04AB">
      <w:pPr>
        <w:autoSpaceDE w:val="0"/>
        <w:spacing w:line="360" w:lineRule="auto"/>
        <w:ind w:firstLine="240" w:firstLineChars="100"/>
        <w:rPr>
          <w:rFonts w:hint="eastAsia" w:ascii="宋体" w:hAnsi="宋体" w:cs="宋体"/>
          <w:sz w:val="24"/>
          <w:highlight w:val="none"/>
        </w:rPr>
      </w:pPr>
      <w:bookmarkStart w:id="87" w:name="_Toc499646514"/>
      <w:bookmarkStart w:id="88" w:name="_Toc506008216"/>
      <w:bookmarkStart w:id="89" w:name="_Toc513817633"/>
      <w:bookmarkStart w:id="90" w:name="_Toc508886125"/>
      <w:r>
        <w:rPr>
          <w:rFonts w:hint="eastAsia" w:ascii="宋体" w:hAnsi="宋体" w:cs="宋体"/>
          <w:sz w:val="24"/>
          <w:highlight w:val="none"/>
        </w:rPr>
        <w:t>三、委托人提供的便利条件</w:t>
      </w:r>
      <w:bookmarkEnd w:id="87"/>
      <w:bookmarkEnd w:id="88"/>
      <w:bookmarkEnd w:id="89"/>
      <w:bookmarkEnd w:id="90"/>
    </w:p>
    <w:p w14:paraId="153B2918">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1.委托人提供的生活条件：无</w:t>
      </w:r>
    </w:p>
    <w:p w14:paraId="1278F3B3">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2.委托人提供的交通条件：无</w:t>
      </w:r>
    </w:p>
    <w:p w14:paraId="61F33E02">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3.委托人提供的网络、通讯条件：无</w:t>
      </w:r>
    </w:p>
    <w:p w14:paraId="7A53DA38">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4.委托人提供的协助人员：安排至少 1 名工作人员与受托人对接相关工作。</w:t>
      </w:r>
    </w:p>
    <w:p w14:paraId="29AC7DBA">
      <w:pPr>
        <w:autoSpaceDE w:val="0"/>
        <w:spacing w:line="360" w:lineRule="auto"/>
        <w:ind w:firstLine="240" w:firstLineChars="100"/>
        <w:rPr>
          <w:rFonts w:hint="eastAsia" w:ascii="宋体" w:hAnsi="宋体" w:cs="宋体"/>
          <w:sz w:val="24"/>
          <w:highlight w:val="none"/>
        </w:rPr>
      </w:pPr>
      <w:bookmarkStart w:id="91" w:name="_Toc506008217"/>
      <w:bookmarkStart w:id="92" w:name="_Toc499646515"/>
      <w:bookmarkStart w:id="93" w:name="_Toc513817634"/>
      <w:bookmarkStart w:id="94" w:name="_Toc508886126"/>
      <w:r>
        <w:rPr>
          <w:rFonts w:hint="eastAsia" w:ascii="宋体" w:hAnsi="宋体" w:cs="宋体"/>
          <w:sz w:val="24"/>
          <w:highlight w:val="none"/>
        </w:rPr>
        <w:t>四、咨询人需要自备的工作条件</w:t>
      </w:r>
      <w:bookmarkEnd w:id="91"/>
      <w:bookmarkEnd w:id="92"/>
      <w:bookmarkEnd w:id="93"/>
      <w:bookmarkEnd w:id="94"/>
    </w:p>
    <w:p w14:paraId="37326E7C">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1.咨询人自备的工作手册：如本项目必备的规范标准、图集等</w:t>
      </w:r>
    </w:p>
    <w:p w14:paraId="1CF9BE01">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2.咨询人自备的办公设备：如电脑、软件、投影、打印机、复印机、照相机等</w:t>
      </w:r>
    </w:p>
    <w:p w14:paraId="1BE7CD8B">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3.咨询人自备的交通工具：如出行车辆等</w:t>
      </w:r>
    </w:p>
    <w:p w14:paraId="49373F18">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4.咨询人自备的现场办公设施：如办公桌椅、文件柜等</w:t>
      </w:r>
    </w:p>
    <w:p w14:paraId="379F520A">
      <w:pPr>
        <w:autoSpaceDE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5.咨询人自备的安全设施：如安全帽、安全鞋、手电筒等</w:t>
      </w:r>
    </w:p>
    <w:p w14:paraId="770AF3A6">
      <w:pPr>
        <w:spacing w:line="360" w:lineRule="auto"/>
        <w:jc w:val="center"/>
        <w:rPr>
          <w:rFonts w:hint="eastAsia" w:asciiTheme="minorEastAsia" w:hAnsiTheme="minorEastAsia" w:eastAsiaTheme="minorEastAsia"/>
          <w:b/>
          <w:sz w:val="24"/>
          <w:highlight w:val="none"/>
        </w:rPr>
      </w:pPr>
    </w:p>
    <w:p w14:paraId="19AEDE97">
      <w:pPr>
        <w:spacing w:line="600" w:lineRule="exact"/>
        <w:jc w:val="center"/>
        <w:rPr>
          <w:rFonts w:hint="eastAsia" w:ascii="黑体" w:hAnsi="黑体" w:eastAsia="黑体" w:cs="仿宋"/>
          <w:b/>
          <w:sz w:val="44"/>
          <w:szCs w:val="44"/>
          <w:highlight w:val="none"/>
        </w:rPr>
      </w:pPr>
    </w:p>
    <w:p w14:paraId="084E09E2">
      <w:pPr>
        <w:spacing w:line="600" w:lineRule="exact"/>
        <w:jc w:val="center"/>
        <w:rPr>
          <w:rFonts w:hint="eastAsia" w:ascii="黑体" w:hAnsi="黑体" w:eastAsia="黑体" w:cs="仿宋"/>
          <w:b/>
          <w:sz w:val="44"/>
          <w:szCs w:val="44"/>
          <w:highlight w:val="none"/>
        </w:rPr>
      </w:pPr>
    </w:p>
    <w:p w14:paraId="5CC5CD14">
      <w:pPr>
        <w:pStyle w:val="76"/>
        <w:ind w:left="840" w:hanging="420"/>
        <w:rPr>
          <w:highlight w:val="none"/>
        </w:rPr>
      </w:pPr>
    </w:p>
    <w:p w14:paraId="31768D3A">
      <w:pPr>
        <w:rPr>
          <w:highlight w:val="none"/>
        </w:rPr>
      </w:pPr>
    </w:p>
    <w:p w14:paraId="24A36D12">
      <w:pPr>
        <w:pStyle w:val="76"/>
        <w:ind w:left="840" w:hanging="420"/>
        <w:rPr>
          <w:highlight w:val="none"/>
        </w:rPr>
      </w:pPr>
    </w:p>
    <w:p w14:paraId="3398E25C">
      <w:pPr>
        <w:rPr>
          <w:highlight w:val="none"/>
        </w:rPr>
      </w:pPr>
    </w:p>
    <w:p w14:paraId="5073D600">
      <w:pPr>
        <w:pStyle w:val="76"/>
        <w:ind w:left="840" w:hanging="420"/>
        <w:rPr>
          <w:highlight w:val="none"/>
        </w:rPr>
      </w:pPr>
    </w:p>
    <w:p w14:paraId="68D86A8E">
      <w:pPr>
        <w:rPr>
          <w:highlight w:val="none"/>
        </w:rPr>
      </w:pPr>
    </w:p>
    <w:p w14:paraId="4AC557EE">
      <w:pPr>
        <w:pStyle w:val="76"/>
        <w:ind w:left="840" w:hanging="420"/>
        <w:rPr>
          <w:highlight w:val="none"/>
        </w:rPr>
      </w:pPr>
    </w:p>
    <w:p w14:paraId="1D6BB568">
      <w:pPr>
        <w:rPr>
          <w:highlight w:val="none"/>
        </w:rPr>
      </w:pPr>
    </w:p>
    <w:p w14:paraId="36A2243C">
      <w:pPr>
        <w:pStyle w:val="76"/>
        <w:ind w:left="840" w:hanging="420"/>
        <w:rPr>
          <w:highlight w:val="none"/>
        </w:rPr>
      </w:pPr>
    </w:p>
    <w:p w14:paraId="75F61BE9">
      <w:pPr>
        <w:rPr>
          <w:highlight w:val="none"/>
        </w:rPr>
      </w:pPr>
    </w:p>
    <w:p w14:paraId="72615236">
      <w:pPr>
        <w:pStyle w:val="76"/>
        <w:ind w:left="840" w:hanging="420"/>
        <w:rPr>
          <w:highlight w:val="none"/>
        </w:rPr>
      </w:pPr>
    </w:p>
    <w:p w14:paraId="5BD40E16">
      <w:pPr>
        <w:rPr>
          <w:highlight w:val="none"/>
        </w:rPr>
      </w:pPr>
    </w:p>
    <w:p w14:paraId="16D851C4">
      <w:pPr>
        <w:pStyle w:val="76"/>
        <w:ind w:left="840" w:hanging="420"/>
        <w:rPr>
          <w:highlight w:val="none"/>
        </w:rPr>
      </w:pPr>
    </w:p>
    <w:p w14:paraId="6E5D5E27">
      <w:pPr>
        <w:rPr>
          <w:highlight w:val="none"/>
        </w:rPr>
      </w:pPr>
    </w:p>
    <w:p w14:paraId="059DCDDD">
      <w:pPr>
        <w:pStyle w:val="76"/>
        <w:ind w:left="840" w:hanging="420"/>
        <w:rPr>
          <w:highlight w:val="none"/>
        </w:rPr>
      </w:pPr>
    </w:p>
    <w:p w14:paraId="6B331390">
      <w:pPr>
        <w:rPr>
          <w:highlight w:val="none"/>
        </w:rPr>
      </w:pPr>
    </w:p>
    <w:p w14:paraId="43C3A3D1">
      <w:pPr>
        <w:pStyle w:val="76"/>
        <w:ind w:left="840" w:hanging="420"/>
        <w:rPr>
          <w:highlight w:val="none"/>
        </w:rPr>
      </w:pPr>
    </w:p>
    <w:p w14:paraId="3457A03C">
      <w:pPr>
        <w:rPr>
          <w:highlight w:val="none"/>
        </w:rPr>
      </w:pPr>
    </w:p>
    <w:p w14:paraId="460E3708">
      <w:pPr>
        <w:pStyle w:val="76"/>
        <w:ind w:left="840" w:hanging="420"/>
        <w:rPr>
          <w:highlight w:val="none"/>
        </w:rPr>
      </w:pPr>
    </w:p>
    <w:p w14:paraId="55D3D1F8">
      <w:pPr>
        <w:rPr>
          <w:highlight w:val="none"/>
        </w:rPr>
      </w:pPr>
    </w:p>
    <w:p w14:paraId="1BB28EB1">
      <w:pPr>
        <w:pStyle w:val="76"/>
        <w:ind w:left="840" w:hanging="420"/>
        <w:rPr>
          <w:highlight w:val="none"/>
        </w:rPr>
      </w:pPr>
    </w:p>
    <w:p w14:paraId="1754F4CA">
      <w:pPr>
        <w:rPr>
          <w:highlight w:val="none"/>
        </w:rPr>
      </w:pPr>
    </w:p>
    <w:p w14:paraId="0EABD995">
      <w:pPr>
        <w:pStyle w:val="76"/>
        <w:ind w:left="840" w:hanging="420"/>
        <w:rPr>
          <w:highlight w:val="none"/>
        </w:rPr>
      </w:pPr>
    </w:p>
    <w:p w14:paraId="7F364627">
      <w:pPr>
        <w:rPr>
          <w:highlight w:val="none"/>
        </w:rPr>
      </w:pPr>
    </w:p>
    <w:p w14:paraId="56580333">
      <w:pPr>
        <w:pStyle w:val="76"/>
        <w:ind w:left="840" w:hanging="420"/>
        <w:rPr>
          <w:highlight w:val="none"/>
        </w:rPr>
      </w:pPr>
    </w:p>
    <w:p w14:paraId="168E994C">
      <w:pPr>
        <w:rPr>
          <w:highlight w:val="none"/>
        </w:rPr>
      </w:pPr>
    </w:p>
    <w:p w14:paraId="5B917ED8">
      <w:pPr>
        <w:pStyle w:val="76"/>
        <w:ind w:left="840" w:hanging="420"/>
        <w:rPr>
          <w:highlight w:val="none"/>
        </w:rPr>
      </w:pPr>
    </w:p>
    <w:p w14:paraId="22C1D25D">
      <w:pPr>
        <w:rPr>
          <w:highlight w:val="none"/>
        </w:rPr>
      </w:pPr>
    </w:p>
    <w:p w14:paraId="45C0836C">
      <w:pPr>
        <w:pStyle w:val="76"/>
        <w:ind w:left="840" w:hanging="420"/>
        <w:rPr>
          <w:highlight w:val="none"/>
        </w:rPr>
      </w:pPr>
    </w:p>
    <w:p w14:paraId="1F85AB32">
      <w:pPr>
        <w:rPr>
          <w:highlight w:val="none"/>
        </w:rPr>
      </w:pPr>
    </w:p>
    <w:p w14:paraId="0668C0FE">
      <w:pPr>
        <w:pStyle w:val="76"/>
        <w:ind w:left="840" w:hanging="420"/>
        <w:rPr>
          <w:highlight w:val="none"/>
        </w:rPr>
      </w:pPr>
    </w:p>
    <w:p w14:paraId="07AD842E">
      <w:pPr>
        <w:pStyle w:val="76"/>
        <w:ind w:left="840" w:hanging="420"/>
        <w:rPr>
          <w:highlight w:val="none"/>
        </w:rPr>
      </w:pPr>
    </w:p>
    <w:p w14:paraId="7D0440F6">
      <w:pPr>
        <w:rPr>
          <w:highlight w:val="none"/>
        </w:rPr>
      </w:pPr>
    </w:p>
    <w:p w14:paraId="5D273559">
      <w:pPr>
        <w:pStyle w:val="76"/>
        <w:ind w:left="840" w:hanging="420"/>
        <w:rPr>
          <w:highlight w:val="none"/>
        </w:rPr>
      </w:pPr>
    </w:p>
    <w:p w14:paraId="098685F4">
      <w:pPr>
        <w:tabs>
          <w:tab w:val="left" w:pos="4017"/>
        </w:tabs>
        <w:spacing w:line="600" w:lineRule="exact"/>
        <w:rPr>
          <w:rFonts w:hint="eastAsia" w:ascii="黑体" w:hAnsi="黑体" w:eastAsia="黑体" w:cs="仿宋"/>
          <w:b/>
          <w:sz w:val="44"/>
          <w:szCs w:val="44"/>
          <w:highlight w:val="none"/>
        </w:rPr>
      </w:pPr>
    </w:p>
    <w:p w14:paraId="40E5EEFA">
      <w:pPr>
        <w:pStyle w:val="76"/>
        <w:ind w:left="840" w:hanging="420"/>
        <w:rPr>
          <w:highlight w:val="none"/>
        </w:rPr>
      </w:pPr>
    </w:p>
    <w:p w14:paraId="0171EFCC">
      <w:pPr>
        <w:spacing w:line="600" w:lineRule="exact"/>
        <w:jc w:val="center"/>
        <w:rPr>
          <w:rFonts w:hint="eastAsia" w:ascii="黑体" w:hAnsi="黑体" w:eastAsia="黑体" w:cs="仿宋"/>
          <w:b/>
          <w:sz w:val="44"/>
          <w:szCs w:val="44"/>
          <w:highlight w:val="none"/>
        </w:rPr>
      </w:pPr>
    </w:p>
    <w:p w14:paraId="21EF0019">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第六章  图纸和资料</w:t>
      </w:r>
    </w:p>
    <w:p w14:paraId="7866F845">
      <w:pPr>
        <w:ind w:firstLine="480" w:firstLineChars="200"/>
        <w:jc w:val="center"/>
        <w:rPr>
          <w:sz w:val="24"/>
          <w:highlight w:val="none"/>
        </w:rPr>
      </w:pPr>
      <w:r>
        <w:rPr>
          <w:rFonts w:hint="eastAsia"/>
          <w:sz w:val="24"/>
          <w:highlight w:val="none"/>
        </w:rPr>
        <w:t>以采购人提供的为准</w:t>
      </w:r>
    </w:p>
    <w:p w14:paraId="219EAFF8">
      <w:pPr>
        <w:pStyle w:val="2"/>
        <w:ind w:firstLine="480"/>
        <w:rPr>
          <w:rFonts w:hint="eastAsia" w:ascii="仿宋" w:hAnsi="仿宋" w:eastAsia="仿宋" w:cs="仿宋"/>
          <w:sz w:val="24"/>
          <w:highlight w:val="none"/>
        </w:rPr>
      </w:pPr>
    </w:p>
    <w:p w14:paraId="773CDF84">
      <w:pPr>
        <w:autoSpaceDE w:val="0"/>
        <w:autoSpaceDN w:val="0"/>
        <w:adjustRightInd w:val="0"/>
        <w:rPr>
          <w:rFonts w:hint="eastAsia" w:ascii="仿宋" w:hAnsi="仿宋" w:eastAsia="仿宋" w:cs="仿宋"/>
          <w:sz w:val="24"/>
          <w:highlight w:val="none"/>
        </w:rPr>
      </w:pPr>
    </w:p>
    <w:p w14:paraId="1E64B1CD">
      <w:pPr>
        <w:spacing w:line="240" w:lineRule="auto"/>
        <w:jc w:val="center"/>
        <w:rPr>
          <w:rFonts w:hint="eastAsia" w:ascii="仿宋" w:hAnsi="仿宋" w:eastAsia="仿宋" w:cs="仿宋"/>
          <w:sz w:val="30"/>
          <w:szCs w:val="30"/>
          <w:highlight w:val="none"/>
        </w:rPr>
      </w:pPr>
    </w:p>
    <w:p w14:paraId="3775B673">
      <w:pPr>
        <w:rPr>
          <w:rFonts w:hint="eastAsia" w:ascii="仿宋" w:hAnsi="仿宋" w:eastAsia="仿宋" w:cs="仿宋"/>
          <w:sz w:val="30"/>
          <w:szCs w:val="30"/>
          <w:highlight w:val="none"/>
        </w:rPr>
      </w:pPr>
      <w:r>
        <w:rPr>
          <w:rFonts w:ascii="仿宋" w:hAnsi="仿宋" w:eastAsia="仿宋" w:cs="仿宋"/>
          <w:sz w:val="30"/>
          <w:szCs w:val="30"/>
          <w:highlight w:val="none"/>
        </w:rPr>
        <w:br w:type="page"/>
      </w:r>
    </w:p>
    <w:p w14:paraId="677BC2F5">
      <w:pPr>
        <w:spacing w:line="240" w:lineRule="auto"/>
        <w:jc w:val="center"/>
        <w:rPr>
          <w:rFonts w:hint="eastAsia" w:ascii="仿宋" w:hAnsi="仿宋" w:eastAsia="仿宋" w:cs="仿宋"/>
          <w:sz w:val="30"/>
          <w:szCs w:val="30"/>
          <w:highlight w:val="none"/>
        </w:rPr>
      </w:pPr>
    </w:p>
    <w:p w14:paraId="3328707E">
      <w:pPr>
        <w:spacing w:line="240" w:lineRule="auto"/>
        <w:jc w:val="center"/>
        <w:rPr>
          <w:rFonts w:hint="eastAsia" w:ascii="仿宋" w:hAnsi="仿宋" w:eastAsia="仿宋" w:cs="仿宋"/>
          <w:sz w:val="30"/>
          <w:szCs w:val="30"/>
          <w:highlight w:val="none"/>
        </w:rPr>
      </w:pPr>
    </w:p>
    <w:p w14:paraId="7660C39D">
      <w:pPr>
        <w:spacing w:line="240" w:lineRule="auto"/>
        <w:jc w:val="center"/>
        <w:rPr>
          <w:rFonts w:hint="eastAsia" w:ascii="仿宋" w:hAnsi="仿宋" w:eastAsia="仿宋" w:cs="仿宋"/>
          <w:sz w:val="30"/>
          <w:szCs w:val="30"/>
          <w:highlight w:val="none"/>
        </w:rPr>
      </w:pPr>
    </w:p>
    <w:p w14:paraId="4DABEDA7">
      <w:pPr>
        <w:spacing w:line="240" w:lineRule="auto"/>
        <w:jc w:val="center"/>
        <w:rPr>
          <w:rFonts w:hint="eastAsia" w:ascii="仿宋" w:hAnsi="仿宋" w:eastAsia="仿宋" w:cs="仿宋"/>
          <w:sz w:val="30"/>
          <w:szCs w:val="30"/>
          <w:highlight w:val="none"/>
        </w:rPr>
      </w:pPr>
    </w:p>
    <w:p w14:paraId="7C909C8C">
      <w:pPr>
        <w:spacing w:line="240" w:lineRule="auto"/>
        <w:jc w:val="center"/>
        <w:rPr>
          <w:rFonts w:hint="eastAsia" w:ascii="仿宋" w:hAnsi="仿宋" w:eastAsia="仿宋" w:cs="仿宋"/>
          <w:sz w:val="30"/>
          <w:szCs w:val="30"/>
          <w:highlight w:val="none"/>
        </w:rPr>
      </w:pPr>
    </w:p>
    <w:p w14:paraId="27C0CDCB">
      <w:pPr>
        <w:spacing w:line="240" w:lineRule="auto"/>
        <w:jc w:val="center"/>
        <w:rPr>
          <w:rFonts w:hint="eastAsia" w:ascii="仿宋" w:hAnsi="仿宋" w:eastAsia="仿宋" w:cs="仿宋"/>
          <w:sz w:val="30"/>
          <w:szCs w:val="30"/>
          <w:highlight w:val="none"/>
        </w:rPr>
      </w:pPr>
    </w:p>
    <w:p w14:paraId="44E34F9F">
      <w:pPr>
        <w:spacing w:line="240" w:lineRule="auto"/>
        <w:jc w:val="center"/>
        <w:rPr>
          <w:rFonts w:hint="eastAsia" w:ascii="仿宋" w:hAnsi="仿宋" w:eastAsia="仿宋" w:cs="仿宋"/>
          <w:sz w:val="30"/>
          <w:szCs w:val="30"/>
          <w:highlight w:val="none"/>
        </w:rPr>
      </w:pPr>
    </w:p>
    <w:p w14:paraId="156ADE7E">
      <w:pPr>
        <w:spacing w:line="240" w:lineRule="auto"/>
        <w:jc w:val="center"/>
        <w:rPr>
          <w:rFonts w:hint="eastAsia" w:ascii="黑体" w:hAnsi="黑体" w:eastAsia="黑体" w:cs="仿宋"/>
          <w:b/>
          <w:sz w:val="44"/>
          <w:szCs w:val="44"/>
          <w:highlight w:val="none"/>
        </w:rPr>
      </w:pPr>
    </w:p>
    <w:p w14:paraId="51B83C1F">
      <w:pPr>
        <w:spacing w:line="240" w:lineRule="auto"/>
        <w:jc w:val="center"/>
        <w:rPr>
          <w:rFonts w:hint="eastAsia" w:ascii="黑体" w:hAnsi="黑体" w:eastAsia="黑体" w:cs="仿宋"/>
          <w:b/>
          <w:sz w:val="44"/>
          <w:szCs w:val="44"/>
          <w:highlight w:val="none"/>
        </w:rPr>
      </w:pPr>
    </w:p>
    <w:p w14:paraId="1184DE9F">
      <w:pPr>
        <w:spacing w:line="240" w:lineRule="auto"/>
        <w:jc w:val="center"/>
        <w:rPr>
          <w:rFonts w:hint="eastAsia" w:ascii="黑体" w:hAnsi="黑体" w:eastAsia="黑体" w:cs="仿宋"/>
          <w:b/>
          <w:sz w:val="44"/>
          <w:szCs w:val="44"/>
          <w:highlight w:val="none"/>
        </w:rPr>
      </w:pPr>
    </w:p>
    <w:p w14:paraId="6D4D7AA8">
      <w:pPr>
        <w:spacing w:line="240" w:lineRule="auto"/>
        <w:jc w:val="center"/>
        <w:rPr>
          <w:rFonts w:hint="eastAsia" w:ascii="黑体" w:hAnsi="黑体" w:eastAsia="黑体" w:cs="仿宋"/>
          <w:b/>
          <w:sz w:val="44"/>
          <w:szCs w:val="44"/>
          <w:highlight w:val="none"/>
        </w:rPr>
      </w:pPr>
      <w:r>
        <w:rPr>
          <w:rFonts w:hint="eastAsia" w:ascii="黑体" w:hAnsi="黑体" w:eastAsia="黑体" w:cs="仿宋"/>
          <w:b/>
          <w:sz w:val="44"/>
          <w:szCs w:val="44"/>
          <w:highlight w:val="none"/>
        </w:rPr>
        <w:t>第七章  响应文件格式</w:t>
      </w:r>
    </w:p>
    <w:p w14:paraId="0A2B18EA">
      <w:pPr>
        <w:spacing w:line="240" w:lineRule="auto"/>
        <w:rPr>
          <w:rFonts w:hint="eastAsia" w:ascii="仿宋" w:hAnsi="仿宋" w:eastAsia="仿宋" w:cs="仿宋"/>
          <w:sz w:val="30"/>
          <w:szCs w:val="30"/>
          <w:highlight w:val="none"/>
        </w:rPr>
      </w:pPr>
      <w:r>
        <w:rPr>
          <w:rFonts w:ascii="仿宋" w:hAnsi="仿宋" w:eastAsia="仿宋" w:cs="仿宋"/>
          <w:sz w:val="30"/>
          <w:szCs w:val="30"/>
          <w:highlight w:val="none"/>
        </w:rPr>
        <w:br w:type="page"/>
      </w:r>
    </w:p>
    <w:p w14:paraId="3CDD6E47">
      <w:pPr>
        <w:adjustRightInd w:val="0"/>
        <w:snapToGrid w:val="0"/>
        <w:spacing w:line="600" w:lineRule="exact"/>
        <w:ind w:firstLine="600" w:firstLineChars="200"/>
        <w:jc w:val="center"/>
        <w:rPr>
          <w:rFonts w:hint="eastAsia" w:ascii="仿宋" w:hAnsi="仿宋" w:eastAsia="仿宋" w:cs="仿宋"/>
          <w:sz w:val="30"/>
          <w:szCs w:val="30"/>
          <w:highlight w:val="none"/>
        </w:rPr>
      </w:pPr>
    </w:p>
    <w:p w14:paraId="576D89DE">
      <w:pPr>
        <w:adjustRightInd w:val="0"/>
        <w:snapToGrid w:val="0"/>
        <w:spacing w:line="600" w:lineRule="exact"/>
        <w:ind w:firstLine="600" w:firstLineChars="200"/>
        <w:jc w:val="center"/>
        <w:rPr>
          <w:rFonts w:hint="eastAsia" w:ascii="仿宋" w:hAnsi="仿宋" w:eastAsia="仿宋" w:cs="仿宋"/>
          <w:sz w:val="30"/>
          <w:szCs w:val="30"/>
          <w:highlight w:val="none"/>
        </w:rPr>
      </w:pPr>
    </w:p>
    <w:p w14:paraId="36F72540">
      <w:pPr>
        <w:adjustRightInd w:val="0"/>
        <w:snapToGrid w:val="0"/>
        <w:spacing w:line="600" w:lineRule="exact"/>
        <w:ind w:firstLine="723" w:firstLineChars="200"/>
        <w:jc w:val="center"/>
        <w:rPr>
          <w:rFonts w:hint="eastAsia" w:ascii="宋体" w:hAnsi="宋体" w:cs="宋体"/>
          <w:b/>
          <w:bCs/>
          <w:sz w:val="36"/>
          <w:szCs w:val="36"/>
          <w:highlight w:val="none"/>
        </w:rPr>
      </w:pPr>
      <w:r>
        <w:rPr>
          <w:rFonts w:hint="eastAsia" w:ascii="宋体" w:hAnsi="宋体" w:cs="宋体"/>
          <w:b/>
          <w:bCs/>
          <w:sz w:val="36"/>
          <w:szCs w:val="36"/>
          <w:highlight w:val="none"/>
        </w:rPr>
        <w:t>G59</w:t>
      </w:r>
      <w:r>
        <w:rPr>
          <w:rFonts w:hint="eastAsia" w:ascii="宋体" w:hAnsi="宋体" w:cs="宋体"/>
          <w:b/>
          <w:bCs/>
          <w:sz w:val="36"/>
          <w:szCs w:val="36"/>
          <w:highlight w:val="none"/>
          <w:lang w:val="en-US" w:eastAsia="zh-CN"/>
        </w:rPr>
        <w:t>张官</w:t>
      </w:r>
      <w:r>
        <w:rPr>
          <w:rFonts w:hint="eastAsia" w:ascii="宋体" w:hAnsi="宋体" w:cs="宋体"/>
          <w:b/>
          <w:bCs/>
          <w:sz w:val="36"/>
          <w:szCs w:val="36"/>
          <w:highlight w:val="none"/>
        </w:rPr>
        <w:t>高速公路</w:t>
      </w:r>
      <w:r>
        <w:rPr>
          <w:rFonts w:hint="eastAsia" w:ascii="宋体" w:hAnsi="宋体" w:cs="宋体"/>
          <w:b/>
          <w:bCs/>
          <w:sz w:val="36"/>
          <w:szCs w:val="36"/>
          <w:highlight w:val="none"/>
          <w:lang w:val="en-US" w:eastAsia="zh-CN"/>
        </w:rPr>
        <w:t>第二标</w:t>
      </w:r>
      <w:r>
        <w:rPr>
          <w:rFonts w:hint="eastAsia" w:ascii="宋体" w:hAnsi="宋体" w:cs="宋体"/>
          <w:b/>
          <w:bCs/>
          <w:sz w:val="36"/>
          <w:szCs w:val="36"/>
          <w:highlight w:val="none"/>
        </w:rPr>
        <w:t>段房建工程竣工质量检测</w:t>
      </w:r>
    </w:p>
    <w:p w14:paraId="1C26DBAC">
      <w:pPr>
        <w:adjustRightInd w:val="0"/>
        <w:snapToGrid w:val="0"/>
        <w:spacing w:line="600" w:lineRule="exact"/>
        <w:ind w:firstLine="723" w:firstLineChars="200"/>
        <w:jc w:val="center"/>
        <w:rPr>
          <w:rFonts w:hint="eastAsia" w:ascii="宋体" w:hAnsi="宋体" w:cs="宋体"/>
          <w:sz w:val="48"/>
          <w:szCs w:val="30"/>
          <w:highlight w:val="none"/>
        </w:rPr>
      </w:pPr>
      <w:r>
        <w:rPr>
          <w:rFonts w:hint="eastAsia" w:ascii="宋体" w:hAnsi="宋体" w:cs="宋体"/>
          <w:b/>
          <w:bCs/>
          <w:sz w:val="36"/>
          <w:szCs w:val="36"/>
          <w:highlight w:val="none"/>
        </w:rPr>
        <w:t>技术服务项目</w:t>
      </w:r>
    </w:p>
    <w:p w14:paraId="2BF50579">
      <w:pPr>
        <w:adjustRightInd w:val="0"/>
        <w:snapToGrid w:val="0"/>
        <w:spacing w:line="600" w:lineRule="exact"/>
        <w:ind w:firstLine="960" w:firstLineChars="200"/>
        <w:jc w:val="center"/>
        <w:rPr>
          <w:rFonts w:hint="eastAsia" w:ascii="宋体" w:hAnsi="宋体" w:cs="宋体"/>
          <w:sz w:val="48"/>
          <w:szCs w:val="30"/>
          <w:highlight w:val="none"/>
        </w:rPr>
      </w:pPr>
    </w:p>
    <w:p w14:paraId="60858DCE">
      <w:pPr>
        <w:adjustRightInd w:val="0"/>
        <w:snapToGrid w:val="0"/>
        <w:spacing w:line="600" w:lineRule="exact"/>
        <w:ind w:firstLine="960" w:firstLineChars="200"/>
        <w:jc w:val="center"/>
        <w:rPr>
          <w:rFonts w:hint="eastAsia" w:ascii="宋体" w:hAnsi="宋体" w:cs="宋体"/>
          <w:sz w:val="48"/>
          <w:szCs w:val="30"/>
          <w:highlight w:val="none"/>
        </w:rPr>
      </w:pPr>
    </w:p>
    <w:p w14:paraId="161D44CD">
      <w:pPr>
        <w:adjustRightInd w:val="0"/>
        <w:snapToGrid w:val="0"/>
        <w:spacing w:line="600" w:lineRule="exact"/>
        <w:ind w:firstLine="960" w:firstLineChars="200"/>
        <w:jc w:val="center"/>
        <w:rPr>
          <w:rFonts w:hint="eastAsia" w:ascii="宋体" w:hAnsi="宋体" w:cs="宋体"/>
          <w:sz w:val="48"/>
          <w:szCs w:val="30"/>
          <w:highlight w:val="none"/>
        </w:rPr>
      </w:pPr>
    </w:p>
    <w:p w14:paraId="04E2B87F">
      <w:pPr>
        <w:adjustRightInd w:val="0"/>
        <w:snapToGrid w:val="0"/>
        <w:spacing w:line="600" w:lineRule="exact"/>
        <w:ind w:firstLine="1124" w:firstLineChars="200"/>
        <w:jc w:val="center"/>
        <w:rPr>
          <w:rFonts w:hint="eastAsia" w:ascii="宋体" w:hAnsi="宋体" w:cs="宋体"/>
          <w:b/>
          <w:bCs/>
          <w:sz w:val="56"/>
          <w:szCs w:val="36"/>
          <w:highlight w:val="none"/>
        </w:rPr>
      </w:pPr>
      <w:r>
        <w:rPr>
          <w:rFonts w:hint="eastAsia" w:ascii="宋体" w:hAnsi="宋体" w:cs="宋体"/>
          <w:b/>
          <w:bCs/>
          <w:sz w:val="56"/>
          <w:szCs w:val="36"/>
          <w:highlight w:val="none"/>
        </w:rPr>
        <w:t>响应文件</w:t>
      </w:r>
    </w:p>
    <w:p w14:paraId="13F576F4">
      <w:pPr>
        <w:adjustRightInd w:val="0"/>
        <w:snapToGrid w:val="0"/>
        <w:spacing w:line="600" w:lineRule="exact"/>
        <w:ind w:firstLine="960" w:firstLineChars="200"/>
        <w:jc w:val="center"/>
        <w:rPr>
          <w:rFonts w:hint="eastAsia" w:ascii="宋体" w:hAnsi="宋体" w:cs="宋体"/>
          <w:sz w:val="48"/>
          <w:szCs w:val="30"/>
          <w:highlight w:val="none"/>
        </w:rPr>
      </w:pPr>
    </w:p>
    <w:p w14:paraId="526AACCC">
      <w:pPr>
        <w:adjustRightInd w:val="0"/>
        <w:snapToGrid w:val="0"/>
        <w:spacing w:line="600" w:lineRule="exact"/>
        <w:ind w:firstLine="960" w:firstLineChars="200"/>
        <w:jc w:val="center"/>
        <w:rPr>
          <w:rFonts w:hint="eastAsia" w:ascii="宋体" w:hAnsi="宋体" w:cs="宋体"/>
          <w:sz w:val="48"/>
          <w:szCs w:val="30"/>
          <w:highlight w:val="none"/>
        </w:rPr>
      </w:pPr>
    </w:p>
    <w:p w14:paraId="00EDBF40">
      <w:pPr>
        <w:adjustRightInd w:val="0"/>
        <w:snapToGrid w:val="0"/>
        <w:spacing w:line="600" w:lineRule="exact"/>
        <w:ind w:firstLine="960" w:firstLineChars="200"/>
        <w:jc w:val="center"/>
        <w:rPr>
          <w:rFonts w:hint="eastAsia" w:ascii="宋体" w:hAnsi="宋体" w:cs="宋体"/>
          <w:sz w:val="48"/>
          <w:szCs w:val="30"/>
          <w:highlight w:val="none"/>
        </w:rPr>
      </w:pPr>
    </w:p>
    <w:p w14:paraId="463D2C2F">
      <w:pPr>
        <w:adjustRightInd w:val="0"/>
        <w:snapToGrid w:val="0"/>
        <w:spacing w:line="600" w:lineRule="exact"/>
        <w:ind w:firstLine="960" w:firstLineChars="200"/>
        <w:jc w:val="center"/>
        <w:rPr>
          <w:rFonts w:hint="eastAsia" w:ascii="宋体" w:hAnsi="宋体" w:cs="宋体"/>
          <w:sz w:val="48"/>
          <w:szCs w:val="30"/>
          <w:highlight w:val="none"/>
        </w:rPr>
      </w:pPr>
    </w:p>
    <w:p w14:paraId="5869E63E">
      <w:pPr>
        <w:adjustRightInd w:val="0"/>
        <w:snapToGrid w:val="0"/>
        <w:spacing w:line="600" w:lineRule="exact"/>
        <w:ind w:firstLine="960" w:firstLineChars="200"/>
        <w:jc w:val="center"/>
        <w:rPr>
          <w:rFonts w:hint="eastAsia" w:ascii="宋体" w:hAnsi="宋体" w:cs="宋体"/>
          <w:sz w:val="48"/>
          <w:szCs w:val="30"/>
          <w:highlight w:val="none"/>
        </w:rPr>
      </w:pPr>
    </w:p>
    <w:p w14:paraId="49DC9323">
      <w:pPr>
        <w:adjustRightInd w:val="0"/>
        <w:snapToGrid w:val="0"/>
        <w:spacing w:line="600" w:lineRule="exact"/>
        <w:ind w:firstLine="960" w:firstLineChars="200"/>
        <w:jc w:val="center"/>
        <w:rPr>
          <w:rFonts w:hint="eastAsia" w:ascii="宋体" w:hAnsi="宋体" w:cs="宋体"/>
          <w:sz w:val="48"/>
          <w:szCs w:val="30"/>
          <w:highlight w:val="none"/>
        </w:rPr>
      </w:pPr>
    </w:p>
    <w:p w14:paraId="456DB6B7">
      <w:pPr>
        <w:adjustRightInd w:val="0"/>
        <w:snapToGrid w:val="0"/>
        <w:spacing w:line="600" w:lineRule="exact"/>
        <w:ind w:firstLine="490" w:firstLineChars="175"/>
        <w:jc w:val="center"/>
        <w:rPr>
          <w:rFonts w:hint="eastAsia" w:ascii="宋体" w:hAnsi="宋体" w:cs="宋体"/>
          <w:sz w:val="28"/>
          <w:szCs w:val="28"/>
          <w:highlight w:val="none"/>
        </w:rPr>
      </w:pPr>
      <w:r>
        <w:rPr>
          <w:rFonts w:hint="eastAsia" w:ascii="宋体" w:hAnsi="宋体" w:cs="宋体"/>
          <w:sz w:val="28"/>
          <w:szCs w:val="28"/>
          <w:highlight w:val="none"/>
        </w:rPr>
        <w:t>供应商：</w:t>
      </w:r>
    </w:p>
    <w:p w14:paraId="40E033C3">
      <w:pPr>
        <w:adjustRightInd w:val="0"/>
        <w:snapToGrid w:val="0"/>
        <w:spacing w:line="600" w:lineRule="exact"/>
        <w:ind w:firstLine="560" w:firstLineChars="200"/>
        <w:jc w:val="center"/>
        <w:rPr>
          <w:rFonts w:hint="eastAsia" w:ascii="宋体" w:hAnsi="宋体" w:cs="宋体"/>
          <w:sz w:val="28"/>
          <w:szCs w:val="28"/>
          <w:highlight w:val="none"/>
        </w:rPr>
      </w:pPr>
    </w:p>
    <w:p w14:paraId="4897AE2F">
      <w:pPr>
        <w:adjustRightInd w:val="0"/>
        <w:snapToGrid w:val="0"/>
        <w:spacing w:line="600" w:lineRule="exact"/>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7FB88130">
      <w:pPr>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7BD6924">
      <w:pPr>
        <w:adjustRightInd w:val="0"/>
        <w:snapToGrid w:val="0"/>
        <w:spacing w:line="600" w:lineRule="exact"/>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目  录</w:t>
      </w:r>
    </w:p>
    <w:p w14:paraId="6A896A49">
      <w:pPr>
        <w:adjustRightInd w:val="0"/>
        <w:snapToGrid w:val="0"/>
        <w:spacing w:line="600" w:lineRule="exact"/>
        <w:ind w:firstLine="1059" w:firstLineChars="353"/>
        <w:rPr>
          <w:rFonts w:hint="eastAsia" w:ascii="仿宋" w:hAnsi="仿宋" w:eastAsia="仿宋" w:cs="仿宋"/>
          <w:sz w:val="30"/>
          <w:szCs w:val="30"/>
          <w:highlight w:val="none"/>
        </w:rPr>
      </w:pPr>
    </w:p>
    <w:p w14:paraId="11115EA8">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一、响应函</w:t>
      </w:r>
    </w:p>
    <w:p w14:paraId="548CC923">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二、授权委托书(适用于有委托代理人的情况)</w:t>
      </w:r>
    </w:p>
    <w:p w14:paraId="55E05622">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三、联合体协议书(适用于供应商组成联合体的情况)</w:t>
      </w:r>
    </w:p>
    <w:p w14:paraId="1815E010">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四、响应保证金(适用于递交响应保证金的情况)</w:t>
      </w:r>
    </w:p>
    <w:p w14:paraId="1761C169">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五、商务和技术偏差表</w:t>
      </w:r>
    </w:p>
    <w:p w14:paraId="7E524360">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六、报价表</w:t>
      </w:r>
    </w:p>
    <w:p w14:paraId="52D320B1">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七、资格审查资料</w:t>
      </w:r>
    </w:p>
    <w:p w14:paraId="5BFAF260">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八、响应方案</w:t>
      </w:r>
    </w:p>
    <w:p w14:paraId="74C7BB18">
      <w:pPr>
        <w:adjustRightInd w:val="0"/>
        <w:snapToGrid w:val="0"/>
        <w:spacing w:line="600" w:lineRule="exact"/>
        <w:ind w:firstLine="988" w:firstLineChars="353"/>
        <w:rPr>
          <w:rFonts w:hint="eastAsia" w:ascii="宋体" w:hAnsi="宋体" w:cs="宋体"/>
          <w:sz w:val="28"/>
          <w:szCs w:val="28"/>
          <w:highlight w:val="none"/>
        </w:rPr>
      </w:pPr>
      <w:r>
        <w:rPr>
          <w:rFonts w:hint="eastAsia" w:ascii="宋体" w:hAnsi="宋体" w:cs="宋体"/>
          <w:sz w:val="28"/>
          <w:szCs w:val="28"/>
          <w:highlight w:val="none"/>
        </w:rPr>
        <w:t>九、其他资料</w:t>
      </w:r>
    </w:p>
    <w:p w14:paraId="483FD990">
      <w:pPr>
        <w:spacing w:line="6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6E022BC2">
      <w:pPr>
        <w:adjustRightInd w:val="0"/>
        <w:snapToGrid w:val="0"/>
        <w:spacing w:line="600" w:lineRule="exact"/>
        <w:ind w:firstLine="600" w:firstLineChars="200"/>
        <w:rPr>
          <w:rFonts w:hint="eastAsia" w:ascii="仿宋" w:hAnsi="仿宋" w:eastAsia="仿宋" w:cs="仿宋"/>
          <w:sz w:val="30"/>
          <w:szCs w:val="30"/>
          <w:highlight w:val="none"/>
        </w:rPr>
      </w:pPr>
    </w:p>
    <w:p w14:paraId="39958B3A">
      <w:pPr>
        <w:numPr>
          <w:ilvl w:val="0"/>
          <w:numId w:val="19"/>
        </w:numPr>
        <w:adjustRightInd w:val="0"/>
        <w:snapToGrid w:val="0"/>
        <w:spacing w:line="600" w:lineRule="exact"/>
        <w:ind w:firstLine="600" w:firstLineChars="200"/>
        <w:jc w:val="center"/>
        <w:rPr>
          <w:rFonts w:hint="eastAsia" w:ascii="宋体" w:hAnsi="宋体" w:cs="宋体"/>
          <w:sz w:val="30"/>
          <w:szCs w:val="30"/>
          <w:highlight w:val="none"/>
        </w:rPr>
      </w:pPr>
      <w:r>
        <w:rPr>
          <w:rFonts w:hint="eastAsia" w:ascii="宋体" w:hAnsi="宋体" w:cs="宋体"/>
          <w:sz w:val="30"/>
          <w:szCs w:val="30"/>
          <w:highlight w:val="none"/>
        </w:rPr>
        <w:t>响应函</w:t>
      </w:r>
    </w:p>
    <w:p w14:paraId="411718E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 xml:space="preserve"> (采购人名称)：</w:t>
      </w:r>
    </w:p>
    <w:p w14:paraId="4D933E1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G59</w:t>
      </w:r>
      <w:r>
        <w:rPr>
          <w:rFonts w:hint="eastAsia" w:ascii="宋体" w:hAnsi="宋体" w:cs="宋体"/>
          <w:sz w:val="24"/>
          <w:highlight w:val="none"/>
          <w:u w:val="single"/>
          <w:lang w:val="en-US" w:eastAsia="zh-CN"/>
        </w:rPr>
        <w:t>张官</w:t>
      </w:r>
      <w:r>
        <w:rPr>
          <w:rFonts w:hint="eastAsia" w:ascii="宋体" w:hAnsi="宋体" w:cs="宋体"/>
          <w:sz w:val="24"/>
          <w:highlight w:val="none"/>
          <w:u w:val="single"/>
        </w:rPr>
        <w:t>高速公路</w:t>
      </w:r>
      <w:r>
        <w:rPr>
          <w:rFonts w:hint="eastAsia" w:ascii="宋体" w:hAnsi="宋体" w:cs="宋体"/>
          <w:sz w:val="24"/>
          <w:highlight w:val="none"/>
          <w:u w:val="single"/>
          <w:lang w:val="en-US" w:eastAsia="zh-CN"/>
        </w:rPr>
        <w:t>第二标</w:t>
      </w:r>
      <w:r>
        <w:rPr>
          <w:rFonts w:hint="eastAsia" w:ascii="宋体" w:hAnsi="宋体" w:cs="宋体"/>
          <w:sz w:val="24"/>
          <w:highlight w:val="none"/>
          <w:u w:val="single"/>
        </w:rPr>
        <w:t>段房建工程竣工质量检测技术服务项目</w:t>
      </w:r>
      <w:r>
        <w:rPr>
          <w:rFonts w:hint="eastAsia" w:ascii="宋体" w:hAnsi="宋体" w:cs="宋体"/>
          <w:sz w:val="24"/>
          <w:highlight w:val="none"/>
        </w:rPr>
        <w:t>(项目名称)采购文件的全部内容，愿意以</w:t>
      </w:r>
      <w:r>
        <w:rPr>
          <w:rFonts w:hint="eastAsia" w:ascii="宋体" w:hAnsi="宋体" w:cs="宋体"/>
          <w:sz w:val="24"/>
          <w:highlight w:val="none"/>
          <w:u w:val="single"/>
        </w:rPr>
        <w:t xml:space="preserve">        </w:t>
      </w:r>
      <w:r>
        <w:rPr>
          <w:rFonts w:hint="eastAsia" w:ascii="宋体" w:hAnsi="宋体" w:cs="宋体"/>
          <w:sz w:val="24"/>
          <w:highlight w:val="none"/>
        </w:rPr>
        <w:t>万元（含税），增值税税率为：</w:t>
      </w:r>
      <w:r>
        <w:rPr>
          <w:rFonts w:hint="eastAsia" w:ascii="宋体" w:hAnsi="宋体" w:cs="宋体"/>
          <w:sz w:val="24"/>
          <w:highlight w:val="none"/>
          <w:u w:val="single"/>
        </w:rPr>
        <w:t xml:space="preserve">     </w:t>
      </w:r>
      <w:r>
        <w:rPr>
          <w:rFonts w:hint="eastAsia" w:ascii="宋体" w:hAnsi="宋体" w:cs="宋体"/>
          <w:sz w:val="24"/>
          <w:highlight w:val="none"/>
        </w:rPr>
        <w:t>%（其中：不含税价为:</w:t>
      </w:r>
      <w:r>
        <w:rPr>
          <w:rFonts w:hint="eastAsia" w:ascii="宋体" w:hAnsi="宋体" w:cs="宋体"/>
          <w:sz w:val="24"/>
          <w:highlight w:val="none"/>
          <w:u w:val="single"/>
        </w:rPr>
        <w:t xml:space="preserve">      </w:t>
      </w:r>
      <w:r>
        <w:rPr>
          <w:rFonts w:hint="eastAsia" w:ascii="宋体" w:hAnsi="宋体" w:cs="宋体"/>
          <w:sz w:val="24"/>
          <w:highlight w:val="none"/>
        </w:rPr>
        <w:t>（元/%）;增值税税率为:</w:t>
      </w:r>
      <w:r>
        <w:rPr>
          <w:rFonts w:hint="eastAsia" w:ascii="宋体" w:hAnsi="宋体" w:cs="宋体"/>
          <w:sz w:val="24"/>
          <w:highlight w:val="none"/>
          <w:u w:val="single"/>
        </w:rPr>
        <w:t xml:space="preserve">      </w:t>
      </w:r>
      <w:r>
        <w:rPr>
          <w:rFonts w:hint="eastAsia" w:ascii="宋体" w:hAnsi="宋体" w:cs="宋体"/>
          <w:sz w:val="24"/>
          <w:highlight w:val="none"/>
        </w:rPr>
        <w:t>%)提供本项目服务，并按合同约定履行义务。</w:t>
      </w:r>
    </w:p>
    <w:p w14:paraId="1F5833A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2.我方的响应文件包括下列内容： </w:t>
      </w:r>
    </w:p>
    <w:p w14:paraId="54405EB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(1)响应函；</w:t>
      </w:r>
    </w:p>
    <w:p w14:paraId="0C3DD3C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(2)授权委托书(如有)；</w:t>
      </w:r>
    </w:p>
    <w:p w14:paraId="66E2416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(3)联合体协议书(如有)；</w:t>
      </w:r>
    </w:p>
    <w:p w14:paraId="6C43C3D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(4)响应保证金(如有)；</w:t>
      </w:r>
    </w:p>
    <w:p w14:paraId="3CCB5B6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(5)商务和技术偏差表；</w:t>
      </w:r>
    </w:p>
    <w:p w14:paraId="5C70D58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(6)报价表；</w:t>
      </w:r>
    </w:p>
    <w:p w14:paraId="2315556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(7)资格审查资料；</w:t>
      </w:r>
    </w:p>
    <w:p w14:paraId="64EEC15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(8)响应方案；</w:t>
      </w:r>
    </w:p>
    <w:p w14:paraId="066C81F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响应文件的上述组成部分如存在内容不-致的，以响应函为准。</w:t>
      </w:r>
    </w:p>
    <w:p w14:paraId="14D09FF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3.我方承诺除商务和技术偏差表列出的偏差外，我方响应采购文件的全部要求。</w:t>
      </w:r>
    </w:p>
    <w:p w14:paraId="5C9E56FB">
      <w:pPr>
        <w:numPr>
          <w:ilvl w:val="0"/>
          <w:numId w:val="20"/>
        </w:num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我方承诺在采购文件规定的响应文件有效期内不撤销响应文件。</w:t>
      </w:r>
    </w:p>
    <w:p w14:paraId="79D5E395">
      <w:pPr>
        <w:numPr>
          <w:ilvl w:val="0"/>
          <w:numId w:val="20"/>
        </w:num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如我方成交，我方承诺：</w:t>
      </w:r>
    </w:p>
    <w:p w14:paraId="595708F8">
      <w:pPr>
        <w:tabs>
          <w:tab w:val="left" w:pos="312"/>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(1)在收到成交通知书后，在成交通知书规定的期限内与你方签订合同；</w:t>
      </w:r>
    </w:p>
    <w:p w14:paraId="1CCD717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(2)在签订合同时不向你方提出附加条件；</w:t>
      </w:r>
    </w:p>
    <w:p w14:paraId="041174F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(3)按照采购文件要求递交履约保证金；</w:t>
      </w:r>
    </w:p>
    <w:p w14:paraId="4F180D0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(4)在合同约定的期限内完成合同规定的全部义务。</w:t>
      </w:r>
    </w:p>
    <w:p w14:paraId="0B988E5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6.我方在此声明，所递交的响应文件及有关资料内容完整、真实和准确，且不存在第一章“采购公告”中规定的供应商不得存在的情形。</w:t>
      </w:r>
    </w:p>
    <w:p w14:paraId="7D7F27B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7.(其他补充说明)。</w:t>
      </w:r>
    </w:p>
    <w:p w14:paraId="65DACBB3">
      <w:pPr>
        <w:adjustRightInd w:val="0"/>
        <w:snapToGrid w:val="0"/>
        <w:spacing w:line="360" w:lineRule="auto"/>
        <w:ind w:firstLine="480" w:firstLineChars="200"/>
        <w:rPr>
          <w:rFonts w:hint="eastAsia" w:ascii="宋体" w:hAnsi="宋体" w:cs="宋体"/>
          <w:sz w:val="24"/>
          <w:highlight w:val="none"/>
        </w:rPr>
      </w:pPr>
    </w:p>
    <w:p w14:paraId="2A57082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供应商：________________________(盖单位章)</w:t>
      </w:r>
    </w:p>
    <w:p w14:paraId="62BBD56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法定代表人(单位负责人)或其授权的代理人：(签字) </w:t>
      </w:r>
    </w:p>
    <w:p w14:paraId="2E24650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地址：____________________________________________</w:t>
      </w:r>
    </w:p>
    <w:p w14:paraId="76986C5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电子邮箱：_______________________________________</w:t>
      </w:r>
    </w:p>
    <w:p w14:paraId="3414A4C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电话：____________________________________________</w:t>
      </w:r>
    </w:p>
    <w:p w14:paraId="4338BA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传真：____________________________________________</w:t>
      </w:r>
    </w:p>
    <w:p w14:paraId="256D69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邮政编码：_______________________________________</w:t>
      </w:r>
    </w:p>
    <w:p w14:paraId="05168F02">
      <w:pPr>
        <w:spacing w:line="360" w:lineRule="auto"/>
        <w:ind w:firstLine="480" w:firstLineChars="200"/>
        <w:rPr>
          <w:rFonts w:hint="eastAsia" w:ascii="宋体" w:hAnsi="宋体" w:cs="宋体"/>
          <w:sz w:val="24"/>
          <w:highlight w:val="none"/>
        </w:rPr>
      </w:pPr>
    </w:p>
    <w:p w14:paraId="64863DF1">
      <w:pPr>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 xml:space="preserve"> 年    月    日</w:t>
      </w:r>
    </w:p>
    <w:p w14:paraId="59C3CE8B">
      <w:pPr>
        <w:spacing w:line="240" w:lineRule="auto"/>
        <w:rPr>
          <w:rFonts w:hint="eastAsia" w:ascii="宋体" w:hAnsi="宋体" w:cs="宋体"/>
          <w:sz w:val="30"/>
          <w:szCs w:val="30"/>
          <w:highlight w:val="none"/>
        </w:rPr>
      </w:pPr>
      <w:r>
        <w:rPr>
          <w:rFonts w:hint="eastAsia" w:ascii="宋体" w:hAnsi="宋体" w:cs="宋体"/>
          <w:sz w:val="30"/>
          <w:szCs w:val="30"/>
          <w:highlight w:val="none"/>
        </w:rPr>
        <w:br w:type="page"/>
      </w:r>
    </w:p>
    <w:p w14:paraId="19CD92CE">
      <w:pPr>
        <w:spacing w:line="400" w:lineRule="exact"/>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附：守法诚信承诺书</w:t>
      </w:r>
    </w:p>
    <w:p w14:paraId="7AFE284A">
      <w:pPr>
        <w:spacing w:line="360" w:lineRule="auto"/>
        <w:ind w:firstLine="420" w:firstLineChars="200"/>
        <w:rPr>
          <w:rFonts w:hint="eastAsia" w:ascii="宋体" w:hAnsi="宋体" w:cs="宋体"/>
          <w:szCs w:val="21"/>
          <w:highlight w:val="none"/>
        </w:rPr>
      </w:pPr>
    </w:p>
    <w:p w14:paraId="4E543A6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××公司：</w:t>
      </w:r>
    </w:p>
    <w:p w14:paraId="73F37AE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为维护社会的公平正义，我司郑重承诺，与贵公司不存在有可能影响采购公正的利害关系。</w:t>
      </w:r>
    </w:p>
    <w:p w14:paraId="67B1BA9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1、我司已仔细阅读《××单位××文件》（编号××）（以下简称采购文件），包括采购文件的澄清或修改说明，完全支持并响应，不存在误解或不明。</w:t>
      </w:r>
    </w:p>
    <w:p w14:paraId="637803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2、遵纪守法，不触底线，公平公正参与竞争。我司提供的《响应文件》及其资料真实合法有效。 </w:t>
      </w:r>
    </w:p>
    <w:p w14:paraId="4F7F89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3、响应期间没有因质量或服务问题被采购人或采购人上级机构通报且在整改期内。</w:t>
      </w:r>
    </w:p>
    <w:p w14:paraId="31FA70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4、响应单位法定代表人为同一个人或者存在控股关系，管理关系的不同单位，没有在本项目中同时报价。</w:t>
      </w:r>
    </w:p>
    <w:p w14:paraId="1615AB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5、无联合体另外报价。</w:t>
      </w:r>
    </w:p>
    <w:p w14:paraId="6F2C67F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6、单位、法定代表人（单位负责人）、委托代理人（授权代表）无暂停或取消投标资格、骗取中标、行贿等不良记录以及其他违法犯罪记录；无围标串标、恶意投诉、买卖资质等违法违规行为。</w:t>
      </w:r>
    </w:p>
    <w:p w14:paraId="30B28AB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7、诚实守信，优质高效履行合同。一旦中选，我司将严格遵守采购文件的约定，不附加条件，及时商谈、签约、履约。</w:t>
      </w:r>
    </w:p>
    <w:p w14:paraId="4A2487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8、自我管理，知行合一，主动承担社会责任。坚持“五大发展理念”，始终为用户着想，维护同业形象，自觉接受监管，维护和谐稳定。</w:t>
      </w:r>
    </w:p>
    <w:p w14:paraId="57B532B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1CDB641F">
      <w:pPr>
        <w:spacing w:line="360" w:lineRule="auto"/>
        <w:ind w:firstLine="480" w:firstLineChars="200"/>
        <w:rPr>
          <w:rFonts w:hint="eastAsia" w:ascii="宋体" w:hAnsi="宋体" w:cs="宋体"/>
          <w:sz w:val="24"/>
          <w:highlight w:val="none"/>
        </w:rPr>
      </w:pPr>
    </w:p>
    <w:p w14:paraId="4A8C5F3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专此承诺。</w:t>
      </w:r>
    </w:p>
    <w:p w14:paraId="63DD96C6">
      <w:pPr>
        <w:spacing w:line="360" w:lineRule="auto"/>
        <w:ind w:firstLine="480" w:firstLineChars="200"/>
        <w:rPr>
          <w:rFonts w:hint="eastAsia" w:ascii="宋体" w:hAnsi="宋体" w:cs="宋体"/>
          <w:sz w:val="24"/>
          <w:highlight w:val="none"/>
        </w:rPr>
      </w:pPr>
    </w:p>
    <w:p w14:paraId="06A90EC8">
      <w:pPr>
        <w:spacing w:line="360" w:lineRule="auto"/>
        <w:ind w:firstLine="480" w:firstLineChars="200"/>
        <w:rPr>
          <w:rFonts w:hint="eastAsia" w:ascii="宋体" w:hAnsi="宋体" w:cs="宋体"/>
          <w:sz w:val="24"/>
          <w:highlight w:val="none"/>
        </w:rPr>
      </w:pPr>
    </w:p>
    <w:p w14:paraId="37FD3BF1">
      <w:pPr>
        <w:spacing w:line="360" w:lineRule="auto"/>
        <w:ind w:firstLine="2160" w:firstLineChars="900"/>
        <w:rPr>
          <w:rFonts w:hint="eastAsia" w:ascii="宋体" w:hAnsi="宋体" w:cs="宋体"/>
          <w:sz w:val="24"/>
          <w:highlight w:val="none"/>
        </w:rPr>
      </w:pPr>
      <w:r>
        <w:rPr>
          <w:rFonts w:hint="eastAsia" w:ascii="宋体" w:hAnsi="宋体" w:cs="宋体"/>
          <w:sz w:val="24"/>
          <w:highlight w:val="none"/>
        </w:rPr>
        <w:t>承诺单位（印刷体全称+单位公章）：</w:t>
      </w:r>
    </w:p>
    <w:p w14:paraId="6B57DC7A">
      <w:pPr>
        <w:spacing w:line="360" w:lineRule="auto"/>
        <w:ind w:firstLine="2160" w:firstLineChars="900"/>
        <w:rPr>
          <w:rFonts w:hint="eastAsia" w:ascii="宋体" w:hAnsi="宋体" w:cs="宋体"/>
          <w:sz w:val="24"/>
          <w:highlight w:val="none"/>
        </w:rPr>
      </w:pPr>
      <w:r>
        <w:rPr>
          <w:rFonts w:hint="eastAsia" w:ascii="宋体" w:hAnsi="宋体" w:cs="宋体"/>
          <w:sz w:val="24"/>
          <w:highlight w:val="none"/>
        </w:rPr>
        <w:t>承诺单位法定代表人或其委托代理人（印刷体+签字）：</w:t>
      </w:r>
    </w:p>
    <w:p w14:paraId="64D3804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年  月   日</w:t>
      </w:r>
    </w:p>
    <w:p w14:paraId="125771CF">
      <w:pPr>
        <w:spacing w:line="600" w:lineRule="exact"/>
        <w:jc w:val="right"/>
        <w:rPr>
          <w:rFonts w:hint="eastAsia" w:ascii="宋体" w:hAnsi="宋体" w:cs="宋体"/>
          <w:sz w:val="30"/>
          <w:szCs w:val="30"/>
          <w:highlight w:val="none"/>
        </w:rPr>
      </w:pPr>
      <w:r>
        <w:rPr>
          <w:rFonts w:hint="eastAsia" w:ascii="宋体" w:hAnsi="宋体" w:cs="宋体"/>
          <w:sz w:val="30"/>
          <w:szCs w:val="30"/>
          <w:highlight w:val="none"/>
        </w:rPr>
        <w:br w:type="page"/>
      </w:r>
    </w:p>
    <w:p w14:paraId="3F2DD60C">
      <w:pPr>
        <w:numPr>
          <w:ilvl w:val="0"/>
          <w:numId w:val="19"/>
        </w:numPr>
        <w:adjustRightInd w:val="0"/>
        <w:snapToGrid w:val="0"/>
        <w:spacing w:line="600" w:lineRule="exact"/>
        <w:ind w:firstLine="600" w:firstLineChars="200"/>
        <w:jc w:val="center"/>
        <w:rPr>
          <w:rFonts w:hint="eastAsia" w:ascii="宋体" w:hAnsi="宋体" w:cs="宋体"/>
          <w:sz w:val="30"/>
          <w:szCs w:val="30"/>
          <w:highlight w:val="none"/>
        </w:rPr>
      </w:pPr>
      <w:r>
        <w:rPr>
          <w:rFonts w:hint="eastAsia" w:ascii="宋体" w:hAnsi="宋体" w:cs="宋体"/>
          <w:sz w:val="30"/>
          <w:szCs w:val="30"/>
          <w:highlight w:val="none"/>
        </w:rPr>
        <w:t>授权委托书</w:t>
      </w:r>
    </w:p>
    <w:p w14:paraId="4A303048">
      <w:pPr>
        <w:adjustRightInd w:val="0"/>
        <w:snapToGrid w:val="0"/>
        <w:spacing w:line="600" w:lineRule="exact"/>
        <w:ind w:left="420" w:leftChars="200"/>
        <w:jc w:val="center"/>
        <w:rPr>
          <w:rFonts w:hint="eastAsia" w:ascii="宋体" w:hAnsi="宋体" w:cs="宋体"/>
          <w:sz w:val="24"/>
          <w:highlight w:val="none"/>
        </w:rPr>
      </w:pPr>
      <w:r>
        <w:rPr>
          <w:rFonts w:hint="eastAsia" w:ascii="宋体" w:hAnsi="宋体" w:cs="宋体"/>
          <w:sz w:val="24"/>
          <w:highlight w:val="none"/>
        </w:rPr>
        <w:t>(适用于有委托代理人的情况)</w:t>
      </w:r>
    </w:p>
    <w:p w14:paraId="3FDA5DC0">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01F2D0B2">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委托期限：自本委托书签署之日起至</w:t>
      </w:r>
      <w:r>
        <w:rPr>
          <w:rFonts w:hint="eastAsia" w:ascii="宋体" w:hAnsi="宋体" w:cs="宋体"/>
          <w:sz w:val="24"/>
          <w:highlight w:val="none"/>
          <w:u w:val="single"/>
        </w:rPr>
        <w:t xml:space="preserve">         </w:t>
      </w:r>
      <w:r>
        <w:rPr>
          <w:rFonts w:hint="eastAsia" w:ascii="宋体" w:hAnsi="宋体" w:cs="宋体"/>
          <w:sz w:val="24"/>
          <w:highlight w:val="none"/>
        </w:rPr>
        <w:t>采购项目签订采购合同之日止。</w:t>
      </w:r>
    </w:p>
    <w:p w14:paraId="2530BD4B">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代理人无转委托权。</w:t>
      </w:r>
    </w:p>
    <w:p w14:paraId="50BE9BC6">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附：法定代表人(单位负责人)身份证复印件及委托代理人身份证复印件。</w:t>
      </w:r>
    </w:p>
    <w:p w14:paraId="6C291E3B">
      <w:pPr>
        <w:adjustRightInd w:val="0"/>
        <w:snapToGrid w:val="0"/>
        <w:spacing w:line="360" w:lineRule="auto"/>
        <w:ind w:left="420" w:leftChars="200" w:firstLine="480" w:firstLineChars="200"/>
        <w:jc w:val="both"/>
        <w:rPr>
          <w:rFonts w:hint="eastAsia" w:ascii="宋体" w:hAnsi="宋体" w:cs="宋体"/>
          <w:sz w:val="24"/>
          <w:highlight w:val="none"/>
        </w:rPr>
      </w:pPr>
    </w:p>
    <w:p w14:paraId="08A8EC43">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供应商：(盖单位章)</w:t>
      </w:r>
    </w:p>
    <w:p w14:paraId="078186C4">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法定代表人(单位负责人)： (签字)</w:t>
      </w:r>
    </w:p>
    <w:p w14:paraId="07427250">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身份证号码： </w:t>
      </w:r>
    </w:p>
    <w:p w14:paraId="22069F16">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委托代理人：(签字) </w:t>
      </w:r>
    </w:p>
    <w:p w14:paraId="3BFB1205">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身份证号码：</w:t>
      </w:r>
    </w:p>
    <w:p w14:paraId="08EFCFAF">
      <w:pPr>
        <w:adjustRightInd w:val="0"/>
        <w:snapToGrid w:val="0"/>
        <w:spacing w:line="360" w:lineRule="auto"/>
        <w:ind w:left="420" w:leftChars="200" w:firstLine="480" w:firstLineChars="200"/>
        <w:jc w:val="both"/>
        <w:rPr>
          <w:rFonts w:hint="eastAsia" w:ascii="宋体" w:hAnsi="宋体" w:cs="宋体"/>
          <w:sz w:val="24"/>
          <w:highlight w:val="none"/>
        </w:rPr>
      </w:pPr>
      <w:r>
        <w:rPr>
          <w:rFonts w:hint="eastAsia" w:ascii="宋体" w:hAnsi="宋体" w:cs="宋体"/>
          <w:sz w:val="24"/>
          <w:highlight w:val="none"/>
        </w:rPr>
        <w:t>年  月  日</w:t>
      </w:r>
    </w:p>
    <w:p w14:paraId="20258BBD">
      <w:pPr>
        <w:rPr>
          <w:rFonts w:hint="eastAsia" w:ascii="宋体" w:hAnsi="宋体" w:cs="宋体"/>
          <w:sz w:val="30"/>
          <w:szCs w:val="30"/>
          <w:highlight w:val="none"/>
        </w:rPr>
      </w:pPr>
      <w:r>
        <w:rPr>
          <w:rFonts w:hint="eastAsia" w:ascii="宋体" w:hAnsi="宋体" w:cs="宋体"/>
          <w:sz w:val="30"/>
          <w:szCs w:val="30"/>
          <w:highlight w:val="none"/>
        </w:rPr>
        <w:br w:type="page"/>
      </w:r>
    </w:p>
    <w:p w14:paraId="5AB7E63D">
      <w:pPr>
        <w:numPr>
          <w:ilvl w:val="0"/>
          <w:numId w:val="19"/>
        </w:numPr>
        <w:adjustRightInd w:val="0"/>
        <w:snapToGrid w:val="0"/>
        <w:spacing w:line="600" w:lineRule="exact"/>
        <w:ind w:firstLine="600" w:firstLineChars="200"/>
        <w:jc w:val="center"/>
        <w:rPr>
          <w:rFonts w:hint="eastAsia" w:ascii="宋体" w:hAnsi="宋体" w:cs="宋体"/>
          <w:sz w:val="30"/>
          <w:szCs w:val="30"/>
          <w:highlight w:val="none"/>
        </w:rPr>
      </w:pPr>
      <w:r>
        <w:rPr>
          <w:rFonts w:hint="eastAsia" w:ascii="宋体" w:hAnsi="宋体" w:cs="宋体"/>
          <w:sz w:val="30"/>
          <w:szCs w:val="30"/>
          <w:highlight w:val="none"/>
        </w:rPr>
        <w:t>联合体协议书</w:t>
      </w:r>
    </w:p>
    <w:p w14:paraId="50A90024">
      <w:pPr>
        <w:adjustRightInd w:val="0"/>
        <w:snapToGrid w:val="0"/>
        <w:spacing w:line="600" w:lineRule="exact"/>
        <w:jc w:val="center"/>
        <w:rPr>
          <w:rFonts w:hint="eastAsia" w:ascii="宋体" w:hAnsi="宋体" w:cs="宋体"/>
          <w:sz w:val="30"/>
          <w:szCs w:val="30"/>
          <w:highlight w:val="none"/>
        </w:rPr>
      </w:pPr>
      <w:r>
        <w:rPr>
          <w:rFonts w:hint="eastAsia" w:ascii="宋体" w:hAnsi="宋体" w:cs="宋体"/>
          <w:sz w:val="30"/>
          <w:szCs w:val="30"/>
          <w:highlight w:val="none"/>
        </w:rPr>
        <w:t>(本项目不适用)</w:t>
      </w:r>
    </w:p>
    <w:p w14:paraId="589506EE">
      <w:pPr>
        <w:adjustRightInd w:val="0"/>
        <w:snapToGrid w:val="0"/>
        <w:spacing w:line="600" w:lineRule="exact"/>
        <w:rPr>
          <w:rFonts w:hint="eastAsia" w:ascii="宋体" w:hAnsi="宋体" w:cs="宋体"/>
          <w:sz w:val="30"/>
          <w:szCs w:val="30"/>
          <w:highlight w:val="none"/>
        </w:rPr>
      </w:pPr>
      <w:r>
        <w:rPr>
          <w:rFonts w:hint="eastAsia" w:ascii="宋体" w:hAnsi="宋体" w:cs="宋体"/>
          <w:sz w:val="30"/>
          <w:szCs w:val="30"/>
          <w:highlight w:val="none"/>
        </w:rPr>
        <w:t xml:space="preserve"> </w:t>
      </w:r>
      <w:r>
        <w:rPr>
          <w:rFonts w:hint="eastAsia" w:ascii="宋体" w:hAnsi="宋体" w:cs="宋体"/>
          <w:sz w:val="30"/>
          <w:szCs w:val="30"/>
          <w:highlight w:val="none"/>
        </w:rPr>
        <w:br w:type="page"/>
      </w:r>
    </w:p>
    <w:p w14:paraId="6BCD7C33">
      <w:pPr>
        <w:adjustRightInd w:val="0"/>
        <w:snapToGrid w:val="0"/>
        <w:spacing w:line="600" w:lineRule="exact"/>
        <w:jc w:val="center"/>
        <w:rPr>
          <w:rFonts w:hint="eastAsia" w:ascii="宋体" w:hAnsi="宋体" w:cs="宋体"/>
          <w:sz w:val="30"/>
          <w:szCs w:val="30"/>
          <w:highlight w:val="none"/>
        </w:rPr>
      </w:pPr>
      <w:r>
        <w:rPr>
          <w:rFonts w:hint="eastAsia" w:ascii="宋体" w:hAnsi="宋体" w:cs="宋体"/>
          <w:sz w:val="30"/>
          <w:szCs w:val="30"/>
          <w:highlight w:val="none"/>
        </w:rPr>
        <w:t>四、响应保证金</w:t>
      </w:r>
    </w:p>
    <w:p w14:paraId="11E6C233">
      <w:pPr>
        <w:adjustRightInd w:val="0"/>
        <w:snapToGrid w:val="0"/>
        <w:spacing w:line="600" w:lineRule="exact"/>
        <w:jc w:val="center"/>
        <w:rPr>
          <w:rFonts w:hint="eastAsia" w:ascii="宋体" w:hAnsi="宋体" w:cs="宋体"/>
          <w:sz w:val="24"/>
          <w:highlight w:val="none"/>
        </w:rPr>
      </w:pPr>
      <w:r>
        <w:rPr>
          <w:rFonts w:hint="eastAsia" w:ascii="宋体" w:hAnsi="宋体" w:cs="宋体"/>
          <w:sz w:val="24"/>
          <w:highlight w:val="none"/>
        </w:rPr>
        <w:t>(适用于递交响应保证金的情况)</w:t>
      </w:r>
    </w:p>
    <w:p w14:paraId="5007C859">
      <w:pPr>
        <w:numPr>
          <w:ilvl w:val="0"/>
          <w:numId w:val="21"/>
        </w:numPr>
        <w:adjustRightInd w:val="0"/>
        <w:snapToGrid w:val="0"/>
        <w:spacing w:line="360" w:lineRule="auto"/>
        <w:ind w:firstLine="420" w:firstLineChars="175"/>
        <w:jc w:val="both"/>
        <w:rPr>
          <w:rFonts w:hint="eastAsia" w:ascii="宋体" w:hAnsi="宋体" w:cs="宋体"/>
          <w:sz w:val="24"/>
          <w:highlight w:val="none"/>
        </w:rPr>
      </w:pPr>
      <w:r>
        <w:rPr>
          <w:rFonts w:hint="eastAsia" w:ascii="宋体" w:hAnsi="宋体" w:cs="宋体"/>
          <w:sz w:val="24"/>
          <w:highlight w:val="none"/>
        </w:rPr>
        <w:t>采用转账方式的，供应商应在此提供转账凭证复印件。</w:t>
      </w:r>
    </w:p>
    <w:p w14:paraId="059BF70B">
      <w:pPr>
        <w:numPr>
          <w:ilvl w:val="0"/>
          <w:numId w:val="21"/>
        </w:numPr>
        <w:adjustRightInd w:val="0"/>
        <w:snapToGrid w:val="0"/>
        <w:spacing w:line="360" w:lineRule="auto"/>
        <w:ind w:firstLine="420" w:firstLineChars="175"/>
        <w:jc w:val="both"/>
        <w:rPr>
          <w:rFonts w:hint="eastAsia" w:ascii="宋体" w:hAnsi="宋体" w:cs="宋体"/>
          <w:sz w:val="24"/>
          <w:highlight w:val="none"/>
        </w:rPr>
      </w:pPr>
      <w:r>
        <w:rPr>
          <w:rFonts w:hint="eastAsia" w:ascii="宋体" w:hAnsi="宋体" w:cs="宋体"/>
          <w:sz w:val="24"/>
          <w:highlight w:val="none"/>
        </w:rPr>
        <w:t>采用支票、汇票等方式的，供应商应在此提供支票、汇票等的复印件，原件应单独递交。</w:t>
      </w:r>
    </w:p>
    <w:p w14:paraId="7B4AAB8A">
      <w:pPr>
        <w:numPr>
          <w:ilvl w:val="0"/>
          <w:numId w:val="21"/>
        </w:num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采用银行或担保机构担保函方式的，格式如下：</w:t>
      </w:r>
    </w:p>
    <w:p w14:paraId="76047644">
      <w:pPr>
        <w:numPr>
          <w:ilvl w:val="0"/>
          <w:numId w:val="21"/>
        </w:num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(采购人名称)：</w:t>
      </w:r>
    </w:p>
    <w:p w14:paraId="32DF4C4E">
      <w:pPr>
        <w:pStyle w:val="76"/>
        <w:ind w:left="840" w:hanging="420"/>
        <w:rPr>
          <w:highlight w:val="none"/>
        </w:rPr>
      </w:pPr>
    </w:p>
    <w:p w14:paraId="780EDE74">
      <w:pPr>
        <w:numPr>
          <w:ilvl w:val="0"/>
          <w:numId w:val="21"/>
        </w:num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鉴于(供应商名称) (以下称“供应商")于年月日参加(项目名称)采购活动，</w:t>
      </w:r>
    </w:p>
    <w:p w14:paraId="1D86CC99">
      <w:pPr>
        <w:numPr>
          <w:ilvl w:val="0"/>
          <w:numId w:val="21"/>
        </w:num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38179E9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本保函在响应文件有效期内保持有效。要求我方承担保证责任的通知应在响应文件有效期内送达我方。</w:t>
      </w:r>
    </w:p>
    <w:p w14:paraId="21B62ACF">
      <w:pPr>
        <w:spacing w:line="360" w:lineRule="auto"/>
        <w:ind w:firstLine="480" w:firstLineChars="200"/>
        <w:rPr>
          <w:rFonts w:hint="eastAsia" w:ascii="宋体" w:hAnsi="宋体" w:cs="宋体"/>
          <w:sz w:val="24"/>
          <w:highlight w:val="none"/>
        </w:rPr>
      </w:pPr>
    </w:p>
    <w:p w14:paraId="5ADD7A8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担保人名称：(盖单位章)</w:t>
      </w:r>
    </w:p>
    <w:p w14:paraId="5CFE3781">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73736644">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邮政编码：</w:t>
      </w:r>
      <w:r>
        <w:rPr>
          <w:rFonts w:hint="eastAsia" w:ascii="宋体" w:hAnsi="宋体" w:cs="宋体"/>
          <w:sz w:val="24"/>
          <w:highlight w:val="none"/>
          <w:u w:val="single"/>
        </w:rPr>
        <w:t xml:space="preserve">                       </w:t>
      </w:r>
    </w:p>
    <w:p w14:paraId="3736F8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rPr>
        <w:t xml:space="preserve">                       </w:t>
      </w:r>
    </w:p>
    <w:p w14:paraId="143D9668">
      <w:pPr>
        <w:ind w:firstLine="480" w:firstLineChars="200"/>
        <w:rPr>
          <w:rFonts w:hint="eastAsia" w:ascii="宋体" w:hAnsi="宋体" w:cs="宋体"/>
          <w:sz w:val="24"/>
          <w:highlight w:val="none"/>
        </w:rPr>
      </w:pPr>
      <w:r>
        <w:rPr>
          <w:rFonts w:hint="eastAsia" w:ascii="宋体" w:hAnsi="宋体" w:cs="宋体"/>
          <w:sz w:val="24"/>
          <w:highlight w:val="none"/>
        </w:rPr>
        <w:br w:type="page"/>
      </w:r>
    </w:p>
    <w:p w14:paraId="15371BFD">
      <w:pPr>
        <w:spacing w:line="600" w:lineRule="exact"/>
        <w:ind w:left="420" w:leftChars="200"/>
        <w:jc w:val="center"/>
        <w:rPr>
          <w:rFonts w:hint="eastAsia" w:ascii="宋体" w:hAnsi="宋体" w:cs="宋体"/>
          <w:sz w:val="30"/>
          <w:szCs w:val="30"/>
          <w:highlight w:val="none"/>
        </w:rPr>
      </w:pPr>
      <w:r>
        <w:rPr>
          <w:rFonts w:hint="eastAsia" w:ascii="宋体" w:hAnsi="宋体" w:cs="宋体"/>
          <w:sz w:val="30"/>
          <w:szCs w:val="30"/>
          <w:highlight w:val="none"/>
        </w:rPr>
        <w:t>五、商务和技术偏差表</w:t>
      </w:r>
    </w:p>
    <w:p w14:paraId="0CF28AFB">
      <w:pPr>
        <w:spacing w:line="600" w:lineRule="exact"/>
        <w:ind w:left="420" w:leftChars="200"/>
        <w:jc w:val="center"/>
        <w:rPr>
          <w:rFonts w:hint="eastAsia" w:ascii="宋体" w:hAnsi="宋体" w:cs="宋体"/>
          <w:sz w:val="30"/>
          <w:szCs w:val="30"/>
          <w:highlight w:val="none"/>
        </w:rPr>
      </w:pPr>
    </w:p>
    <w:tbl>
      <w:tblPr>
        <w:tblStyle w:val="9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13A0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5CD1403D">
            <w:pPr>
              <w:widowControl/>
              <w:spacing w:line="600" w:lineRule="exact"/>
              <w:jc w:val="both"/>
              <w:rPr>
                <w:rFonts w:hint="eastAsia" w:ascii="宋体" w:hAnsi="宋体" w:cs="宋体"/>
                <w:sz w:val="24"/>
                <w:highlight w:val="none"/>
              </w:rPr>
            </w:pPr>
            <w:r>
              <w:rPr>
                <w:rFonts w:hint="eastAsia" w:ascii="宋体" w:hAnsi="宋体" w:cs="宋体"/>
                <w:sz w:val="24"/>
                <w:highlight w:val="none"/>
              </w:rPr>
              <w:t>序号</w:t>
            </w:r>
          </w:p>
        </w:tc>
        <w:tc>
          <w:tcPr>
            <w:tcW w:w="2784" w:type="dxa"/>
          </w:tcPr>
          <w:p w14:paraId="5FDDBA65">
            <w:pPr>
              <w:widowControl/>
              <w:spacing w:line="600" w:lineRule="exact"/>
              <w:jc w:val="both"/>
              <w:rPr>
                <w:rFonts w:hint="eastAsia" w:ascii="宋体" w:hAnsi="宋体" w:cs="宋体"/>
                <w:sz w:val="24"/>
                <w:highlight w:val="none"/>
              </w:rPr>
            </w:pPr>
            <w:r>
              <w:rPr>
                <w:rFonts w:hint="eastAsia" w:ascii="宋体" w:hAnsi="宋体" w:cs="宋体"/>
                <w:sz w:val="24"/>
                <w:highlight w:val="none"/>
              </w:rPr>
              <w:t>采购文件章节及条款号</w:t>
            </w:r>
          </w:p>
        </w:tc>
        <w:tc>
          <w:tcPr>
            <w:tcW w:w="3240" w:type="dxa"/>
          </w:tcPr>
          <w:p w14:paraId="3299A9E9">
            <w:pPr>
              <w:widowControl/>
              <w:spacing w:line="600" w:lineRule="exact"/>
              <w:jc w:val="both"/>
              <w:rPr>
                <w:rFonts w:hint="eastAsia" w:ascii="宋体" w:hAnsi="宋体" w:cs="宋体"/>
                <w:sz w:val="24"/>
                <w:highlight w:val="none"/>
              </w:rPr>
            </w:pPr>
            <w:r>
              <w:rPr>
                <w:rFonts w:hint="eastAsia" w:ascii="宋体" w:hAnsi="宋体" w:cs="宋体"/>
                <w:sz w:val="24"/>
                <w:highlight w:val="none"/>
              </w:rPr>
              <w:t>响应文件章节及条款号</w:t>
            </w:r>
          </w:p>
        </w:tc>
        <w:tc>
          <w:tcPr>
            <w:tcW w:w="1836" w:type="dxa"/>
          </w:tcPr>
          <w:p w14:paraId="60AA3EF2">
            <w:pPr>
              <w:widowControl/>
              <w:spacing w:line="600" w:lineRule="exact"/>
              <w:jc w:val="both"/>
              <w:rPr>
                <w:rFonts w:hint="eastAsia" w:ascii="宋体" w:hAnsi="宋体" w:cs="宋体"/>
                <w:sz w:val="24"/>
                <w:highlight w:val="none"/>
              </w:rPr>
            </w:pPr>
            <w:r>
              <w:rPr>
                <w:rFonts w:hint="eastAsia" w:ascii="宋体" w:hAnsi="宋体" w:cs="宋体"/>
                <w:sz w:val="24"/>
                <w:highlight w:val="none"/>
              </w:rPr>
              <w:t>偏差说明</w:t>
            </w:r>
          </w:p>
        </w:tc>
      </w:tr>
      <w:tr w14:paraId="7263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58AE3721">
            <w:pPr>
              <w:widowControl/>
              <w:spacing w:line="600" w:lineRule="exact"/>
              <w:jc w:val="both"/>
              <w:rPr>
                <w:rFonts w:hint="eastAsia" w:ascii="宋体" w:hAnsi="宋体" w:cs="宋体"/>
                <w:sz w:val="30"/>
                <w:szCs w:val="30"/>
                <w:highlight w:val="none"/>
              </w:rPr>
            </w:pPr>
          </w:p>
        </w:tc>
        <w:tc>
          <w:tcPr>
            <w:tcW w:w="2784" w:type="dxa"/>
          </w:tcPr>
          <w:p w14:paraId="5731DE04">
            <w:pPr>
              <w:widowControl/>
              <w:spacing w:line="600" w:lineRule="exact"/>
              <w:jc w:val="both"/>
              <w:rPr>
                <w:rFonts w:hint="eastAsia" w:ascii="宋体" w:hAnsi="宋体" w:cs="宋体"/>
                <w:sz w:val="30"/>
                <w:szCs w:val="30"/>
                <w:highlight w:val="none"/>
              </w:rPr>
            </w:pPr>
          </w:p>
        </w:tc>
        <w:tc>
          <w:tcPr>
            <w:tcW w:w="3240" w:type="dxa"/>
          </w:tcPr>
          <w:p w14:paraId="37C6F0EC">
            <w:pPr>
              <w:widowControl/>
              <w:spacing w:line="600" w:lineRule="exact"/>
              <w:jc w:val="both"/>
              <w:rPr>
                <w:rFonts w:hint="eastAsia" w:ascii="宋体" w:hAnsi="宋体" w:cs="宋体"/>
                <w:sz w:val="30"/>
                <w:szCs w:val="30"/>
                <w:highlight w:val="none"/>
              </w:rPr>
            </w:pPr>
          </w:p>
        </w:tc>
        <w:tc>
          <w:tcPr>
            <w:tcW w:w="1836" w:type="dxa"/>
          </w:tcPr>
          <w:p w14:paraId="2F844794">
            <w:pPr>
              <w:widowControl/>
              <w:spacing w:line="600" w:lineRule="exact"/>
              <w:jc w:val="both"/>
              <w:rPr>
                <w:rFonts w:hint="eastAsia" w:ascii="宋体" w:hAnsi="宋体" w:cs="宋体"/>
                <w:sz w:val="30"/>
                <w:szCs w:val="30"/>
                <w:highlight w:val="none"/>
              </w:rPr>
            </w:pPr>
          </w:p>
        </w:tc>
      </w:tr>
      <w:tr w14:paraId="0705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5DB533B">
            <w:pPr>
              <w:widowControl/>
              <w:spacing w:line="600" w:lineRule="exact"/>
              <w:jc w:val="both"/>
              <w:rPr>
                <w:rFonts w:hint="eastAsia" w:ascii="宋体" w:hAnsi="宋体" w:cs="宋体"/>
                <w:sz w:val="30"/>
                <w:szCs w:val="30"/>
                <w:highlight w:val="none"/>
              </w:rPr>
            </w:pPr>
          </w:p>
        </w:tc>
        <w:tc>
          <w:tcPr>
            <w:tcW w:w="2784" w:type="dxa"/>
          </w:tcPr>
          <w:p w14:paraId="0F885749">
            <w:pPr>
              <w:widowControl/>
              <w:spacing w:line="600" w:lineRule="exact"/>
              <w:jc w:val="both"/>
              <w:rPr>
                <w:rFonts w:hint="eastAsia" w:ascii="宋体" w:hAnsi="宋体" w:cs="宋体"/>
                <w:sz w:val="30"/>
                <w:szCs w:val="30"/>
                <w:highlight w:val="none"/>
              </w:rPr>
            </w:pPr>
          </w:p>
        </w:tc>
        <w:tc>
          <w:tcPr>
            <w:tcW w:w="3240" w:type="dxa"/>
          </w:tcPr>
          <w:p w14:paraId="147171E6">
            <w:pPr>
              <w:widowControl/>
              <w:spacing w:line="600" w:lineRule="exact"/>
              <w:jc w:val="both"/>
              <w:rPr>
                <w:rFonts w:hint="eastAsia" w:ascii="宋体" w:hAnsi="宋体" w:cs="宋体"/>
                <w:sz w:val="30"/>
                <w:szCs w:val="30"/>
                <w:highlight w:val="none"/>
              </w:rPr>
            </w:pPr>
          </w:p>
        </w:tc>
        <w:tc>
          <w:tcPr>
            <w:tcW w:w="1836" w:type="dxa"/>
          </w:tcPr>
          <w:p w14:paraId="1DAAC7B2">
            <w:pPr>
              <w:widowControl/>
              <w:spacing w:line="600" w:lineRule="exact"/>
              <w:jc w:val="both"/>
              <w:rPr>
                <w:rFonts w:hint="eastAsia" w:ascii="宋体" w:hAnsi="宋体" w:cs="宋体"/>
                <w:sz w:val="30"/>
                <w:szCs w:val="30"/>
                <w:highlight w:val="none"/>
              </w:rPr>
            </w:pPr>
          </w:p>
        </w:tc>
      </w:tr>
      <w:tr w14:paraId="6514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41B0A89">
            <w:pPr>
              <w:widowControl/>
              <w:spacing w:line="600" w:lineRule="exact"/>
              <w:jc w:val="both"/>
              <w:rPr>
                <w:rFonts w:hint="eastAsia" w:ascii="宋体" w:hAnsi="宋体" w:cs="宋体"/>
                <w:sz w:val="30"/>
                <w:szCs w:val="30"/>
                <w:highlight w:val="none"/>
              </w:rPr>
            </w:pPr>
          </w:p>
        </w:tc>
        <w:tc>
          <w:tcPr>
            <w:tcW w:w="2784" w:type="dxa"/>
          </w:tcPr>
          <w:p w14:paraId="674527FB">
            <w:pPr>
              <w:widowControl/>
              <w:spacing w:line="600" w:lineRule="exact"/>
              <w:jc w:val="both"/>
              <w:rPr>
                <w:rFonts w:hint="eastAsia" w:ascii="宋体" w:hAnsi="宋体" w:cs="宋体"/>
                <w:sz w:val="30"/>
                <w:szCs w:val="30"/>
                <w:highlight w:val="none"/>
              </w:rPr>
            </w:pPr>
          </w:p>
        </w:tc>
        <w:tc>
          <w:tcPr>
            <w:tcW w:w="3240" w:type="dxa"/>
          </w:tcPr>
          <w:p w14:paraId="0F60EC4B">
            <w:pPr>
              <w:widowControl/>
              <w:spacing w:line="600" w:lineRule="exact"/>
              <w:jc w:val="both"/>
              <w:rPr>
                <w:rFonts w:hint="eastAsia" w:ascii="宋体" w:hAnsi="宋体" w:cs="宋体"/>
                <w:sz w:val="30"/>
                <w:szCs w:val="30"/>
                <w:highlight w:val="none"/>
              </w:rPr>
            </w:pPr>
          </w:p>
        </w:tc>
        <w:tc>
          <w:tcPr>
            <w:tcW w:w="1836" w:type="dxa"/>
          </w:tcPr>
          <w:p w14:paraId="16E7F2FB">
            <w:pPr>
              <w:widowControl/>
              <w:spacing w:line="600" w:lineRule="exact"/>
              <w:jc w:val="both"/>
              <w:rPr>
                <w:rFonts w:hint="eastAsia" w:ascii="宋体" w:hAnsi="宋体" w:cs="宋体"/>
                <w:sz w:val="30"/>
                <w:szCs w:val="30"/>
                <w:highlight w:val="none"/>
              </w:rPr>
            </w:pPr>
          </w:p>
        </w:tc>
      </w:tr>
      <w:tr w14:paraId="522C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C671F13">
            <w:pPr>
              <w:widowControl/>
              <w:spacing w:line="600" w:lineRule="exact"/>
              <w:jc w:val="both"/>
              <w:rPr>
                <w:rFonts w:hint="eastAsia" w:ascii="宋体" w:hAnsi="宋体" w:cs="宋体"/>
                <w:sz w:val="30"/>
                <w:szCs w:val="30"/>
                <w:highlight w:val="none"/>
              </w:rPr>
            </w:pPr>
          </w:p>
        </w:tc>
        <w:tc>
          <w:tcPr>
            <w:tcW w:w="2784" w:type="dxa"/>
          </w:tcPr>
          <w:p w14:paraId="60C30AEA">
            <w:pPr>
              <w:widowControl/>
              <w:spacing w:line="600" w:lineRule="exact"/>
              <w:jc w:val="both"/>
              <w:rPr>
                <w:rFonts w:hint="eastAsia" w:ascii="宋体" w:hAnsi="宋体" w:cs="宋体"/>
                <w:sz w:val="30"/>
                <w:szCs w:val="30"/>
                <w:highlight w:val="none"/>
              </w:rPr>
            </w:pPr>
          </w:p>
        </w:tc>
        <w:tc>
          <w:tcPr>
            <w:tcW w:w="3240" w:type="dxa"/>
          </w:tcPr>
          <w:p w14:paraId="4301D7AA">
            <w:pPr>
              <w:widowControl/>
              <w:spacing w:line="600" w:lineRule="exact"/>
              <w:jc w:val="both"/>
              <w:rPr>
                <w:rFonts w:hint="eastAsia" w:ascii="宋体" w:hAnsi="宋体" w:cs="宋体"/>
                <w:sz w:val="30"/>
                <w:szCs w:val="30"/>
                <w:highlight w:val="none"/>
              </w:rPr>
            </w:pPr>
          </w:p>
        </w:tc>
        <w:tc>
          <w:tcPr>
            <w:tcW w:w="1836" w:type="dxa"/>
          </w:tcPr>
          <w:p w14:paraId="73D55A06">
            <w:pPr>
              <w:widowControl/>
              <w:spacing w:line="600" w:lineRule="exact"/>
              <w:jc w:val="both"/>
              <w:rPr>
                <w:rFonts w:hint="eastAsia" w:ascii="宋体" w:hAnsi="宋体" w:cs="宋体"/>
                <w:sz w:val="30"/>
                <w:szCs w:val="30"/>
                <w:highlight w:val="none"/>
              </w:rPr>
            </w:pPr>
          </w:p>
        </w:tc>
      </w:tr>
    </w:tbl>
    <w:p w14:paraId="273D2213">
      <w:pPr>
        <w:spacing w:line="600" w:lineRule="exact"/>
        <w:ind w:left="420" w:leftChars="200"/>
        <w:rPr>
          <w:rFonts w:hint="eastAsia" w:ascii="宋体" w:hAnsi="宋体" w:cs="宋体"/>
          <w:sz w:val="24"/>
          <w:highlight w:val="none"/>
        </w:rPr>
      </w:pPr>
      <w:r>
        <w:rPr>
          <w:rFonts w:hint="eastAsia" w:ascii="宋体" w:hAnsi="宋体" w:cs="宋体"/>
          <w:sz w:val="24"/>
          <w:highlight w:val="none"/>
        </w:rPr>
        <w:t>供应商保证：除商务和技术偏差表列出的偏差外，供应商响应采购文件的全部要求。</w:t>
      </w:r>
    </w:p>
    <w:p w14:paraId="1FC1DBE0">
      <w:pPr>
        <w:rPr>
          <w:rFonts w:hint="eastAsia" w:ascii="宋体" w:hAnsi="宋体" w:cs="宋体"/>
          <w:sz w:val="30"/>
          <w:szCs w:val="30"/>
          <w:highlight w:val="none"/>
        </w:rPr>
      </w:pPr>
      <w:r>
        <w:rPr>
          <w:rFonts w:hint="eastAsia" w:ascii="宋体" w:hAnsi="宋体" w:cs="宋体"/>
          <w:sz w:val="30"/>
          <w:szCs w:val="30"/>
          <w:highlight w:val="none"/>
        </w:rPr>
        <w:br w:type="page"/>
      </w:r>
    </w:p>
    <w:p w14:paraId="64B85CCF">
      <w:pPr>
        <w:spacing w:line="600" w:lineRule="exact"/>
        <w:jc w:val="center"/>
        <w:rPr>
          <w:rFonts w:hint="eastAsia" w:ascii="宋体" w:hAnsi="宋体" w:cs="宋体"/>
          <w:sz w:val="30"/>
          <w:szCs w:val="30"/>
          <w:highlight w:val="none"/>
        </w:rPr>
      </w:pPr>
      <w:r>
        <w:rPr>
          <w:rFonts w:hint="eastAsia" w:ascii="宋体" w:hAnsi="宋体" w:cs="宋体"/>
          <w:sz w:val="30"/>
          <w:szCs w:val="30"/>
          <w:highlight w:val="none"/>
        </w:rPr>
        <w:t>六、报价表</w:t>
      </w:r>
    </w:p>
    <w:p w14:paraId="71CA9F90">
      <w:pPr>
        <w:spacing w:line="600" w:lineRule="exact"/>
        <w:rPr>
          <w:rFonts w:hint="eastAsia" w:ascii="宋体" w:hAnsi="宋体" w:cs="宋体"/>
          <w:sz w:val="30"/>
          <w:szCs w:val="30"/>
          <w:highlight w:val="none"/>
        </w:rPr>
      </w:pPr>
      <w:r>
        <w:rPr>
          <w:rFonts w:hint="eastAsia" w:ascii="宋体" w:hAnsi="宋体" w:cs="宋体"/>
          <w:sz w:val="30"/>
          <w:szCs w:val="30"/>
          <w:highlight w:val="none"/>
        </w:rPr>
        <w:t>1.报价表说明</w:t>
      </w:r>
    </w:p>
    <w:p w14:paraId="00C24C63">
      <w:pPr>
        <w:spacing w:line="600" w:lineRule="exact"/>
        <w:rPr>
          <w:rFonts w:hint="eastAsia" w:ascii="宋体" w:hAnsi="宋体" w:cs="宋体"/>
          <w:sz w:val="30"/>
          <w:szCs w:val="30"/>
          <w:highlight w:val="none"/>
        </w:rPr>
      </w:pPr>
      <w:r>
        <w:rPr>
          <w:rFonts w:hint="eastAsia" w:ascii="宋体" w:hAnsi="宋体" w:cs="宋体"/>
          <w:sz w:val="30"/>
          <w:szCs w:val="30"/>
          <w:highlight w:val="none"/>
        </w:rPr>
        <w:t>2.报价表</w:t>
      </w:r>
    </w:p>
    <w:tbl>
      <w:tblPr>
        <w:tblStyle w:val="89"/>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70017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5CF16E1B">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r>
              <w:rPr>
                <w:rFonts w:hint="eastAsia"/>
                <w:kern w:val="2"/>
                <w:highlight w:val="none"/>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5E2669ED">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p>
        </w:tc>
        <w:tc>
          <w:tcPr>
            <w:tcW w:w="1588" w:type="dxa"/>
            <w:tcBorders>
              <w:top w:val="double" w:color="auto" w:sz="4" w:space="0"/>
              <w:left w:val="single" w:color="auto" w:sz="6" w:space="0"/>
              <w:bottom w:val="single" w:color="auto" w:sz="6" w:space="0"/>
              <w:right w:val="single" w:color="auto" w:sz="6" w:space="0"/>
            </w:tcBorders>
            <w:vAlign w:val="center"/>
          </w:tcPr>
          <w:p w14:paraId="4CC601B7">
            <w:pPr>
              <w:pStyle w:val="84"/>
              <w:adjustRightInd w:val="0"/>
              <w:snapToGrid w:val="0"/>
              <w:spacing w:before="0" w:beforeAutospacing="0" w:after="0" w:afterAutospacing="0" w:line="360" w:lineRule="auto"/>
              <w:textAlignment w:val="baseline"/>
              <w:rPr>
                <w:rFonts w:hint="eastAsia"/>
                <w:kern w:val="2"/>
                <w:highlight w:val="none"/>
              </w:rPr>
            </w:pPr>
            <w:r>
              <w:rPr>
                <w:rFonts w:hint="eastAsia"/>
                <w:kern w:val="2"/>
                <w:highlight w:val="none"/>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715CFF06">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p>
        </w:tc>
      </w:tr>
      <w:tr w14:paraId="70632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4B9B4938">
            <w:pPr>
              <w:pStyle w:val="84"/>
              <w:adjustRightInd w:val="0"/>
              <w:snapToGrid w:val="0"/>
              <w:spacing w:before="0" w:beforeAutospacing="0" w:after="0" w:afterAutospacing="0" w:line="360" w:lineRule="auto"/>
              <w:ind w:firstLine="720" w:firstLineChars="300"/>
              <w:textAlignment w:val="baseline"/>
              <w:rPr>
                <w:rFonts w:hint="eastAsia"/>
                <w:kern w:val="2"/>
                <w:highlight w:val="none"/>
              </w:rPr>
            </w:pPr>
            <w:r>
              <w:rPr>
                <w:rFonts w:hint="eastAsia"/>
                <w:kern w:val="2"/>
                <w:highlight w:val="none"/>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2559C843">
            <w:pPr>
              <w:pStyle w:val="84"/>
              <w:adjustRightInd w:val="0"/>
              <w:snapToGrid w:val="0"/>
              <w:spacing w:before="0" w:beforeAutospacing="0" w:after="0" w:afterAutospacing="0" w:line="360" w:lineRule="auto"/>
              <w:ind w:firstLine="480" w:firstLineChars="200"/>
              <w:textAlignment w:val="baseline"/>
              <w:rPr>
                <w:rFonts w:hint="eastAsia"/>
                <w:kern w:val="2"/>
                <w:highlight w:val="none"/>
                <w:u w:val="single"/>
              </w:rPr>
            </w:pPr>
          </w:p>
        </w:tc>
      </w:tr>
      <w:tr w14:paraId="49E44B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6E7C2F39">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r>
              <w:rPr>
                <w:rFonts w:hint="eastAsia"/>
                <w:kern w:val="2"/>
                <w:highlight w:val="none"/>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2AA4A9B5">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p>
        </w:tc>
      </w:tr>
      <w:tr w14:paraId="22E53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206E66F5">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r>
              <w:rPr>
                <w:rFonts w:hint="eastAsia"/>
                <w:kern w:val="2"/>
                <w:highlight w:val="none"/>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76D0A9FA">
            <w:pPr>
              <w:autoSpaceDE w:val="0"/>
              <w:spacing w:line="400" w:lineRule="exact"/>
              <w:rPr>
                <w:rFonts w:hint="eastAsia" w:ascii="宋体" w:hAnsi="宋体" w:cs="宋体"/>
                <w:sz w:val="24"/>
                <w:highlight w:val="none"/>
              </w:rPr>
            </w:pPr>
          </w:p>
        </w:tc>
      </w:tr>
      <w:tr w14:paraId="32E95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449E4523">
            <w:pPr>
              <w:pStyle w:val="84"/>
              <w:adjustRightInd w:val="0"/>
              <w:snapToGrid w:val="0"/>
              <w:spacing w:before="0" w:beforeAutospacing="0" w:after="0" w:afterAutospacing="0" w:line="360" w:lineRule="auto"/>
              <w:textAlignment w:val="baseline"/>
              <w:rPr>
                <w:rFonts w:hint="eastAsia"/>
                <w:kern w:val="2"/>
                <w:highlight w:val="none"/>
              </w:rPr>
            </w:pPr>
            <w:r>
              <w:rPr>
                <w:rFonts w:hint="eastAsia"/>
                <w:kern w:val="2"/>
                <w:highlight w:val="none"/>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5BFAD96A">
            <w:pPr>
              <w:autoSpaceDE w:val="0"/>
              <w:spacing w:line="400" w:lineRule="exact"/>
              <w:rPr>
                <w:rFonts w:hint="eastAsia" w:ascii="宋体" w:hAnsi="宋体" w:cs="宋体"/>
                <w:sz w:val="24"/>
                <w:highlight w:val="none"/>
              </w:rPr>
            </w:pPr>
          </w:p>
        </w:tc>
      </w:tr>
      <w:tr w14:paraId="771A5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5F0AA63B">
            <w:pPr>
              <w:pStyle w:val="84"/>
              <w:adjustRightInd w:val="0"/>
              <w:snapToGrid w:val="0"/>
              <w:spacing w:before="0" w:beforeAutospacing="0" w:after="0" w:afterAutospacing="0" w:line="360" w:lineRule="auto"/>
              <w:ind w:firstLine="480" w:firstLineChars="200"/>
              <w:textAlignment w:val="baseline"/>
              <w:rPr>
                <w:rFonts w:hint="eastAsia"/>
                <w:kern w:val="2"/>
                <w:highlight w:val="none"/>
              </w:rPr>
            </w:pPr>
            <w:r>
              <w:rPr>
                <w:rFonts w:hint="eastAsia"/>
                <w:kern w:val="2"/>
                <w:highlight w:val="none"/>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6FD92848">
            <w:pPr>
              <w:jc w:val="center"/>
              <w:rPr>
                <w:rFonts w:hint="eastAsia" w:ascii="宋体" w:hAnsi="宋体" w:cs="宋体"/>
                <w:sz w:val="28"/>
                <w:szCs w:val="28"/>
                <w:highlight w:val="none"/>
              </w:rPr>
            </w:pPr>
          </w:p>
        </w:tc>
      </w:tr>
    </w:tbl>
    <w:p w14:paraId="0BBDBAD1">
      <w:pPr>
        <w:spacing w:line="600" w:lineRule="exact"/>
        <w:ind w:left="420" w:leftChars="200"/>
        <w:rPr>
          <w:rFonts w:hint="eastAsia" w:ascii="宋体" w:hAnsi="宋体" w:cs="宋体"/>
          <w:sz w:val="24"/>
          <w:highlight w:val="none"/>
        </w:rPr>
      </w:pPr>
    </w:p>
    <w:p w14:paraId="5F832D14">
      <w:pPr>
        <w:spacing w:line="600" w:lineRule="exact"/>
        <w:ind w:left="420" w:leftChars="200"/>
        <w:rPr>
          <w:rFonts w:hint="eastAsia" w:ascii="宋体" w:hAnsi="宋体" w:cs="宋体"/>
          <w:sz w:val="24"/>
          <w:highlight w:val="none"/>
        </w:rPr>
      </w:pPr>
      <w:r>
        <w:rPr>
          <w:rFonts w:hint="eastAsia" w:ascii="宋体" w:hAnsi="宋体" w:cs="宋体"/>
          <w:sz w:val="24"/>
          <w:highlight w:val="none"/>
        </w:rPr>
        <w:t>注：1、若分项费用的计算依据、过程和公式不便在表中表述，可单独另附表格或描述进行说明。</w:t>
      </w:r>
    </w:p>
    <w:p w14:paraId="604A495E">
      <w:pPr>
        <w:rPr>
          <w:rFonts w:hint="eastAsia" w:ascii="宋体" w:hAnsi="宋体" w:cs="宋体"/>
          <w:sz w:val="30"/>
          <w:szCs w:val="30"/>
          <w:highlight w:val="none"/>
        </w:rPr>
      </w:pPr>
      <w:r>
        <w:rPr>
          <w:rFonts w:hint="eastAsia" w:ascii="宋体" w:hAnsi="宋体" w:cs="宋体"/>
          <w:sz w:val="30"/>
          <w:szCs w:val="30"/>
          <w:highlight w:val="none"/>
        </w:rPr>
        <w:br w:type="page"/>
      </w:r>
    </w:p>
    <w:p w14:paraId="6601BE7D">
      <w:pPr>
        <w:pStyle w:val="2"/>
        <w:rPr>
          <w:rFonts w:hint="default" w:ascii="宋体" w:hAnsi="宋体" w:eastAsia="宋体" w:cs="宋体"/>
          <w:sz w:val="30"/>
          <w:szCs w:val="30"/>
          <w:highlight w:val="none"/>
          <w:lang w:val="en-US" w:eastAsia="zh-CN"/>
        </w:rPr>
      </w:pPr>
      <w:r>
        <w:rPr>
          <w:rFonts w:hint="eastAsia" w:ascii="宋体" w:hAnsi="宋体" w:cs="宋体"/>
          <w:sz w:val="30"/>
          <w:szCs w:val="30"/>
          <w:highlight w:val="none"/>
        </w:rPr>
        <w:t>G59呼北高速张家界至官庄段高速公路项目房建工程</w:t>
      </w:r>
      <w:r>
        <w:rPr>
          <w:rFonts w:hint="eastAsia" w:ascii="宋体" w:hAnsi="宋体" w:cs="宋体"/>
          <w:sz w:val="30"/>
          <w:szCs w:val="30"/>
          <w:highlight w:val="none"/>
          <w:lang w:val="en-US" w:eastAsia="zh-CN"/>
        </w:rPr>
        <w:t>检测清单</w:t>
      </w:r>
    </w:p>
    <w:p w14:paraId="77A2B652">
      <w:pPr>
        <w:pStyle w:val="2"/>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地基基础检测</w:t>
      </w:r>
    </w:p>
    <w:tbl>
      <w:tblPr>
        <w:tblStyle w:val="89"/>
        <w:tblW w:w="54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881"/>
        <w:gridCol w:w="1577"/>
        <w:gridCol w:w="1335"/>
        <w:gridCol w:w="2050"/>
        <w:gridCol w:w="1616"/>
        <w:gridCol w:w="1000"/>
        <w:gridCol w:w="847"/>
        <w:gridCol w:w="847"/>
      </w:tblGrid>
      <w:tr w14:paraId="21C7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EE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AFA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站点名称</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556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子项名称</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6FF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基础形式</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E40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桩数（根）</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9B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检测项目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54C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5B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单价</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DD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总价</w:t>
            </w:r>
          </w:p>
        </w:tc>
      </w:tr>
      <w:tr w14:paraId="5D6A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FA1A6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B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沅古坪服务区（南区）</w:t>
            </w:r>
          </w:p>
        </w:tc>
        <w:tc>
          <w:tcPr>
            <w:tcW w:w="736" w:type="pct"/>
            <w:vMerge w:val="restart"/>
            <w:tcBorders>
              <w:top w:val="single" w:color="000000" w:sz="4" w:space="0"/>
              <w:left w:val="nil"/>
              <w:bottom w:val="single" w:color="000000" w:sz="4" w:space="0"/>
              <w:right w:val="single" w:color="000000" w:sz="4" w:space="0"/>
            </w:tcBorders>
            <w:shd w:val="clear" w:color="auto" w:fill="auto"/>
            <w:noWrap/>
            <w:vAlign w:val="center"/>
          </w:tcPr>
          <w:p w14:paraId="796CDC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服务综合楼</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A1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旋挖成孔灌注桩</w:t>
            </w:r>
          </w:p>
        </w:tc>
        <w:tc>
          <w:tcPr>
            <w:tcW w:w="9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DE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EE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低应变（根）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6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B1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BC6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0A3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15C8503">
            <w:pPr>
              <w:jc w:val="center"/>
              <w:rPr>
                <w:rFonts w:hint="eastAsia" w:ascii="宋体" w:hAnsi="宋体" w:eastAsia="宋体" w:cs="宋体"/>
                <w:i w:val="0"/>
                <w:iCs w:val="0"/>
                <w:color w:val="000000"/>
                <w:sz w:val="21"/>
                <w:szCs w:val="21"/>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CD96">
            <w:pPr>
              <w:jc w:val="center"/>
              <w:rPr>
                <w:rFonts w:hint="eastAsia" w:ascii="宋体" w:hAnsi="宋体" w:eastAsia="宋体" w:cs="宋体"/>
                <w:i w:val="0"/>
                <w:iCs w:val="0"/>
                <w:color w:val="000000"/>
                <w:sz w:val="21"/>
                <w:szCs w:val="21"/>
                <w:highlight w:val="none"/>
                <w:u w:val="none"/>
              </w:rPr>
            </w:pPr>
          </w:p>
        </w:tc>
        <w:tc>
          <w:tcPr>
            <w:tcW w:w="73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96015EA">
            <w:pPr>
              <w:jc w:val="center"/>
              <w:rPr>
                <w:rFonts w:hint="eastAsia" w:ascii="宋体" w:hAnsi="宋体" w:eastAsia="宋体" w:cs="宋体"/>
                <w:i w:val="0"/>
                <w:iCs w:val="0"/>
                <w:color w:val="000000"/>
                <w:sz w:val="21"/>
                <w:szCs w:val="21"/>
                <w:highlight w:val="none"/>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44A8">
            <w:pPr>
              <w:jc w:val="center"/>
              <w:rPr>
                <w:rFonts w:hint="eastAsia" w:ascii="宋体" w:hAnsi="宋体" w:eastAsia="宋体" w:cs="宋体"/>
                <w:i w:val="0"/>
                <w:iCs w:val="0"/>
                <w:color w:val="000000"/>
                <w:sz w:val="21"/>
                <w:szCs w:val="21"/>
                <w:highlight w:val="none"/>
                <w:u w:val="none"/>
              </w:rPr>
            </w:pPr>
          </w:p>
        </w:tc>
        <w:tc>
          <w:tcPr>
            <w:tcW w:w="9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443E">
            <w:pPr>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B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超声波（剖面）</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88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96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BD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2A8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0D6EB1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851B">
            <w:pPr>
              <w:jc w:val="center"/>
              <w:rPr>
                <w:rFonts w:hint="eastAsia" w:ascii="宋体" w:hAnsi="宋体" w:eastAsia="宋体" w:cs="宋体"/>
                <w:i w:val="0"/>
                <w:iCs w:val="0"/>
                <w:color w:val="000000"/>
                <w:sz w:val="21"/>
                <w:szCs w:val="21"/>
                <w:highlight w:val="none"/>
                <w:u w:val="none"/>
              </w:rPr>
            </w:pPr>
          </w:p>
        </w:tc>
        <w:tc>
          <w:tcPr>
            <w:tcW w:w="73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E086221">
            <w:pPr>
              <w:jc w:val="center"/>
              <w:rPr>
                <w:rFonts w:hint="eastAsia" w:ascii="宋体" w:hAnsi="宋体" w:eastAsia="宋体" w:cs="宋体"/>
                <w:i w:val="0"/>
                <w:iCs w:val="0"/>
                <w:color w:val="000000"/>
                <w:sz w:val="21"/>
                <w:szCs w:val="21"/>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C3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AA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中风化变质砂岩，fak=400kPa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E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AC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B30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6A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FD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2CB56C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E4FF">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411BA6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水泵房</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5D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04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中风化条带状灰岩，fak=1500kPa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33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A6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70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2E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459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CFFC5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3E8B">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70D79F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变电所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5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9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块石土，fak≥160kPa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9F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7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8D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74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6C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147EC2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DF52">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057715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车辆维修站</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EA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D2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强风化条带状灰岩或中风化泥质灰岩，fak分别为400kPa、1500kPa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52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岩基载荷或浅层平板（点）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3F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143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D2A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345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C5BAA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CE29">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3C08FB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西区加油站（站房）</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49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D7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中风化条带状灰岩，fak≥1500kPa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92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BF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0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ED0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66E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128088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EC58">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0F39A8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西区加油站（油罐区）</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1C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0D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中风化条带状灰岩，fak=1500kPa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CC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DD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F7A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1B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DC6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62D60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CD1B">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A1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垃圾收集点</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BC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8F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中风化泥质灰岩或中风化条带状灰岩，fak=1500kPa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B0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14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D54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164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929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CE76E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A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沅古坪服务区（北区）</w:t>
            </w:r>
          </w:p>
        </w:tc>
        <w:tc>
          <w:tcPr>
            <w:tcW w:w="736" w:type="pct"/>
            <w:vMerge w:val="restart"/>
            <w:tcBorders>
              <w:top w:val="single" w:color="000000" w:sz="4" w:space="0"/>
              <w:left w:val="nil"/>
              <w:bottom w:val="nil"/>
              <w:right w:val="single" w:color="000000" w:sz="4" w:space="0"/>
            </w:tcBorders>
            <w:shd w:val="clear" w:color="auto" w:fill="auto"/>
            <w:noWrap/>
            <w:vAlign w:val="center"/>
          </w:tcPr>
          <w:p w14:paraId="6B9B87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服务综合楼</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71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旋挖成孔灌注桩</w:t>
            </w:r>
          </w:p>
        </w:tc>
        <w:tc>
          <w:tcPr>
            <w:tcW w:w="9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CA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19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低应变（根）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5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8C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9D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097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D552477">
            <w:pPr>
              <w:jc w:val="center"/>
              <w:rPr>
                <w:rFonts w:hint="eastAsia" w:ascii="宋体" w:hAnsi="宋体" w:eastAsia="宋体" w:cs="宋体"/>
                <w:i w:val="0"/>
                <w:iCs w:val="0"/>
                <w:color w:val="000000"/>
                <w:sz w:val="21"/>
                <w:szCs w:val="21"/>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0BF3">
            <w:pPr>
              <w:jc w:val="center"/>
              <w:rPr>
                <w:rFonts w:hint="eastAsia" w:ascii="宋体" w:hAnsi="宋体" w:eastAsia="宋体" w:cs="宋体"/>
                <w:i w:val="0"/>
                <w:iCs w:val="0"/>
                <w:color w:val="000000"/>
                <w:sz w:val="21"/>
                <w:szCs w:val="21"/>
                <w:highlight w:val="none"/>
                <w:u w:val="none"/>
              </w:rPr>
            </w:pPr>
          </w:p>
        </w:tc>
        <w:tc>
          <w:tcPr>
            <w:tcW w:w="736" w:type="pct"/>
            <w:vMerge w:val="continue"/>
            <w:tcBorders>
              <w:top w:val="single" w:color="000000" w:sz="4" w:space="0"/>
              <w:left w:val="nil"/>
              <w:bottom w:val="nil"/>
              <w:right w:val="single" w:color="000000" w:sz="4" w:space="0"/>
            </w:tcBorders>
            <w:shd w:val="clear" w:color="auto" w:fill="auto"/>
            <w:noWrap/>
            <w:vAlign w:val="center"/>
          </w:tcPr>
          <w:p w14:paraId="146A01A1">
            <w:pPr>
              <w:jc w:val="center"/>
              <w:rPr>
                <w:rFonts w:hint="eastAsia" w:ascii="宋体" w:hAnsi="宋体" w:eastAsia="宋体" w:cs="宋体"/>
                <w:i w:val="0"/>
                <w:iCs w:val="0"/>
                <w:color w:val="000000"/>
                <w:sz w:val="21"/>
                <w:szCs w:val="21"/>
                <w:highlight w:val="none"/>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2AC8">
            <w:pPr>
              <w:jc w:val="center"/>
              <w:rPr>
                <w:rFonts w:hint="eastAsia" w:ascii="宋体" w:hAnsi="宋体" w:eastAsia="宋体" w:cs="宋体"/>
                <w:i w:val="0"/>
                <w:iCs w:val="0"/>
                <w:color w:val="000000"/>
                <w:sz w:val="21"/>
                <w:szCs w:val="21"/>
                <w:highlight w:val="none"/>
                <w:u w:val="none"/>
              </w:rPr>
            </w:pPr>
          </w:p>
        </w:tc>
        <w:tc>
          <w:tcPr>
            <w:tcW w:w="9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BB6B">
            <w:pPr>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E0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超声波（剖面）</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28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7D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CC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CEB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7FE59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D08E">
            <w:pPr>
              <w:jc w:val="center"/>
              <w:rPr>
                <w:rFonts w:hint="eastAsia" w:ascii="宋体" w:hAnsi="宋体" w:eastAsia="宋体" w:cs="宋体"/>
                <w:i w:val="0"/>
                <w:iCs w:val="0"/>
                <w:color w:val="000000"/>
                <w:sz w:val="21"/>
                <w:szCs w:val="21"/>
                <w:highlight w:val="none"/>
                <w:u w:val="none"/>
              </w:rPr>
            </w:pPr>
          </w:p>
        </w:tc>
        <w:tc>
          <w:tcPr>
            <w:tcW w:w="736" w:type="pct"/>
            <w:vMerge w:val="restart"/>
            <w:tcBorders>
              <w:top w:val="single" w:color="000000" w:sz="4" w:space="0"/>
              <w:left w:val="nil"/>
              <w:bottom w:val="single" w:color="000000" w:sz="4" w:space="0"/>
              <w:right w:val="single" w:color="000000" w:sz="4" w:space="0"/>
            </w:tcBorders>
            <w:shd w:val="clear" w:color="auto" w:fill="auto"/>
            <w:noWrap/>
            <w:vAlign w:val="center"/>
          </w:tcPr>
          <w:p w14:paraId="30322C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员工宿舍</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EE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旋挖成孔灌注桩</w:t>
            </w:r>
          </w:p>
        </w:tc>
        <w:tc>
          <w:tcPr>
            <w:tcW w:w="9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1C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A1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低应变（根）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08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5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E1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BE5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61998750">
            <w:pPr>
              <w:jc w:val="center"/>
              <w:rPr>
                <w:rFonts w:hint="eastAsia" w:ascii="宋体" w:hAnsi="宋体" w:eastAsia="宋体" w:cs="宋体"/>
                <w:i w:val="0"/>
                <w:iCs w:val="0"/>
                <w:color w:val="000000"/>
                <w:sz w:val="21"/>
                <w:szCs w:val="21"/>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849A">
            <w:pPr>
              <w:jc w:val="center"/>
              <w:rPr>
                <w:rFonts w:hint="eastAsia" w:ascii="宋体" w:hAnsi="宋体" w:eastAsia="宋体" w:cs="宋体"/>
                <w:i w:val="0"/>
                <w:iCs w:val="0"/>
                <w:color w:val="000000"/>
                <w:sz w:val="21"/>
                <w:szCs w:val="21"/>
                <w:highlight w:val="none"/>
                <w:u w:val="none"/>
              </w:rPr>
            </w:pPr>
          </w:p>
        </w:tc>
        <w:tc>
          <w:tcPr>
            <w:tcW w:w="73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86F1BD6">
            <w:pPr>
              <w:jc w:val="center"/>
              <w:rPr>
                <w:rFonts w:hint="eastAsia" w:ascii="宋体" w:hAnsi="宋体" w:eastAsia="宋体" w:cs="宋体"/>
                <w:i w:val="0"/>
                <w:iCs w:val="0"/>
                <w:color w:val="000000"/>
                <w:sz w:val="21"/>
                <w:szCs w:val="21"/>
                <w:highlight w:val="none"/>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C07C">
            <w:pPr>
              <w:jc w:val="center"/>
              <w:rPr>
                <w:rFonts w:hint="eastAsia" w:ascii="宋体" w:hAnsi="宋体" w:eastAsia="宋体" w:cs="宋体"/>
                <w:i w:val="0"/>
                <w:iCs w:val="0"/>
                <w:color w:val="000000"/>
                <w:sz w:val="21"/>
                <w:szCs w:val="21"/>
                <w:highlight w:val="none"/>
                <w:u w:val="none"/>
              </w:rPr>
            </w:pPr>
          </w:p>
        </w:tc>
        <w:tc>
          <w:tcPr>
            <w:tcW w:w="9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DB5">
            <w:pPr>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D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超声波（剖面）</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1C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15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9B3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DF7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1DBDE8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03F3">
            <w:pPr>
              <w:jc w:val="center"/>
              <w:rPr>
                <w:rFonts w:hint="eastAsia" w:ascii="宋体" w:hAnsi="宋体" w:eastAsia="宋体" w:cs="宋体"/>
                <w:i w:val="0"/>
                <w:iCs w:val="0"/>
                <w:color w:val="000000"/>
                <w:sz w:val="21"/>
                <w:szCs w:val="21"/>
                <w:highlight w:val="none"/>
                <w:u w:val="none"/>
              </w:rPr>
            </w:pPr>
          </w:p>
        </w:tc>
        <w:tc>
          <w:tcPr>
            <w:tcW w:w="73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119258D">
            <w:pPr>
              <w:jc w:val="center"/>
              <w:rPr>
                <w:rFonts w:hint="eastAsia" w:ascii="宋体" w:hAnsi="宋体" w:eastAsia="宋体" w:cs="宋体"/>
                <w:i w:val="0"/>
                <w:iCs w:val="0"/>
                <w:color w:val="000000"/>
                <w:sz w:val="21"/>
                <w:szCs w:val="21"/>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9A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6E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9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3B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65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88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B74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4D573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FDAC">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7ADD21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变电所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BB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A2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处理地基，fak≥150kPa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A6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0E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C6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FE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920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1C52D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B1F4">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701EE5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车辆维修站</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7C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D0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处理地基，fak≥150kPa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00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EC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9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FF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35E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1DC5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27DF">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30D8DB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西区加油站（站房）</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4C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17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填块碎石或粉质粘土以下，fak≥180kPa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DC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A2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D1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6D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100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05EC53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B094">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3B2524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西区加油站（油罐区）</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82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2D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F7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84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3D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D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84D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0F29E7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185CE">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nil"/>
              <w:bottom w:val="single" w:color="000000" w:sz="4" w:space="0"/>
              <w:right w:val="single" w:color="000000" w:sz="4" w:space="0"/>
            </w:tcBorders>
            <w:shd w:val="clear" w:color="auto" w:fill="auto"/>
            <w:noWrap/>
            <w:vAlign w:val="center"/>
          </w:tcPr>
          <w:p w14:paraId="1B0A29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垃圾收集点</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A4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F3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中风化泥质灰岩或中风化条带状灰岩，fak=1500kPa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4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58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A2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2E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19D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59701D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7D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沅古坪收费站（大站）</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8C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收费综合楼</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2A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45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9B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7B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BF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6A4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9BA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7E4400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733F">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3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变电所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62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FF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2B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25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99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DA3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75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E9320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8BF4">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70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垃圾收集站</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46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D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96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B4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EC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B5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E61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2BD918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B2B3">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16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门卫</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59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C1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95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D3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F1A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05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77C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5879C2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6B86">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68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水泵房</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97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62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中风化泥质灰岩，fak=1500kPa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B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岩基载荷（点）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A9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1F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62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44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73A2A1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20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沅古坪收费站（小站）</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78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云仓</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7B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45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填块碎石，fak=140kPa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8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87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78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2D2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971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793044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38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南滩港收费站（小站）</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8D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云仓</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4B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5B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填块碎石，fak=140kPa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5C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B3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E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41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9B4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7EA873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73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标准化配套用房</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E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隧道A类变电所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97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31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34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0D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1D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AF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97F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3E86B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61A4">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F5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隧道B类变电所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51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6C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F6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90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84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A2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A83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09EFA0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792B">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33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隧道C类变电所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17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02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34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6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14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17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956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03D97A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1A88">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53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隧道排烟风机房</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1E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处理地基</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50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fak≥150kPa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F9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F6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B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40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39C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22EC8F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4E89">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D1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隧道水泵房</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94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18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C2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9A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8A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19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43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063E9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8C59">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58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收费大棚</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14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15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填碎石，fak≥150kPa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93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AC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AC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EDB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5D6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51D6F9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D52F">
            <w:pPr>
              <w:jc w:val="center"/>
              <w:rPr>
                <w:rFonts w:hint="eastAsia" w:ascii="宋体" w:hAnsi="宋体" w:eastAsia="宋体" w:cs="宋体"/>
                <w:i w:val="0"/>
                <w:iCs w:val="0"/>
                <w:color w:val="000000"/>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2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门卫</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A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筏板基础</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B9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fak≥140kPa</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CF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浅层平板（点）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C4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A3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B00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B4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E3D502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C20A">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合计</w:t>
            </w:r>
          </w:p>
        </w:tc>
        <w:tc>
          <w:tcPr>
            <w:tcW w:w="43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75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6821F3EE">
      <w:pPr>
        <w:pStyle w:val="2"/>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房建工程主体机构检测</w:t>
      </w:r>
    </w:p>
    <w:tbl>
      <w:tblPr>
        <w:tblStyle w:val="89"/>
        <w:tblW w:w="106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205"/>
        <w:gridCol w:w="2150"/>
        <w:gridCol w:w="884"/>
        <w:gridCol w:w="1600"/>
        <w:gridCol w:w="1600"/>
        <w:gridCol w:w="1600"/>
      </w:tblGrid>
      <w:tr w14:paraId="2CCE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B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51C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检测部位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94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检测参数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9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单位</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7B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预估抽检数量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B1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eastAsia" w:cs="Times New Roman"/>
                <w:b/>
                <w:bCs/>
                <w:i w:val="0"/>
                <w:iCs w:val="0"/>
                <w:color w:val="000000"/>
                <w:kern w:val="0"/>
                <w:sz w:val="21"/>
                <w:szCs w:val="21"/>
                <w:highlight w:val="none"/>
                <w:u w:val="none"/>
                <w:lang w:val="en-US" w:eastAsia="zh-CN" w:bidi="ar"/>
              </w:rPr>
              <w:t>单价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B2F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eastAsia" w:cs="Times New Roman"/>
                <w:b/>
                <w:bCs/>
                <w:i w:val="0"/>
                <w:iCs w:val="0"/>
                <w:color w:val="000000"/>
                <w:kern w:val="0"/>
                <w:sz w:val="21"/>
                <w:szCs w:val="21"/>
                <w:highlight w:val="none"/>
                <w:u w:val="none"/>
                <w:lang w:val="en-US" w:eastAsia="zh-CN" w:bidi="ar"/>
              </w:rPr>
              <w:t>总价</w:t>
            </w:r>
          </w:p>
        </w:tc>
      </w:tr>
      <w:tr w14:paraId="2F23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39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0C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沅古坪服务区（</w:t>
            </w:r>
            <w:r>
              <w:rPr>
                <w:rFonts w:hint="eastAsia" w:ascii="宋体" w:hAnsi="宋体" w:eastAsia="宋体" w:cs="宋体"/>
                <w:i w:val="0"/>
                <w:iCs w:val="0"/>
                <w:color w:val="000000"/>
                <w:kern w:val="0"/>
                <w:sz w:val="21"/>
                <w:szCs w:val="21"/>
                <w:highlight w:val="none"/>
                <w:u w:val="none"/>
                <w:lang w:val="en-US" w:eastAsia="zh-CN" w:bidi="ar"/>
              </w:rPr>
              <w:t>南区</w:t>
            </w:r>
            <w:r>
              <w:rPr>
                <w:rFonts w:hint="default" w:ascii="Times New Roman" w:hAnsi="Times New Roman" w:eastAsia="宋体" w:cs="Times New Roman"/>
                <w:i w:val="0"/>
                <w:iCs w:val="0"/>
                <w:color w:val="000000"/>
                <w:kern w:val="0"/>
                <w:sz w:val="21"/>
                <w:szCs w:val="21"/>
                <w:highlight w:val="none"/>
                <w:u w:val="none"/>
                <w:lang w:val="en-US" w:eastAsia="zh-CN" w:bidi="ar"/>
              </w:rPr>
              <w:t>区垃圾站、</w:t>
            </w:r>
            <w:r>
              <w:rPr>
                <w:rFonts w:hint="eastAsia" w:ascii="宋体" w:hAnsi="宋体" w:eastAsia="宋体" w:cs="宋体"/>
                <w:i w:val="0"/>
                <w:iCs w:val="0"/>
                <w:color w:val="000000"/>
                <w:kern w:val="0"/>
                <w:sz w:val="21"/>
                <w:szCs w:val="21"/>
                <w:highlight w:val="none"/>
                <w:u w:val="none"/>
                <w:lang w:val="en-US" w:eastAsia="zh-CN" w:bidi="ar"/>
              </w:rPr>
              <w:t>北区</w:t>
            </w:r>
            <w:r>
              <w:rPr>
                <w:rFonts w:hint="default" w:ascii="Times New Roman" w:hAnsi="Times New Roman" w:eastAsia="宋体" w:cs="Times New Roman"/>
                <w:i w:val="0"/>
                <w:iCs w:val="0"/>
                <w:color w:val="000000"/>
                <w:kern w:val="0"/>
                <w:sz w:val="21"/>
                <w:szCs w:val="21"/>
                <w:highlight w:val="none"/>
                <w:u w:val="none"/>
                <w:lang w:val="en-US" w:eastAsia="zh-CN" w:bidi="ar"/>
              </w:rPr>
              <w:t>区垃圾站、</w:t>
            </w:r>
            <w:r>
              <w:rPr>
                <w:rFonts w:hint="eastAsia" w:ascii="宋体" w:hAnsi="宋体" w:eastAsia="宋体" w:cs="宋体"/>
                <w:i w:val="0"/>
                <w:iCs w:val="0"/>
                <w:color w:val="000000"/>
                <w:kern w:val="0"/>
                <w:sz w:val="21"/>
                <w:szCs w:val="21"/>
                <w:highlight w:val="none"/>
                <w:u w:val="none"/>
                <w:lang w:val="en-US" w:eastAsia="zh-CN" w:bidi="ar"/>
              </w:rPr>
              <w:t>南区</w:t>
            </w:r>
            <w:r>
              <w:rPr>
                <w:rFonts w:hint="default" w:ascii="Times New Roman" w:hAnsi="Times New Roman" w:eastAsia="宋体" w:cs="Times New Roman"/>
                <w:i w:val="0"/>
                <w:iCs w:val="0"/>
                <w:color w:val="000000"/>
                <w:kern w:val="0"/>
                <w:sz w:val="21"/>
                <w:szCs w:val="21"/>
                <w:highlight w:val="none"/>
                <w:u w:val="none"/>
                <w:lang w:val="en-US" w:eastAsia="zh-CN" w:bidi="ar"/>
              </w:rPr>
              <w:t>区综合楼、</w:t>
            </w:r>
            <w:r>
              <w:rPr>
                <w:rFonts w:hint="eastAsia" w:ascii="宋体" w:hAnsi="宋体" w:eastAsia="宋体" w:cs="宋体"/>
                <w:i w:val="0"/>
                <w:iCs w:val="0"/>
                <w:color w:val="000000"/>
                <w:kern w:val="0"/>
                <w:sz w:val="21"/>
                <w:szCs w:val="21"/>
                <w:highlight w:val="none"/>
                <w:u w:val="none"/>
                <w:lang w:val="en-US" w:eastAsia="zh-CN" w:bidi="ar"/>
              </w:rPr>
              <w:t>北</w:t>
            </w:r>
            <w:r>
              <w:rPr>
                <w:rFonts w:hint="default" w:ascii="Times New Roman" w:hAnsi="Times New Roman" w:eastAsia="宋体" w:cs="Times New Roman"/>
                <w:i w:val="0"/>
                <w:iCs w:val="0"/>
                <w:color w:val="000000"/>
                <w:kern w:val="0"/>
                <w:sz w:val="21"/>
                <w:szCs w:val="21"/>
                <w:highlight w:val="none"/>
                <w:u w:val="none"/>
                <w:lang w:val="en-US" w:eastAsia="zh-CN" w:bidi="ar"/>
              </w:rPr>
              <w:t>区综合楼、变电所、车辆维修站、设备用房、员工宿舍）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混凝土抗压强度（回弹法）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58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7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F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FB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42A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38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1F52">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00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钢筋保护层厚度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A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2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92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AC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AD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50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6E34">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9B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钢筋配置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E9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3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AE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D12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138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9C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A3CB">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A6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楼板厚度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F6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A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7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938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C2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7C22">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截面尺寸</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78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A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B0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6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F60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DF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955A">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F5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建筑物标高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D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自然间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AB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D0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D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2A3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D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3BA9">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2A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建筑物垂直度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5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1D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312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F8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005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E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3865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沅古坪收费站（大站）</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6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混凝土抗压强度（回弹法）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A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4A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DB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3C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11D1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35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00E4">
            <w:pPr>
              <w:jc w:val="both"/>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E1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钢筋保护层厚度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A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A5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A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66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1DE0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0D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246C">
            <w:pPr>
              <w:jc w:val="both"/>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93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钢筋配置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FE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87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99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6F32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F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35E9">
            <w:pPr>
              <w:jc w:val="both"/>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A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楼板厚度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4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C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24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3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3A08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11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C24F">
            <w:pPr>
              <w:jc w:val="both"/>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80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截面尺寸</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1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78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DD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6E8A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DA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92F8">
            <w:pPr>
              <w:jc w:val="both"/>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F4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建筑物标高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E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自然间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C0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FF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DF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3792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3C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D0D9">
            <w:pPr>
              <w:jc w:val="both"/>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54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建筑物垂直度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91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4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6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FFE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7E8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10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沅古坪收费站（小站）</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77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混凝土抗压强度（回弹法）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91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7B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A87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62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513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3D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A453">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A8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钢筋保护层厚度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DB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F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6B2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30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E83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B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231D">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C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钢筋配置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90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DE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2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BE6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0B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C1B5">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E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楼板厚度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4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06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74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95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5FD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C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3C49">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CD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截面尺寸</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C5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8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F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DE3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0A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60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2B7B">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0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建筑物标高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7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自然间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96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5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F4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712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E5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115E">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4D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建筑物垂直度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0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7A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3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5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B6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1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6A3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南滩港收费站（小站</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F4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混凝土抗压强度（回弹法）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D9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8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12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2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5D5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6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85D6">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30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钢筋保护层厚度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7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15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EC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6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0C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3E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DE97">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6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钢筋配置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5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91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A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AE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582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0B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E24E">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AF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楼板厚度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A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A2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E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1E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7F6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C0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962D">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8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截面尺寸</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CA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C3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4E6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B9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7DB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67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59EF">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32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建筑物标高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8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自然间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00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87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A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85B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5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91E7">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8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建筑物垂直度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EB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E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43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4A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4F5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29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17A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标准化配套用房</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C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混凝土抗压强度（回弹法）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F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A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0A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3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FAE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C869">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88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钢筋保护层厚度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83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C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08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AE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5CD3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E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0CE6">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A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钢筋配置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21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93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D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21BE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0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7C81">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6C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楼板厚度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6B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6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5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0D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1601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66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37</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4E3D">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D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截面尺寸</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7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构件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24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27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88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56C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7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6566">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B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建筑物标高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67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自然间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66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4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2C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7D7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0F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39</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7A2F">
            <w:pPr>
              <w:jc w:val="center"/>
              <w:rPr>
                <w:rFonts w:hint="default" w:ascii="Times New Roman" w:hAnsi="Times New Roman" w:eastAsia="宋体" w:cs="Times New Roman"/>
                <w:i w:val="0"/>
                <w:iCs w:val="0"/>
                <w:color w:val="000000"/>
                <w:sz w:val="21"/>
                <w:szCs w:val="21"/>
                <w:highlight w:val="none"/>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6A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建筑物垂直度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4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87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C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92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EFE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2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13DB">
            <w:pPr>
              <w:jc w:val="center"/>
              <w:rPr>
                <w:rFonts w:hint="eastAsia" w:ascii="Times New Roman" w:hAnsi="Times New Roman" w:eastAsia="宋体" w:cs="Times New Roman"/>
                <w:i w:val="0"/>
                <w:iCs w:val="0"/>
                <w:color w:val="000000"/>
                <w:sz w:val="21"/>
                <w:szCs w:val="21"/>
                <w:highlight w:val="none"/>
                <w:u w:val="none"/>
                <w:lang w:eastAsia="zh-CN"/>
              </w:rPr>
            </w:pPr>
            <w:r>
              <w:rPr>
                <w:rFonts w:hint="eastAsia" w:cs="Times New Roman"/>
                <w:i w:val="0"/>
                <w:iCs w:val="0"/>
                <w:color w:val="000000"/>
                <w:sz w:val="21"/>
                <w:szCs w:val="21"/>
                <w:highlight w:val="none"/>
                <w:u w:val="none"/>
                <w:lang w:eastAsia="zh-CN"/>
              </w:rPr>
              <w:t>合计</w:t>
            </w:r>
          </w:p>
        </w:tc>
        <w:tc>
          <w:tcPr>
            <w:tcW w:w="7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44A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2EBA3220">
      <w:pPr>
        <w:pStyle w:val="2"/>
        <w:rPr>
          <w:rFonts w:hint="eastAsia" w:ascii="宋体" w:hAnsi="宋体" w:cs="宋体"/>
          <w:sz w:val="30"/>
          <w:szCs w:val="30"/>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房建节能检测</w:t>
      </w:r>
    </w:p>
    <w:tbl>
      <w:tblPr>
        <w:tblStyle w:val="89"/>
        <w:tblW w:w="101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2190"/>
        <w:gridCol w:w="1483"/>
        <w:gridCol w:w="1617"/>
        <w:gridCol w:w="917"/>
        <w:gridCol w:w="1116"/>
        <w:gridCol w:w="1116"/>
        <w:gridCol w:w="1116"/>
      </w:tblGrid>
      <w:tr w14:paraId="6F7C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59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3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36EFA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检测部位或</w:t>
            </w:r>
            <w:r>
              <w:rPr>
                <w:rFonts w:hint="default" w:ascii="Times New Roman" w:hAnsi="Times New Roman" w:eastAsia="宋体" w:cs="Times New Roman"/>
                <w:b/>
                <w:bCs/>
                <w:i w:val="0"/>
                <w:iCs w:val="0"/>
                <w:color w:val="000000"/>
                <w:kern w:val="0"/>
                <w:sz w:val="21"/>
                <w:szCs w:val="21"/>
                <w:highlight w:val="none"/>
                <w:u w:val="none"/>
                <w:lang w:val="en-US" w:eastAsia="zh-CN" w:bidi="ar"/>
              </w:rPr>
              <w:t>检测项目</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EFE9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检测参数</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7D1C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504F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抽检数量量</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A52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单价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BE58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总价</w:t>
            </w:r>
          </w:p>
        </w:tc>
      </w:tr>
      <w:tr w14:paraId="715C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60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B8FA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沅古坪服务区南区</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34E1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服务综合楼</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F55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620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EC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583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08E1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CA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FA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226ED">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0D141">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CF1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534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ECE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04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F8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76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C7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B529B">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9BF7B">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E1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06E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0C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BD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A121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7E2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67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3B95C">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2C62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水泵房</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17E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8B8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C68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B34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EE4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F1A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1AF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08AB0">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4CB248">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F37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E7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BA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0E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6C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B52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7CC1">
            <w:pPr>
              <w:jc w:val="center"/>
              <w:rPr>
                <w:rFonts w:hint="eastAsia" w:ascii="宋体" w:hAnsi="宋体" w:eastAsia="宋体" w:cs="宋体"/>
                <w:i w:val="0"/>
                <w:iCs w:val="0"/>
                <w:color w:val="000000"/>
                <w:sz w:val="22"/>
                <w:szCs w:val="22"/>
                <w:highlight w:val="none"/>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6528D">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22B7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变电所</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F39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529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432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73B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289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D24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4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0D65A">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1B3A0">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B7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56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42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B6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0AF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F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A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C2804">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737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车辆维修站</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3C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9D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B3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241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7B9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480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32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61749">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9263D">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A5A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893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0C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758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90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A2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BD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42EBD">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B2B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南区加油站（站房）</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5D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DED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749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07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CA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93E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0F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3587A">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7BE20">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252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1B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D97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58B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53C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F9F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FE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141B7">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AF758">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190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5CA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5B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222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8F9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3D4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F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A4A6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沅古坪服务区南区</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2E04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服务综合楼</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DEC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44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13A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D1D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86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F8B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703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B918B">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2920E">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26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F25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235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84B0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073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9C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16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43863">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2A2DA">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0A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F3B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764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FE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5CB0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63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C1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89BC8">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94F7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水泵房</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EEC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2AF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90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80D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9EEC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11D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0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8F565">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EAA74">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33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74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43B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06D7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D9B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E45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BD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0A5BE">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3437A">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2A7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46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1D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BA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96D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927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7AD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9A3A7">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E5D2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变电所</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C40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A7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9AD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8B1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30F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B8E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6E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99EA1">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7255F">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849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F4D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2A1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469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1EC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D1A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1F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9C2AC">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99F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车辆维修站</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4F5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FA7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05E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BA4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B0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C9B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2AA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B2BC2">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88F135">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ED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B7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03B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62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3CD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167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97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84CC1">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EB955">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EE1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858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7E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5BE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BB87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884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C04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DE70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沅古坪收费站（大站）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DD27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收费综合楼</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F50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160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FA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BE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A3A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8C7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84D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2BAA5">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F733D">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ED1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1C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30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263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08B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B94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DAD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705B3">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2BE4F">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21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728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222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F9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018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E94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EF4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2EB96">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3E65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门卫</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F2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D9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0D8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E8E1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4333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8D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8B0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AD04E">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9D02B9">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E37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536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32B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EF4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FC23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DE7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CA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B30CB">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00A02">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C1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6B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2E4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48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36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A8F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8E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3E56E2">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066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变电所</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15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CC8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7DA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E0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F82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E25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B1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DE522">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47018F">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8D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67A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84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980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74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D29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38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23C04">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01896">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491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9CA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D42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FF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882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FAA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4F3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65B0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沅古坪收费站（小站）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6CCB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收费站</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B1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7D2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D75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4C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37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563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0BF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4EE20">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2F9C2">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78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AA5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A55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B901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37D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FCD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21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142BEA">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5FC79">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BB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05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E7F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1AF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0AD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045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004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734D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南滩港收费站（小站）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41FF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交警综合楼</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4E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4D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832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ACA7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5A8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79B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AA6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F78D3">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C6B84">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C4E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DE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93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01F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671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0D8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27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763FF">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BE6EF">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48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52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2EE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60E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2E6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BD4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60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DD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标准化配套用房</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9545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收费综合楼</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D4D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A8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0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A1A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3DD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B3D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59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AD8">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8B7E4">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68E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95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592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38E7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F7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2D2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5D3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7325">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B7E06">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55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20C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29F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718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9C2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1F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9F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95D6">
            <w:pPr>
              <w:jc w:val="center"/>
              <w:rPr>
                <w:rFonts w:hint="eastAsia" w:ascii="宋体" w:hAnsi="宋体" w:eastAsia="宋体" w:cs="宋体"/>
                <w:i w:val="0"/>
                <w:iCs w:val="0"/>
                <w:color w:val="000000"/>
                <w:sz w:val="21"/>
                <w:szCs w:val="21"/>
                <w:highlight w:val="none"/>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15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门卫</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A5F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C5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4A9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D8F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190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9D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F1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C385">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4EFF">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2D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外窗现场气密性</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38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2D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396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AB9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185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988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A2E">
            <w:pPr>
              <w:jc w:val="center"/>
              <w:rPr>
                <w:rFonts w:hint="eastAsia" w:ascii="宋体" w:hAnsi="宋体" w:eastAsia="宋体" w:cs="宋体"/>
                <w:i w:val="0"/>
                <w:iCs w:val="0"/>
                <w:color w:val="000000"/>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FC61">
            <w:pPr>
              <w:jc w:val="center"/>
              <w:rPr>
                <w:rFonts w:hint="eastAsia" w:ascii="宋体" w:hAnsi="宋体" w:eastAsia="宋体" w:cs="宋体"/>
                <w:i w:val="0"/>
                <w:iCs w:val="0"/>
                <w:color w:val="000000"/>
                <w:sz w:val="21"/>
                <w:szCs w:val="21"/>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CB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节能构造钻芯</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FE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E2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E5E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8C6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850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98B1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942B">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合计</w:t>
            </w:r>
          </w:p>
        </w:tc>
        <w:tc>
          <w:tcPr>
            <w:tcW w:w="73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AE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6265D1E0">
      <w:pPr>
        <w:pStyle w:val="2"/>
        <w:rPr>
          <w:rFonts w:hint="eastAsia" w:ascii="宋体" w:hAnsi="宋体" w:cs="宋体"/>
          <w:sz w:val="24"/>
          <w:szCs w:val="24"/>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rPr>
        <w:t>房建室内空气环境检测</w:t>
      </w:r>
    </w:p>
    <w:tbl>
      <w:tblPr>
        <w:tblStyle w:val="89"/>
        <w:tblW w:w="96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2170"/>
        <w:gridCol w:w="1834"/>
        <w:gridCol w:w="1400"/>
        <w:gridCol w:w="1250"/>
        <w:gridCol w:w="1250"/>
        <w:gridCol w:w="1250"/>
      </w:tblGrid>
      <w:tr w14:paraId="710B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430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2170" w:type="dxa"/>
            <w:tcBorders>
              <w:top w:val="single" w:color="000000" w:sz="12" w:space="0"/>
              <w:left w:val="single" w:color="000000" w:sz="8" w:space="0"/>
              <w:bottom w:val="nil"/>
              <w:right w:val="single" w:color="000000" w:sz="8" w:space="0"/>
            </w:tcBorders>
            <w:shd w:val="clear" w:color="auto" w:fill="auto"/>
            <w:vAlign w:val="center"/>
          </w:tcPr>
          <w:p w14:paraId="01AC22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检测项目</w:t>
            </w:r>
          </w:p>
        </w:tc>
        <w:tc>
          <w:tcPr>
            <w:tcW w:w="1834"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1400AA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检测参数</w:t>
            </w:r>
          </w:p>
        </w:tc>
        <w:tc>
          <w:tcPr>
            <w:tcW w:w="1400"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249CAB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250"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66714D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抽检数量</w:t>
            </w:r>
          </w:p>
        </w:tc>
        <w:tc>
          <w:tcPr>
            <w:tcW w:w="1250"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3EE6E6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单价</w:t>
            </w:r>
          </w:p>
        </w:tc>
        <w:tc>
          <w:tcPr>
            <w:tcW w:w="1250"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223930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总价</w:t>
            </w:r>
          </w:p>
        </w:tc>
      </w:tr>
      <w:tr w14:paraId="2CCD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BB3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170" w:type="dxa"/>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14:paraId="20A1BE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室内空气质量</w:t>
            </w: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12A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苯</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6DB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C17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C88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AB4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BA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CD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17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1ED29669">
            <w:pPr>
              <w:jc w:val="center"/>
              <w:rPr>
                <w:rFonts w:hint="eastAsia" w:ascii="宋体" w:hAnsi="宋体" w:eastAsia="宋体" w:cs="宋体"/>
                <w:i w:val="0"/>
                <w:iCs w:val="0"/>
                <w:color w:val="000000"/>
                <w:sz w:val="21"/>
                <w:szCs w:val="21"/>
                <w:highlight w:val="none"/>
                <w:u w:val="none"/>
              </w:rPr>
            </w:pP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71A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甲苯</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0D8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30E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0EC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74E9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F16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5F3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17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0D8EC551">
            <w:pPr>
              <w:jc w:val="center"/>
              <w:rPr>
                <w:rFonts w:hint="eastAsia" w:ascii="宋体" w:hAnsi="宋体" w:eastAsia="宋体" w:cs="宋体"/>
                <w:i w:val="0"/>
                <w:iCs w:val="0"/>
                <w:color w:val="000000"/>
                <w:sz w:val="21"/>
                <w:szCs w:val="21"/>
                <w:highlight w:val="none"/>
                <w:u w:val="none"/>
              </w:rPr>
            </w:pP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831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二甲苯</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65C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6CA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3D9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D79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493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D3B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17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6B201FBE">
            <w:pPr>
              <w:jc w:val="center"/>
              <w:rPr>
                <w:rFonts w:hint="eastAsia" w:ascii="宋体" w:hAnsi="宋体" w:eastAsia="宋体" w:cs="宋体"/>
                <w:i w:val="0"/>
                <w:iCs w:val="0"/>
                <w:color w:val="000000"/>
                <w:sz w:val="21"/>
                <w:szCs w:val="21"/>
                <w:highlight w:val="none"/>
                <w:u w:val="none"/>
              </w:rPr>
            </w:pP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B06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氨</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01C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64F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C9A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295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C17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F7A0F">
            <w:pPr>
              <w:jc w:val="center"/>
              <w:rPr>
                <w:rFonts w:hint="eastAsia" w:ascii="宋体" w:hAnsi="宋体" w:eastAsia="宋体" w:cs="宋体"/>
                <w:i w:val="0"/>
                <w:iCs w:val="0"/>
                <w:color w:val="000000"/>
                <w:sz w:val="21"/>
                <w:szCs w:val="21"/>
                <w:highlight w:val="none"/>
                <w:u w:val="none"/>
              </w:rPr>
            </w:pPr>
          </w:p>
        </w:tc>
        <w:tc>
          <w:tcPr>
            <w:tcW w:w="217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03845608">
            <w:pPr>
              <w:jc w:val="center"/>
              <w:rPr>
                <w:rFonts w:hint="eastAsia" w:ascii="宋体" w:hAnsi="宋体" w:eastAsia="宋体" w:cs="宋体"/>
                <w:i w:val="0"/>
                <w:iCs w:val="0"/>
                <w:color w:val="000000"/>
                <w:sz w:val="21"/>
                <w:szCs w:val="21"/>
                <w:highlight w:val="none"/>
                <w:u w:val="none"/>
              </w:rPr>
            </w:pP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5CF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TVOC</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F2A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002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859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D07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649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0D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17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7657CDDD">
            <w:pPr>
              <w:jc w:val="center"/>
              <w:rPr>
                <w:rFonts w:hint="eastAsia" w:ascii="宋体" w:hAnsi="宋体" w:eastAsia="宋体" w:cs="宋体"/>
                <w:i w:val="0"/>
                <w:iCs w:val="0"/>
                <w:color w:val="000000"/>
                <w:sz w:val="21"/>
                <w:szCs w:val="21"/>
                <w:highlight w:val="none"/>
                <w:u w:val="none"/>
              </w:rPr>
            </w:pP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33C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氡</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DA9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DF1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7C94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D90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F21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56F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1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EC3BB">
            <w:pPr>
              <w:jc w:val="center"/>
              <w:rPr>
                <w:rFonts w:hint="eastAsia" w:ascii="宋体" w:hAnsi="宋体" w:eastAsia="宋体" w:cs="宋体"/>
                <w:i w:val="0"/>
                <w:iCs w:val="0"/>
                <w:color w:val="000000"/>
                <w:sz w:val="21"/>
                <w:szCs w:val="21"/>
                <w:highlight w:val="none"/>
                <w:u w:val="none"/>
              </w:rPr>
            </w:pPr>
          </w:p>
        </w:tc>
        <w:tc>
          <w:tcPr>
            <w:tcW w:w="1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FC7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甲醛</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DA1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84E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37D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8B03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C8D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5206">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2170"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4A5021DD">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合计</w:t>
            </w:r>
          </w:p>
        </w:tc>
        <w:tc>
          <w:tcPr>
            <w:tcW w:w="6984" w:type="dxa"/>
            <w:gridSpan w:val="5"/>
            <w:tcBorders>
              <w:top w:val="single" w:color="000000" w:sz="8" w:space="0"/>
              <w:left w:val="single" w:color="000000" w:sz="8" w:space="0"/>
              <w:bottom w:val="single" w:color="000000" w:sz="12" w:space="0"/>
              <w:right w:val="single" w:color="000000" w:sz="8" w:space="0"/>
            </w:tcBorders>
            <w:shd w:val="clear" w:color="auto" w:fill="auto"/>
            <w:vAlign w:val="center"/>
          </w:tcPr>
          <w:p w14:paraId="5F8B3A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40AF761C">
      <w:pPr>
        <w:pStyle w:val="2"/>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五、房建钢结构检测</w:t>
      </w:r>
    </w:p>
    <w:tbl>
      <w:tblPr>
        <w:tblStyle w:val="89"/>
        <w:tblW w:w="9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2064"/>
        <w:gridCol w:w="1850"/>
        <w:gridCol w:w="1416"/>
        <w:gridCol w:w="1200"/>
        <w:gridCol w:w="1200"/>
        <w:gridCol w:w="1200"/>
      </w:tblGrid>
      <w:tr w14:paraId="18CD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F92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482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检测部位或</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7B7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检测参数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C57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DA3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抽检数量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3E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28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总价</w:t>
            </w:r>
          </w:p>
        </w:tc>
      </w:tr>
      <w:tr w14:paraId="09EF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CF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55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沅古坪服务区南区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12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焊缝超声波检测</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0A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D3F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D3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D5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60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10B7">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81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涂层厚度检测</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B2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测区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9A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99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93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185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06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ABF2">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5E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节点与拉杆</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2A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44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9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53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4E5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A3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F06">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80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螺栓</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7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90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F2A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4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0DA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74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5237">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9E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网架挠度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9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6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62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EC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DC0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77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184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沅古坪服务区北区区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F5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焊缝超声波检测</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ED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88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35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C5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A68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3A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C1BB">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B5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涂层厚度检测</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39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测区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BB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EA8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CB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5E1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1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9789">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41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节点与拉杆</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6A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86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5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F6C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37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6CDC">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8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螺栓</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1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C6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23C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E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85E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F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4791">
            <w:pPr>
              <w:jc w:val="center"/>
              <w:rPr>
                <w:rFonts w:hint="eastAsia" w:ascii="宋体" w:hAnsi="宋体" w:eastAsia="宋体" w:cs="宋体"/>
                <w:i w:val="0"/>
                <w:iCs w:val="0"/>
                <w:color w:val="000000"/>
                <w:sz w:val="21"/>
                <w:szCs w:val="21"/>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CD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网架挠度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30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A4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9D7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7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513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FD2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FDA">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合计</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E7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4B7BC4FE">
      <w:pPr>
        <w:pStyle w:val="2"/>
        <w:rPr>
          <w:rFonts w:hint="default" w:ascii="宋体" w:hAnsi="宋体" w:eastAsia="宋体" w:cs="宋体"/>
          <w:sz w:val="30"/>
          <w:szCs w:val="30"/>
          <w:highlight w:val="none"/>
          <w:lang w:val="en-US" w:eastAsia="zh-CN"/>
        </w:rPr>
      </w:pPr>
      <w:r>
        <w:rPr>
          <w:rFonts w:hint="eastAsia" w:ascii="宋体" w:hAnsi="宋体" w:cs="宋体"/>
          <w:sz w:val="24"/>
          <w:szCs w:val="24"/>
          <w:highlight w:val="none"/>
          <w:lang w:val="en-US" w:eastAsia="zh-CN"/>
        </w:rPr>
        <w:t>六、水电、消防、防雷、建筑幕墙</w:t>
      </w:r>
    </w:p>
    <w:tbl>
      <w:tblPr>
        <w:tblStyle w:val="89"/>
        <w:tblW w:w="94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874"/>
        <w:gridCol w:w="2006"/>
        <w:gridCol w:w="1400"/>
        <w:gridCol w:w="1200"/>
        <w:gridCol w:w="1200"/>
        <w:gridCol w:w="1200"/>
      </w:tblGrid>
      <w:tr w14:paraId="1196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4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01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检测部位或</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9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检测参数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A3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5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抽检数量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E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E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总价</w:t>
            </w:r>
          </w:p>
        </w:tc>
      </w:tr>
      <w:tr w14:paraId="1627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C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26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水电检测（含原材）</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3231">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绝缘电阻、接地电阻安装质量、通电、相位检测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6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3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14298.74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7A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5B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04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AC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建筑消防设施检测</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B1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消防设施安装使用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8D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6D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14298.74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DC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D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26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B4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67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防雷检测</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D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防雷设施安装使用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72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14298.74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49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F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58E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D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CA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建筑</w:t>
            </w:r>
            <w:bookmarkStart w:id="95" w:name="OLE_LINK1"/>
            <w:r>
              <w:rPr>
                <w:rFonts w:hint="eastAsia" w:ascii="宋体" w:hAnsi="宋体" w:eastAsia="宋体" w:cs="宋体"/>
                <w:i w:val="0"/>
                <w:iCs w:val="0"/>
                <w:color w:val="000000"/>
                <w:kern w:val="0"/>
                <w:sz w:val="24"/>
                <w:szCs w:val="24"/>
                <w:highlight w:val="none"/>
                <w:u w:val="none"/>
                <w:lang w:val="en-US" w:eastAsia="zh-CN" w:bidi="ar"/>
              </w:rPr>
              <w:t>幕墙</w:t>
            </w:r>
            <w:bookmarkEnd w:id="95"/>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AF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三性检测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56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88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13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9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185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C5C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0D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合计</w:t>
            </w:r>
          </w:p>
        </w:tc>
        <w:tc>
          <w:tcPr>
            <w:tcW w:w="7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7DD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71B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CE45">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1DA">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总计（一+二+三+四+五+六）</w:t>
            </w:r>
          </w:p>
        </w:tc>
        <w:tc>
          <w:tcPr>
            <w:tcW w:w="7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59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28FB8A97">
      <w:pPr>
        <w:pStyle w:val="2"/>
        <w:rPr>
          <w:rFonts w:hint="eastAsia" w:ascii="宋体" w:hAnsi="宋体" w:cs="宋体"/>
          <w:sz w:val="30"/>
          <w:szCs w:val="30"/>
          <w:highlight w:val="none"/>
        </w:rPr>
      </w:pPr>
    </w:p>
    <w:p w14:paraId="024622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szCs w:val="21"/>
          <w:highlight w:val="none"/>
          <w:lang w:bidi="zh-CN"/>
        </w:rPr>
      </w:pPr>
      <w:r>
        <w:rPr>
          <w:rFonts w:hint="eastAsia" w:ascii="仿宋" w:hAnsi="仿宋" w:eastAsia="仿宋" w:cs="仿宋"/>
          <w:szCs w:val="21"/>
          <w:highlight w:val="none"/>
          <w:lang w:bidi="zh-CN"/>
        </w:rPr>
        <w:t>1.本表工作量仅为估算数量，具体工作量应满足相关规范标准要求。若</w:t>
      </w:r>
      <w:r>
        <w:rPr>
          <w:rFonts w:ascii="仿宋" w:hAnsi="仿宋" w:eastAsia="仿宋" w:cs="仿宋"/>
          <w:szCs w:val="21"/>
          <w:highlight w:val="none"/>
          <w:lang w:bidi="zh-CN"/>
        </w:rPr>
        <w:t>根据检测需求完成的单位工程、数量超过预估数量，均被认为已包含在合同总价中，</w:t>
      </w:r>
      <w:r>
        <w:rPr>
          <w:rFonts w:hint="eastAsia" w:ascii="仿宋" w:hAnsi="仿宋" w:eastAsia="仿宋" w:cs="仿宋"/>
          <w:szCs w:val="21"/>
          <w:highlight w:val="none"/>
          <w:lang w:bidi="zh-CN"/>
        </w:rPr>
        <w:t xml:space="preserve"> 委托人不另行支付。 </w:t>
      </w:r>
    </w:p>
    <w:p w14:paraId="02CE6B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ascii="仿宋" w:hAnsi="仿宋" w:eastAsia="仿宋" w:cs="仿宋"/>
          <w:szCs w:val="21"/>
          <w:highlight w:val="none"/>
          <w:lang w:bidi="zh-CN"/>
        </w:rPr>
        <w:t>2.</w:t>
      </w:r>
      <w:r>
        <w:rPr>
          <w:rFonts w:ascii="仿宋" w:hAnsi="仿宋" w:eastAsia="仿宋" w:cs="仿宋"/>
          <w:szCs w:val="21"/>
          <w:highlight w:val="none"/>
          <w:lang w:bidi="zh-CN"/>
        </w:rPr>
        <w:t>施工过程中检测应实时合理反馈相关数据以指导施工，并按委托人要求及时提交相应的检测合格报告。若供应商不具备本条所列项目检测资质或检测能力，供应商应外委有相应检测资质或检测能力的单位实施，相关费用包含在合同总价中，委托人不另行支付任何费用</w:t>
      </w:r>
      <w:r>
        <w:rPr>
          <w:rFonts w:hint="eastAsia" w:ascii="仿宋" w:hAnsi="仿宋" w:eastAsia="仿宋" w:cs="仿宋"/>
          <w:szCs w:val="21"/>
          <w:highlight w:val="none"/>
          <w:lang w:bidi="zh-CN"/>
        </w:rPr>
        <w:t>。</w:t>
      </w:r>
    </w:p>
    <w:p w14:paraId="0BD673E0">
      <w:pPr>
        <w:rPr>
          <w:rFonts w:hint="eastAsia" w:ascii="宋体" w:hAnsi="宋体" w:cs="宋体"/>
          <w:sz w:val="30"/>
          <w:szCs w:val="30"/>
          <w:highlight w:val="none"/>
        </w:rPr>
      </w:pPr>
      <w:r>
        <w:rPr>
          <w:rFonts w:hint="eastAsia" w:ascii="宋体" w:hAnsi="宋体" w:cs="宋体"/>
          <w:sz w:val="30"/>
          <w:szCs w:val="30"/>
          <w:highlight w:val="none"/>
        </w:rPr>
        <w:br w:type="page"/>
      </w:r>
    </w:p>
    <w:p w14:paraId="4F6FAFD8">
      <w:pPr>
        <w:spacing w:line="600" w:lineRule="exact"/>
        <w:jc w:val="center"/>
        <w:rPr>
          <w:rFonts w:hint="eastAsia" w:ascii="宋体" w:hAnsi="宋体" w:cs="宋体"/>
          <w:sz w:val="30"/>
          <w:szCs w:val="30"/>
          <w:highlight w:val="none"/>
        </w:rPr>
      </w:pPr>
      <w:r>
        <w:rPr>
          <w:rFonts w:hint="eastAsia" w:ascii="宋体" w:hAnsi="宋体" w:cs="宋体"/>
          <w:sz w:val="30"/>
          <w:szCs w:val="30"/>
          <w:highlight w:val="none"/>
        </w:rPr>
        <w:t>七、资格审查资料</w:t>
      </w:r>
    </w:p>
    <w:p w14:paraId="23F9CD07">
      <w:pPr>
        <w:spacing w:line="600" w:lineRule="exact"/>
        <w:jc w:val="center"/>
        <w:rPr>
          <w:rFonts w:hint="eastAsia" w:ascii="宋体" w:hAnsi="宋体" w:cs="宋体"/>
          <w:sz w:val="24"/>
          <w:highlight w:val="none"/>
        </w:rPr>
      </w:pPr>
      <w:r>
        <w:rPr>
          <w:rFonts w:hint="eastAsia" w:ascii="宋体" w:hAnsi="宋体" w:cs="宋体"/>
          <w:sz w:val="24"/>
          <w:highlight w:val="none"/>
        </w:rPr>
        <w:t>（一）基本情况</w:t>
      </w:r>
    </w:p>
    <w:p w14:paraId="21F76B67">
      <w:pPr>
        <w:spacing w:line="600" w:lineRule="exact"/>
        <w:rPr>
          <w:rFonts w:hint="eastAsia" w:ascii="宋体" w:hAnsi="宋体" w:cs="宋体"/>
          <w:sz w:val="24"/>
          <w:highlight w:val="none"/>
        </w:rPr>
      </w:pPr>
      <w:r>
        <w:rPr>
          <w:rFonts w:hint="eastAsia" w:ascii="宋体" w:hAnsi="宋体" w:cs="宋体"/>
          <w:sz w:val="24"/>
          <w:highlight w:val="none"/>
        </w:rPr>
        <w:t>供应商应根据供应商须知前附表第3.5（1）项和第3.5（2）项的要求提供主体资格证明及相关资质证明资料。</w:t>
      </w:r>
    </w:p>
    <w:p w14:paraId="0D843BCA">
      <w:pPr>
        <w:spacing w:line="600" w:lineRule="exact"/>
        <w:rPr>
          <w:rFonts w:hint="eastAsia" w:ascii="宋体" w:hAnsi="宋体" w:cs="宋体"/>
          <w:sz w:val="24"/>
          <w:highlight w:val="none"/>
        </w:rPr>
      </w:pPr>
      <w:r>
        <w:rPr>
          <w:rFonts w:hint="eastAsia" w:ascii="宋体" w:hAnsi="宋体" w:cs="宋体"/>
          <w:sz w:val="24"/>
          <w:highlight w:val="none"/>
        </w:rPr>
        <w:t>供应商还应根据供应商须知前附表第3.5（5）项、第3.5（7）项和第3.5（8）项的要求提供其他相关证明材料。</w:t>
      </w:r>
    </w:p>
    <w:p w14:paraId="0FF6E460">
      <w:pPr>
        <w:spacing w:line="600" w:lineRule="exact"/>
        <w:jc w:val="center"/>
        <w:rPr>
          <w:rFonts w:hint="eastAsia" w:ascii="宋体" w:hAnsi="宋体" w:cs="宋体"/>
          <w:sz w:val="24"/>
          <w:highlight w:val="none"/>
        </w:rPr>
      </w:pPr>
      <w:r>
        <w:rPr>
          <w:rFonts w:hint="eastAsia" w:ascii="宋体" w:hAnsi="宋体" w:cs="宋体"/>
          <w:sz w:val="24"/>
          <w:highlight w:val="none"/>
        </w:rPr>
        <w:t>（二）近年财务状况</w:t>
      </w:r>
    </w:p>
    <w:p w14:paraId="124D15D9">
      <w:pPr>
        <w:spacing w:line="600" w:lineRule="exact"/>
        <w:rPr>
          <w:rFonts w:hint="eastAsia" w:ascii="宋体" w:hAnsi="宋体" w:cs="宋体"/>
          <w:sz w:val="24"/>
          <w:highlight w:val="none"/>
        </w:rPr>
      </w:pPr>
      <w:r>
        <w:rPr>
          <w:rFonts w:hint="eastAsia" w:ascii="宋体" w:hAnsi="宋体" w:cs="宋体"/>
          <w:sz w:val="24"/>
          <w:highlight w:val="none"/>
        </w:rPr>
        <w:t>供应商应根据供应商须知前附表第3.5（3）项的要求提供近年财务会计报表复印件。</w:t>
      </w:r>
    </w:p>
    <w:p w14:paraId="724DBA2A">
      <w:pPr>
        <w:spacing w:line="600" w:lineRule="exact"/>
        <w:jc w:val="center"/>
        <w:rPr>
          <w:rFonts w:hint="eastAsia" w:ascii="宋体" w:hAnsi="宋体" w:cs="宋体"/>
          <w:sz w:val="24"/>
          <w:highlight w:val="none"/>
        </w:rPr>
      </w:pPr>
      <w:r>
        <w:rPr>
          <w:rFonts w:hint="eastAsia" w:ascii="宋体" w:hAnsi="宋体" w:cs="宋体"/>
          <w:sz w:val="24"/>
          <w:highlight w:val="none"/>
        </w:rPr>
        <w:t>（三）近年的类似项目情况表</w:t>
      </w:r>
    </w:p>
    <w:tbl>
      <w:tblPr>
        <w:tblStyle w:val="9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671"/>
        <w:gridCol w:w="1971"/>
        <w:gridCol w:w="1971"/>
        <w:gridCol w:w="1971"/>
      </w:tblGrid>
      <w:tr w14:paraId="469A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103B68D3">
            <w:pPr>
              <w:widowControl/>
              <w:spacing w:line="600" w:lineRule="exact"/>
              <w:jc w:val="both"/>
              <w:rPr>
                <w:rFonts w:hint="eastAsia" w:ascii="宋体" w:hAnsi="宋体" w:cs="宋体"/>
                <w:sz w:val="24"/>
                <w:highlight w:val="none"/>
              </w:rPr>
            </w:pPr>
            <w:r>
              <w:rPr>
                <w:rFonts w:hint="eastAsia" w:ascii="宋体" w:hAnsi="宋体" w:cs="宋体"/>
                <w:sz w:val="24"/>
                <w:highlight w:val="none"/>
              </w:rPr>
              <w:t>项目名称</w:t>
            </w:r>
          </w:p>
        </w:tc>
        <w:tc>
          <w:tcPr>
            <w:tcW w:w="671" w:type="dxa"/>
          </w:tcPr>
          <w:p w14:paraId="5B62F7F0">
            <w:pPr>
              <w:widowControl/>
              <w:spacing w:line="600" w:lineRule="exact"/>
              <w:jc w:val="both"/>
              <w:rPr>
                <w:rFonts w:hint="eastAsia" w:ascii="宋体" w:hAnsi="宋体" w:cs="宋体"/>
                <w:sz w:val="24"/>
                <w:highlight w:val="none"/>
              </w:rPr>
            </w:pPr>
          </w:p>
        </w:tc>
        <w:tc>
          <w:tcPr>
            <w:tcW w:w="1971" w:type="dxa"/>
          </w:tcPr>
          <w:p w14:paraId="31EF4DA2">
            <w:pPr>
              <w:widowControl/>
              <w:spacing w:line="600" w:lineRule="exact"/>
              <w:jc w:val="both"/>
              <w:rPr>
                <w:rFonts w:hint="eastAsia" w:ascii="宋体" w:hAnsi="宋体" w:cs="宋体"/>
                <w:sz w:val="24"/>
                <w:highlight w:val="none"/>
              </w:rPr>
            </w:pPr>
          </w:p>
        </w:tc>
        <w:tc>
          <w:tcPr>
            <w:tcW w:w="1971" w:type="dxa"/>
          </w:tcPr>
          <w:p w14:paraId="2DCFC190">
            <w:pPr>
              <w:widowControl/>
              <w:spacing w:line="600" w:lineRule="exact"/>
              <w:jc w:val="both"/>
              <w:rPr>
                <w:rFonts w:hint="eastAsia" w:ascii="宋体" w:hAnsi="宋体" w:cs="宋体"/>
                <w:sz w:val="24"/>
                <w:highlight w:val="none"/>
              </w:rPr>
            </w:pPr>
          </w:p>
        </w:tc>
        <w:tc>
          <w:tcPr>
            <w:tcW w:w="1971" w:type="dxa"/>
          </w:tcPr>
          <w:p w14:paraId="1BF5A959">
            <w:pPr>
              <w:widowControl/>
              <w:spacing w:line="600" w:lineRule="exact"/>
              <w:jc w:val="both"/>
              <w:rPr>
                <w:rFonts w:hint="eastAsia" w:ascii="宋体" w:hAnsi="宋体" w:cs="宋体"/>
                <w:sz w:val="24"/>
                <w:highlight w:val="none"/>
              </w:rPr>
            </w:pPr>
          </w:p>
        </w:tc>
      </w:tr>
      <w:tr w14:paraId="4F45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261B84F8">
            <w:pPr>
              <w:widowControl/>
              <w:spacing w:line="600" w:lineRule="exact"/>
              <w:jc w:val="both"/>
              <w:rPr>
                <w:rFonts w:hint="eastAsia" w:ascii="宋体" w:hAnsi="宋体" w:cs="宋体"/>
                <w:sz w:val="24"/>
                <w:highlight w:val="none"/>
              </w:rPr>
            </w:pPr>
            <w:r>
              <w:rPr>
                <w:rFonts w:hint="eastAsia" w:ascii="宋体" w:hAnsi="宋体" w:cs="宋体"/>
                <w:sz w:val="24"/>
                <w:highlight w:val="none"/>
              </w:rPr>
              <w:t>服务内容</w:t>
            </w:r>
          </w:p>
        </w:tc>
        <w:tc>
          <w:tcPr>
            <w:tcW w:w="671" w:type="dxa"/>
          </w:tcPr>
          <w:p w14:paraId="05EA912F">
            <w:pPr>
              <w:widowControl/>
              <w:spacing w:line="600" w:lineRule="exact"/>
              <w:jc w:val="both"/>
              <w:rPr>
                <w:rFonts w:hint="eastAsia" w:ascii="宋体" w:hAnsi="宋体" w:cs="宋体"/>
                <w:sz w:val="24"/>
                <w:highlight w:val="none"/>
              </w:rPr>
            </w:pPr>
          </w:p>
        </w:tc>
        <w:tc>
          <w:tcPr>
            <w:tcW w:w="1971" w:type="dxa"/>
          </w:tcPr>
          <w:p w14:paraId="21506875">
            <w:pPr>
              <w:widowControl/>
              <w:spacing w:line="600" w:lineRule="exact"/>
              <w:jc w:val="both"/>
              <w:rPr>
                <w:rFonts w:hint="eastAsia" w:ascii="宋体" w:hAnsi="宋体" w:cs="宋体"/>
                <w:sz w:val="24"/>
                <w:highlight w:val="none"/>
              </w:rPr>
            </w:pPr>
          </w:p>
        </w:tc>
        <w:tc>
          <w:tcPr>
            <w:tcW w:w="1971" w:type="dxa"/>
          </w:tcPr>
          <w:p w14:paraId="23833D74">
            <w:pPr>
              <w:widowControl/>
              <w:spacing w:line="600" w:lineRule="exact"/>
              <w:jc w:val="both"/>
              <w:rPr>
                <w:rFonts w:hint="eastAsia" w:ascii="宋体" w:hAnsi="宋体" w:cs="宋体"/>
                <w:sz w:val="24"/>
                <w:highlight w:val="none"/>
              </w:rPr>
            </w:pPr>
          </w:p>
        </w:tc>
        <w:tc>
          <w:tcPr>
            <w:tcW w:w="1971" w:type="dxa"/>
          </w:tcPr>
          <w:p w14:paraId="25E69DA0">
            <w:pPr>
              <w:widowControl/>
              <w:spacing w:line="600" w:lineRule="exact"/>
              <w:jc w:val="both"/>
              <w:rPr>
                <w:rFonts w:hint="eastAsia" w:ascii="宋体" w:hAnsi="宋体" w:cs="宋体"/>
                <w:sz w:val="24"/>
                <w:highlight w:val="none"/>
              </w:rPr>
            </w:pPr>
          </w:p>
        </w:tc>
      </w:tr>
      <w:tr w14:paraId="57A0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171585DD">
            <w:pPr>
              <w:widowControl/>
              <w:spacing w:line="600" w:lineRule="exact"/>
              <w:jc w:val="both"/>
              <w:rPr>
                <w:rFonts w:hint="eastAsia" w:ascii="宋体" w:hAnsi="宋体" w:cs="宋体"/>
                <w:sz w:val="24"/>
                <w:highlight w:val="none"/>
              </w:rPr>
            </w:pPr>
            <w:r>
              <w:rPr>
                <w:rFonts w:hint="eastAsia" w:ascii="宋体" w:hAnsi="宋体" w:cs="宋体"/>
                <w:sz w:val="24"/>
                <w:highlight w:val="none"/>
              </w:rPr>
              <w:t>委托人/发包人名称</w:t>
            </w:r>
          </w:p>
        </w:tc>
        <w:tc>
          <w:tcPr>
            <w:tcW w:w="671" w:type="dxa"/>
          </w:tcPr>
          <w:p w14:paraId="740C7588">
            <w:pPr>
              <w:widowControl/>
              <w:spacing w:line="600" w:lineRule="exact"/>
              <w:jc w:val="both"/>
              <w:rPr>
                <w:rFonts w:hint="eastAsia" w:ascii="宋体" w:hAnsi="宋体" w:cs="宋体"/>
                <w:sz w:val="24"/>
                <w:highlight w:val="none"/>
              </w:rPr>
            </w:pPr>
          </w:p>
        </w:tc>
        <w:tc>
          <w:tcPr>
            <w:tcW w:w="1971" w:type="dxa"/>
          </w:tcPr>
          <w:p w14:paraId="1673C641">
            <w:pPr>
              <w:widowControl/>
              <w:spacing w:line="600" w:lineRule="exact"/>
              <w:jc w:val="both"/>
              <w:rPr>
                <w:rFonts w:hint="eastAsia" w:ascii="宋体" w:hAnsi="宋体" w:cs="宋体"/>
                <w:sz w:val="24"/>
                <w:highlight w:val="none"/>
              </w:rPr>
            </w:pPr>
          </w:p>
        </w:tc>
        <w:tc>
          <w:tcPr>
            <w:tcW w:w="1971" w:type="dxa"/>
          </w:tcPr>
          <w:p w14:paraId="5022CEF6">
            <w:pPr>
              <w:widowControl/>
              <w:spacing w:line="600" w:lineRule="exact"/>
              <w:jc w:val="both"/>
              <w:rPr>
                <w:rFonts w:hint="eastAsia" w:ascii="宋体" w:hAnsi="宋体" w:cs="宋体"/>
                <w:sz w:val="24"/>
                <w:highlight w:val="none"/>
              </w:rPr>
            </w:pPr>
          </w:p>
        </w:tc>
        <w:tc>
          <w:tcPr>
            <w:tcW w:w="1971" w:type="dxa"/>
          </w:tcPr>
          <w:p w14:paraId="4447D6C4">
            <w:pPr>
              <w:widowControl/>
              <w:spacing w:line="600" w:lineRule="exact"/>
              <w:jc w:val="both"/>
              <w:rPr>
                <w:rFonts w:hint="eastAsia" w:ascii="宋体" w:hAnsi="宋体" w:cs="宋体"/>
                <w:sz w:val="24"/>
                <w:highlight w:val="none"/>
              </w:rPr>
            </w:pPr>
          </w:p>
        </w:tc>
      </w:tr>
      <w:tr w14:paraId="56CF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270" w:type="dxa"/>
          </w:tcPr>
          <w:p w14:paraId="73662984">
            <w:pPr>
              <w:widowControl/>
              <w:spacing w:line="600" w:lineRule="exact"/>
              <w:jc w:val="both"/>
              <w:rPr>
                <w:rFonts w:hint="eastAsia" w:ascii="宋体" w:hAnsi="宋体" w:cs="宋体"/>
                <w:sz w:val="24"/>
                <w:highlight w:val="none"/>
              </w:rPr>
            </w:pPr>
            <w:r>
              <w:rPr>
                <w:rFonts w:hint="eastAsia" w:ascii="宋体" w:hAnsi="宋体" w:cs="宋体"/>
                <w:sz w:val="24"/>
                <w:highlight w:val="none"/>
              </w:rPr>
              <w:t>委托人/发包人联系人及电话</w:t>
            </w:r>
          </w:p>
        </w:tc>
        <w:tc>
          <w:tcPr>
            <w:tcW w:w="671" w:type="dxa"/>
          </w:tcPr>
          <w:p w14:paraId="57E5B373">
            <w:pPr>
              <w:widowControl/>
              <w:spacing w:line="600" w:lineRule="exact"/>
              <w:jc w:val="both"/>
              <w:rPr>
                <w:rFonts w:hint="eastAsia" w:ascii="宋体" w:hAnsi="宋体" w:cs="宋体"/>
                <w:sz w:val="24"/>
                <w:highlight w:val="none"/>
              </w:rPr>
            </w:pPr>
          </w:p>
        </w:tc>
        <w:tc>
          <w:tcPr>
            <w:tcW w:w="1971" w:type="dxa"/>
          </w:tcPr>
          <w:p w14:paraId="3FBDC562">
            <w:pPr>
              <w:widowControl/>
              <w:spacing w:line="600" w:lineRule="exact"/>
              <w:jc w:val="both"/>
              <w:rPr>
                <w:rFonts w:hint="eastAsia" w:ascii="宋体" w:hAnsi="宋体" w:cs="宋体"/>
                <w:sz w:val="24"/>
                <w:highlight w:val="none"/>
              </w:rPr>
            </w:pPr>
          </w:p>
        </w:tc>
        <w:tc>
          <w:tcPr>
            <w:tcW w:w="1971" w:type="dxa"/>
          </w:tcPr>
          <w:p w14:paraId="088E8C67">
            <w:pPr>
              <w:widowControl/>
              <w:spacing w:line="600" w:lineRule="exact"/>
              <w:jc w:val="both"/>
              <w:rPr>
                <w:rFonts w:hint="eastAsia" w:ascii="宋体" w:hAnsi="宋体" w:cs="宋体"/>
                <w:sz w:val="24"/>
                <w:highlight w:val="none"/>
              </w:rPr>
            </w:pPr>
          </w:p>
        </w:tc>
        <w:tc>
          <w:tcPr>
            <w:tcW w:w="1971" w:type="dxa"/>
          </w:tcPr>
          <w:p w14:paraId="3A5895D0">
            <w:pPr>
              <w:widowControl/>
              <w:spacing w:line="600" w:lineRule="exact"/>
              <w:jc w:val="both"/>
              <w:rPr>
                <w:rFonts w:hint="eastAsia" w:ascii="宋体" w:hAnsi="宋体" w:cs="宋体"/>
                <w:sz w:val="24"/>
                <w:highlight w:val="none"/>
              </w:rPr>
            </w:pPr>
          </w:p>
        </w:tc>
      </w:tr>
      <w:tr w14:paraId="0AB9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70" w:type="dxa"/>
          </w:tcPr>
          <w:p w14:paraId="6909BD05">
            <w:pPr>
              <w:widowControl/>
              <w:spacing w:line="600" w:lineRule="exact"/>
              <w:jc w:val="both"/>
              <w:rPr>
                <w:rFonts w:hint="eastAsia" w:ascii="宋体" w:hAnsi="宋体" w:cs="宋体"/>
                <w:sz w:val="24"/>
                <w:highlight w:val="none"/>
              </w:rPr>
            </w:pPr>
            <w:r>
              <w:rPr>
                <w:rFonts w:hint="eastAsia" w:ascii="宋体" w:hAnsi="宋体" w:cs="宋体"/>
                <w:sz w:val="24"/>
                <w:highlight w:val="none"/>
              </w:rPr>
              <w:t>合同价格</w:t>
            </w:r>
          </w:p>
        </w:tc>
        <w:tc>
          <w:tcPr>
            <w:tcW w:w="671" w:type="dxa"/>
          </w:tcPr>
          <w:p w14:paraId="3579E094">
            <w:pPr>
              <w:widowControl/>
              <w:spacing w:line="600" w:lineRule="exact"/>
              <w:jc w:val="both"/>
              <w:rPr>
                <w:rFonts w:hint="eastAsia" w:ascii="宋体" w:hAnsi="宋体" w:cs="宋体"/>
                <w:sz w:val="24"/>
                <w:highlight w:val="none"/>
              </w:rPr>
            </w:pPr>
          </w:p>
        </w:tc>
        <w:tc>
          <w:tcPr>
            <w:tcW w:w="1971" w:type="dxa"/>
          </w:tcPr>
          <w:p w14:paraId="7119C265">
            <w:pPr>
              <w:widowControl/>
              <w:spacing w:line="600" w:lineRule="exact"/>
              <w:jc w:val="both"/>
              <w:rPr>
                <w:rFonts w:hint="eastAsia" w:ascii="宋体" w:hAnsi="宋体" w:cs="宋体"/>
                <w:sz w:val="24"/>
                <w:highlight w:val="none"/>
              </w:rPr>
            </w:pPr>
          </w:p>
        </w:tc>
        <w:tc>
          <w:tcPr>
            <w:tcW w:w="1971" w:type="dxa"/>
          </w:tcPr>
          <w:p w14:paraId="4D6713A2">
            <w:pPr>
              <w:widowControl/>
              <w:spacing w:line="600" w:lineRule="exact"/>
              <w:jc w:val="both"/>
              <w:rPr>
                <w:rFonts w:hint="eastAsia" w:ascii="宋体" w:hAnsi="宋体" w:cs="宋体"/>
                <w:sz w:val="24"/>
                <w:highlight w:val="none"/>
              </w:rPr>
            </w:pPr>
          </w:p>
        </w:tc>
        <w:tc>
          <w:tcPr>
            <w:tcW w:w="1971" w:type="dxa"/>
          </w:tcPr>
          <w:p w14:paraId="7CDBD62C">
            <w:pPr>
              <w:widowControl/>
              <w:spacing w:line="600" w:lineRule="exact"/>
              <w:jc w:val="both"/>
              <w:rPr>
                <w:rFonts w:hint="eastAsia" w:ascii="宋体" w:hAnsi="宋体" w:cs="宋体"/>
                <w:sz w:val="24"/>
                <w:highlight w:val="none"/>
              </w:rPr>
            </w:pPr>
          </w:p>
        </w:tc>
      </w:tr>
      <w:tr w14:paraId="5214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1334A7C2">
            <w:pPr>
              <w:widowControl/>
              <w:spacing w:line="600" w:lineRule="exact"/>
              <w:jc w:val="both"/>
              <w:rPr>
                <w:rFonts w:hint="eastAsia" w:ascii="宋体" w:hAnsi="宋体" w:cs="宋体"/>
                <w:sz w:val="24"/>
                <w:highlight w:val="none"/>
              </w:rPr>
            </w:pPr>
            <w:r>
              <w:rPr>
                <w:rFonts w:hint="eastAsia" w:ascii="宋体" w:hAnsi="宋体" w:cs="宋体"/>
                <w:sz w:val="24"/>
                <w:highlight w:val="none"/>
              </w:rPr>
              <w:t>服务是否完成</w:t>
            </w:r>
          </w:p>
        </w:tc>
        <w:tc>
          <w:tcPr>
            <w:tcW w:w="671" w:type="dxa"/>
          </w:tcPr>
          <w:p w14:paraId="4E73256C">
            <w:pPr>
              <w:widowControl/>
              <w:spacing w:line="600" w:lineRule="exact"/>
              <w:jc w:val="both"/>
              <w:rPr>
                <w:rFonts w:hint="eastAsia" w:ascii="宋体" w:hAnsi="宋体" w:cs="宋体"/>
                <w:sz w:val="24"/>
                <w:highlight w:val="none"/>
              </w:rPr>
            </w:pPr>
          </w:p>
        </w:tc>
        <w:tc>
          <w:tcPr>
            <w:tcW w:w="1971" w:type="dxa"/>
          </w:tcPr>
          <w:p w14:paraId="56597DCC">
            <w:pPr>
              <w:widowControl/>
              <w:spacing w:line="600" w:lineRule="exact"/>
              <w:jc w:val="both"/>
              <w:rPr>
                <w:rFonts w:hint="eastAsia" w:ascii="宋体" w:hAnsi="宋体" w:cs="宋体"/>
                <w:sz w:val="24"/>
                <w:highlight w:val="none"/>
              </w:rPr>
            </w:pPr>
          </w:p>
        </w:tc>
        <w:tc>
          <w:tcPr>
            <w:tcW w:w="1971" w:type="dxa"/>
          </w:tcPr>
          <w:p w14:paraId="29C6B93F">
            <w:pPr>
              <w:widowControl/>
              <w:spacing w:line="600" w:lineRule="exact"/>
              <w:jc w:val="both"/>
              <w:rPr>
                <w:rFonts w:hint="eastAsia" w:ascii="宋体" w:hAnsi="宋体" w:cs="宋体"/>
                <w:sz w:val="24"/>
                <w:highlight w:val="none"/>
              </w:rPr>
            </w:pPr>
          </w:p>
        </w:tc>
        <w:tc>
          <w:tcPr>
            <w:tcW w:w="1971" w:type="dxa"/>
          </w:tcPr>
          <w:p w14:paraId="116EFFAC">
            <w:pPr>
              <w:widowControl/>
              <w:spacing w:line="600" w:lineRule="exact"/>
              <w:jc w:val="both"/>
              <w:rPr>
                <w:rFonts w:hint="eastAsia" w:ascii="宋体" w:hAnsi="宋体" w:cs="宋体"/>
                <w:sz w:val="24"/>
                <w:highlight w:val="none"/>
              </w:rPr>
            </w:pPr>
          </w:p>
        </w:tc>
      </w:tr>
      <w:tr w14:paraId="761D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3349D4C4">
            <w:pPr>
              <w:widowControl/>
              <w:spacing w:line="600" w:lineRule="exact"/>
              <w:jc w:val="both"/>
              <w:rPr>
                <w:rFonts w:hint="eastAsia" w:ascii="宋体" w:hAnsi="宋体" w:cs="宋体"/>
                <w:sz w:val="24"/>
                <w:highlight w:val="none"/>
              </w:rPr>
            </w:pPr>
            <w:r>
              <w:rPr>
                <w:rFonts w:hint="eastAsia" w:ascii="宋体" w:hAnsi="宋体" w:cs="宋体"/>
                <w:sz w:val="24"/>
                <w:highlight w:val="none"/>
              </w:rPr>
              <w:t>项目负责人（如有）</w:t>
            </w:r>
          </w:p>
        </w:tc>
        <w:tc>
          <w:tcPr>
            <w:tcW w:w="671" w:type="dxa"/>
          </w:tcPr>
          <w:p w14:paraId="75108092">
            <w:pPr>
              <w:widowControl/>
              <w:spacing w:line="600" w:lineRule="exact"/>
              <w:jc w:val="both"/>
              <w:rPr>
                <w:rFonts w:hint="eastAsia" w:ascii="宋体" w:hAnsi="宋体" w:cs="宋体"/>
                <w:sz w:val="24"/>
                <w:highlight w:val="none"/>
              </w:rPr>
            </w:pPr>
          </w:p>
        </w:tc>
        <w:tc>
          <w:tcPr>
            <w:tcW w:w="1971" w:type="dxa"/>
          </w:tcPr>
          <w:p w14:paraId="373B110D">
            <w:pPr>
              <w:widowControl/>
              <w:spacing w:line="600" w:lineRule="exact"/>
              <w:jc w:val="both"/>
              <w:rPr>
                <w:rFonts w:hint="eastAsia" w:ascii="宋体" w:hAnsi="宋体" w:cs="宋体"/>
                <w:sz w:val="24"/>
                <w:highlight w:val="none"/>
              </w:rPr>
            </w:pPr>
          </w:p>
        </w:tc>
        <w:tc>
          <w:tcPr>
            <w:tcW w:w="1971" w:type="dxa"/>
          </w:tcPr>
          <w:p w14:paraId="4DCBA4C1">
            <w:pPr>
              <w:widowControl/>
              <w:spacing w:line="600" w:lineRule="exact"/>
              <w:jc w:val="both"/>
              <w:rPr>
                <w:rFonts w:hint="eastAsia" w:ascii="宋体" w:hAnsi="宋体" w:cs="宋体"/>
                <w:sz w:val="24"/>
                <w:highlight w:val="none"/>
              </w:rPr>
            </w:pPr>
          </w:p>
        </w:tc>
        <w:tc>
          <w:tcPr>
            <w:tcW w:w="1971" w:type="dxa"/>
          </w:tcPr>
          <w:p w14:paraId="278CFBEA">
            <w:pPr>
              <w:widowControl/>
              <w:spacing w:line="600" w:lineRule="exact"/>
              <w:jc w:val="both"/>
              <w:rPr>
                <w:rFonts w:hint="eastAsia" w:ascii="宋体" w:hAnsi="宋体" w:cs="宋体"/>
                <w:sz w:val="24"/>
                <w:highlight w:val="none"/>
              </w:rPr>
            </w:pPr>
          </w:p>
        </w:tc>
      </w:tr>
      <w:tr w14:paraId="180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0F48D9CF">
            <w:pPr>
              <w:widowControl/>
              <w:spacing w:line="600" w:lineRule="exact"/>
              <w:jc w:val="both"/>
              <w:rPr>
                <w:rFonts w:hint="eastAsia" w:ascii="宋体" w:hAnsi="宋体" w:cs="宋体"/>
                <w:sz w:val="24"/>
                <w:highlight w:val="none"/>
              </w:rPr>
            </w:pPr>
            <w:r>
              <w:rPr>
                <w:rFonts w:hint="eastAsia" w:ascii="宋体" w:hAnsi="宋体" w:cs="宋体"/>
                <w:sz w:val="24"/>
                <w:highlight w:val="none"/>
              </w:rPr>
              <w:t>项目概况及供应商履约情况</w:t>
            </w:r>
          </w:p>
        </w:tc>
        <w:tc>
          <w:tcPr>
            <w:tcW w:w="671" w:type="dxa"/>
          </w:tcPr>
          <w:p w14:paraId="46DD4583">
            <w:pPr>
              <w:widowControl/>
              <w:spacing w:line="600" w:lineRule="exact"/>
              <w:jc w:val="both"/>
              <w:rPr>
                <w:rFonts w:hint="eastAsia" w:ascii="宋体" w:hAnsi="宋体" w:cs="宋体"/>
                <w:sz w:val="24"/>
                <w:highlight w:val="none"/>
              </w:rPr>
            </w:pPr>
          </w:p>
        </w:tc>
        <w:tc>
          <w:tcPr>
            <w:tcW w:w="1971" w:type="dxa"/>
          </w:tcPr>
          <w:p w14:paraId="6A284401">
            <w:pPr>
              <w:widowControl/>
              <w:spacing w:line="600" w:lineRule="exact"/>
              <w:jc w:val="both"/>
              <w:rPr>
                <w:rFonts w:hint="eastAsia" w:ascii="宋体" w:hAnsi="宋体" w:cs="宋体"/>
                <w:sz w:val="24"/>
                <w:highlight w:val="none"/>
              </w:rPr>
            </w:pPr>
          </w:p>
        </w:tc>
        <w:tc>
          <w:tcPr>
            <w:tcW w:w="1971" w:type="dxa"/>
          </w:tcPr>
          <w:p w14:paraId="17C5FFD3">
            <w:pPr>
              <w:widowControl/>
              <w:spacing w:line="600" w:lineRule="exact"/>
              <w:jc w:val="both"/>
              <w:rPr>
                <w:rFonts w:hint="eastAsia" w:ascii="宋体" w:hAnsi="宋体" w:cs="宋体"/>
                <w:sz w:val="24"/>
                <w:highlight w:val="none"/>
              </w:rPr>
            </w:pPr>
          </w:p>
        </w:tc>
        <w:tc>
          <w:tcPr>
            <w:tcW w:w="1971" w:type="dxa"/>
          </w:tcPr>
          <w:p w14:paraId="67BB21B1">
            <w:pPr>
              <w:widowControl/>
              <w:spacing w:line="600" w:lineRule="exact"/>
              <w:jc w:val="both"/>
              <w:rPr>
                <w:rFonts w:hint="eastAsia" w:ascii="宋体" w:hAnsi="宋体" w:cs="宋体"/>
                <w:sz w:val="24"/>
                <w:highlight w:val="none"/>
              </w:rPr>
            </w:pPr>
          </w:p>
        </w:tc>
      </w:tr>
      <w:tr w14:paraId="3D16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0" w:type="dxa"/>
          </w:tcPr>
          <w:p w14:paraId="50AE572A">
            <w:pPr>
              <w:widowControl/>
              <w:spacing w:line="600" w:lineRule="exact"/>
              <w:jc w:val="both"/>
              <w:rPr>
                <w:rFonts w:hint="eastAsia" w:ascii="宋体" w:hAnsi="宋体" w:cs="宋体"/>
                <w:sz w:val="24"/>
                <w:highlight w:val="none"/>
              </w:rPr>
            </w:pPr>
            <w:r>
              <w:rPr>
                <w:rFonts w:hint="eastAsia" w:ascii="宋体" w:hAnsi="宋体" w:cs="宋体"/>
                <w:sz w:val="24"/>
                <w:highlight w:val="none"/>
              </w:rPr>
              <w:t>备注</w:t>
            </w:r>
          </w:p>
        </w:tc>
        <w:tc>
          <w:tcPr>
            <w:tcW w:w="671" w:type="dxa"/>
          </w:tcPr>
          <w:p w14:paraId="3D09AEF9">
            <w:pPr>
              <w:widowControl/>
              <w:spacing w:line="600" w:lineRule="exact"/>
              <w:jc w:val="both"/>
              <w:rPr>
                <w:rFonts w:hint="eastAsia" w:ascii="宋体" w:hAnsi="宋体" w:cs="宋体"/>
                <w:sz w:val="24"/>
                <w:highlight w:val="none"/>
              </w:rPr>
            </w:pPr>
          </w:p>
        </w:tc>
        <w:tc>
          <w:tcPr>
            <w:tcW w:w="1971" w:type="dxa"/>
          </w:tcPr>
          <w:p w14:paraId="0FDFAD52">
            <w:pPr>
              <w:widowControl/>
              <w:spacing w:line="600" w:lineRule="exact"/>
              <w:jc w:val="both"/>
              <w:rPr>
                <w:rFonts w:hint="eastAsia" w:ascii="宋体" w:hAnsi="宋体" w:cs="宋体"/>
                <w:sz w:val="24"/>
                <w:highlight w:val="none"/>
              </w:rPr>
            </w:pPr>
          </w:p>
        </w:tc>
        <w:tc>
          <w:tcPr>
            <w:tcW w:w="1971" w:type="dxa"/>
          </w:tcPr>
          <w:p w14:paraId="52005ABB">
            <w:pPr>
              <w:widowControl/>
              <w:spacing w:line="600" w:lineRule="exact"/>
              <w:jc w:val="both"/>
              <w:rPr>
                <w:rFonts w:hint="eastAsia" w:ascii="宋体" w:hAnsi="宋体" w:cs="宋体"/>
                <w:sz w:val="24"/>
                <w:highlight w:val="none"/>
              </w:rPr>
            </w:pPr>
          </w:p>
        </w:tc>
        <w:tc>
          <w:tcPr>
            <w:tcW w:w="1971" w:type="dxa"/>
          </w:tcPr>
          <w:p w14:paraId="05493B50">
            <w:pPr>
              <w:widowControl/>
              <w:spacing w:line="600" w:lineRule="exact"/>
              <w:jc w:val="both"/>
              <w:rPr>
                <w:rFonts w:hint="eastAsia" w:ascii="宋体" w:hAnsi="宋体" w:cs="宋体"/>
                <w:sz w:val="24"/>
                <w:highlight w:val="none"/>
              </w:rPr>
            </w:pPr>
          </w:p>
        </w:tc>
      </w:tr>
    </w:tbl>
    <w:p w14:paraId="1AB59BE5">
      <w:pPr>
        <w:spacing w:line="600" w:lineRule="exact"/>
        <w:rPr>
          <w:rFonts w:hint="eastAsia" w:ascii="宋体" w:hAnsi="宋体" w:cs="宋体"/>
          <w:sz w:val="24"/>
          <w:highlight w:val="none"/>
        </w:rPr>
      </w:pPr>
      <w:r>
        <w:rPr>
          <w:rFonts w:hint="eastAsia" w:ascii="宋体" w:hAnsi="宋体" w:cs="宋体"/>
          <w:sz w:val="24"/>
          <w:highlight w:val="none"/>
        </w:rPr>
        <w:t>注：供应商应根据供应商须知前附表第3.5（4）项的要求在本表后附相关证明材料。</w:t>
      </w:r>
    </w:p>
    <w:p w14:paraId="72A83A71">
      <w:pPr>
        <w:rPr>
          <w:rFonts w:hint="eastAsia" w:ascii="宋体" w:hAnsi="宋体" w:cs="宋体"/>
          <w:sz w:val="30"/>
          <w:szCs w:val="30"/>
          <w:highlight w:val="none"/>
        </w:rPr>
      </w:pPr>
      <w:r>
        <w:rPr>
          <w:rFonts w:hint="eastAsia" w:ascii="宋体" w:hAnsi="宋体" w:cs="宋体"/>
          <w:sz w:val="30"/>
          <w:szCs w:val="30"/>
          <w:highlight w:val="none"/>
        </w:rPr>
        <w:br w:type="page"/>
      </w:r>
    </w:p>
    <w:p w14:paraId="5C88A8D9">
      <w:pPr>
        <w:spacing w:line="600" w:lineRule="exact"/>
        <w:jc w:val="center"/>
        <w:rPr>
          <w:rFonts w:hint="eastAsia" w:ascii="宋体" w:hAnsi="宋体" w:cs="宋体"/>
          <w:sz w:val="24"/>
          <w:highlight w:val="none"/>
        </w:rPr>
      </w:pPr>
      <w:r>
        <w:rPr>
          <w:rFonts w:hint="eastAsia" w:ascii="宋体" w:hAnsi="宋体" w:cs="宋体"/>
          <w:sz w:val="24"/>
          <w:highlight w:val="none"/>
        </w:rPr>
        <w:t>（四）拟委任的主要人员汇总表</w:t>
      </w:r>
    </w:p>
    <w:p w14:paraId="28F4C287">
      <w:pPr>
        <w:spacing w:line="600" w:lineRule="exact"/>
        <w:jc w:val="center"/>
        <w:rPr>
          <w:rFonts w:hint="eastAsia" w:ascii="宋体" w:hAnsi="宋体" w:cs="宋体"/>
          <w:sz w:val="24"/>
          <w:highlight w:val="none"/>
        </w:rPr>
      </w:pPr>
    </w:p>
    <w:tbl>
      <w:tblPr>
        <w:tblStyle w:val="9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16F1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6B0C785B">
            <w:pPr>
              <w:widowControl/>
              <w:spacing w:line="360" w:lineRule="auto"/>
              <w:jc w:val="both"/>
              <w:rPr>
                <w:rFonts w:hint="eastAsia" w:ascii="宋体" w:hAnsi="宋体" w:cs="宋体"/>
                <w:sz w:val="24"/>
                <w:highlight w:val="none"/>
              </w:rPr>
            </w:pPr>
            <w:r>
              <w:rPr>
                <w:rFonts w:hint="eastAsia" w:ascii="宋体" w:hAnsi="宋体" w:cs="宋体"/>
                <w:sz w:val="24"/>
                <w:highlight w:val="none"/>
              </w:rPr>
              <w:t>序号</w:t>
            </w:r>
          </w:p>
        </w:tc>
        <w:tc>
          <w:tcPr>
            <w:tcW w:w="1095" w:type="dxa"/>
            <w:vMerge w:val="restart"/>
          </w:tcPr>
          <w:p w14:paraId="6767C95B">
            <w:pPr>
              <w:widowControl/>
              <w:spacing w:line="360" w:lineRule="auto"/>
              <w:jc w:val="both"/>
              <w:rPr>
                <w:rFonts w:hint="eastAsia" w:ascii="宋体" w:hAnsi="宋体" w:cs="宋体"/>
                <w:sz w:val="24"/>
                <w:highlight w:val="none"/>
              </w:rPr>
            </w:pPr>
            <w:r>
              <w:rPr>
                <w:rFonts w:hint="eastAsia" w:ascii="宋体" w:hAnsi="宋体" w:cs="宋体"/>
                <w:sz w:val="24"/>
                <w:highlight w:val="none"/>
              </w:rPr>
              <w:t>本项目任职</w:t>
            </w:r>
          </w:p>
        </w:tc>
        <w:tc>
          <w:tcPr>
            <w:tcW w:w="1095" w:type="dxa"/>
            <w:vMerge w:val="restart"/>
          </w:tcPr>
          <w:p w14:paraId="1C9BCB23">
            <w:pPr>
              <w:widowControl/>
              <w:spacing w:line="360" w:lineRule="auto"/>
              <w:jc w:val="both"/>
              <w:rPr>
                <w:rFonts w:hint="eastAsia" w:ascii="宋体" w:hAnsi="宋体" w:cs="宋体"/>
                <w:sz w:val="24"/>
                <w:highlight w:val="none"/>
              </w:rPr>
            </w:pPr>
            <w:r>
              <w:rPr>
                <w:rFonts w:hint="eastAsia" w:ascii="宋体" w:hAnsi="宋体" w:cs="宋体"/>
                <w:sz w:val="24"/>
                <w:highlight w:val="none"/>
              </w:rPr>
              <w:t>姓名</w:t>
            </w:r>
          </w:p>
        </w:tc>
        <w:tc>
          <w:tcPr>
            <w:tcW w:w="1095" w:type="dxa"/>
            <w:vMerge w:val="restart"/>
          </w:tcPr>
          <w:p w14:paraId="3DFAEC19">
            <w:pPr>
              <w:widowControl/>
              <w:spacing w:line="360" w:lineRule="auto"/>
              <w:jc w:val="both"/>
              <w:rPr>
                <w:rFonts w:hint="eastAsia" w:ascii="宋体" w:hAnsi="宋体" w:cs="宋体"/>
                <w:sz w:val="24"/>
                <w:highlight w:val="none"/>
              </w:rPr>
            </w:pPr>
            <w:r>
              <w:rPr>
                <w:rFonts w:hint="eastAsia" w:ascii="宋体" w:hAnsi="宋体" w:cs="宋体"/>
                <w:sz w:val="24"/>
                <w:highlight w:val="none"/>
              </w:rPr>
              <w:t>职称</w:t>
            </w:r>
          </w:p>
        </w:tc>
        <w:tc>
          <w:tcPr>
            <w:tcW w:w="1095" w:type="dxa"/>
            <w:vMerge w:val="restart"/>
          </w:tcPr>
          <w:p w14:paraId="73B3F2BE">
            <w:pPr>
              <w:widowControl/>
              <w:spacing w:line="360" w:lineRule="auto"/>
              <w:jc w:val="both"/>
              <w:rPr>
                <w:rFonts w:hint="eastAsia" w:ascii="宋体" w:hAnsi="宋体" w:cs="宋体"/>
                <w:sz w:val="24"/>
                <w:highlight w:val="none"/>
              </w:rPr>
            </w:pPr>
            <w:r>
              <w:rPr>
                <w:rFonts w:hint="eastAsia" w:ascii="宋体" w:hAnsi="宋体" w:cs="宋体"/>
                <w:sz w:val="24"/>
                <w:highlight w:val="none"/>
              </w:rPr>
              <w:t>专业</w:t>
            </w:r>
          </w:p>
        </w:tc>
        <w:tc>
          <w:tcPr>
            <w:tcW w:w="3285" w:type="dxa"/>
            <w:gridSpan w:val="3"/>
          </w:tcPr>
          <w:p w14:paraId="2FA1986C">
            <w:pPr>
              <w:widowControl/>
              <w:spacing w:line="360" w:lineRule="auto"/>
              <w:jc w:val="both"/>
              <w:rPr>
                <w:rFonts w:hint="eastAsia" w:ascii="宋体" w:hAnsi="宋体" w:cs="宋体"/>
                <w:sz w:val="24"/>
                <w:highlight w:val="none"/>
              </w:rPr>
            </w:pPr>
            <w:r>
              <w:rPr>
                <w:rFonts w:hint="eastAsia" w:ascii="宋体" w:hAnsi="宋体" w:cs="宋体"/>
                <w:sz w:val="24"/>
                <w:highlight w:val="none"/>
              </w:rPr>
              <w:t>执业或职业资格证明</w:t>
            </w:r>
          </w:p>
        </w:tc>
        <w:tc>
          <w:tcPr>
            <w:tcW w:w="1095" w:type="dxa"/>
          </w:tcPr>
          <w:p w14:paraId="50346001">
            <w:pPr>
              <w:widowControl/>
              <w:spacing w:line="360" w:lineRule="auto"/>
              <w:jc w:val="both"/>
              <w:rPr>
                <w:rFonts w:hint="eastAsia" w:ascii="宋体" w:hAnsi="宋体" w:cs="宋体"/>
                <w:sz w:val="24"/>
                <w:highlight w:val="none"/>
              </w:rPr>
            </w:pPr>
            <w:r>
              <w:rPr>
                <w:rFonts w:hint="eastAsia" w:ascii="宋体" w:hAnsi="宋体" w:cs="宋体"/>
                <w:sz w:val="24"/>
                <w:highlight w:val="none"/>
              </w:rPr>
              <w:t>备注</w:t>
            </w:r>
          </w:p>
        </w:tc>
      </w:tr>
      <w:tr w14:paraId="7A6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19DD699D">
            <w:pPr>
              <w:widowControl/>
              <w:spacing w:line="360" w:lineRule="auto"/>
              <w:jc w:val="both"/>
              <w:rPr>
                <w:rFonts w:hint="eastAsia" w:ascii="宋体" w:hAnsi="宋体" w:cs="宋体"/>
                <w:sz w:val="24"/>
                <w:highlight w:val="none"/>
              </w:rPr>
            </w:pPr>
          </w:p>
        </w:tc>
        <w:tc>
          <w:tcPr>
            <w:tcW w:w="1095" w:type="dxa"/>
            <w:vMerge w:val="continue"/>
          </w:tcPr>
          <w:p w14:paraId="5AF88A00">
            <w:pPr>
              <w:widowControl/>
              <w:spacing w:line="360" w:lineRule="auto"/>
              <w:jc w:val="both"/>
              <w:rPr>
                <w:rFonts w:hint="eastAsia" w:ascii="宋体" w:hAnsi="宋体" w:cs="宋体"/>
                <w:sz w:val="24"/>
                <w:highlight w:val="none"/>
              </w:rPr>
            </w:pPr>
          </w:p>
        </w:tc>
        <w:tc>
          <w:tcPr>
            <w:tcW w:w="1095" w:type="dxa"/>
            <w:vMerge w:val="continue"/>
          </w:tcPr>
          <w:p w14:paraId="79DF3AC6">
            <w:pPr>
              <w:widowControl/>
              <w:spacing w:line="360" w:lineRule="auto"/>
              <w:jc w:val="both"/>
              <w:rPr>
                <w:rFonts w:hint="eastAsia" w:ascii="宋体" w:hAnsi="宋体" w:cs="宋体"/>
                <w:sz w:val="24"/>
                <w:highlight w:val="none"/>
              </w:rPr>
            </w:pPr>
          </w:p>
        </w:tc>
        <w:tc>
          <w:tcPr>
            <w:tcW w:w="1095" w:type="dxa"/>
            <w:vMerge w:val="continue"/>
          </w:tcPr>
          <w:p w14:paraId="2D52A7DC">
            <w:pPr>
              <w:widowControl/>
              <w:spacing w:line="360" w:lineRule="auto"/>
              <w:jc w:val="both"/>
              <w:rPr>
                <w:rFonts w:hint="eastAsia" w:ascii="宋体" w:hAnsi="宋体" w:cs="宋体"/>
                <w:sz w:val="24"/>
                <w:highlight w:val="none"/>
              </w:rPr>
            </w:pPr>
          </w:p>
        </w:tc>
        <w:tc>
          <w:tcPr>
            <w:tcW w:w="1095" w:type="dxa"/>
            <w:vMerge w:val="continue"/>
          </w:tcPr>
          <w:p w14:paraId="5C4E9F70">
            <w:pPr>
              <w:widowControl/>
              <w:spacing w:line="360" w:lineRule="auto"/>
              <w:jc w:val="both"/>
              <w:rPr>
                <w:rFonts w:hint="eastAsia" w:ascii="宋体" w:hAnsi="宋体" w:cs="宋体"/>
                <w:sz w:val="24"/>
                <w:highlight w:val="none"/>
              </w:rPr>
            </w:pPr>
          </w:p>
        </w:tc>
        <w:tc>
          <w:tcPr>
            <w:tcW w:w="1095" w:type="dxa"/>
          </w:tcPr>
          <w:p w14:paraId="08CB3818">
            <w:pPr>
              <w:widowControl/>
              <w:spacing w:line="360" w:lineRule="auto"/>
              <w:jc w:val="both"/>
              <w:rPr>
                <w:rFonts w:hint="eastAsia" w:ascii="宋体" w:hAnsi="宋体" w:cs="宋体"/>
                <w:sz w:val="24"/>
                <w:highlight w:val="none"/>
              </w:rPr>
            </w:pPr>
            <w:r>
              <w:rPr>
                <w:rFonts w:hint="eastAsia" w:ascii="宋体" w:hAnsi="宋体" w:cs="宋体"/>
                <w:sz w:val="24"/>
                <w:highlight w:val="none"/>
              </w:rPr>
              <w:t>证书名称</w:t>
            </w:r>
          </w:p>
        </w:tc>
        <w:tc>
          <w:tcPr>
            <w:tcW w:w="1095" w:type="dxa"/>
          </w:tcPr>
          <w:p w14:paraId="55550164">
            <w:pPr>
              <w:widowControl/>
              <w:spacing w:line="360" w:lineRule="auto"/>
              <w:jc w:val="both"/>
              <w:rPr>
                <w:rFonts w:hint="eastAsia" w:ascii="宋体" w:hAnsi="宋体" w:cs="宋体"/>
                <w:sz w:val="24"/>
                <w:highlight w:val="none"/>
              </w:rPr>
            </w:pPr>
            <w:r>
              <w:rPr>
                <w:rFonts w:hint="eastAsia" w:ascii="宋体" w:hAnsi="宋体" w:cs="宋体"/>
                <w:sz w:val="24"/>
                <w:highlight w:val="none"/>
              </w:rPr>
              <w:t>级别</w:t>
            </w:r>
          </w:p>
        </w:tc>
        <w:tc>
          <w:tcPr>
            <w:tcW w:w="1095" w:type="dxa"/>
          </w:tcPr>
          <w:p w14:paraId="59766A91">
            <w:pPr>
              <w:widowControl/>
              <w:spacing w:line="360" w:lineRule="auto"/>
              <w:jc w:val="both"/>
              <w:rPr>
                <w:rFonts w:hint="eastAsia" w:ascii="宋体" w:hAnsi="宋体" w:cs="宋体"/>
                <w:sz w:val="24"/>
                <w:highlight w:val="none"/>
              </w:rPr>
            </w:pPr>
            <w:r>
              <w:rPr>
                <w:rFonts w:hint="eastAsia" w:ascii="宋体" w:hAnsi="宋体" w:cs="宋体"/>
                <w:sz w:val="24"/>
                <w:highlight w:val="none"/>
              </w:rPr>
              <w:t>证号</w:t>
            </w:r>
          </w:p>
        </w:tc>
        <w:tc>
          <w:tcPr>
            <w:tcW w:w="1095" w:type="dxa"/>
          </w:tcPr>
          <w:p w14:paraId="6D94655B">
            <w:pPr>
              <w:widowControl/>
              <w:spacing w:line="360" w:lineRule="auto"/>
              <w:jc w:val="both"/>
              <w:rPr>
                <w:rFonts w:hint="eastAsia" w:ascii="宋体" w:hAnsi="宋体" w:cs="宋体"/>
                <w:sz w:val="24"/>
                <w:highlight w:val="none"/>
              </w:rPr>
            </w:pPr>
          </w:p>
        </w:tc>
      </w:tr>
      <w:tr w14:paraId="44AF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42CD1B6D">
            <w:pPr>
              <w:widowControl/>
              <w:spacing w:line="600" w:lineRule="exact"/>
              <w:jc w:val="both"/>
              <w:rPr>
                <w:rFonts w:hint="eastAsia" w:ascii="宋体" w:hAnsi="宋体" w:cs="宋体"/>
                <w:sz w:val="24"/>
                <w:highlight w:val="none"/>
              </w:rPr>
            </w:pPr>
          </w:p>
        </w:tc>
        <w:tc>
          <w:tcPr>
            <w:tcW w:w="1095" w:type="dxa"/>
          </w:tcPr>
          <w:p w14:paraId="2CCD32B3">
            <w:pPr>
              <w:widowControl/>
              <w:spacing w:line="600" w:lineRule="exact"/>
              <w:jc w:val="both"/>
              <w:rPr>
                <w:rFonts w:hint="eastAsia" w:ascii="宋体" w:hAnsi="宋体" w:cs="宋体"/>
                <w:sz w:val="24"/>
                <w:highlight w:val="none"/>
              </w:rPr>
            </w:pPr>
          </w:p>
        </w:tc>
        <w:tc>
          <w:tcPr>
            <w:tcW w:w="1095" w:type="dxa"/>
          </w:tcPr>
          <w:p w14:paraId="00E0D689">
            <w:pPr>
              <w:widowControl/>
              <w:spacing w:line="600" w:lineRule="exact"/>
              <w:jc w:val="both"/>
              <w:rPr>
                <w:rFonts w:hint="eastAsia" w:ascii="宋体" w:hAnsi="宋体" w:cs="宋体"/>
                <w:sz w:val="24"/>
                <w:highlight w:val="none"/>
              </w:rPr>
            </w:pPr>
          </w:p>
        </w:tc>
        <w:tc>
          <w:tcPr>
            <w:tcW w:w="1095" w:type="dxa"/>
          </w:tcPr>
          <w:p w14:paraId="1219C617">
            <w:pPr>
              <w:widowControl/>
              <w:spacing w:line="600" w:lineRule="exact"/>
              <w:jc w:val="both"/>
              <w:rPr>
                <w:rFonts w:hint="eastAsia" w:ascii="宋体" w:hAnsi="宋体" w:cs="宋体"/>
                <w:sz w:val="24"/>
                <w:highlight w:val="none"/>
              </w:rPr>
            </w:pPr>
          </w:p>
        </w:tc>
        <w:tc>
          <w:tcPr>
            <w:tcW w:w="1095" w:type="dxa"/>
          </w:tcPr>
          <w:p w14:paraId="63F5A5A7">
            <w:pPr>
              <w:widowControl/>
              <w:spacing w:line="600" w:lineRule="exact"/>
              <w:jc w:val="both"/>
              <w:rPr>
                <w:rFonts w:hint="eastAsia" w:ascii="宋体" w:hAnsi="宋体" w:cs="宋体"/>
                <w:sz w:val="24"/>
                <w:highlight w:val="none"/>
              </w:rPr>
            </w:pPr>
          </w:p>
        </w:tc>
        <w:tc>
          <w:tcPr>
            <w:tcW w:w="1095" w:type="dxa"/>
          </w:tcPr>
          <w:p w14:paraId="37482372">
            <w:pPr>
              <w:widowControl/>
              <w:spacing w:line="600" w:lineRule="exact"/>
              <w:jc w:val="both"/>
              <w:rPr>
                <w:rFonts w:hint="eastAsia" w:ascii="宋体" w:hAnsi="宋体" w:cs="宋体"/>
                <w:sz w:val="24"/>
                <w:highlight w:val="none"/>
              </w:rPr>
            </w:pPr>
          </w:p>
        </w:tc>
        <w:tc>
          <w:tcPr>
            <w:tcW w:w="1095" w:type="dxa"/>
          </w:tcPr>
          <w:p w14:paraId="00B04EA9">
            <w:pPr>
              <w:widowControl/>
              <w:spacing w:line="600" w:lineRule="exact"/>
              <w:jc w:val="both"/>
              <w:rPr>
                <w:rFonts w:hint="eastAsia" w:ascii="宋体" w:hAnsi="宋体" w:cs="宋体"/>
                <w:sz w:val="24"/>
                <w:highlight w:val="none"/>
              </w:rPr>
            </w:pPr>
          </w:p>
        </w:tc>
        <w:tc>
          <w:tcPr>
            <w:tcW w:w="1095" w:type="dxa"/>
          </w:tcPr>
          <w:p w14:paraId="03056D74">
            <w:pPr>
              <w:widowControl/>
              <w:spacing w:line="600" w:lineRule="exact"/>
              <w:jc w:val="both"/>
              <w:rPr>
                <w:rFonts w:hint="eastAsia" w:ascii="宋体" w:hAnsi="宋体" w:cs="宋体"/>
                <w:sz w:val="24"/>
                <w:highlight w:val="none"/>
              </w:rPr>
            </w:pPr>
          </w:p>
        </w:tc>
        <w:tc>
          <w:tcPr>
            <w:tcW w:w="1095" w:type="dxa"/>
          </w:tcPr>
          <w:p w14:paraId="58596CE9">
            <w:pPr>
              <w:widowControl/>
              <w:spacing w:line="600" w:lineRule="exact"/>
              <w:jc w:val="both"/>
              <w:rPr>
                <w:rFonts w:hint="eastAsia" w:ascii="宋体" w:hAnsi="宋体" w:cs="宋体"/>
                <w:sz w:val="24"/>
                <w:highlight w:val="none"/>
              </w:rPr>
            </w:pPr>
          </w:p>
        </w:tc>
      </w:tr>
      <w:tr w14:paraId="6A50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0633402A">
            <w:pPr>
              <w:widowControl/>
              <w:spacing w:line="600" w:lineRule="exact"/>
              <w:jc w:val="both"/>
              <w:rPr>
                <w:rFonts w:hint="eastAsia" w:ascii="宋体" w:hAnsi="宋体" w:cs="宋体"/>
                <w:sz w:val="24"/>
                <w:highlight w:val="none"/>
              </w:rPr>
            </w:pPr>
          </w:p>
        </w:tc>
        <w:tc>
          <w:tcPr>
            <w:tcW w:w="1095" w:type="dxa"/>
          </w:tcPr>
          <w:p w14:paraId="7934858E">
            <w:pPr>
              <w:widowControl/>
              <w:spacing w:line="600" w:lineRule="exact"/>
              <w:jc w:val="both"/>
              <w:rPr>
                <w:rFonts w:hint="eastAsia" w:ascii="宋体" w:hAnsi="宋体" w:cs="宋体"/>
                <w:sz w:val="24"/>
                <w:highlight w:val="none"/>
              </w:rPr>
            </w:pPr>
          </w:p>
        </w:tc>
        <w:tc>
          <w:tcPr>
            <w:tcW w:w="1095" w:type="dxa"/>
          </w:tcPr>
          <w:p w14:paraId="25388A3D">
            <w:pPr>
              <w:widowControl/>
              <w:spacing w:line="600" w:lineRule="exact"/>
              <w:jc w:val="both"/>
              <w:rPr>
                <w:rFonts w:hint="eastAsia" w:ascii="宋体" w:hAnsi="宋体" w:cs="宋体"/>
                <w:sz w:val="24"/>
                <w:highlight w:val="none"/>
              </w:rPr>
            </w:pPr>
          </w:p>
        </w:tc>
        <w:tc>
          <w:tcPr>
            <w:tcW w:w="1095" w:type="dxa"/>
          </w:tcPr>
          <w:p w14:paraId="4E7EAF8E">
            <w:pPr>
              <w:widowControl/>
              <w:spacing w:line="600" w:lineRule="exact"/>
              <w:jc w:val="both"/>
              <w:rPr>
                <w:rFonts w:hint="eastAsia" w:ascii="宋体" w:hAnsi="宋体" w:cs="宋体"/>
                <w:sz w:val="24"/>
                <w:highlight w:val="none"/>
              </w:rPr>
            </w:pPr>
          </w:p>
        </w:tc>
        <w:tc>
          <w:tcPr>
            <w:tcW w:w="1095" w:type="dxa"/>
          </w:tcPr>
          <w:p w14:paraId="5169B1E3">
            <w:pPr>
              <w:widowControl/>
              <w:spacing w:line="600" w:lineRule="exact"/>
              <w:jc w:val="both"/>
              <w:rPr>
                <w:rFonts w:hint="eastAsia" w:ascii="宋体" w:hAnsi="宋体" w:cs="宋体"/>
                <w:sz w:val="24"/>
                <w:highlight w:val="none"/>
              </w:rPr>
            </w:pPr>
          </w:p>
        </w:tc>
        <w:tc>
          <w:tcPr>
            <w:tcW w:w="1095" w:type="dxa"/>
          </w:tcPr>
          <w:p w14:paraId="31D2094A">
            <w:pPr>
              <w:widowControl/>
              <w:spacing w:line="600" w:lineRule="exact"/>
              <w:jc w:val="both"/>
              <w:rPr>
                <w:rFonts w:hint="eastAsia" w:ascii="宋体" w:hAnsi="宋体" w:cs="宋体"/>
                <w:sz w:val="24"/>
                <w:highlight w:val="none"/>
              </w:rPr>
            </w:pPr>
          </w:p>
        </w:tc>
        <w:tc>
          <w:tcPr>
            <w:tcW w:w="1095" w:type="dxa"/>
          </w:tcPr>
          <w:p w14:paraId="75B15E89">
            <w:pPr>
              <w:widowControl/>
              <w:spacing w:line="600" w:lineRule="exact"/>
              <w:jc w:val="both"/>
              <w:rPr>
                <w:rFonts w:hint="eastAsia" w:ascii="宋体" w:hAnsi="宋体" w:cs="宋体"/>
                <w:sz w:val="24"/>
                <w:highlight w:val="none"/>
              </w:rPr>
            </w:pPr>
          </w:p>
        </w:tc>
        <w:tc>
          <w:tcPr>
            <w:tcW w:w="1095" w:type="dxa"/>
          </w:tcPr>
          <w:p w14:paraId="29AEFBC4">
            <w:pPr>
              <w:widowControl/>
              <w:spacing w:line="600" w:lineRule="exact"/>
              <w:jc w:val="both"/>
              <w:rPr>
                <w:rFonts w:hint="eastAsia" w:ascii="宋体" w:hAnsi="宋体" w:cs="宋体"/>
                <w:sz w:val="24"/>
                <w:highlight w:val="none"/>
              </w:rPr>
            </w:pPr>
          </w:p>
        </w:tc>
        <w:tc>
          <w:tcPr>
            <w:tcW w:w="1095" w:type="dxa"/>
          </w:tcPr>
          <w:p w14:paraId="33067ADE">
            <w:pPr>
              <w:widowControl/>
              <w:spacing w:line="600" w:lineRule="exact"/>
              <w:jc w:val="both"/>
              <w:rPr>
                <w:rFonts w:hint="eastAsia" w:ascii="宋体" w:hAnsi="宋体" w:cs="宋体"/>
                <w:sz w:val="24"/>
                <w:highlight w:val="none"/>
              </w:rPr>
            </w:pPr>
          </w:p>
        </w:tc>
      </w:tr>
      <w:tr w14:paraId="6C00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3B72E5A">
            <w:pPr>
              <w:widowControl/>
              <w:spacing w:line="600" w:lineRule="exact"/>
              <w:jc w:val="both"/>
              <w:rPr>
                <w:rFonts w:hint="eastAsia" w:ascii="宋体" w:hAnsi="宋体" w:cs="宋体"/>
                <w:sz w:val="24"/>
                <w:highlight w:val="none"/>
              </w:rPr>
            </w:pPr>
          </w:p>
        </w:tc>
        <w:tc>
          <w:tcPr>
            <w:tcW w:w="1095" w:type="dxa"/>
          </w:tcPr>
          <w:p w14:paraId="7D3AB400">
            <w:pPr>
              <w:widowControl/>
              <w:spacing w:line="600" w:lineRule="exact"/>
              <w:jc w:val="both"/>
              <w:rPr>
                <w:rFonts w:hint="eastAsia" w:ascii="宋体" w:hAnsi="宋体" w:cs="宋体"/>
                <w:sz w:val="24"/>
                <w:highlight w:val="none"/>
              </w:rPr>
            </w:pPr>
          </w:p>
        </w:tc>
        <w:tc>
          <w:tcPr>
            <w:tcW w:w="1095" w:type="dxa"/>
          </w:tcPr>
          <w:p w14:paraId="790237C2">
            <w:pPr>
              <w:widowControl/>
              <w:spacing w:line="600" w:lineRule="exact"/>
              <w:jc w:val="both"/>
              <w:rPr>
                <w:rFonts w:hint="eastAsia" w:ascii="宋体" w:hAnsi="宋体" w:cs="宋体"/>
                <w:sz w:val="24"/>
                <w:highlight w:val="none"/>
              </w:rPr>
            </w:pPr>
          </w:p>
        </w:tc>
        <w:tc>
          <w:tcPr>
            <w:tcW w:w="1095" w:type="dxa"/>
          </w:tcPr>
          <w:p w14:paraId="680131B1">
            <w:pPr>
              <w:widowControl/>
              <w:spacing w:line="600" w:lineRule="exact"/>
              <w:jc w:val="both"/>
              <w:rPr>
                <w:rFonts w:hint="eastAsia" w:ascii="宋体" w:hAnsi="宋体" w:cs="宋体"/>
                <w:sz w:val="24"/>
                <w:highlight w:val="none"/>
              </w:rPr>
            </w:pPr>
          </w:p>
        </w:tc>
        <w:tc>
          <w:tcPr>
            <w:tcW w:w="1095" w:type="dxa"/>
          </w:tcPr>
          <w:p w14:paraId="55196E74">
            <w:pPr>
              <w:widowControl/>
              <w:spacing w:line="600" w:lineRule="exact"/>
              <w:jc w:val="both"/>
              <w:rPr>
                <w:rFonts w:hint="eastAsia" w:ascii="宋体" w:hAnsi="宋体" w:cs="宋体"/>
                <w:sz w:val="24"/>
                <w:highlight w:val="none"/>
              </w:rPr>
            </w:pPr>
          </w:p>
        </w:tc>
        <w:tc>
          <w:tcPr>
            <w:tcW w:w="1095" w:type="dxa"/>
          </w:tcPr>
          <w:p w14:paraId="57E42D42">
            <w:pPr>
              <w:widowControl/>
              <w:spacing w:line="600" w:lineRule="exact"/>
              <w:jc w:val="both"/>
              <w:rPr>
                <w:rFonts w:hint="eastAsia" w:ascii="宋体" w:hAnsi="宋体" w:cs="宋体"/>
                <w:sz w:val="24"/>
                <w:highlight w:val="none"/>
              </w:rPr>
            </w:pPr>
          </w:p>
        </w:tc>
        <w:tc>
          <w:tcPr>
            <w:tcW w:w="1095" w:type="dxa"/>
          </w:tcPr>
          <w:p w14:paraId="4E73F5C1">
            <w:pPr>
              <w:widowControl/>
              <w:spacing w:line="600" w:lineRule="exact"/>
              <w:jc w:val="both"/>
              <w:rPr>
                <w:rFonts w:hint="eastAsia" w:ascii="宋体" w:hAnsi="宋体" w:cs="宋体"/>
                <w:sz w:val="24"/>
                <w:highlight w:val="none"/>
              </w:rPr>
            </w:pPr>
          </w:p>
        </w:tc>
        <w:tc>
          <w:tcPr>
            <w:tcW w:w="1095" w:type="dxa"/>
          </w:tcPr>
          <w:p w14:paraId="4443ABD0">
            <w:pPr>
              <w:widowControl/>
              <w:spacing w:line="600" w:lineRule="exact"/>
              <w:jc w:val="both"/>
              <w:rPr>
                <w:rFonts w:hint="eastAsia" w:ascii="宋体" w:hAnsi="宋体" w:cs="宋体"/>
                <w:sz w:val="24"/>
                <w:highlight w:val="none"/>
              </w:rPr>
            </w:pPr>
          </w:p>
        </w:tc>
        <w:tc>
          <w:tcPr>
            <w:tcW w:w="1095" w:type="dxa"/>
          </w:tcPr>
          <w:p w14:paraId="5C350D37">
            <w:pPr>
              <w:widowControl/>
              <w:spacing w:line="600" w:lineRule="exact"/>
              <w:jc w:val="both"/>
              <w:rPr>
                <w:rFonts w:hint="eastAsia" w:ascii="宋体" w:hAnsi="宋体" w:cs="宋体"/>
                <w:sz w:val="24"/>
                <w:highlight w:val="none"/>
              </w:rPr>
            </w:pPr>
          </w:p>
        </w:tc>
      </w:tr>
      <w:tr w14:paraId="5686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40B991FE">
            <w:pPr>
              <w:widowControl/>
              <w:spacing w:line="600" w:lineRule="exact"/>
              <w:jc w:val="both"/>
              <w:rPr>
                <w:rFonts w:hint="eastAsia" w:ascii="宋体" w:hAnsi="宋体" w:cs="宋体"/>
                <w:sz w:val="24"/>
                <w:highlight w:val="none"/>
              </w:rPr>
            </w:pPr>
          </w:p>
        </w:tc>
        <w:tc>
          <w:tcPr>
            <w:tcW w:w="1095" w:type="dxa"/>
          </w:tcPr>
          <w:p w14:paraId="570A1FD0">
            <w:pPr>
              <w:widowControl/>
              <w:spacing w:line="600" w:lineRule="exact"/>
              <w:jc w:val="both"/>
              <w:rPr>
                <w:rFonts w:hint="eastAsia" w:ascii="宋体" w:hAnsi="宋体" w:cs="宋体"/>
                <w:sz w:val="24"/>
                <w:highlight w:val="none"/>
              </w:rPr>
            </w:pPr>
          </w:p>
        </w:tc>
        <w:tc>
          <w:tcPr>
            <w:tcW w:w="1095" w:type="dxa"/>
          </w:tcPr>
          <w:p w14:paraId="1C539011">
            <w:pPr>
              <w:widowControl/>
              <w:spacing w:line="600" w:lineRule="exact"/>
              <w:jc w:val="both"/>
              <w:rPr>
                <w:rFonts w:hint="eastAsia" w:ascii="宋体" w:hAnsi="宋体" w:cs="宋体"/>
                <w:sz w:val="24"/>
                <w:highlight w:val="none"/>
              </w:rPr>
            </w:pPr>
          </w:p>
        </w:tc>
        <w:tc>
          <w:tcPr>
            <w:tcW w:w="1095" w:type="dxa"/>
          </w:tcPr>
          <w:p w14:paraId="1BAADEAD">
            <w:pPr>
              <w:widowControl/>
              <w:spacing w:line="600" w:lineRule="exact"/>
              <w:jc w:val="both"/>
              <w:rPr>
                <w:rFonts w:hint="eastAsia" w:ascii="宋体" w:hAnsi="宋体" w:cs="宋体"/>
                <w:sz w:val="24"/>
                <w:highlight w:val="none"/>
              </w:rPr>
            </w:pPr>
          </w:p>
        </w:tc>
        <w:tc>
          <w:tcPr>
            <w:tcW w:w="1095" w:type="dxa"/>
          </w:tcPr>
          <w:p w14:paraId="2A50EE25">
            <w:pPr>
              <w:widowControl/>
              <w:spacing w:line="600" w:lineRule="exact"/>
              <w:jc w:val="both"/>
              <w:rPr>
                <w:rFonts w:hint="eastAsia" w:ascii="宋体" w:hAnsi="宋体" w:cs="宋体"/>
                <w:sz w:val="24"/>
                <w:highlight w:val="none"/>
              </w:rPr>
            </w:pPr>
          </w:p>
        </w:tc>
        <w:tc>
          <w:tcPr>
            <w:tcW w:w="1095" w:type="dxa"/>
          </w:tcPr>
          <w:p w14:paraId="780CDBD2">
            <w:pPr>
              <w:widowControl/>
              <w:spacing w:line="600" w:lineRule="exact"/>
              <w:jc w:val="both"/>
              <w:rPr>
                <w:rFonts w:hint="eastAsia" w:ascii="宋体" w:hAnsi="宋体" w:cs="宋体"/>
                <w:sz w:val="24"/>
                <w:highlight w:val="none"/>
              </w:rPr>
            </w:pPr>
          </w:p>
        </w:tc>
        <w:tc>
          <w:tcPr>
            <w:tcW w:w="1095" w:type="dxa"/>
          </w:tcPr>
          <w:p w14:paraId="19E20F53">
            <w:pPr>
              <w:widowControl/>
              <w:spacing w:line="600" w:lineRule="exact"/>
              <w:jc w:val="both"/>
              <w:rPr>
                <w:rFonts w:hint="eastAsia" w:ascii="宋体" w:hAnsi="宋体" w:cs="宋体"/>
                <w:sz w:val="24"/>
                <w:highlight w:val="none"/>
              </w:rPr>
            </w:pPr>
          </w:p>
        </w:tc>
        <w:tc>
          <w:tcPr>
            <w:tcW w:w="1095" w:type="dxa"/>
          </w:tcPr>
          <w:p w14:paraId="046390AC">
            <w:pPr>
              <w:widowControl/>
              <w:spacing w:line="600" w:lineRule="exact"/>
              <w:jc w:val="both"/>
              <w:rPr>
                <w:rFonts w:hint="eastAsia" w:ascii="宋体" w:hAnsi="宋体" w:cs="宋体"/>
                <w:sz w:val="24"/>
                <w:highlight w:val="none"/>
              </w:rPr>
            </w:pPr>
          </w:p>
        </w:tc>
        <w:tc>
          <w:tcPr>
            <w:tcW w:w="1095" w:type="dxa"/>
          </w:tcPr>
          <w:p w14:paraId="2C1768A9">
            <w:pPr>
              <w:widowControl/>
              <w:spacing w:line="600" w:lineRule="exact"/>
              <w:jc w:val="both"/>
              <w:rPr>
                <w:rFonts w:hint="eastAsia" w:ascii="宋体" w:hAnsi="宋体" w:cs="宋体"/>
                <w:sz w:val="24"/>
                <w:highlight w:val="none"/>
              </w:rPr>
            </w:pPr>
          </w:p>
        </w:tc>
      </w:tr>
      <w:tr w14:paraId="66B3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09E9ABE1">
            <w:pPr>
              <w:widowControl/>
              <w:spacing w:line="600" w:lineRule="exact"/>
              <w:jc w:val="both"/>
              <w:rPr>
                <w:rFonts w:hint="eastAsia" w:ascii="宋体" w:hAnsi="宋体" w:cs="宋体"/>
                <w:sz w:val="24"/>
                <w:highlight w:val="none"/>
              </w:rPr>
            </w:pPr>
          </w:p>
        </w:tc>
        <w:tc>
          <w:tcPr>
            <w:tcW w:w="1095" w:type="dxa"/>
          </w:tcPr>
          <w:p w14:paraId="585A2151">
            <w:pPr>
              <w:widowControl/>
              <w:spacing w:line="600" w:lineRule="exact"/>
              <w:jc w:val="both"/>
              <w:rPr>
                <w:rFonts w:hint="eastAsia" w:ascii="宋体" w:hAnsi="宋体" w:cs="宋体"/>
                <w:sz w:val="24"/>
                <w:highlight w:val="none"/>
              </w:rPr>
            </w:pPr>
          </w:p>
        </w:tc>
        <w:tc>
          <w:tcPr>
            <w:tcW w:w="1095" w:type="dxa"/>
          </w:tcPr>
          <w:p w14:paraId="40631773">
            <w:pPr>
              <w:widowControl/>
              <w:spacing w:line="600" w:lineRule="exact"/>
              <w:jc w:val="both"/>
              <w:rPr>
                <w:rFonts w:hint="eastAsia" w:ascii="宋体" w:hAnsi="宋体" w:cs="宋体"/>
                <w:sz w:val="24"/>
                <w:highlight w:val="none"/>
              </w:rPr>
            </w:pPr>
          </w:p>
        </w:tc>
        <w:tc>
          <w:tcPr>
            <w:tcW w:w="1095" w:type="dxa"/>
          </w:tcPr>
          <w:p w14:paraId="502E5E2F">
            <w:pPr>
              <w:widowControl/>
              <w:spacing w:line="600" w:lineRule="exact"/>
              <w:jc w:val="both"/>
              <w:rPr>
                <w:rFonts w:hint="eastAsia" w:ascii="宋体" w:hAnsi="宋体" w:cs="宋体"/>
                <w:sz w:val="24"/>
                <w:highlight w:val="none"/>
              </w:rPr>
            </w:pPr>
          </w:p>
        </w:tc>
        <w:tc>
          <w:tcPr>
            <w:tcW w:w="1095" w:type="dxa"/>
          </w:tcPr>
          <w:p w14:paraId="0B98D32D">
            <w:pPr>
              <w:widowControl/>
              <w:spacing w:line="600" w:lineRule="exact"/>
              <w:jc w:val="both"/>
              <w:rPr>
                <w:rFonts w:hint="eastAsia" w:ascii="宋体" w:hAnsi="宋体" w:cs="宋体"/>
                <w:sz w:val="24"/>
                <w:highlight w:val="none"/>
              </w:rPr>
            </w:pPr>
          </w:p>
        </w:tc>
        <w:tc>
          <w:tcPr>
            <w:tcW w:w="1095" w:type="dxa"/>
          </w:tcPr>
          <w:p w14:paraId="6EE462BE">
            <w:pPr>
              <w:widowControl/>
              <w:spacing w:line="600" w:lineRule="exact"/>
              <w:jc w:val="both"/>
              <w:rPr>
                <w:rFonts w:hint="eastAsia" w:ascii="宋体" w:hAnsi="宋体" w:cs="宋体"/>
                <w:sz w:val="24"/>
                <w:highlight w:val="none"/>
              </w:rPr>
            </w:pPr>
          </w:p>
        </w:tc>
        <w:tc>
          <w:tcPr>
            <w:tcW w:w="1095" w:type="dxa"/>
          </w:tcPr>
          <w:p w14:paraId="7AFA18CA">
            <w:pPr>
              <w:widowControl/>
              <w:spacing w:line="600" w:lineRule="exact"/>
              <w:jc w:val="both"/>
              <w:rPr>
                <w:rFonts w:hint="eastAsia" w:ascii="宋体" w:hAnsi="宋体" w:cs="宋体"/>
                <w:sz w:val="24"/>
                <w:highlight w:val="none"/>
              </w:rPr>
            </w:pPr>
          </w:p>
        </w:tc>
        <w:tc>
          <w:tcPr>
            <w:tcW w:w="1095" w:type="dxa"/>
          </w:tcPr>
          <w:p w14:paraId="7F7553DA">
            <w:pPr>
              <w:widowControl/>
              <w:spacing w:line="600" w:lineRule="exact"/>
              <w:jc w:val="both"/>
              <w:rPr>
                <w:rFonts w:hint="eastAsia" w:ascii="宋体" w:hAnsi="宋体" w:cs="宋体"/>
                <w:sz w:val="24"/>
                <w:highlight w:val="none"/>
              </w:rPr>
            </w:pPr>
          </w:p>
        </w:tc>
        <w:tc>
          <w:tcPr>
            <w:tcW w:w="1095" w:type="dxa"/>
          </w:tcPr>
          <w:p w14:paraId="12C08577">
            <w:pPr>
              <w:widowControl/>
              <w:spacing w:line="600" w:lineRule="exact"/>
              <w:jc w:val="both"/>
              <w:rPr>
                <w:rFonts w:hint="eastAsia" w:ascii="宋体" w:hAnsi="宋体" w:cs="宋体"/>
                <w:sz w:val="24"/>
                <w:highlight w:val="none"/>
              </w:rPr>
            </w:pPr>
          </w:p>
        </w:tc>
      </w:tr>
    </w:tbl>
    <w:p w14:paraId="593DE114">
      <w:pPr>
        <w:rPr>
          <w:rFonts w:hint="eastAsia" w:ascii="宋体" w:hAnsi="宋体" w:cs="宋体"/>
          <w:sz w:val="24"/>
          <w:highlight w:val="none"/>
        </w:rPr>
      </w:pPr>
      <w:r>
        <w:rPr>
          <w:rFonts w:hint="eastAsia" w:ascii="宋体" w:hAnsi="宋体" w:cs="宋体"/>
          <w:sz w:val="24"/>
          <w:highlight w:val="none"/>
        </w:rPr>
        <w:br w:type="page"/>
      </w:r>
    </w:p>
    <w:p w14:paraId="4D79BB2C">
      <w:pPr>
        <w:pStyle w:val="4"/>
        <w:spacing w:before="0" w:after="0" w:line="380" w:lineRule="atLeast"/>
        <w:jc w:val="center"/>
        <w:rPr>
          <w:rFonts w:hint="eastAsia" w:ascii="宋体" w:hAnsi="宋体" w:cs="宋体"/>
          <w:b w:val="0"/>
          <w:sz w:val="24"/>
          <w:szCs w:val="24"/>
          <w:highlight w:val="none"/>
        </w:rPr>
      </w:pPr>
      <w:r>
        <w:rPr>
          <w:rFonts w:hint="eastAsia" w:ascii="宋体" w:hAnsi="宋体" w:cs="宋体"/>
          <w:b w:val="0"/>
          <w:sz w:val="24"/>
          <w:szCs w:val="24"/>
          <w:highlight w:val="none"/>
        </w:rPr>
        <w:t>（五）主要人员简历表</w:t>
      </w:r>
    </w:p>
    <w:p w14:paraId="7C530446">
      <w:pPr>
        <w:autoSpaceDE w:val="0"/>
        <w:autoSpaceDN w:val="0"/>
        <w:spacing w:line="400" w:lineRule="atLeast"/>
        <w:jc w:val="center"/>
        <w:textAlignment w:val="bottom"/>
        <w:rPr>
          <w:rFonts w:hint="eastAsia" w:ascii="宋体" w:hAnsi="宋体" w:cs="宋体"/>
          <w:highlight w:val="none"/>
        </w:rPr>
      </w:pPr>
    </w:p>
    <w:tbl>
      <w:tblPr>
        <w:tblStyle w:val="89"/>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59A9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206DBD71">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姓    名</w:t>
            </w:r>
          </w:p>
        </w:tc>
        <w:tc>
          <w:tcPr>
            <w:tcW w:w="1671" w:type="dxa"/>
            <w:gridSpan w:val="2"/>
            <w:vAlign w:val="center"/>
          </w:tcPr>
          <w:p w14:paraId="6B902DFB">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1177" w:type="dxa"/>
            <w:vAlign w:val="center"/>
          </w:tcPr>
          <w:p w14:paraId="60F94A71">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年    龄</w:t>
            </w:r>
          </w:p>
        </w:tc>
        <w:tc>
          <w:tcPr>
            <w:tcW w:w="1534" w:type="dxa"/>
          </w:tcPr>
          <w:p w14:paraId="6D03954D">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088" w:type="dxa"/>
            <w:gridSpan w:val="2"/>
          </w:tcPr>
          <w:p w14:paraId="7341D2F0">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执业或职业资格证书名称</w:t>
            </w:r>
          </w:p>
        </w:tc>
        <w:tc>
          <w:tcPr>
            <w:tcW w:w="1853" w:type="dxa"/>
            <w:gridSpan w:val="2"/>
          </w:tcPr>
          <w:p w14:paraId="54081915">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3AB8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1FE0CFAF">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职称</w:t>
            </w:r>
          </w:p>
        </w:tc>
        <w:tc>
          <w:tcPr>
            <w:tcW w:w="1671" w:type="dxa"/>
            <w:gridSpan w:val="2"/>
            <w:vAlign w:val="center"/>
          </w:tcPr>
          <w:p w14:paraId="25A9689B">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1177" w:type="dxa"/>
            <w:vAlign w:val="center"/>
          </w:tcPr>
          <w:p w14:paraId="0BEF0B89">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学    历</w:t>
            </w:r>
          </w:p>
        </w:tc>
        <w:tc>
          <w:tcPr>
            <w:tcW w:w="1534" w:type="dxa"/>
          </w:tcPr>
          <w:p w14:paraId="0D78BC43">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088" w:type="dxa"/>
            <w:gridSpan w:val="2"/>
          </w:tcPr>
          <w:p w14:paraId="1B2A4321">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拟在本项目任职</w:t>
            </w:r>
          </w:p>
        </w:tc>
        <w:tc>
          <w:tcPr>
            <w:tcW w:w="1853" w:type="dxa"/>
            <w:gridSpan w:val="2"/>
          </w:tcPr>
          <w:p w14:paraId="584C7E56">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4065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AE6A452">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工作年限</w:t>
            </w:r>
          </w:p>
        </w:tc>
        <w:tc>
          <w:tcPr>
            <w:tcW w:w="4382" w:type="dxa"/>
            <w:gridSpan w:val="4"/>
            <w:vAlign w:val="center"/>
          </w:tcPr>
          <w:p w14:paraId="42C79D57">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088" w:type="dxa"/>
            <w:gridSpan w:val="2"/>
            <w:vAlign w:val="center"/>
          </w:tcPr>
          <w:p w14:paraId="6A911651">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从事类似工作年限</w:t>
            </w:r>
          </w:p>
        </w:tc>
        <w:tc>
          <w:tcPr>
            <w:tcW w:w="1853" w:type="dxa"/>
            <w:gridSpan w:val="2"/>
          </w:tcPr>
          <w:p w14:paraId="039CE3A2">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3A7B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46735E62">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毕业学校</w:t>
            </w:r>
          </w:p>
        </w:tc>
        <w:tc>
          <w:tcPr>
            <w:tcW w:w="8323" w:type="dxa"/>
            <w:gridSpan w:val="8"/>
            <w:vAlign w:val="center"/>
          </w:tcPr>
          <w:p w14:paraId="7A5508D3">
            <w:pPr>
              <w:autoSpaceDE w:val="0"/>
              <w:autoSpaceDN w:val="0"/>
              <w:spacing w:before="60" w:beforeLines="25" w:after="60" w:afterLines="25" w:line="400" w:lineRule="atLeast"/>
              <w:ind w:left="-187" w:leftChars="-89"/>
              <w:jc w:val="center"/>
              <w:textAlignment w:val="bottom"/>
              <w:rPr>
                <w:rFonts w:hint="eastAsia" w:ascii="宋体" w:hAnsi="宋体" w:cs="宋体"/>
                <w:szCs w:val="21"/>
                <w:highlight w:val="none"/>
              </w:rPr>
            </w:pPr>
            <w:r>
              <w:rPr>
                <w:rFonts w:hint="eastAsia" w:ascii="宋体" w:hAnsi="宋体" w:cs="宋体"/>
                <w:szCs w:val="21"/>
                <w:highlight w:val="none"/>
              </w:rPr>
              <w:t>______年___月毕业于___________________学校___________专业，学制______年</w:t>
            </w:r>
          </w:p>
        </w:tc>
      </w:tr>
      <w:tr w14:paraId="1E24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77FF58A6">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主要工作经历</w:t>
            </w:r>
          </w:p>
        </w:tc>
      </w:tr>
      <w:tr w14:paraId="6B0B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A95131E">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highlight w:val="none"/>
              </w:rPr>
              <w:t>时  间</w:t>
            </w:r>
          </w:p>
        </w:tc>
        <w:tc>
          <w:tcPr>
            <w:tcW w:w="4700" w:type="dxa"/>
            <w:gridSpan w:val="4"/>
            <w:vAlign w:val="center"/>
          </w:tcPr>
          <w:p w14:paraId="6351D874">
            <w:pPr>
              <w:pStyle w:val="153"/>
              <w:adjustRightInd/>
              <w:snapToGrid/>
              <w:spacing w:before="60" w:beforeLines="25" w:after="60" w:afterLines="25" w:line="400" w:lineRule="atLeast"/>
              <w:textAlignment w:val="bottom"/>
              <w:rPr>
                <w:rFonts w:hint="eastAsia" w:ascii="宋体" w:hAnsi="宋体" w:cs="宋体"/>
                <w:spacing w:val="0"/>
                <w:kern w:val="2"/>
                <w:szCs w:val="21"/>
                <w:highlight w:val="none"/>
              </w:rPr>
            </w:pPr>
            <w:r>
              <w:rPr>
                <w:rFonts w:hint="eastAsia" w:ascii="宋体" w:hAnsi="宋体" w:cs="宋体"/>
                <w:spacing w:val="0"/>
                <w:kern w:val="2"/>
                <w:szCs w:val="21"/>
                <w:highlight w:val="none"/>
              </w:rPr>
              <w:t>参加过的类似项目</w:t>
            </w:r>
          </w:p>
        </w:tc>
        <w:tc>
          <w:tcPr>
            <w:tcW w:w="2142" w:type="dxa"/>
            <w:gridSpan w:val="2"/>
            <w:vAlign w:val="center"/>
          </w:tcPr>
          <w:p w14:paraId="4BCDB895">
            <w:pPr>
              <w:pStyle w:val="153"/>
              <w:adjustRightInd/>
              <w:snapToGrid/>
              <w:spacing w:before="60" w:beforeLines="25" w:after="60" w:afterLines="25" w:line="400" w:lineRule="atLeast"/>
              <w:textAlignment w:val="bottom"/>
              <w:rPr>
                <w:rFonts w:hint="eastAsia" w:ascii="宋体" w:hAnsi="宋体" w:cs="宋体"/>
                <w:spacing w:val="0"/>
                <w:kern w:val="2"/>
                <w:szCs w:val="21"/>
                <w:highlight w:val="none"/>
              </w:rPr>
            </w:pPr>
            <w:r>
              <w:rPr>
                <w:rFonts w:hint="eastAsia" w:ascii="宋体" w:hAnsi="宋体" w:cs="宋体"/>
                <w:spacing w:val="0"/>
                <w:kern w:val="2"/>
                <w:szCs w:val="21"/>
                <w:highlight w:val="none"/>
              </w:rPr>
              <w:t>担任职务</w:t>
            </w:r>
          </w:p>
        </w:tc>
        <w:tc>
          <w:tcPr>
            <w:tcW w:w="1425" w:type="dxa"/>
            <w:vAlign w:val="center"/>
          </w:tcPr>
          <w:p w14:paraId="2B4B07B4">
            <w:pPr>
              <w:autoSpaceDE w:val="0"/>
              <w:autoSpaceDN w:val="0"/>
              <w:spacing w:before="60" w:beforeLines="25" w:after="60" w:afterLines="25" w:line="400" w:lineRule="atLeast"/>
              <w:jc w:val="center"/>
              <w:textAlignment w:val="bottom"/>
              <w:rPr>
                <w:rFonts w:hint="eastAsia" w:ascii="宋体" w:hAnsi="宋体" w:cs="宋体"/>
                <w:szCs w:val="21"/>
                <w:highlight w:val="none"/>
              </w:rPr>
            </w:pPr>
            <w:r>
              <w:rPr>
                <w:rFonts w:hint="eastAsia" w:ascii="宋体" w:hAnsi="宋体" w:cs="宋体"/>
                <w:szCs w:val="21"/>
                <w:highlight w:val="none"/>
              </w:rPr>
              <w:t>发包人及联系电话</w:t>
            </w:r>
          </w:p>
        </w:tc>
      </w:tr>
      <w:tr w14:paraId="7B44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19E7845">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3E5402B3">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33ECBB94">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593131C0">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1DC2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2DC70715">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405282AE">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3030EBD2">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35F70EBA">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0372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1AEFB17">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1A56C3FC">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4380D012">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36AF778C">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511F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3736568">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3D7DD587">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3925F0FA">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43420D72">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39D2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810E406">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48BD25FE">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269B0CF4">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311DCA4F">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56A0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A3D9907">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0B8A96C4">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381FBED7">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3535E859">
            <w:pPr>
              <w:autoSpaceDE w:val="0"/>
              <w:autoSpaceDN w:val="0"/>
              <w:spacing w:before="60" w:beforeLines="25" w:after="60" w:afterLines="25" w:line="400" w:lineRule="atLeast"/>
              <w:textAlignment w:val="bottom"/>
              <w:rPr>
                <w:rFonts w:hint="eastAsia" w:ascii="宋体" w:hAnsi="宋体" w:cs="宋体"/>
                <w:szCs w:val="21"/>
                <w:highlight w:val="none"/>
              </w:rPr>
            </w:pPr>
          </w:p>
        </w:tc>
      </w:tr>
      <w:tr w14:paraId="304E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D2A2555">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4700" w:type="dxa"/>
            <w:gridSpan w:val="4"/>
            <w:vAlign w:val="center"/>
          </w:tcPr>
          <w:p w14:paraId="359DA3F1">
            <w:pPr>
              <w:autoSpaceDE w:val="0"/>
              <w:autoSpaceDN w:val="0"/>
              <w:spacing w:before="60" w:beforeLines="25" w:after="60" w:afterLines="25" w:line="400" w:lineRule="atLeast"/>
              <w:jc w:val="center"/>
              <w:textAlignment w:val="bottom"/>
              <w:rPr>
                <w:rFonts w:hint="eastAsia" w:ascii="宋体" w:hAnsi="宋体" w:cs="宋体"/>
                <w:szCs w:val="21"/>
                <w:highlight w:val="none"/>
              </w:rPr>
            </w:pPr>
          </w:p>
        </w:tc>
        <w:tc>
          <w:tcPr>
            <w:tcW w:w="2142" w:type="dxa"/>
            <w:gridSpan w:val="2"/>
          </w:tcPr>
          <w:p w14:paraId="1CA5EBBD">
            <w:pPr>
              <w:autoSpaceDE w:val="0"/>
              <w:autoSpaceDN w:val="0"/>
              <w:spacing w:before="60" w:beforeLines="25" w:after="60" w:afterLines="25" w:line="400" w:lineRule="atLeast"/>
              <w:textAlignment w:val="bottom"/>
              <w:rPr>
                <w:rFonts w:hint="eastAsia" w:ascii="宋体" w:hAnsi="宋体" w:cs="宋体"/>
                <w:szCs w:val="21"/>
                <w:highlight w:val="none"/>
              </w:rPr>
            </w:pPr>
          </w:p>
        </w:tc>
        <w:tc>
          <w:tcPr>
            <w:tcW w:w="1425" w:type="dxa"/>
          </w:tcPr>
          <w:p w14:paraId="2449B389">
            <w:pPr>
              <w:autoSpaceDE w:val="0"/>
              <w:autoSpaceDN w:val="0"/>
              <w:spacing w:before="60" w:beforeLines="25" w:after="60" w:afterLines="25" w:line="400" w:lineRule="atLeast"/>
              <w:textAlignment w:val="bottom"/>
              <w:rPr>
                <w:rFonts w:hint="eastAsia" w:ascii="宋体" w:hAnsi="宋体" w:cs="宋体"/>
                <w:szCs w:val="21"/>
                <w:highlight w:val="none"/>
              </w:rPr>
            </w:pPr>
          </w:p>
        </w:tc>
      </w:tr>
    </w:tbl>
    <w:p w14:paraId="7FD629F0">
      <w:pPr>
        <w:spacing w:line="600" w:lineRule="exact"/>
        <w:rPr>
          <w:rFonts w:hint="eastAsia" w:ascii="宋体" w:hAnsi="宋体" w:cs="宋体"/>
          <w:sz w:val="24"/>
          <w:highlight w:val="none"/>
        </w:rPr>
      </w:pPr>
      <w:r>
        <w:rPr>
          <w:rFonts w:hint="eastAsia" w:ascii="宋体" w:hAnsi="宋体" w:cs="宋体"/>
          <w:sz w:val="24"/>
          <w:highlight w:val="none"/>
        </w:rPr>
        <w:t>注：供应商应根据供应商须知前附表第3.5（6）项的要求在本表后附相关证明材料。</w:t>
      </w:r>
    </w:p>
    <w:p w14:paraId="337B76AD">
      <w:pPr>
        <w:rPr>
          <w:rFonts w:hint="eastAsia" w:ascii="宋体" w:hAnsi="宋体" w:cs="宋体"/>
          <w:sz w:val="30"/>
          <w:szCs w:val="30"/>
          <w:highlight w:val="none"/>
        </w:rPr>
      </w:pPr>
      <w:r>
        <w:rPr>
          <w:rFonts w:hint="eastAsia" w:ascii="宋体" w:hAnsi="宋体" w:cs="宋体"/>
          <w:sz w:val="30"/>
          <w:szCs w:val="30"/>
          <w:highlight w:val="none"/>
        </w:rPr>
        <w:br w:type="page"/>
      </w:r>
    </w:p>
    <w:p w14:paraId="7E049F54">
      <w:pPr>
        <w:adjustRightInd w:val="0"/>
        <w:snapToGrid w:val="0"/>
        <w:spacing w:line="600" w:lineRule="exact"/>
        <w:ind w:firstLine="600" w:firstLineChars="200"/>
        <w:jc w:val="center"/>
        <w:rPr>
          <w:rFonts w:hint="eastAsia" w:ascii="宋体" w:hAnsi="宋体" w:cs="宋体"/>
          <w:sz w:val="30"/>
          <w:szCs w:val="30"/>
          <w:highlight w:val="none"/>
        </w:rPr>
      </w:pPr>
      <w:r>
        <w:rPr>
          <w:rFonts w:hint="eastAsia" w:ascii="宋体" w:hAnsi="宋体" w:cs="宋体"/>
          <w:sz w:val="30"/>
          <w:szCs w:val="30"/>
          <w:highlight w:val="none"/>
        </w:rPr>
        <w:t>八、响应方案</w:t>
      </w:r>
    </w:p>
    <w:p w14:paraId="51F18537">
      <w:pPr>
        <w:pStyle w:val="76"/>
        <w:ind w:left="840" w:hanging="420"/>
        <w:rPr>
          <w:highlight w:val="none"/>
        </w:rPr>
      </w:pPr>
    </w:p>
    <w:p w14:paraId="2ACDEF6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响应方案一般包括(但不限于)下列内容：</w:t>
      </w:r>
    </w:p>
    <w:p w14:paraId="70CA4A08">
      <w:pPr>
        <w:numPr>
          <w:ilvl w:val="0"/>
          <w:numId w:val="22"/>
        </w:numPr>
        <w:tabs>
          <w:tab w:val="left" w:pos="312"/>
        </w:tabs>
        <w:spacing w:after="200" w:line="600" w:lineRule="exact"/>
        <w:rPr>
          <w:rFonts w:hint="eastAsia" w:ascii="宋体" w:hAnsi="宋体" w:cs="宋体"/>
          <w:sz w:val="24"/>
          <w:highlight w:val="none"/>
        </w:rPr>
      </w:pPr>
      <w:r>
        <w:rPr>
          <w:rFonts w:hint="eastAsia" w:ascii="宋体" w:hAnsi="宋体" w:cs="宋体"/>
          <w:sz w:val="24"/>
          <w:highlight w:val="none"/>
          <w:lang w:bidi="ar"/>
        </w:rPr>
        <w:t xml:space="preserve">项目实施方案; </w:t>
      </w:r>
    </w:p>
    <w:p w14:paraId="53316A40">
      <w:pPr>
        <w:numPr>
          <w:ilvl w:val="0"/>
          <w:numId w:val="22"/>
        </w:numPr>
        <w:tabs>
          <w:tab w:val="left" w:pos="312"/>
        </w:tabs>
        <w:spacing w:after="200" w:line="600" w:lineRule="exact"/>
        <w:rPr>
          <w:rFonts w:hint="eastAsia" w:ascii="宋体" w:hAnsi="宋体" w:cs="宋体"/>
          <w:sz w:val="24"/>
          <w:highlight w:val="none"/>
        </w:rPr>
      </w:pPr>
      <w:r>
        <w:rPr>
          <w:rFonts w:hint="eastAsia" w:ascii="宋体" w:hAnsi="宋体" w:cs="宋体"/>
          <w:sz w:val="24"/>
          <w:highlight w:val="none"/>
          <w:lang w:bidi="ar"/>
        </w:rPr>
        <w:t xml:space="preserve">对本服务项目工作步骤和程序的理解； </w:t>
      </w:r>
    </w:p>
    <w:p w14:paraId="19E9109C">
      <w:pPr>
        <w:numPr>
          <w:ilvl w:val="0"/>
          <w:numId w:val="22"/>
        </w:numPr>
        <w:tabs>
          <w:tab w:val="left" w:pos="312"/>
        </w:tabs>
        <w:spacing w:after="200" w:line="600" w:lineRule="exact"/>
        <w:rPr>
          <w:rFonts w:hint="eastAsia" w:ascii="宋体" w:hAnsi="宋体" w:cs="宋体"/>
          <w:sz w:val="24"/>
          <w:highlight w:val="none"/>
        </w:rPr>
      </w:pPr>
      <w:r>
        <w:rPr>
          <w:rFonts w:hint="eastAsia" w:ascii="宋体" w:hAnsi="宋体" w:cs="宋体"/>
          <w:sz w:val="24"/>
          <w:highlight w:val="none"/>
          <w:lang w:bidi="ar"/>
        </w:rPr>
        <w:t>对本项目重点难点分析；</w:t>
      </w:r>
    </w:p>
    <w:p w14:paraId="40911AD1">
      <w:pPr>
        <w:numPr>
          <w:ilvl w:val="0"/>
          <w:numId w:val="22"/>
        </w:numPr>
        <w:tabs>
          <w:tab w:val="left" w:pos="312"/>
        </w:tabs>
        <w:spacing w:after="200" w:line="600" w:lineRule="exact"/>
        <w:rPr>
          <w:rFonts w:hint="eastAsia" w:ascii="宋体" w:hAnsi="宋体" w:cs="宋体"/>
          <w:sz w:val="24"/>
          <w:highlight w:val="none"/>
        </w:rPr>
      </w:pPr>
      <w:r>
        <w:rPr>
          <w:rFonts w:hint="eastAsia" w:ascii="宋体" w:hAnsi="宋体" w:cs="宋体"/>
          <w:sz w:val="24"/>
          <w:highlight w:val="none"/>
          <w:lang w:bidi="ar"/>
        </w:rPr>
        <w:t>质量保证措施、进度保证措施。</w:t>
      </w:r>
    </w:p>
    <w:p w14:paraId="4120C1F2">
      <w:pPr>
        <w:rPr>
          <w:rFonts w:hint="eastAsia" w:ascii="宋体" w:hAnsi="宋体" w:cs="宋体"/>
          <w:sz w:val="30"/>
          <w:szCs w:val="30"/>
          <w:highlight w:val="none"/>
        </w:rPr>
      </w:pPr>
      <w:r>
        <w:rPr>
          <w:rFonts w:hint="eastAsia" w:ascii="宋体" w:hAnsi="宋体" w:cs="宋体"/>
          <w:sz w:val="30"/>
          <w:szCs w:val="30"/>
          <w:highlight w:val="none"/>
        </w:rPr>
        <w:br w:type="page"/>
      </w:r>
    </w:p>
    <w:p w14:paraId="020B1CF2">
      <w:pPr>
        <w:adjustRightInd w:val="0"/>
        <w:snapToGrid w:val="0"/>
        <w:spacing w:line="600" w:lineRule="exact"/>
        <w:ind w:left="420" w:leftChars="200"/>
        <w:jc w:val="center"/>
        <w:rPr>
          <w:rFonts w:hint="eastAsia" w:ascii="宋体" w:hAnsi="宋体" w:cs="宋体"/>
          <w:sz w:val="30"/>
          <w:szCs w:val="30"/>
          <w:highlight w:val="none"/>
        </w:rPr>
      </w:pPr>
      <w:r>
        <w:rPr>
          <w:rFonts w:hint="eastAsia" w:ascii="宋体" w:hAnsi="宋体" w:cs="宋体"/>
          <w:sz w:val="30"/>
          <w:szCs w:val="30"/>
          <w:highlight w:val="none"/>
        </w:rPr>
        <w:t>九、其他资料</w:t>
      </w:r>
    </w:p>
    <w:p w14:paraId="47D5DD0D">
      <w:pPr>
        <w:adjustRightInd w:val="0"/>
        <w:snapToGrid w:val="0"/>
        <w:spacing w:line="600" w:lineRule="exact"/>
        <w:ind w:left="420" w:leftChars="200"/>
        <w:rPr>
          <w:rFonts w:hint="eastAsia" w:ascii="宋体" w:hAnsi="宋体" w:cs="宋体"/>
          <w:sz w:val="28"/>
          <w:szCs w:val="28"/>
          <w:highlight w:val="none"/>
        </w:rPr>
      </w:pPr>
      <w:r>
        <w:rPr>
          <w:rFonts w:hint="eastAsia" w:ascii="宋体" w:hAnsi="宋体" w:cs="宋体"/>
          <w:sz w:val="28"/>
          <w:szCs w:val="28"/>
          <w:highlight w:val="none"/>
        </w:rPr>
        <w:t>供应商需提交的其他资料。</w:t>
      </w:r>
    </w:p>
    <w:p w14:paraId="65BF073F">
      <w:pPr>
        <w:spacing w:line="240" w:lineRule="auto"/>
        <w:rPr>
          <w:rFonts w:hint="eastAsia" w:ascii="宋体" w:hAnsi="宋体" w:cs="宋体"/>
          <w:sz w:val="30"/>
          <w:szCs w:val="30"/>
          <w:highlight w:val="none"/>
        </w:rPr>
      </w:pPr>
      <w:r>
        <w:rPr>
          <w:rFonts w:hint="eastAsia" w:ascii="宋体" w:hAnsi="宋体" w:cs="宋体"/>
          <w:sz w:val="30"/>
          <w:szCs w:val="30"/>
          <w:highlight w:val="none"/>
        </w:rPr>
        <w:br w:type="page"/>
      </w:r>
      <w:bookmarkStart w:id="96" w:name="_GoBack"/>
      <w:bookmarkEnd w:id="96"/>
    </w:p>
    <w:p w14:paraId="46EEB5C1">
      <w:pPr>
        <w:pStyle w:val="4"/>
        <w:spacing w:line="240" w:lineRule="auto"/>
        <w:rPr>
          <w:rFonts w:hint="eastAsia" w:ascii="宋体" w:hAnsi="宋体" w:cs="宋体"/>
          <w:b w:val="0"/>
          <w:bCs w:val="0"/>
          <w:kern w:val="0"/>
          <w:sz w:val="33"/>
          <w:szCs w:val="21"/>
          <w:highlight w:val="none"/>
          <w:lang w:bidi="zh-CN"/>
        </w:rPr>
      </w:pPr>
      <w:r>
        <w:rPr>
          <w:rFonts w:hint="eastAsia" w:ascii="宋体" w:hAnsi="宋体" w:cs="宋体"/>
          <w:b w:val="0"/>
          <w:bCs w:val="0"/>
          <w:kern w:val="0"/>
          <w:sz w:val="33"/>
          <w:szCs w:val="21"/>
          <w:highlight w:val="none"/>
          <w:lang w:bidi="zh-CN"/>
        </w:rPr>
        <w:t>附录：</w:t>
      </w:r>
    </w:p>
    <w:p w14:paraId="283ED8B6">
      <w:pPr>
        <w:pStyle w:val="4"/>
        <w:spacing w:line="240" w:lineRule="auto"/>
        <w:jc w:val="center"/>
        <w:rPr>
          <w:rFonts w:hint="eastAsia" w:ascii="宋体" w:hAnsi="宋体" w:cs="宋体"/>
          <w:b w:val="0"/>
          <w:sz w:val="2"/>
          <w:highlight w:val="none"/>
        </w:rPr>
      </w:pPr>
      <w:r>
        <w:rPr>
          <w:rFonts w:hint="eastAsia" w:ascii="宋体" w:hAnsi="宋体" w:cs="宋体"/>
          <w:sz w:val="36"/>
          <w:highlight w:val="none"/>
        </w:rPr>
        <w:t>采购比价表（有抵税需求的采购项目）</w:t>
      </w:r>
    </w:p>
    <w:tbl>
      <w:tblPr>
        <w:tblStyle w:val="89"/>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486E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54152F1A">
            <w:pPr>
              <w:jc w:val="center"/>
              <w:rPr>
                <w:rFonts w:hint="eastAsia" w:ascii="宋体" w:hAnsi="宋体" w:cs="宋体"/>
                <w:b/>
                <w:highlight w:val="none"/>
              </w:rPr>
            </w:pPr>
            <w:r>
              <w:rPr>
                <w:rFonts w:hint="eastAsia" w:ascii="宋体" w:hAnsi="宋体" w:cs="宋体"/>
                <w:b/>
                <w:highlight w:val="none"/>
              </w:rPr>
              <w:t>一般纳税人   抵扣率</w:t>
            </w:r>
          </w:p>
        </w:tc>
        <w:tc>
          <w:tcPr>
            <w:tcW w:w="1560" w:type="dxa"/>
            <w:vAlign w:val="center"/>
          </w:tcPr>
          <w:p w14:paraId="6144F7B2">
            <w:pPr>
              <w:jc w:val="center"/>
              <w:rPr>
                <w:rFonts w:hint="eastAsia" w:ascii="宋体" w:hAnsi="宋体" w:cs="宋体"/>
                <w:b/>
                <w:highlight w:val="none"/>
              </w:rPr>
            </w:pPr>
            <w:r>
              <w:rPr>
                <w:rFonts w:hint="eastAsia" w:ascii="宋体" w:hAnsi="宋体" w:cs="宋体"/>
                <w:b/>
                <w:highlight w:val="none"/>
              </w:rPr>
              <w:t>小规模纳税人  抵扣率</w:t>
            </w:r>
          </w:p>
        </w:tc>
        <w:tc>
          <w:tcPr>
            <w:tcW w:w="1842" w:type="dxa"/>
            <w:vAlign w:val="center"/>
          </w:tcPr>
          <w:p w14:paraId="6FEF0017">
            <w:pPr>
              <w:jc w:val="center"/>
              <w:rPr>
                <w:rFonts w:hint="eastAsia" w:ascii="宋体" w:hAnsi="宋体" w:cs="宋体"/>
                <w:b/>
                <w:highlight w:val="none"/>
              </w:rPr>
            </w:pPr>
            <w:r>
              <w:rPr>
                <w:rFonts w:hint="eastAsia" w:ascii="宋体" w:hAnsi="宋体" w:cs="宋体"/>
                <w:b/>
                <w:highlight w:val="none"/>
              </w:rPr>
              <w:t>含税价格          临界点</w:t>
            </w:r>
          </w:p>
        </w:tc>
        <w:tc>
          <w:tcPr>
            <w:tcW w:w="4047" w:type="dxa"/>
            <w:vAlign w:val="center"/>
          </w:tcPr>
          <w:p w14:paraId="4BFF1FE6">
            <w:pPr>
              <w:jc w:val="center"/>
              <w:rPr>
                <w:rFonts w:hint="eastAsia" w:ascii="宋体" w:hAnsi="宋体" w:cs="宋体"/>
                <w:b/>
                <w:highlight w:val="none"/>
              </w:rPr>
            </w:pPr>
            <w:r>
              <w:rPr>
                <w:rFonts w:hint="eastAsia" w:ascii="宋体" w:hAnsi="宋体" w:cs="宋体"/>
                <w:b/>
                <w:highlight w:val="none"/>
              </w:rPr>
              <w:t>同等需求下供应商选择原则</w:t>
            </w:r>
          </w:p>
        </w:tc>
      </w:tr>
      <w:tr w14:paraId="57C8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0A63026">
            <w:pPr>
              <w:jc w:val="center"/>
              <w:rPr>
                <w:rFonts w:hint="eastAsia" w:ascii="宋体" w:hAnsi="宋体" w:cs="宋体"/>
                <w:highlight w:val="none"/>
              </w:rPr>
            </w:pPr>
            <w:r>
              <w:rPr>
                <w:rFonts w:hint="eastAsia" w:ascii="宋体" w:hAnsi="宋体" w:cs="宋体"/>
                <w:highlight w:val="none"/>
              </w:rPr>
              <w:t>13%</w:t>
            </w:r>
          </w:p>
        </w:tc>
        <w:tc>
          <w:tcPr>
            <w:tcW w:w="1560" w:type="dxa"/>
            <w:vAlign w:val="center"/>
          </w:tcPr>
          <w:p w14:paraId="74007C97">
            <w:pPr>
              <w:jc w:val="center"/>
              <w:rPr>
                <w:rFonts w:hint="eastAsia" w:ascii="宋体" w:hAnsi="宋体" w:cs="宋体"/>
                <w:highlight w:val="none"/>
              </w:rPr>
            </w:pPr>
            <w:r>
              <w:rPr>
                <w:rFonts w:hint="eastAsia" w:ascii="宋体" w:hAnsi="宋体" w:cs="宋体"/>
                <w:highlight w:val="none"/>
              </w:rPr>
              <w:t>3%</w:t>
            </w:r>
          </w:p>
        </w:tc>
        <w:tc>
          <w:tcPr>
            <w:tcW w:w="1842" w:type="dxa"/>
            <w:vAlign w:val="center"/>
          </w:tcPr>
          <w:p w14:paraId="61755C9B">
            <w:pPr>
              <w:jc w:val="center"/>
              <w:rPr>
                <w:rFonts w:hint="eastAsia" w:ascii="宋体" w:hAnsi="宋体" w:cs="宋体"/>
                <w:highlight w:val="none"/>
              </w:rPr>
            </w:pPr>
            <w:r>
              <w:rPr>
                <w:rFonts w:hint="eastAsia" w:ascii="宋体" w:hAnsi="宋体" w:cs="宋体"/>
                <w:highlight w:val="none"/>
              </w:rPr>
              <w:t>90.05269%</w:t>
            </w:r>
          </w:p>
        </w:tc>
        <w:tc>
          <w:tcPr>
            <w:tcW w:w="4047" w:type="dxa"/>
            <w:vAlign w:val="center"/>
          </w:tcPr>
          <w:p w14:paraId="25564101">
            <w:pPr>
              <w:pStyle w:val="154"/>
              <w:spacing w:before="79" w:line="244"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rPr>
              <w:t>90.052</w:t>
            </w:r>
            <w:r>
              <w:rPr>
                <w:rFonts w:hint="eastAsia" w:ascii="宋体" w:hAnsi="宋体" w:eastAsia="宋体" w:cs="宋体"/>
                <w:sz w:val="21"/>
                <w:szCs w:val="21"/>
                <w:highlight w:val="none"/>
                <w:lang w:val="en-US"/>
              </w:rPr>
              <w:t>69</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044D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F957FE5">
            <w:pPr>
              <w:jc w:val="center"/>
              <w:rPr>
                <w:rFonts w:hint="eastAsia" w:ascii="宋体" w:hAnsi="宋体" w:cs="宋体"/>
                <w:highlight w:val="none"/>
              </w:rPr>
            </w:pPr>
            <w:r>
              <w:rPr>
                <w:rFonts w:hint="eastAsia" w:ascii="宋体" w:hAnsi="宋体" w:cs="宋体"/>
                <w:highlight w:val="none"/>
              </w:rPr>
              <w:t>13%</w:t>
            </w:r>
          </w:p>
        </w:tc>
        <w:tc>
          <w:tcPr>
            <w:tcW w:w="1560" w:type="dxa"/>
            <w:vAlign w:val="center"/>
          </w:tcPr>
          <w:p w14:paraId="30B7E7DE">
            <w:pPr>
              <w:jc w:val="center"/>
              <w:rPr>
                <w:rFonts w:hint="eastAsia" w:ascii="宋体" w:hAnsi="宋体" w:cs="宋体"/>
                <w:highlight w:val="none"/>
              </w:rPr>
            </w:pPr>
            <w:r>
              <w:rPr>
                <w:rFonts w:hint="eastAsia" w:ascii="宋体" w:hAnsi="宋体" w:cs="宋体"/>
                <w:highlight w:val="none"/>
              </w:rPr>
              <w:t>1%</w:t>
            </w:r>
          </w:p>
        </w:tc>
        <w:tc>
          <w:tcPr>
            <w:tcW w:w="1842" w:type="dxa"/>
            <w:vAlign w:val="center"/>
          </w:tcPr>
          <w:p w14:paraId="5AA2B1D9">
            <w:pPr>
              <w:jc w:val="center"/>
              <w:rPr>
                <w:rFonts w:hint="eastAsia" w:ascii="宋体" w:hAnsi="宋体" w:cs="宋体"/>
                <w:highlight w:val="none"/>
              </w:rPr>
            </w:pPr>
            <w:r>
              <w:rPr>
                <w:rFonts w:hint="eastAsia" w:ascii="宋体" w:hAnsi="宋体" w:cs="宋体"/>
                <w:highlight w:val="none"/>
              </w:rPr>
              <w:t>88.09190%</w:t>
            </w:r>
          </w:p>
        </w:tc>
        <w:tc>
          <w:tcPr>
            <w:tcW w:w="4047" w:type="dxa"/>
            <w:vAlign w:val="center"/>
          </w:tcPr>
          <w:p w14:paraId="0E9ADD78">
            <w:pPr>
              <w:pStyle w:val="154"/>
              <w:spacing w:before="81" w:line="244"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lang w:val="en-US"/>
              </w:rPr>
              <w:t>88.09190</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142F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21E1A5">
            <w:pPr>
              <w:jc w:val="center"/>
              <w:rPr>
                <w:rFonts w:hint="eastAsia" w:ascii="宋体" w:hAnsi="宋体" w:cs="宋体"/>
                <w:highlight w:val="none"/>
              </w:rPr>
            </w:pPr>
            <w:r>
              <w:rPr>
                <w:rFonts w:hint="eastAsia" w:ascii="宋体" w:hAnsi="宋体" w:cs="宋体"/>
                <w:highlight w:val="none"/>
              </w:rPr>
              <w:t>13%</w:t>
            </w:r>
          </w:p>
        </w:tc>
        <w:tc>
          <w:tcPr>
            <w:tcW w:w="1560" w:type="dxa"/>
            <w:vAlign w:val="center"/>
          </w:tcPr>
          <w:p w14:paraId="22B5010E">
            <w:pPr>
              <w:jc w:val="center"/>
              <w:rPr>
                <w:rFonts w:hint="eastAsia" w:ascii="宋体" w:hAnsi="宋体" w:cs="宋体"/>
                <w:highlight w:val="none"/>
              </w:rPr>
            </w:pPr>
            <w:r>
              <w:rPr>
                <w:rFonts w:hint="eastAsia" w:ascii="宋体" w:hAnsi="宋体" w:cs="宋体"/>
                <w:highlight w:val="none"/>
              </w:rPr>
              <w:t>0%</w:t>
            </w:r>
          </w:p>
        </w:tc>
        <w:tc>
          <w:tcPr>
            <w:tcW w:w="1842" w:type="dxa"/>
            <w:vAlign w:val="center"/>
          </w:tcPr>
          <w:p w14:paraId="14B51163">
            <w:pPr>
              <w:jc w:val="center"/>
              <w:rPr>
                <w:rFonts w:hint="eastAsia" w:ascii="宋体" w:hAnsi="宋体" w:cs="宋体"/>
                <w:highlight w:val="none"/>
              </w:rPr>
            </w:pPr>
            <w:r>
              <w:rPr>
                <w:rFonts w:hint="eastAsia" w:ascii="宋体" w:hAnsi="宋体" w:cs="宋体"/>
                <w:highlight w:val="none"/>
              </w:rPr>
              <w:t>87.11504%</w:t>
            </w:r>
          </w:p>
        </w:tc>
        <w:tc>
          <w:tcPr>
            <w:tcW w:w="4047" w:type="dxa"/>
            <w:vAlign w:val="center"/>
          </w:tcPr>
          <w:p w14:paraId="17E19C93">
            <w:pPr>
              <w:pStyle w:val="154"/>
              <w:spacing w:before="79" w:line="242"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lang w:val="en-US"/>
              </w:rPr>
              <w:t>87.11504</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5C39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065FA01">
            <w:pPr>
              <w:jc w:val="center"/>
              <w:rPr>
                <w:rFonts w:hint="eastAsia" w:ascii="宋体" w:hAnsi="宋体" w:cs="宋体"/>
                <w:highlight w:val="none"/>
              </w:rPr>
            </w:pPr>
            <w:r>
              <w:rPr>
                <w:rFonts w:hint="eastAsia" w:ascii="宋体" w:hAnsi="宋体" w:cs="宋体"/>
                <w:highlight w:val="none"/>
              </w:rPr>
              <w:t>9%</w:t>
            </w:r>
          </w:p>
        </w:tc>
        <w:tc>
          <w:tcPr>
            <w:tcW w:w="1560" w:type="dxa"/>
            <w:vAlign w:val="center"/>
          </w:tcPr>
          <w:p w14:paraId="2B5E654C">
            <w:pPr>
              <w:jc w:val="center"/>
              <w:rPr>
                <w:rFonts w:hint="eastAsia" w:ascii="宋体" w:hAnsi="宋体" w:cs="宋体"/>
                <w:highlight w:val="none"/>
              </w:rPr>
            </w:pPr>
            <w:r>
              <w:rPr>
                <w:rFonts w:hint="eastAsia" w:ascii="宋体" w:hAnsi="宋体" w:cs="宋体"/>
                <w:highlight w:val="none"/>
              </w:rPr>
              <w:t>3%</w:t>
            </w:r>
          </w:p>
        </w:tc>
        <w:tc>
          <w:tcPr>
            <w:tcW w:w="1842" w:type="dxa"/>
            <w:vAlign w:val="center"/>
          </w:tcPr>
          <w:p w14:paraId="550FA42C">
            <w:pPr>
              <w:jc w:val="center"/>
              <w:rPr>
                <w:rFonts w:hint="eastAsia" w:ascii="宋体" w:hAnsi="宋体" w:cs="宋体"/>
                <w:highlight w:val="none"/>
              </w:rPr>
            </w:pPr>
            <w:r>
              <w:rPr>
                <w:rFonts w:hint="eastAsia" w:ascii="宋体" w:hAnsi="宋体" w:cs="宋体"/>
                <w:highlight w:val="none"/>
              </w:rPr>
              <w:t>93.81259%</w:t>
            </w:r>
          </w:p>
        </w:tc>
        <w:tc>
          <w:tcPr>
            <w:tcW w:w="4047" w:type="dxa"/>
            <w:vAlign w:val="center"/>
          </w:tcPr>
          <w:p w14:paraId="7FD39A1D">
            <w:pPr>
              <w:pStyle w:val="154"/>
              <w:spacing w:before="79" w:line="242"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lang w:val="en-US"/>
              </w:rPr>
              <w:t>93.81259</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445F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1BDD826">
            <w:pPr>
              <w:jc w:val="center"/>
              <w:rPr>
                <w:rFonts w:hint="eastAsia" w:ascii="宋体" w:hAnsi="宋体" w:cs="宋体"/>
                <w:highlight w:val="none"/>
              </w:rPr>
            </w:pPr>
            <w:r>
              <w:rPr>
                <w:rFonts w:hint="eastAsia" w:ascii="宋体" w:hAnsi="宋体" w:cs="宋体"/>
                <w:highlight w:val="none"/>
              </w:rPr>
              <w:t>9%</w:t>
            </w:r>
          </w:p>
        </w:tc>
        <w:tc>
          <w:tcPr>
            <w:tcW w:w="1560" w:type="dxa"/>
            <w:vAlign w:val="center"/>
          </w:tcPr>
          <w:p w14:paraId="31BDCA15">
            <w:pPr>
              <w:jc w:val="center"/>
              <w:rPr>
                <w:rFonts w:hint="eastAsia" w:ascii="宋体" w:hAnsi="宋体" w:cs="宋体"/>
                <w:highlight w:val="none"/>
              </w:rPr>
            </w:pPr>
            <w:r>
              <w:rPr>
                <w:rFonts w:hint="eastAsia" w:ascii="宋体" w:hAnsi="宋体" w:cs="宋体"/>
                <w:highlight w:val="none"/>
              </w:rPr>
              <w:t>1%</w:t>
            </w:r>
          </w:p>
        </w:tc>
        <w:tc>
          <w:tcPr>
            <w:tcW w:w="1842" w:type="dxa"/>
            <w:vAlign w:val="center"/>
          </w:tcPr>
          <w:p w14:paraId="3B5E543E">
            <w:pPr>
              <w:jc w:val="center"/>
              <w:rPr>
                <w:rFonts w:hint="eastAsia" w:ascii="宋体" w:hAnsi="宋体" w:cs="宋体"/>
                <w:highlight w:val="none"/>
              </w:rPr>
            </w:pPr>
            <w:r>
              <w:rPr>
                <w:rFonts w:hint="eastAsia" w:ascii="宋体" w:hAnsi="宋体" w:cs="宋体"/>
                <w:highlight w:val="none"/>
              </w:rPr>
              <w:t>91.76994%</w:t>
            </w:r>
          </w:p>
        </w:tc>
        <w:tc>
          <w:tcPr>
            <w:tcW w:w="4047" w:type="dxa"/>
            <w:vAlign w:val="center"/>
          </w:tcPr>
          <w:p w14:paraId="2F4C7943">
            <w:pPr>
              <w:pStyle w:val="154"/>
              <w:spacing w:before="79" w:line="242"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rPr>
              <w:t>88.9009%</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50AC1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16C850A">
            <w:pPr>
              <w:jc w:val="center"/>
              <w:rPr>
                <w:rFonts w:hint="eastAsia" w:ascii="宋体" w:hAnsi="宋体" w:cs="宋体"/>
                <w:highlight w:val="none"/>
              </w:rPr>
            </w:pPr>
            <w:r>
              <w:rPr>
                <w:rFonts w:hint="eastAsia" w:ascii="宋体" w:hAnsi="宋体" w:cs="宋体"/>
                <w:highlight w:val="none"/>
              </w:rPr>
              <w:t>9%</w:t>
            </w:r>
          </w:p>
        </w:tc>
        <w:tc>
          <w:tcPr>
            <w:tcW w:w="1560" w:type="dxa"/>
            <w:vAlign w:val="center"/>
          </w:tcPr>
          <w:p w14:paraId="3E1219A2">
            <w:pPr>
              <w:jc w:val="center"/>
              <w:rPr>
                <w:rFonts w:hint="eastAsia" w:ascii="宋体" w:hAnsi="宋体" w:cs="宋体"/>
                <w:highlight w:val="none"/>
              </w:rPr>
            </w:pPr>
            <w:r>
              <w:rPr>
                <w:rFonts w:hint="eastAsia" w:ascii="宋体" w:hAnsi="宋体" w:cs="宋体"/>
                <w:highlight w:val="none"/>
              </w:rPr>
              <w:t>0%</w:t>
            </w:r>
          </w:p>
        </w:tc>
        <w:tc>
          <w:tcPr>
            <w:tcW w:w="1842" w:type="dxa"/>
            <w:vAlign w:val="center"/>
          </w:tcPr>
          <w:p w14:paraId="37973D9D">
            <w:pPr>
              <w:jc w:val="center"/>
              <w:rPr>
                <w:rFonts w:hint="eastAsia" w:ascii="宋体" w:hAnsi="宋体" w:cs="宋体"/>
                <w:highlight w:val="none"/>
              </w:rPr>
            </w:pPr>
            <w:r>
              <w:rPr>
                <w:rFonts w:hint="eastAsia" w:ascii="宋体" w:hAnsi="宋体" w:cs="宋体"/>
                <w:highlight w:val="none"/>
              </w:rPr>
              <w:t>90.75229%</w:t>
            </w:r>
          </w:p>
        </w:tc>
        <w:tc>
          <w:tcPr>
            <w:tcW w:w="4047" w:type="dxa"/>
            <w:vAlign w:val="center"/>
          </w:tcPr>
          <w:p w14:paraId="5B514EB4">
            <w:pPr>
              <w:pStyle w:val="154"/>
              <w:spacing w:before="79" w:line="242"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lang w:val="en-US"/>
              </w:rPr>
              <w:t>90.75229</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26439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27A49C2">
            <w:pPr>
              <w:jc w:val="center"/>
              <w:rPr>
                <w:rFonts w:hint="eastAsia" w:ascii="宋体" w:hAnsi="宋体" w:cs="宋体"/>
                <w:highlight w:val="none"/>
              </w:rPr>
            </w:pPr>
            <w:r>
              <w:rPr>
                <w:rFonts w:hint="eastAsia" w:ascii="宋体" w:hAnsi="宋体" w:cs="宋体"/>
                <w:highlight w:val="none"/>
              </w:rPr>
              <w:t>6%</w:t>
            </w:r>
          </w:p>
        </w:tc>
        <w:tc>
          <w:tcPr>
            <w:tcW w:w="1560" w:type="dxa"/>
            <w:vAlign w:val="center"/>
          </w:tcPr>
          <w:p w14:paraId="4C70C0E4">
            <w:pPr>
              <w:jc w:val="center"/>
              <w:rPr>
                <w:rFonts w:hint="eastAsia" w:ascii="宋体" w:hAnsi="宋体" w:cs="宋体"/>
                <w:highlight w:val="none"/>
              </w:rPr>
            </w:pPr>
            <w:r>
              <w:rPr>
                <w:rFonts w:hint="eastAsia" w:ascii="宋体" w:hAnsi="宋体" w:cs="宋体"/>
                <w:highlight w:val="none"/>
              </w:rPr>
              <w:t>3%</w:t>
            </w:r>
          </w:p>
        </w:tc>
        <w:tc>
          <w:tcPr>
            <w:tcW w:w="1842" w:type="dxa"/>
            <w:vAlign w:val="center"/>
          </w:tcPr>
          <w:p w14:paraId="082E9600">
            <w:pPr>
              <w:jc w:val="center"/>
              <w:rPr>
                <w:rFonts w:hint="eastAsia" w:ascii="宋体" w:hAnsi="宋体" w:cs="宋体"/>
                <w:highlight w:val="none"/>
              </w:rPr>
            </w:pPr>
            <w:r>
              <w:rPr>
                <w:rFonts w:hint="eastAsia" w:ascii="宋体" w:hAnsi="宋体" w:cs="宋体"/>
                <w:highlight w:val="none"/>
              </w:rPr>
              <w:t>96.81874%</w:t>
            </w:r>
          </w:p>
        </w:tc>
        <w:tc>
          <w:tcPr>
            <w:tcW w:w="4047" w:type="dxa"/>
            <w:vAlign w:val="center"/>
          </w:tcPr>
          <w:p w14:paraId="3E13CFAC">
            <w:pPr>
              <w:pStyle w:val="154"/>
              <w:spacing w:before="79" w:line="244"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rPr>
              <w:t>96.8187</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5294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4B7E66C">
            <w:pPr>
              <w:jc w:val="center"/>
              <w:rPr>
                <w:rFonts w:hint="eastAsia" w:ascii="宋体" w:hAnsi="宋体" w:cs="宋体"/>
                <w:highlight w:val="none"/>
              </w:rPr>
            </w:pPr>
            <w:r>
              <w:rPr>
                <w:rFonts w:hint="eastAsia" w:ascii="宋体" w:hAnsi="宋体" w:cs="宋体"/>
                <w:highlight w:val="none"/>
              </w:rPr>
              <w:t>6%</w:t>
            </w:r>
          </w:p>
        </w:tc>
        <w:tc>
          <w:tcPr>
            <w:tcW w:w="1560" w:type="dxa"/>
            <w:vAlign w:val="center"/>
          </w:tcPr>
          <w:p w14:paraId="23F0BD4F">
            <w:pPr>
              <w:jc w:val="center"/>
              <w:rPr>
                <w:rFonts w:hint="eastAsia" w:ascii="宋体" w:hAnsi="宋体" w:cs="宋体"/>
                <w:highlight w:val="none"/>
              </w:rPr>
            </w:pPr>
            <w:r>
              <w:rPr>
                <w:rFonts w:hint="eastAsia" w:ascii="宋体" w:hAnsi="宋体" w:cs="宋体"/>
                <w:highlight w:val="none"/>
              </w:rPr>
              <w:t>1%</w:t>
            </w:r>
          </w:p>
        </w:tc>
        <w:tc>
          <w:tcPr>
            <w:tcW w:w="1842" w:type="dxa"/>
            <w:vAlign w:val="center"/>
          </w:tcPr>
          <w:p w14:paraId="7284BA3B">
            <w:pPr>
              <w:jc w:val="center"/>
              <w:rPr>
                <w:rFonts w:hint="eastAsia" w:ascii="宋体" w:hAnsi="宋体" w:cs="宋体"/>
                <w:highlight w:val="none"/>
              </w:rPr>
            </w:pPr>
            <w:r>
              <w:rPr>
                <w:rFonts w:hint="eastAsia" w:ascii="宋体" w:hAnsi="宋体" w:cs="宋体"/>
                <w:highlight w:val="none"/>
              </w:rPr>
              <w:t>94.71063%</w:t>
            </w:r>
          </w:p>
        </w:tc>
        <w:tc>
          <w:tcPr>
            <w:tcW w:w="4047" w:type="dxa"/>
            <w:vAlign w:val="center"/>
          </w:tcPr>
          <w:p w14:paraId="0CC28231">
            <w:pPr>
              <w:pStyle w:val="154"/>
              <w:spacing w:before="79" w:line="244"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rPr>
              <w:t>93.6604%</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3CCDE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111CD46">
            <w:pPr>
              <w:jc w:val="center"/>
              <w:rPr>
                <w:rFonts w:hint="eastAsia" w:ascii="宋体" w:hAnsi="宋体" w:cs="宋体"/>
                <w:highlight w:val="none"/>
              </w:rPr>
            </w:pPr>
            <w:r>
              <w:rPr>
                <w:rFonts w:hint="eastAsia" w:ascii="宋体" w:hAnsi="宋体" w:cs="宋体"/>
                <w:highlight w:val="none"/>
              </w:rPr>
              <w:t>6%</w:t>
            </w:r>
          </w:p>
        </w:tc>
        <w:tc>
          <w:tcPr>
            <w:tcW w:w="1560" w:type="dxa"/>
            <w:vAlign w:val="center"/>
          </w:tcPr>
          <w:p w14:paraId="6E4FCF7E">
            <w:pPr>
              <w:jc w:val="center"/>
              <w:rPr>
                <w:rFonts w:hint="eastAsia" w:ascii="宋体" w:hAnsi="宋体" w:cs="宋体"/>
                <w:highlight w:val="none"/>
              </w:rPr>
            </w:pPr>
            <w:r>
              <w:rPr>
                <w:rFonts w:hint="eastAsia" w:ascii="宋体" w:hAnsi="宋体" w:cs="宋体"/>
                <w:highlight w:val="none"/>
              </w:rPr>
              <w:t>0%</w:t>
            </w:r>
          </w:p>
        </w:tc>
        <w:tc>
          <w:tcPr>
            <w:tcW w:w="1842" w:type="dxa"/>
            <w:vAlign w:val="center"/>
          </w:tcPr>
          <w:p w14:paraId="3D6008BD">
            <w:pPr>
              <w:jc w:val="center"/>
              <w:rPr>
                <w:rFonts w:hint="eastAsia" w:ascii="宋体" w:hAnsi="宋体" w:cs="宋体"/>
                <w:highlight w:val="none"/>
              </w:rPr>
            </w:pPr>
            <w:r>
              <w:rPr>
                <w:rFonts w:hint="eastAsia" w:ascii="宋体" w:hAnsi="宋体" w:cs="宋体"/>
                <w:highlight w:val="none"/>
              </w:rPr>
              <w:t>93.66038%</w:t>
            </w:r>
          </w:p>
        </w:tc>
        <w:tc>
          <w:tcPr>
            <w:tcW w:w="4047" w:type="dxa"/>
            <w:vAlign w:val="center"/>
          </w:tcPr>
          <w:p w14:paraId="1F784514">
            <w:pPr>
              <w:pStyle w:val="154"/>
              <w:spacing w:before="79" w:line="244"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rPr>
              <w:t>93.660</w:t>
            </w:r>
            <w:r>
              <w:rPr>
                <w:rFonts w:hint="eastAsia" w:ascii="宋体" w:hAnsi="宋体" w:eastAsia="宋体" w:cs="宋体"/>
                <w:sz w:val="21"/>
                <w:szCs w:val="21"/>
                <w:highlight w:val="none"/>
                <w:lang w:val="en-US"/>
              </w:rPr>
              <w:t>38</w:t>
            </w:r>
            <w:r>
              <w:rPr>
                <w:rFonts w:hint="eastAsia" w:ascii="宋体" w:hAnsi="宋体" w:eastAsia="宋体" w:cs="宋体"/>
                <w:sz w:val="21"/>
                <w:szCs w:val="21"/>
                <w:highlight w:val="none"/>
              </w:rPr>
              <w:t>%</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r w14:paraId="0E4AE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804B440">
            <w:pPr>
              <w:jc w:val="center"/>
              <w:rPr>
                <w:rFonts w:hint="eastAsia" w:ascii="宋体" w:hAnsi="宋体" w:cs="宋体"/>
                <w:highlight w:val="none"/>
              </w:rPr>
            </w:pPr>
            <w:r>
              <w:rPr>
                <w:rFonts w:hint="eastAsia" w:ascii="宋体" w:hAnsi="宋体" w:cs="宋体"/>
                <w:highlight w:val="none"/>
              </w:rPr>
              <w:t>3%</w:t>
            </w:r>
          </w:p>
        </w:tc>
        <w:tc>
          <w:tcPr>
            <w:tcW w:w="1560" w:type="dxa"/>
            <w:vAlign w:val="center"/>
          </w:tcPr>
          <w:p w14:paraId="76BFD500">
            <w:pPr>
              <w:jc w:val="center"/>
              <w:rPr>
                <w:rFonts w:hint="eastAsia" w:ascii="宋体" w:hAnsi="宋体" w:cs="宋体"/>
                <w:highlight w:val="none"/>
              </w:rPr>
            </w:pPr>
            <w:r>
              <w:rPr>
                <w:rFonts w:hint="eastAsia" w:ascii="宋体" w:hAnsi="宋体" w:cs="宋体"/>
                <w:highlight w:val="none"/>
              </w:rPr>
              <w:t>0%</w:t>
            </w:r>
          </w:p>
        </w:tc>
        <w:tc>
          <w:tcPr>
            <w:tcW w:w="1842" w:type="dxa"/>
            <w:vAlign w:val="center"/>
          </w:tcPr>
          <w:p w14:paraId="60EA06D1">
            <w:pPr>
              <w:jc w:val="center"/>
              <w:rPr>
                <w:rFonts w:hint="eastAsia" w:ascii="宋体" w:hAnsi="宋体" w:cs="宋体"/>
                <w:highlight w:val="none"/>
              </w:rPr>
            </w:pPr>
            <w:r>
              <w:rPr>
                <w:rFonts w:hint="eastAsia" w:ascii="宋体" w:hAnsi="宋体" w:cs="宋体"/>
                <w:highlight w:val="none"/>
              </w:rPr>
              <w:t>96.7379%</w:t>
            </w:r>
          </w:p>
        </w:tc>
        <w:tc>
          <w:tcPr>
            <w:tcW w:w="4047" w:type="dxa"/>
            <w:vAlign w:val="center"/>
          </w:tcPr>
          <w:p w14:paraId="219AEFC1">
            <w:pPr>
              <w:pStyle w:val="154"/>
              <w:spacing w:before="79" w:line="244" w:lineRule="auto"/>
              <w:ind w:left="108" w:right="95"/>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小规模供应商的含税价格小于一般纳税</w:t>
            </w:r>
            <w:r>
              <w:rPr>
                <w:rFonts w:hint="eastAsia" w:ascii="宋体" w:hAnsi="宋体" w:eastAsia="宋体" w:cs="宋体"/>
                <w:spacing w:val="-9"/>
                <w:sz w:val="21"/>
                <w:szCs w:val="21"/>
                <w:highlight w:val="none"/>
              </w:rPr>
              <w:t xml:space="preserve">人含税价格的 </w:t>
            </w:r>
            <w:r>
              <w:rPr>
                <w:rFonts w:hint="eastAsia" w:ascii="宋体" w:hAnsi="宋体" w:eastAsia="宋体" w:cs="宋体"/>
                <w:sz w:val="21"/>
                <w:szCs w:val="21"/>
                <w:highlight w:val="none"/>
              </w:rPr>
              <w:t>96.7379%</w:t>
            </w:r>
            <w:r>
              <w:rPr>
                <w:rFonts w:hint="eastAsia" w:ascii="宋体" w:hAnsi="宋体" w:eastAsia="宋体" w:cs="宋体"/>
                <w:spacing w:val="-5"/>
                <w:sz w:val="21"/>
                <w:szCs w:val="21"/>
                <w:highlight w:val="none"/>
              </w:rPr>
              <w:t>时，可选择小规</w:t>
            </w:r>
            <w:r>
              <w:rPr>
                <w:rFonts w:hint="eastAsia" w:ascii="宋体" w:hAnsi="宋体" w:eastAsia="宋体" w:cs="宋体"/>
                <w:sz w:val="21"/>
                <w:szCs w:val="21"/>
                <w:highlight w:val="none"/>
              </w:rPr>
              <w:t>模纳税人。否则，选一般纳税人。</w:t>
            </w:r>
          </w:p>
        </w:tc>
      </w:tr>
    </w:tbl>
    <w:p w14:paraId="1779101F">
      <w:pPr>
        <w:rPr>
          <w:rFonts w:hint="eastAsia" w:ascii="宋体" w:hAnsi="宋体" w:cs="宋体"/>
          <w:highlight w:val="none"/>
        </w:rPr>
      </w:pPr>
      <w:r>
        <w:rPr>
          <w:rFonts w:hint="eastAsia" w:ascii="宋体" w:hAnsi="宋体" w:cs="宋体"/>
          <w:sz w:val="24"/>
          <w:highlight w:val="none"/>
        </w:rPr>
        <w:t>备注：取得增值税普通发票的，抵扣率在上表中视为 0%。</w:t>
      </w:r>
    </w:p>
    <w:p w14:paraId="4A71257C">
      <w:pPr>
        <w:rPr>
          <w:rFonts w:hint="eastAsia" w:ascii="宋体" w:hAnsi="宋体" w:cs="宋体"/>
          <w:highlight w:val="none"/>
        </w:rPr>
      </w:pPr>
    </w:p>
    <w:sectPr>
      <w:headerReference r:id="rId9" w:type="default"/>
      <w:footerReference r:id="rId10"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C521">
    <w:pPr>
      <w:pStyle w:val="3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27F0">
    <w:pPr>
      <w:pStyle w:val="58"/>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E5853">
                          <w:pPr>
                            <w:pStyle w:val="58"/>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5E5853">
                    <w:pPr>
                      <w:pStyle w:val="58"/>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5661">
    <w:pPr>
      <w:pStyle w:val="5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0A8A">
                          <w:pPr>
                            <w:pStyle w:val="5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130A8A">
                    <w:pPr>
                      <w:pStyle w:val="5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44E04240">
      <w:pPr>
        <w:pStyle w:val="70"/>
        <w:tabs>
          <w:tab w:val="left" w:pos="3780"/>
          <w:tab w:val="clear" w:pos="0"/>
        </w:tabs>
        <w:spacing w:line="340" w:lineRule="atLeast"/>
        <w:ind w:firstLine="0"/>
        <w:jc w:val="both"/>
      </w:pPr>
      <w:r>
        <w:rPr>
          <w:rStyle w:val="146"/>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6C31">
    <w:pPr>
      <w:pStyle w:val="3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2049E805">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2049E805">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E7EF">
    <w:pPr>
      <w:pStyle w:val="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1EC5D">
    <w:pPr>
      <w:pStyle w:val="60"/>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C049F1D"/>
    <w:multiLevelType w:val="singleLevel"/>
    <w:tmpl w:val="BC049F1D"/>
    <w:lvl w:ilvl="0" w:tentative="0">
      <w:start w:val="1"/>
      <w:numFmt w:val="decimal"/>
      <w:suff w:val="nothing"/>
      <w:lvlText w:val="%1、"/>
      <w:lvlJc w:val="left"/>
    </w:lvl>
  </w:abstractNum>
  <w:abstractNum w:abstractNumId="2">
    <w:nsid w:val="C107762A"/>
    <w:multiLevelType w:val="singleLevel"/>
    <w:tmpl w:val="C107762A"/>
    <w:lvl w:ilvl="0" w:tentative="0">
      <w:start w:val="1"/>
      <w:numFmt w:val="decimal"/>
      <w:suff w:val="space"/>
      <w:lvlText w:val="%1."/>
      <w:lvlJc w:val="left"/>
      <w:pPr>
        <w:ind w:left="105" w:leftChars="0" w:firstLine="0" w:firstLineChars="0"/>
      </w:pPr>
    </w:lvl>
  </w:abstractNum>
  <w:abstractNum w:abstractNumId="3">
    <w:nsid w:val="DBA4F26E"/>
    <w:multiLevelType w:val="singleLevel"/>
    <w:tmpl w:val="DBA4F26E"/>
    <w:lvl w:ilvl="0" w:tentative="0">
      <w:start w:val="1"/>
      <w:numFmt w:val="decimal"/>
      <w:suff w:val="nothing"/>
      <w:lvlText w:val="（%1）"/>
      <w:lvlJc w:val="left"/>
    </w:lvl>
  </w:abstractNum>
  <w:abstractNum w:abstractNumId="4">
    <w:nsid w:val="DD469516"/>
    <w:multiLevelType w:val="singleLevel"/>
    <w:tmpl w:val="DD469516"/>
    <w:lvl w:ilvl="0" w:tentative="0">
      <w:start w:val="1"/>
      <w:numFmt w:val="decimal"/>
      <w:lvlText w:val="%1."/>
      <w:lvlJc w:val="left"/>
      <w:pPr>
        <w:tabs>
          <w:tab w:val="left" w:pos="312"/>
        </w:tabs>
      </w:pPr>
    </w:lvl>
  </w:abstractNum>
  <w:abstractNum w:abstractNumId="5">
    <w:nsid w:val="03ECED67"/>
    <w:multiLevelType w:val="singleLevel"/>
    <w:tmpl w:val="03ECED67"/>
    <w:lvl w:ilvl="0" w:tentative="0">
      <w:start w:val="4"/>
      <w:numFmt w:val="decimal"/>
      <w:lvlText w:val="%1."/>
      <w:lvlJc w:val="left"/>
      <w:pPr>
        <w:tabs>
          <w:tab w:val="left" w:pos="312"/>
        </w:tabs>
      </w:pPr>
    </w:lvl>
  </w:abstractNum>
  <w:abstractNum w:abstractNumId="6">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8">
    <w:nsid w:val="26304756"/>
    <w:multiLevelType w:val="multilevel"/>
    <w:tmpl w:val="26304756"/>
    <w:lvl w:ilvl="0" w:tentative="0">
      <w:start w:val="1"/>
      <w:numFmt w:val="decimal"/>
      <w:pStyle w:val="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00ED99"/>
    <w:multiLevelType w:val="singleLevel"/>
    <w:tmpl w:val="2B00ED99"/>
    <w:lvl w:ilvl="0" w:tentative="0">
      <w:start w:val="1"/>
      <w:numFmt w:val="decimal"/>
      <w:lvlText w:val="%1."/>
      <w:lvlJc w:val="left"/>
      <w:pPr>
        <w:tabs>
          <w:tab w:val="left" w:pos="312"/>
        </w:tabs>
        <w:ind w:left="105" w:leftChars="0" w:firstLine="0" w:firstLineChars="0"/>
      </w:pPr>
    </w:lvl>
  </w:abstractNum>
  <w:abstractNum w:abstractNumId="10">
    <w:nsid w:val="3601A173"/>
    <w:multiLevelType w:val="singleLevel"/>
    <w:tmpl w:val="3601A173"/>
    <w:lvl w:ilvl="0" w:tentative="0">
      <w:start w:val="1"/>
      <w:numFmt w:val="chineseCounting"/>
      <w:suff w:val="nothing"/>
      <w:lvlText w:val="%1、"/>
      <w:lvlJc w:val="left"/>
      <w:rPr>
        <w:rFonts w:hint="eastAsia"/>
      </w:rPr>
    </w:lvl>
  </w:abstractNum>
  <w:abstractNum w:abstractNumId="11">
    <w:nsid w:val="4851542D"/>
    <w:multiLevelType w:val="singleLevel"/>
    <w:tmpl w:val="4851542D"/>
    <w:lvl w:ilvl="0" w:tentative="0">
      <w:start w:val="1"/>
      <w:numFmt w:val="decimal"/>
      <w:lvlText w:val="%1."/>
      <w:lvlJc w:val="left"/>
      <w:pPr>
        <w:tabs>
          <w:tab w:val="left" w:pos="312"/>
        </w:tabs>
      </w:pPr>
    </w:lvl>
  </w:abstractNum>
  <w:abstractNum w:abstractNumId="12">
    <w:nsid w:val="56A7532D"/>
    <w:multiLevelType w:val="singleLevel"/>
    <w:tmpl w:val="56A7532D"/>
    <w:lvl w:ilvl="0" w:tentative="0">
      <w:start w:val="5"/>
      <w:numFmt w:val="decimal"/>
      <w:pStyle w:val="15"/>
      <w:suff w:val="space"/>
      <w:lvlText w:val="%1."/>
      <w:lvlJc w:val="left"/>
    </w:lvl>
  </w:abstractNum>
  <w:abstractNum w:abstractNumId="13">
    <w:nsid w:val="5727FDAD"/>
    <w:multiLevelType w:val="singleLevel"/>
    <w:tmpl w:val="5727FDAD"/>
    <w:lvl w:ilvl="0" w:tentative="0">
      <w:start w:val="3"/>
      <w:numFmt w:val="decimal"/>
      <w:pStyle w:val="21"/>
      <w:suff w:val="nothing"/>
      <w:lvlText w:val="（%1）"/>
      <w:lvlJc w:val="left"/>
    </w:lvl>
  </w:abstractNum>
  <w:abstractNum w:abstractNumId="14">
    <w:nsid w:val="57319D87"/>
    <w:multiLevelType w:val="singleLevel"/>
    <w:tmpl w:val="57319D87"/>
    <w:lvl w:ilvl="0" w:tentative="0">
      <w:start w:val="2"/>
      <w:numFmt w:val="chineseCounting"/>
      <w:pStyle w:val="18"/>
      <w:suff w:val="nothing"/>
      <w:lvlText w:val="%1、"/>
      <w:lvlJc w:val="left"/>
    </w:lvl>
  </w:abstractNum>
  <w:abstractNum w:abstractNumId="15">
    <w:nsid w:val="59468949"/>
    <w:multiLevelType w:val="singleLevel"/>
    <w:tmpl w:val="59468949"/>
    <w:lvl w:ilvl="0" w:tentative="0">
      <w:start w:val="6"/>
      <w:numFmt w:val="chineseCounting"/>
      <w:pStyle w:val="25"/>
      <w:suff w:val="nothing"/>
      <w:lvlText w:val="%1、"/>
      <w:lvlJc w:val="left"/>
      <w:pPr>
        <w:ind w:left="0" w:firstLine="0"/>
      </w:pPr>
    </w:lvl>
  </w:abstractNum>
  <w:abstractNum w:abstractNumId="16">
    <w:nsid w:val="59508E65"/>
    <w:multiLevelType w:val="singleLevel"/>
    <w:tmpl w:val="59508E65"/>
    <w:lvl w:ilvl="0" w:tentative="0">
      <w:start w:val="1"/>
      <w:numFmt w:val="decimal"/>
      <w:pStyle w:val="49"/>
      <w:suff w:val="nothing"/>
      <w:lvlText w:val="%1、"/>
      <w:lvlJc w:val="left"/>
    </w:lvl>
  </w:abstractNum>
  <w:abstractNum w:abstractNumId="17">
    <w:nsid w:val="5958FBB0"/>
    <w:multiLevelType w:val="singleLevel"/>
    <w:tmpl w:val="5958FBB0"/>
    <w:lvl w:ilvl="0" w:tentative="0">
      <w:start w:val="3"/>
      <w:numFmt w:val="decimal"/>
      <w:pStyle w:val="39"/>
      <w:suff w:val="nothing"/>
      <w:lvlText w:val="%1、"/>
      <w:lvlJc w:val="left"/>
    </w:lvl>
  </w:abstractNum>
  <w:abstractNum w:abstractNumId="18">
    <w:nsid w:val="5959C87D"/>
    <w:multiLevelType w:val="singleLevel"/>
    <w:tmpl w:val="5959C87D"/>
    <w:lvl w:ilvl="0" w:tentative="0">
      <w:start w:val="1"/>
      <w:numFmt w:val="decimal"/>
      <w:pStyle w:val="50"/>
      <w:suff w:val="nothing"/>
      <w:lvlText w:val="（%1）"/>
      <w:lvlJc w:val="left"/>
    </w:lvl>
  </w:abstractNum>
  <w:abstractNum w:abstractNumId="19">
    <w:nsid w:val="59927EA5"/>
    <w:multiLevelType w:val="singleLevel"/>
    <w:tmpl w:val="59927EA5"/>
    <w:lvl w:ilvl="0" w:tentative="0">
      <w:start w:val="5"/>
      <w:numFmt w:val="decimal"/>
      <w:pStyle w:val="34"/>
      <w:suff w:val="nothing"/>
      <w:lvlText w:val="%1、"/>
      <w:lvlJc w:val="left"/>
    </w:lvl>
  </w:abstractNum>
  <w:abstractNum w:abstractNumId="20">
    <w:nsid w:val="5AA77654"/>
    <w:multiLevelType w:val="singleLevel"/>
    <w:tmpl w:val="5AA77654"/>
    <w:lvl w:ilvl="0" w:tentative="0">
      <w:start w:val="1"/>
      <w:numFmt w:val="decimal"/>
      <w:suff w:val="nothing"/>
      <w:lvlText w:val="%1、"/>
      <w:lvlJc w:val="left"/>
    </w:lvl>
  </w:abstractNum>
  <w:abstractNum w:abstractNumId="21">
    <w:nsid w:val="61390DFD"/>
    <w:multiLevelType w:val="multilevel"/>
    <w:tmpl w:val="61390DFD"/>
    <w:lvl w:ilvl="0" w:tentative="0">
      <w:start w:val="1"/>
      <w:numFmt w:val="decimal"/>
      <w:pStyle w:val="4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4"/>
  </w:num>
  <w:num w:numId="3">
    <w:abstractNumId w:val="13"/>
  </w:num>
  <w:num w:numId="4">
    <w:abstractNumId w:val="15"/>
  </w:num>
  <w:num w:numId="5">
    <w:abstractNumId w:val="19"/>
  </w:num>
  <w:num w:numId="6">
    <w:abstractNumId w:val="17"/>
  </w:num>
  <w:num w:numId="7">
    <w:abstractNumId w:val="21"/>
  </w:num>
  <w:num w:numId="8">
    <w:abstractNumId w:val="16"/>
  </w:num>
  <w:num w:numId="9">
    <w:abstractNumId w:val="18"/>
  </w:num>
  <w:num w:numId="10">
    <w:abstractNumId w:val="8"/>
  </w:num>
  <w:num w:numId="11">
    <w:abstractNumId w:val="7"/>
  </w:num>
  <w:num w:numId="12">
    <w:abstractNumId w:val="6"/>
  </w:num>
  <w:num w:numId="13">
    <w:abstractNumId w:val="4"/>
  </w:num>
  <w:num w:numId="14">
    <w:abstractNumId w:val="9"/>
  </w:num>
  <w:num w:numId="15">
    <w:abstractNumId w:val="20"/>
  </w:num>
  <w:num w:numId="16">
    <w:abstractNumId w:val="1"/>
  </w:num>
  <w:num w:numId="17">
    <w:abstractNumId w:val="2"/>
  </w:num>
  <w:num w:numId="18">
    <w:abstractNumId w:val="3"/>
  </w:num>
  <w:num w:numId="19">
    <w:abstractNumId w:val="10"/>
  </w:num>
  <w:num w:numId="20">
    <w:abstractNumId w:val="5"/>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06BD4"/>
    <w:rsid w:val="00016E6B"/>
    <w:rsid w:val="0005364C"/>
    <w:rsid w:val="00057E47"/>
    <w:rsid w:val="00073EC5"/>
    <w:rsid w:val="000856E2"/>
    <w:rsid w:val="00086EF3"/>
    <w:rsid w:val="000C4EB3"/>
    <w:rsid w:val="000C7902"/>
    <w:rsid w:val="000E470A"/>
    <w:rsid w:val="000E4C1D"/>
    <w:rsid w:val="000F05B3"/>
    <w:rsid w:val="00151D20"/>
    <w:rsid w:val="00152E92"/>
    <w:rsid w:val="00162E60"/>
    <w:rsid w:val="001677BA"/>
    <w:rsid w:val="00172A27"/>
    <w:rsid w:val="00177842"/>
    <w:rsid w:val="0018092C"/>
    <w:rsid w:val="00184704"/>
    <w:rsid w:val="001A0F87"/>
    <w:rsid w:val="001A5CEE"/>
    <w:rsid w:val="001B1947"/>
    <w:rsid w:val="001B1A59"/>
    <w:rsid w:val="001B4FF6"/>
    <w:rsid w:val="001B77D3"/>
    <w:rsid w:val="001B79A9"/>
    <w:rsid w:val="001C2943"/>
    <w:rsid w:val="001D24A7"/>
    <w:rsid w:val="002200BD"/>
    <w:rsid w:val="00224E6B"/>
    <w:rsid w:val="00235ED8"/>
    <w:rsid w:val="00254178"/>
    <w:rsid w:val="00255FBD"/>
    <w:rsid w:val="002673D7"/>
    <w:rsid w:val="00284982"/>
    <w:rsid w:val="002865EA"/>
    <w:rsid w:val="002C375E"/>
    <w:rsid w:val="002D277B"/>
    <w:rsid w:val="002D4EDD"/>
    <w:rsid w:val="002F632B"/>
    <w:rsid w:val="00317C09"/>
    <w:rsid w:val="00331595"/>
    <w:rsid w:val="00333F31"/>
    <w:rsid w:val="00372EE9"/>
    <w:rsid w:val="00385650"/>
    <w:rsid w:val="003A3358"/>
    <w:rsid w:val="003D0B6E"/>
    <w:rsid w:val="003E1F23"/>
    <w:rsid w:val="003E4400"/>
    <w:rsid w:val="003F2866"/>
    <w:rsid w:val="003F6B19"/>
    <w:rsid w:val="00453F96"/>
    <w:rsid w:val="00456DF0"/>
    <w:rsid w:val="00473A29"/>
    <w:rsid w:val="00481E1D"/>
    <w:rsid w:val="004B6C3C"/>
    <w:rsid w:val="004C643D"/>
    <w:rsid w:val="004F0F53"/>
    <w:rsid w:val="00503256"/>
    <w:rsid w:val="005116A4"/>
    <w:rsid w:val="0051238C"/>
    <w:rsid w:val="005407C3"/>
    <w:rsid w:val="00544FBD"/>
    <w:rsid w:val="00566421"/>
    <w:rsid w:val="00567C6F"/>
    <w:rsid w:val="0057528E"/>
    <w:rsid w:val="005A7558"/>
    <w:rsid w:val="005B3CF6"/>
    <w:rsid w:val="005D64AD"/>
    <w:rsid w:val="005F1EB5"/>
    <w:rsid w:val="005F2A4D"/>
    <w:rsid w:val="005F77BC"/>
    <w:rsid w:val="00616019"/>
    <w:rsid w:val="00640283"/>
    <w:rsid w:val="00642B1A"/>
    <w:rsid w:val="006454AA"/>
    <w:rsid w:val="006520E9"/>
    <w:rsid w:val="00677BFF"/>
    <w:rsid w:val="006B51E9"/>
    <w:rsid w:val="006C6C42"/>
    <w:rsid w:val="006C70FB"/>
    <w:rsid w:val="006D0B42"/>
    <w:rsid w:val="006D6CE3"/>
    <w:rsid w:val="006E49B9"/>
    <w:rsid w:val="006E6E36"/>
    <w:rsid w:val="00704E92"/>
    <w:rsid w:val="0070669E"/>
    <w:rsid w:val="00711145"/>
    <w:rsid w:val="00717B18"/>
    <w:rsid w:val="00727DF8"/>
    <w:rsid w:val="007635D1"/>
    <w:rsid w:val="007944EB"/>
    <w:rsid w:val="007A0B15"/>
    <w:rsid w:val="007A6922"/>
    <w:rsid w:val="007B32FC"/>
    <w:rsid w:val="007B50D5"/>
    <w:rsid w:val="007D6ED3"/>
    <w:rsid w:val="007E6C0D"/>
    <w:rsid w:val="007E7C8E"/>
    <w:rsid w:val="007F65A9"/>
    <w:rsid w:val="008068A2"/>
    <w:rsid w:val="00806D95"/>
    <w:rsid w:val="00835A8E"/>
    <w:rsid w:val="008673CB"/>
    <w:rsid w:val="0087756A"/>
    <w:rsid w:val="0088534B"/>
    <w:rsid w:val="008A5E01"/>
    <w:rsid w:val="008B3B5E"/>
    <w:rsid w:val="008B7422"/>
    <w:rsid w:val="008C7639"/>
    <w:rsid w:val="008F022A"/>
    <w:rsid w:val="009062C0"/>
    <w:rsid w:val="00911E13"/>
    <w:rsid w:val="00915945"/>
    <w:rsid w:val="00921D2E"/>
    <w:rsid w:val="00935BED"/>
    <w:rsid w:val="009719DD"/>
    <w:rsid w:val="009849BC"/>
    <w:rsid w:val="009E4E5D"/>
    <w:rsid w:val="00A067C9"/>
    <w:rsid w:val="00A115E4"/>
    <w:rsid w:val="00A3053B"/>
    <w:rsid w:val="00A42281"/>
    <w:rsid w:val="00A512F4"/>
    <w:rsid w:val="00A518EE"/>
    <w:rsid w:val="00A649C4"/>
    <w:rsid w:val="00A72B12"/>
    <w:rsid w:val="00A74352"/>
    <w:rsid w:val="00A83356"/>
    <w:rsid w:val="00A83834"/>
    <w:rsid w:val="00A9654F"/>
    <w:rsid w:val="00AA2C14"/>
    <w:rsid w:val="00AA5811"/>
    <w:rsid w:val="00AC1D22"/>
    <w:rsid w:val="00AD35E1"/>
    <w:rsid w:val="00AE326F"/>
    <w:rsid w:val="00B24DE1"/>
    <w:rsid w:val="00B27D67"/>
    <w:rsid w:val="00B37558"/>
    <w:rsid w:val="00B50EC9"/>
    <w:rsid w:val="00B70A36"/>
    <w:rsid w:val="00B7163E"/>
    <w:rsid w:val="00B7293D"/>
    <w:rsid w:val="00BA1EA6"/>
    <w:rsid w:val="00BB2E3C"/>
    <w:rsid w:val="00BC72D0"/>
    <w:rsid w:val="00BD6C05"/>
    <w:rsid w:val="00BE4818"/>
    <w:rsid w:val="00BE54C4"/>
    <w:rsid w:val="00C054D0"/>
    <w:rsid w:val="00C140A0"/>
    <w:rsid w:val="00C4350F"/>
    <w:rsid w:val="00C44DB8"/>
    <w:rsid w:val="00C816EB"/>
    <w:rsid w:val="00CA3FD7"/>
    <w:rsid w:val="00CA6AEA"/>
    <w:rsid w:val="00D00AF3"/>
    <w:rsid w:val="00D1529F"/>
    <w:rsid w:val="00D47BBA"/>
    <w:rsid w:val="00D55FCA"/>
    <w:rsid w:val="00D93649"/>
    <w:rsid w:val="00DA4152"/>
    <w:rsid w:val="00DE4920"/>
    <w:rsid w:val="00DF51A3"/>
    <w:rsid w:val="00E31192"/>
    <w:rsid w:val="00E41576"/>
    <w:rsid w:val="00E7260C"/>
    <w:rsid w:val="00E80DC9"/>
    <w:rsid w:val="00EA1296"/>
    <w:rsid w:val="00EB037D"/>
    <w:rsid w:val="00EC5CF0"/>
    <w:rsid w:val="00EC65DE"/>
    <w:rsid w:val="00EC6CB5"/>
    <w:rsid w:val="00EC72E2"/>
    <w:rsid w:val="00ED4F5F"/>
    <w:rsid w:val="00EE191F"/>
    <w:rsid w:val="00EF012F"/>
    <w:rsid w:val="00EF093A"/>
    <w:rsid w:val="00F95B0B"/>
    <w:rsid w:val="00FD5070"/>
    <w:rsid w:val="00FF3EC6"/>
    <w:rsid w:val="014D0B1B"/>
    <w:rsid w:val="016F70A8"/>
    <w:rsid w:val="01D03FA9"/>
    <w:rsid w:val="02661091"/>
    <w:rsid w:val="026C5A60"/>
    <w:rsid w:val="02C32E1C"/>
    <w:rsid w:val="041134A8"/>
    <w:rsid w:val="042A335C"/>
    <w:rsid w:val="04B145C2"/>
    <w:rsid w:val="055F746B"/>
    <w:rsid w:val="05FC0367"/>
    <w:rsid w:val="062517AE"/>
    <w:rsid w:val="06610385"/>
    <w:rsid w:val="07195811"/>
    <w:rsid w:val="073B0D7B"/>
    <w:rsid w:val="073F2BA5"/>
    <w:rsid w:val="07C801E7"/>
    <w:rsid w:val="08084B43"/>
    <w:rsid w:val="085E6918"/>
    <w:rsid w:val="08762FEF"/>
    <w:rsid w:val="09094AFB"/>
    <w:rsid w:val="09125B77"/>
    <w:rsid w:val="092D0E29"/>
    <w:rsid w:val="09436283"/>
    <w:rsid w:val="0A8E2C9E"/>
    <w:rsid w:val="0AC70C41"/>
    <w:rsid w:val="0AD55DC8"/>
    <w:rsid w:val="0B6C5BA6"/>
    <w:rsid w:val="0BAE52DA"/>
    <w:rsid w:val="0BB55C73"/>
    <w:rsid w:val="0BBC5DC9"/>
    <w:rsid w:val="0BBD328A"/>
    <w:rsid w:val="0C1B382B"/>
    <w:rsid w:val="0C377F97"/>
    <w:rsid w:val="0C840A60"/>
    <w:rsid w:val="0D246BD2"/>
    <w:rsid w:val="0D3E6217"/>
    <w:rsid w:val="0DDE4E56"/>
    <w:rsid w:val="0DF26C38"/>
    <w:rsid w:val="0E6C4718"/>
    <w:rsid w:val="0EF6215C"/>
    <w:rsid w:val="0F170624"/>
    <w:rsid w:val="0F4161C1"/>
    <w:rsid w:val="0F416D16"/>
    <w:rsid w:val="0F6427F5"/>
    <w:rsid w:val="10284C1B"/>
    <w:rsid w:val="10C812EB"/>
    <w:rsid w:val="11165E80"/>
    <w:rsid w:val="11CD5076"/>
    <w:rsid w:val="11FA2DBB"/>
    <w:rsid w:val="120B5EDC"/>
    <w:rsid w:val="12511BDF"/>
    <w:rsid w:val="129F2C59"/>
    <w:rsid w:val="12AC1170"/>
    <w:rsid w:val="12EF25CE"/>
    <w:rsid w:val="130E2EA2"/>
    <w:rsid w:val="13214BB4"/>
    <w:rsid w:val="137A067B"/>
    <w:rsid w:val="138709B7"/>
    <w:rsid w:val="13B679AA"/>
    <w:rsid w:val="142E3145"/>
    <w:rsid w:val="15686601"/>
    <w:rsid w:val="173B0340"/>
    <w:rsid w:val="17725A0F"/>
    <w:rsid w:val="17E17EB1"/>
    <w:rsid w:val="180F49CE"/>
    <w:rsid w:val="18832F41"/>
    <w:rsid w:val="199D7048"/>
    <w:rsid w:val="1A4C5E4C"/>
    <w:rsid w:val="1A615F3A"/>
    <w:rsid w:val="1B0A1F66"/>
    <w:rsid w:val="1B90164D"/>
    <w:rsid w:val="1B992C85"/>
    <w:rsid w:val="1BA5432A"/>
    <w:rsid w:val="1BC84FCE"/>
    <w:rsid w:val="1BDC22DF"/>
    <w:rsid w:val="1BFD4981"/>
    <w:rsid w:val="1D682BE1"/>
    <w:rsid w:val="1DA916F8"/>
    <w:rsid w:val="1E0240B7"/>
    <w:rsid w:val="1E101727"/>
    <w:rsid w:val="1E311220"/>
    <w:rsid w:val="1EBE5962"/>
    <w:rsid w:val="1EF157B1"/>
    <w:rsid w:val="1EFD3064"/>
    <w:rsid w:val="1F4B59DA"/>
    <w:rsid w:val="1F5F033F"/>
    <w:rsid w:val="1F6A3955"/>
    <w:rsid w:val="1FBC0F60"/>
    <w:rsid w:val="209B19B1"/>
    <w:rsid w:val="21192B01"/>
    <w:rsid w:val="21A3147C"/>
    <w:rsid w:val="221A060D"/>
    <w:rsid w:val="22705849"/>
    <w:rsid w:val="22842F6E"/>
    <w:rsid w:val="22B50492"/>
    <w:rsid w:val="22D12F02"/>
    <w:rsid w:val="22EC3898"/>
    <w:rsid w:val="232E6CE7"/>
    <w:rsid w:val="233D1AA4"/>
    <w:rsid w:val="237D6FAF"/>
    <w:rsid w:val="23D734F7"/>
    <w:rsid w:val="23D9242D"/>
    <w:rsid w:val="24685735"/>
    <w:rsid w:val="24AD0774"/>
    <w:rsid w:val="24B92A42"/>
    <w:rsid w:val="25597AB1"/>
    <w:rsid w:val="256156EA"/>
    <w:rsid w:val="25873D9F"/>
    <w:rsid w:val="259648B7"/>
    <w:rsid w:val="25EF55F2"/>
    <w:rsid w:val="25FC20FC"/>
    <w:rsid w:val="26197955"/>
    <w:rsid w:val="26521939"/>
    <w:rsid w:val="26B00E3D"/>
    <w:rsid w:val="26EA36DD"/>
    <w:rsid w:val="2724135B"/>
    <w:rsid w:val="27710C92"/>
    <w:rsid w:val="27835B4A"/>
    <w:rsid w:val="279B1E5B"/>
    <w:rsid w:val="27C448FA"/>
    <w:rsid w:val="27DE2A7F"/>
    <w:rsid w:val="28473FEC"/>
    <w:rsid w:val="2879181A"/>
    <w:rsid w:val="287D7C53"/>
    <w:rsid w:val="289F0ACB"/>
    <w:rsid w:val="296936F9"/>
    <w:rsid w:val="29734590"/>
    <w:rsid w:val="29765D08"/>
    <w:rsid w:val="297844CD"/>
    <w:rsid w:val="29FF2103"/>
    <w:rsid w:val="2A674078"/>
    <w:rsid w:val="2B014E72"/>
    <w:rsid w:val="2B183872"/>
    <w:rsid w:val="2B4359F4"/>
    <w:rsid w:val="2B9652EF"/>
    <w:rsid w:val="2B9B4B60"/>
    <w:rsid w:val="2BD26FEE"/>
    <w:rsid w:val="2C2D2D09"/>
    <w:rsid w:val="2C432691"/>
    <w:rsid w:val="2C7042AA"/>
    <w:rsid w:val="2CC10762"/>
    <w:rsid w:val="2CE576AE"/>
    <w:rsid w:val="2CEF7D0D"/>
    <w:rsid w:val="2CF94143"/>
    <w:rsid w:val="2D415EA5"/>
    <w:rsid w:val="2D5B7F98"/>
    <w:rsid w:val="2E252F99"/>
    <w:rsid w:val="2E2E4899"/>
    <w:rsid w:val="2E585FC8"/>
    <w:rsid w:val="2E937F67"/>
    <w:rsid w:val="2ED14C1B"/>
    <w:rsid w:val="2EEC5556"/>
    <w:rsid w:val="2F0D6742"/>
    <w:rsid w:val="30063B76"/>
    <w:rsid w:val="303F2980"/>
    <w:rsid w:val="306D3856"/>
    <w:rsid w:val="30757208"/>
    <w:rsid w:val="30805097"/>
    <w:rsid w:val="3099394C"/>
    <w:rsid w:val="30EE4AE8"/>
    <w:rsid w:val="311618E1"/>
    <w:rsid w:val="316E5D9D"/>
    <w:rsid w:val="33F71F62"/>
    <w:rsid w:val="3462581E"/>
    <w:rsid w:val="34795E57"/>
    <w:rsid w:val="34C62452"/>
    <w:rsid w:val="34C927BF"/>
    <w:rsid w:val="353E4E8E"/>
    <w:rsid w:val="357B2045"/>
    <w:rsid w:val="35BB64DE"/>
    <w:rsid w:val="36021CA3"/>
    <w:rsid w:val="363B4EE2"/>
    <w:rsid w:val="363D0966"/>
    <w:rsid w:val="36550CA7"/>
    <w:rsid w:val="3689701F"/>
    <w:rsid w:val="36B71155"/>
    <w:rsid w:val="36E70ACA"/>
    <w:rsid w:val="36EF2AC8"/>
    <w:rsid w:val="36F37B75"/>
    <w:rsid w:val="37323080"/>
    <w:rsid w:val="37D266BF"/>
    <w:rsid w:val="380C3930"/>
    <w:rsid w:val="39107968"/>
    <w:rsid w:val="393238D7"/>
    <w:rsid w:val="398E557D"/>
    <w:rsid w:val="39A97805"/>
    <w:rsid w:val="39DB57EC"/>
    <w:rsid w:val="39E11784"/>
    <w:rsid w:val="3A31270D"/>
    <w:rsid w:val="3A491492"/>
    <w:rsid w:val="3A712BA9"/>
    <w:rsid w:val="3ABC3A8E"/>
    <w:rsid w:val="3AEA1A26"/>
    <w:rsid w:val="3AF3131B"/>
    <w:rsid w:val="3B7D557D"/>
    <w:rsid w:val="3BCB4B28"/>
    <w:rsid w:val="3CD17C07"/>
    <w:rsid w:val="3D686B7B"/>
    <w:rsid w:val="3D835E5E"/>
    <w:rsid w:val="3E244FAA"/>
    <w:rsid w:val="3E8466DB"/>
    <w:rsid w:val="3EF71DF6"/>
    <w:rsid w:val="3F070C69"/>
    <w:rsid w:val="3F5C1407"/>
    <w:rsid w:val="3FA961A5"/>
    <w:rsid w:val="40715A1D"/>
    <w:rsid w:val="407C2FC4"/>
    <w:rsid w:val="408F143A"/>
    <w:rsid w:val="40964395"/>
    <w:rsid w:val="415D795C"/>
    <w:rsid w:val="418832E1"/>
    <w:rsid w:val="418A3BAB"/>
    <w:rsid w:val="42517EB4"/>
    <w:rsid w:val="425C2682"/>
    <w:rsid w:val="434138DC"/>
    <w:rsid w:val="4362066E"/>
    <w:rsid w:val="438356FB"/>
    <w:rsid w:val="43FC0E24"/>
    <w:rsid w:val="445C6B2A"/>
    <w:rsid w:val="44A3519B"/>
    <w:rsid w:val="44BE2E53"/>
    <w:rsid w:val="45404BDA"/>
    <w:rsid w:val="455A7C8D"/>
    <w:rsid w:val="456A043F"/>
    <w:rsid w:val="45B405E8"/>
    <w:rsid w:val="45E96AEC"/>
    <w:rsid w:val="45EE036C"/>
    <w:rsid w:val="460A3EB2"/>
    <w:rsid w:val="461F4605"/>
    <w:rsid w:val="466C2A4B"/>
    <w:rsid w:val="46BF6086"/>
    <w:rsid w:val="46CE415D"/>
    <w:rsid w:val="4707219F"/>
    <w:rsid w:val="47280419"/>
    <w:rsid w:val="48617FD2"/>
    <w:rsid w:val="487E445C"/>
    <w:rsid w:val="48FF325B"/>
    <w:rsid w:val="491017DF"/>
    <w:rsid w:val="492F2221"/>
    <w:rsid w:val="4A2F62A8"/>
    <w:rsid w:val="4A450A9D"/>
    <w:rsid w:val="4A505C22"/>
    <w:rsid w:val="4A771B19"/>
    <w:rsid w:val="4A9254A8"/>
    <w:rsid w:val="4AB36025"/>
    <w:rsid w:val="4AD04275"/>
    <w:rsid w:val="4B732870"/>
    <w:rsid w:val="4C3619F7"/>
    <w:rsid w:val="4C827D69"/>
    <w:rsid w:val="4CE2473A"/>
    <w:rsid w:val="4CEC2E85"/>
    <w:rsid w:val="4D8A4C03"/>
    <w:rsid w:val="4EA50069"/>
    <w:rsid w:val="4EEC5E6E"/>
    <w:rsid w:val="4F441D32"/>
    <w:rsid w:val="4F6208BA"/>
    <w:rsid w:val="5015592D"/>
    <w:rsid w:val="509372E2"/>
    <w:rsid w:val="51162CAD"/>
    <w:rsid w:val="51642977"/>
    <w:rsid w:val="516C6539"/>
    <w:rsid w:val="51F61ED4"/>
    <w:rsid w:val="523E2A49"/>
    <w:rsid w:val="52F447C1"/>
    <w:rsid w:val="537F0C74"/>
    <w:rsid w:val="53876B42"/>
    <w:rsid w:val="538B1C1C"/>
    <w:rsid w:val="53A4471E"/>
    <w:rsid w:val="543E4043"/>
    <w:rsid w:val="55027D80"/>
    <w:rsid w:val="55393C6A"/>
    <w:rsid w:val="55720B2B"/>
    <w:rsid w:val="55765FB4"/>
    <w:rsid w:val="55833E12"/>
    <w:rsid w:val="55DE56AF"/>
    <w:rsid w:val="56615D34"/>
    <w:rsid w:val="568058BB"/>
    <w:rsid w:val="569662A8"/>
    <w:rsid w:val="56A065D2"/>
    <w:rsid w:val="56AE4063"/>
    <w:rsid w:val="56EF5B23"/>
    <w:rsid w:val="56F31FCC"/>
    <w:rsid w:val="57B7707A"/>
    <w:rsid w:val="57B8753F"/>
    <w:rsid w:val="580F250B"/>
    <w:rsid w:val="581E3404"/>
    <w:rsid w:val="58481CE4"/>
    <w:rsid w:val="592E180D"/>
    <w:rsid w:val="593E2377"/>
    <w:rsid w:val="59B371B4"/>
    <w:rsid w:val="5A1336BD"/>
    <w:rsid w:val="5A641A90"/>
    <w:rsid w:val="5AD96E3C"/>
    <w:rsid w:val="5B05582F"/>
    <w:rsid w:val="5B486DE4"/>
    <w:rsid w:val="5B6339F0"/>
    <w:rsid w:val="5B6F3F4E"/>
    <w:rsid w:val="5BA37B5F"/>
    <w:rsid w:val="5BE079E7"/>
    <w:rsid w:val="5C60670D"/>
    <w:rsid w:val="5C735B7B"/>
    <w:rsid w:val="5CEA77CB"/>
    <w:rsid w:val="5CEB14BF"/>
    <w:rsid w:val="5D185541"/>
    <w:rsid w:val="5D7E3B0C"/>
    <w:rsid w:val="5D7E5948"/>
    <w:rsid w:val="5E057014"/>
    <w:rsid w:val="5E360388"/>
    <w:rsid w:val="5E75112B"/>
    <w:rsid w:val="5ED846F5"/>
    <w:rsid w:val="5F121FCF"/>
    <w:rsid w:val="5F3B6A32"/>
    <w:rsid w:val="5F472153"/>
    <w:rsid w:val="5F5C285D"/>
    <w:rsid w:val="5FE7280E"/>
    <w:rsid w:val="60454DC7"/>
    <w:rsid w:val="60961128"/>
    <w:rsid w:val="60C01CDF"/>
    <w:rsid w:val="61076609"/>
    <w:rsid w:val="61081AD0"/>
    <w:rsid w:val="61E80A23"/>
    <w:rsid w:val="62017B70"/>
    <w:rsid w:val="624D2D01"/>
    <w:rsid w:val="6272342F"/>
    <w:rsid w:val="62A547CD"/>
    <w:rsid w:val="62FD4432"/>
    <w:rsid w:val="63077502"/>
    <w:rsid w:val="632A6F6D"/>
    <w:rsid w:val="633620EF"/>
    <w:rsid w:val="633932AD"/>
    <w:rsid w:val="635600BB"/>
    <w:rsid w:val="63B1787B"/>
    <w:rsid w:val="643473CB"/>
    <w:rsid w:val="643E4B5B"/>
    <w:rsid w:val="645F267A"/>
    <w:rsid w:val="64E1102F"/>
    <w:rsid w:val="653050C6"/>
    <w:rsid w:val="660F6CFC"/>
    <w:rsid w:val="66137A39"/>
    <w:rsid w:val="665A00E6"/>
    <w:rsid w:val="666A0D1B"/>
    <w:rsid w:val="66904361"/>
    <w:rsid w:val="66C03DE8"/>
    <w:rsid w:val="670B151E"/>
    <w:rsid w:val="67736C8D"/>
    <w:rsid w:val="677B676A"/>
    <w:rsid w:val="678254E9"/>
    <w:rsid w:val="67927EC8"/>
    <w:rsid w:val="67E478A9"/>
    <w:rsid w:val="6850575C"/>
    <w:rsid w:val="6861126B"/>
    <w:rsid w:val="689C48EE"/>
    <w:rsid w:val="69111C45"/>
    <w:rsid w:val="69BF6BDD"/>
    <w:rsid w:val="6A192E9F"/>
    <w:rsid w:val="6A232ED1"/>
    <w:rsid w:val="6A3536D6"/>
    <w:rsid w:val="6A6515F1"/>
    <w:rsid w:val="6A7E1EF5"/>
    <w:rsid w:val="6B533AE2"/>
    <w:rsid w:val="6BAE3F00"/>
    <w:rsid w:val="6C4C3BA2"/>
    <w:rsid w:val="6C892726"/>
    <w:rsid w:val="6C895281"/>
    <w:rsid w:val="6C9A43A8"/>
    <w:rsid w:val="6C9F1460"/>
    <w:rsid w:val="6D8C294A"/>
    <w:rsid w:val="6E6115F5"/>
    <w:rsid w:val="6E911615"/>
    <w:rsid w:val="6EF015E7"/>
    <w:rsid w:val="6F1800C4"/>
    <w:rsid w:val="6F44559A"/>
    <w:rsid w:val="6F546AE4"/>
    <w:rsid w:val="6F835F21"/>
    <w:rsid w:val="6FA174AF"/>
    <w:rsid w:val="6FB92EDC"/>
    <w:rsid w:val="6FCD5235"/>
    <w:rsid w:val="70AB52F9"/>
    <w:rsid w:val="70B87A0C"/>
    <w:rsid w:val="7102708C"/>
    <w:rsid w:val="7104037D"/>
    <w:rsid w:val="71151229"/>
    <w:rsid w:val="7230329F"/>
    <w:rsid w:val="72367C59"/>
    <w:rsid w:val="723D15B0"/>
    <w:rsid w:val="724573D2"/>
    <w:rsid w:val="72955F70"/>
    <w:rsid w:val="729A35A5"/>
    <w:rsid w:val="729A4A2A"/>
    <w:rsid w:val="72D53FBD"/>
    <w:rsid w:val="72F7625E"/>
    <w:rsid w:val="732302F5"/>
    <w:rsid w:val="738B0358"/>
    <w:rsid w:val="73C15998"/>
    <w:rsid w:val="73CC76EB"/>
    <w:rsid w:val="73FC69FE"/>
    <w:rsid w:val="73FE0E8D"/>
    <w:rsid w:val="74482016"/>
    <w:rsid w:val="74CC77F2"/>
    <w:rsid w:val="76150888"/>
    <w:rsid w:val="762A1A9D"/>
    <w:rsid w:val="76A95A38"/>
    <w:rsid w:val="772E53A2"/>
    <w:rsid w:val="773B40FA"/>
    <w:rsid w:val="77DD0367"/>
    <w:rsid w:val="781F604F"/>
    <w:rsid w:val="78A016EB"/>
    <w:rsid w:val="78B84528"/>
    <w:rsid w:val="792B3280"/>
    <w:rsid w:val="79625843"/>
    <w:rsid w:val="79D2386B"/>
    <w:rsid w:val="7A16377B"/>
    <w:rsid w:val="7A71468A"/>
    <w:rsid w:val="7B4E6DDA"/>
    <w:rsid w:val="7BB93B12"/>
    <w:rsid w:val="7BCE30B4"/>
    <w:rsid w:val="7C7904BB"/>
    <w:rsid w:val="7C8034F2"/>
    <w:rsid w:val="7CA44674"/>
    <w:rsid w:val="7CE32724"/>
    <w:rsid w:val="7DF702F1"/>
    <w:rsid w:val="7E0759DC"/>
    <w:rsid w:val="7E4F51C9"/>
    <w:rsid w:val="7E6469EF"/>
    <w:rsid w:val="7F110481"/>
    <w:rsid w:val="7F2612DC"/>
    <w:rsid w:val="7F265A59"/>
    <w:rsid w:val="7F491821"/>
    <w:rsid w:val="7F6B54EC"/>
    <w:rsid w:val="7F721579"/>
    <w:rsid w:val="7FAC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6">
    <w:name w:val="heading 3"/>
    <w:basedOn w:val="1"/>
    <w:next w:val="1"/>
    <w:link w:val="728"/>
    <w:qFormat/>
    <w:uiPriority w:val="0"/>
    <w:pPr>
      <w:keepNext/>
      <w:jc w:val="center"/>
      <w:outlineLvl w:val="2"/>
    </w:pPr>
    <w:rPr>
      <w:rFonts w:ascii="宋体" w:hAnsi="宋体"/>
      <w:b/>
      <w:bCs/>
      <w:sz w:val="24"/>
    </w:rPr>
  </w:style>
  <w:style w:type="paragraph" w:styleId="7">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8">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9">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10">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11">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2">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3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6"/>
    <w:qFormat/>
    <w:uiPriority w:val="0"/>
    <w:pPr>
      <w:ind w:firstLine="420" w:firstLineChars="200"/>
    </w:pPr>
  </w:style>
  <w:style w:type="paragraph" w:styleId="3">
    <w:name w:val="Body Text Indent"/>
    <w:basedOn w:val="1"/>
    <w:link w:val="155"/>
    <w:qFormat/>
    <w:uiPriority w:val="0"/>
    <w:pPr>
      <w:widowControl w:val="0"/>
      <w:spacing w:after="120"/>
      <w:ind w:left="420" w:leftChars="200"/>
      <w:jc w:val="both"/>
    </w:pPr>
  </w:style>
  <w:style w:type="paragraph" w:styleId="13">
    <w:name w:val="List 3"/>
    <w:basedOn w:val="1"/>
    <w:qFormat/>
    <w:uiPriority w:val="0"/>
    <w:pPr>
      <w:widowControl w:val="0"/>
      <w:spacing w:line="240" w:lineRule="auto"/>
      <w:ind w:left="100" w:leftChars="400" w:hanging="200" w:hangingChars="200"/>
      <w:jc w:val="both"/>
    </w:pPr>
    <w:rPr>
      <w:rFonts w:ascii="Calibri" w:hAnsi="Calibri"/>
    </w:rPr>
  </w:style>
  <w:style w:type="paragraph" w:styleId="14">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5">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6">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7">
    <w:name w:val="Note Heading"/>
    <w:basedOn w:val="1"/>
    <w:next w:val="1"/>
    <w:link w:val="194"/>
    <w:qFormat/>
    <w:uiPriority w:val="0"/>
    <w:pPr>
      <w:widowControl w:val="0"/>
      <w:spacing w:line="240" w:lineRule="auto"/>
      <w:jc w:val="center"/>
    </w:pPr>
    <w:rPr>
      <w:rFonts w:ascii="Calibri" w:hAnsi="Calibri"/>
    </w:rPr>
  </w:style>
  <w:style w:type="paragraph" w:styleId="18">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9">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20">
    <w:name w:val="E-mail Signature"/>
    <w:basedOn w:val="1"/>
    <w:link w:val="195"/>
    <w:qFormat/>
    <w:uiPriority w:val="0"/>
    <w:pPr>
      <w:widowControl w:val="0"/>
      <w:spacing w:line="240" w:lineRule="auto"/>
      <w:jc w:val="both"/>
    </w:pPr>
    <w:rPr>
      <w:rFonts w:ascii="Calibri" w:hAnsi="Calibri"/>
    </w:rPr>
  </w:style>
  <w:style w:type="paragraph" w:styleId="21">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2">
    <w:name w:val="Normal Indent"/>
    <w:basedOn w:val="1"/>
    <w:link w:val="730"/>
    <w:qFormat/>
    <w:uiPriority w:val="0"/>
    <w:pPr>
      <w:ind w:firstLine="420"/>
    </w:pPr>
  </w:style>
  <w:style w:type="paragraph" w:styleId="23">
    <w:name w:val="caption"/>
    <w:basedOn w:val="1"/>
    <w:next w:val="1"/>
    <w:qFormat/>
    <w:uiPriority w:val="0"/>
    <w:pPr>
      <w:widowControl w:val="0"/>
      <w:spacing w:line="240" w:lineRule="auto"/>
      <w:jc w:val="both"/>
    </w:pPr>
    <w:rPr>
      <w:rFonts w:ascii="Arial" w:hAnsi="Arial" w:eastAsia="黑体" w:cs="Arial"/>
      <w:sz w:val="20"/>
      <w:szCs w:val="20"/>
    </w:rPr>
  </w:style>
  <w:style w:type="paragraph" w:styleId="24">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5">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6">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7">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8">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9">
    <w:name w:val="annotation text"/>
    <w:basedOn w:val="1"/>
    <w:link w:val="192"/>
    <w:qFormat/>
    <w:uiPriority w:val="0"/>
  </w:style>
  <w:style w:type="paragraph" w:styleId="30">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31">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2">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3">
    <w:name w:val="Closing"/>
    <w:basedOn w:val="1"/>
    <w:link w:val="199"/>
    <w:qFormat/>
    <w:uiPriority w:val="0"/>
    <w:pPr>
      <w:widowControl w:val="0"/>
      <w:spacing w:line="240" w:lineRule="auto"/>
      <w:ind w:left="100" w:leftChars="2100"/>
      <w:jc w:val="both"/>
    </w:pPr>
    <w:rPr>
      <w:rFonts w:ascii="Calibri" w:hAnsi="Calibri"/>
    </w:rPr>
  </w:style>
  <w:style w:type="paragraph" w:styleId="34">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5">
    <w:name w:val="Body Text"/>
    <w:basedOn w:val="1"/>
    <w:next w:val="36"/>
    <w:link w:val="731"/>
    <w:unhideWhenUsed/>
    <w:qFormat/>
    <w:uiPriority w:val="0"/>
    <w:pPr>
      <w:spacing w:after="120"/>
    </w:pPr>
  </w:style>
  <w:style w:type="paragraph" w:customStyle="1" w:styleId="36">
    <w:name w:val="style4"/>
    <w:basedOn w:val="37"/>
    <w:next w:val="38"/>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2"/>
    <w:basedOn w:val="1"/>
    <w:next w:val="1"/>
    <w:qFormat/>
    <w:uiPriority w:val="0"/>
    <w:pPr>
      <w:adjustRightInd w:val="0"/>
      <w:spacing w:line="420" w:lineRule="atLeast"/>
      <w:ind w:left="1134" w:hanging="227"/>
      <w:textAlignment w:val="baseline"/>
    </w:pPr>
    <w:rPr>
      <w:kern w:val="0"/>
      <w:szCs w:val="20"/>
    </w:rPr>
  </w:style>
  <w:style w:type="paragraph" w:styleId="39">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40">
    <w:name w:val="List 2"/>
    <w:basedOn w:val="1"/>
    <w:qFormat/>
    <w:uiPriority w:val="0"/>
    <w:pPr>
      <w:widowControl w:val="0"/>
      <w:spacing w:line="240" w:lineRule="auto"/>
      <w:ind w:left="100" w:leftChars="200" w:hanging="200" w:hangingChars="200"/>
      <w:jc w:val="both"/>
    </w:pPr>
    <w:rPr>
      <w:rFonts w:ascii="Calibri" w:hAnsi="Calibri"/>
    </w:rPr>
  </w:style>
  <w:style w:type="paragraph" w:styleId="41">
    <w:name w:val="List Continue"/>
    <w:basedOn w:val="1"/>
    <w:qFormat/>
    <w:uiPriority w:val="0"/>
    <w:pPr>
      <w:widowControl w:val="0"/>
      <w:spacing w:after="120" w:line="240" w:lineRule="auto"/>
      <w:ind w:left="420" w:leftChars="200"/>
      <w:jc w:val="both"/>
    </w:pPr>
    <w:rPr>
      <w:rFonts w:ascii="Calibri" w:hAnsi="Calibri"/>
    </w:rPr>
  </w:style>
  <w:style w:type="paragraph" w:styleId="42">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43">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4">
    <w:name w:val="HTML Address"/>
    <w:basedOn w:val="1"/>
    <w:link w:val="200"/>
    <w:qFormat/>
    <w:uiPriority w:val="0"/>
    <w:pPr>
      <w:widowControl w:val="0"/>
      <w:spacing w:line="240" w:lineRule="auto"/>
      <w:jc w:val="both"/>
    </w:pPr>
    <w:rPr>
      <w:rFonts w:ascii="Calibri" w:hAnsi="Calibri"/>
      <w:i/>
      <w:iCs/>
    </w:rPr>
  </w:style>
  <w:style w:type="paragraph" w:styleId="45">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6">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7">
    <w:name w:val="toc 3"/>
    <w:basedOn w:val="1"/>
    <w:next w:val="1"/>
    <w:qFormat/>
    <w:uiPriority w:val="39"/>
    <w:pPr>
      <w:widowControl w:val="0"/>
      <w:spacing w:line="440" w:lineRule="exact"/>
      <w:ind w:left="400" w:leftChars="400"/>
      <w:jc w:val="both"/>
    </w:pPr>
    <w:rPr>
      <w:rFonts w:ascii="Calibri" w:hAnsi="Calibri"/>
      <w:sz w:val="28"/>
    </w:rPr>
  </w:style>
  <w:style w:type="paragraph" w:styleId="48">
    <w:name w:val="Plain Text"/>
    <w:basedOn w:val="1"/>
    <w:link w:val="732"/>
    <w:qFormat/>
    <w:uiPriority w:val="0"/>
    <w:pPr>
      <w:widowControl w:val="0"/>
      <w:spacing w:line="240" w:lineRule="auto"/>
      <w:jc w:val="both"/>
    </w:pPr>
    <w:rPr>
      <w:rFonts w:ascii="宋体" w:hAnsi="Courier New" w:cs="Courier New"/>
      <w:szCs w:val="21"/>
    </w:rPr>
  </w:style>
  <w:style w:type="paragraph" w:styleId="49">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50">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51">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52">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53">
    <w:name w:val="Date"/>
    <w:basedOn w:val="1"/>
    <w:next w:val="1"/>
    <w:link w:val="733"/>
    <w:qFormat/>
    <w:uiPriority w:val="0"/>
    <w:pPr>
      <w:widowControl w:val="0"/>
      <w:spacing w:line="240" w:lineRule="auto"/>
      <w:jc w:val="both"/>
    </w:pPr>
    <w:rPr>
      <w:rFonts w:ascii="宋体" w:hAnsi="宋体"/>
      <w:sz w:val="24"/>
      <w:szCs w:val="20"/>
    </w:rPr>
  </w:style>
  <w:style w:type="paragraph" w:styleId="54">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5">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6">
    <w:name w:val="List Continue 5"/>
    <w:basedOn w:val="1"/>
    <w:qFormat/>
    <w:uiPriority w:val="0"/>
    <w:pPr>
      <w:widowControl w:val="0"/>
      <w:spacing w:after="120" w:line="240" w:lineRule="auto"/>
      <w:ind w:left="2100" w:leftChars="1000"/>
      <w:jc w:val="both"/>
    </w:pPr>
    <w:rPr>
      <w:rFonts w:ascii="Calibri" w:hAnsi="Calibri"/>
    </w:rPr>
  </w:style>
  <w:style w:type="paragraph" w:styleId="57">
    <w:name w:val="Balloon Text"/>
    <w:basedOn w:val="1"/>
    <w:next w:val="1"/>
    <w:link w:val="205"/>
    <w:qFormat/>
    <w:uiPriority w:val="99"/>
    <w:pPr>
      <w:widowControl w:val="0"/>
      <w:spacing w:line="240" w:lineRule="auto"/>
      <w:jc w:val="both"/>
    </w:pPr>
    <w:rPr>
      <w:rFonts w:ascii="Calibri" w:hAnsi="Calibri"/>
      <w:sz w:val="18"/>
      <w:szCs w:val="18"/>
    </w:rPr>
  </w:style>
  <w:style w:type="paragraph" w:styleId="58">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9">
    <w:name w:val="envelope return"/>
    <w:basedOn w:val="1"/>
    <w:qFormat/>
    <w:uiPriority w:val="0"/>
    <w:pPr>
      <w:widowControl w:val="0"/>
      <w:snapToGrid w:val="0"/>
      <w:spacing w:line="240" w:lineRule="auto"/>
      <w:jc w:val="both"/>
    </w:pPr>
    <w:rPr>
      <w:rFonts w:ascii="Arial" w:hAnsi="Arial" w:cs="Arial"/>
    </w:rPr>
  </w:style>
  <w:style w:type="paragraph" w:styleId="60">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61">
    <w:name w:val="Signature"/>
    <w:basedOn w:val="1"/>
    <w:link w:val="206"/>
    <w:qFormat/>
    <w:uiPriority w:val="0"/>
    <w:pPr>
      <w:widowControl w:val="0"/>
      <w:spacing w:line="240" w:lineRule="auto"/>
      <w:ind w:left="100" w:leftChars="2100"/>
      <w:jc w:val="both"/>
    </w:pPr>
    <w:rPr>
      <w:rFonts w:ascii="Calibri" w:hAnsi="Calibri"/>
    </w:rPr>
  </w:style>
  <w:style w:type="paragraph" w:styleId="62">
    <w:name w:val="toc 1"/>
    <w:basedOn w:val="1"/>
    <w:next w:val="1"/>
    <w:qFormat/>
    <w:uiPriority w:val="39"/>
    <w:pPr>
      <w:widowControl w:val="0"/>
      <w:spacing w:line="400" w:lineRule="exact"/>
      <w:jc w:val="both"/>
    </w:pPr>
    <w:rPr>
      <w:rFonts w:ascii="Calibri" w:hAnsi="Calibri"/>
      <w:sz w:val="24"/>
    </w:rPr>
  </w:style>
  <w:style w:type="paragraph" w:styleId="63">
    <w:name w:val="List Continue 4"/>
    <w:basedOn w:val="1"/>
    <w:qFormat/>
    <w:uiPriority w:val="0"/>
    <w:pPr>
      <w:widowControl w:val="0"/>
      <w:spacing w:after="120" w:line="240" w:lineRule="auto"/>
      <w:ind w:left="1680" w:leftChars="800"/>
      <w:jc w:val="both"/>
    </w:pPr>
    <w:rPr>
      <w:rFonts w:ascii="Calibri" w:hAnsi="Calibri"/>
    </w:rPr>
  </w:style>
  <w:style w:type="paragraph" w:styleId="64">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5">
    <w:name w:val="index heading"/>
    <w:basedOn w:val="1"/>
    <w:next w:val="66"/>
    <w:qFormat/>
    <w:uiPriority w:val="0"/>
    <w:pPr>
      <w:widowControl w:val="0"/>
      <w:adjustRightInd w:val="0"/>
      <w:snapToGrid w:val="0"/>
      <w:spacing w:line="240" w:lineRule="auto"/>
      <w:jc w:val="both"/>
    </w:pPr>
    <w:rPr>
      <w:rFonts w:ascii="宋体" w:hAnsi="Calibri"/>
      <w:szCs w:val="20"/>
    </w:rPr>
  </w:style>
  <w:style w:type="paragraph" w:styleId="66">
    <w:name w:val="index 1"/>
    <w:basedOn w:val="1"/>
    <w:next w:val="1"/>
    <w:qFormat/>
    <w:uiPriority w:val="0"/>
  </w:style>
  <w:style w:type="paragraph" w:styleId="67">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8">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9">
    <w:name w:val="List"/>
    <w:basedOn w:val="1"/>
    <w:qFormat/>
    <w:uiPriority w:val="0"/>
    <w:pPr>
      <w:widowControl w:val="0"/>
      <w:spacing w:line="240" w:lineRule="auto"/>
      <w:ind w:left="200" w:hanging="200" w:hangingChars="200"/>
      <w:jc w:val="both"/>
    </w:pPr>
    <w:rPr>
      <w:rFonts w:ascii="Calibri" w:hAnsi="Calibri"/>
    </w:rPr>
  </w:style>
  <w:style w:type="paragraph" w:styleId="70">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71">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72">
    <w:name w:val="List 5"/>
    <w:basedOn w:val="1"/>
    <w:qFormat/>
    <w:uiPriority w:val="0"/>
    <w:pPr>
      <w:widowControl w:val="0"/>
      <w:spacing w:line="240" w:lineRule="auto"/>
      <w:ind w:left="100" w:leftChars="800" w:hanging="200" w:hangingChars="200"/>
      <w:jc w:val="both"/>
    </w:pPr>
    <w:rPr>
      <w:rFonts w:ascii="Calibri" w:hAnsi="Calibri"/>
    </w:rPr>
  </w:style>
  <w:style w:type="paragraph" w:styleId="73">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4">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5">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6">
    <w:name w:val="table of figures"/>
    <w:basedOn w:val="1"/>
    <w:next w:val="1"/>
    <w:qFormat/>
    <w:uiPriority w:val="0"/>
    <w:pPr>
      <w:ind w:left="200" w:leftChars="200" w:hanging="200" w:hangingChars="200"/>
    </w:pPr>
  </w:style>
  <w:style w:type="paragraph" w:styleId="77">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8">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9">
    <w:name w:val="Body Text 2"/>
    <w:basedOn w:val="1"/>
    <w:link w:val="209"/>
    <w:qFormat/>
    <w:uiPriority w:val="0"/>
    <w:pPr>
      <w:widowControl w:val="0"/>
      <w:spacing w:after="120" w:line="480" w:lineRule="auto"/>
      <w:jc w:val="both"/>
    </w:pPr>
    <w:rPr>
      <w:rFonts w:ascii="Calibri" w:hAnsi="Calibri"/>
      <w:kern w:val="0"/>
      <w:sz w:val="20"/>
    </w:rPr>
  </w:style>
  <w:style w:type="paragraph" w:styleId="80">
    <w:name w:val="List 4"/>
    <w:basedOn w:val="1"/>
    <w:qFormat/>
    <w:uiPriority w:val="0"/>
    <w:pPr>
      <w:widowControl w:val="0"/>
      <w:spacing w:line="240" w:lineRule="auto"/>
      <w:ind w:left="100" w:leftChars="600" w:hanging="200" w:hangingChars="200"/>
      <w:jc w:val="both"/>
    </w:pPr>
    <w:rPr>
      <w:rFonts w:ascii="Calibri" w:hAnsi="Calibri"/>
    </w:rPr>
  </w:style>
  <w:style w:type="paragraph" w:styleId="81">
    <w:name w:val="List Continue 2"/>
    <w:basedOn w:val="1"/>
    <w:qFormat/>
    <w:uiPriority w:val="0"/>
    <w:pPr>
      <w:widowControl w:val="0"/>
      <w:spacing w:after="120" w:line="240" w:lineRule="auto"/>
      <w:ind w:left="840" w:leftChars="400"/>
      <w:jc w:val="both"/>
    </w:pPr>
    <w:rPr>
      <w:rFonts w:ascii="Calibri" w:hAnsi="Calibri"/>
    </w:rPr>
  </w:style>
  <w:style w:type="paragraph" w:styleId="82">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83">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4">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5">
    <w:name w:val="List Continue 3"/>
    <w:basedOn w:val="1"/>
    <w:qFormat/>
    <w:uiPriority w:val="0"/>
    <w:pPr>
      <w:widowControl w:val="0"/>
      <w:spacing w:after="120" w:line="240" w:lineRule="auto"/>
      <w:ind w:left="1260" w:leftChars="600"/>
      <w:jc w:val="both"/>
    </w:pPr>
    <w:rPr>
      <w:rFonts w:ascii="Calibri" w:hAnsi="Calibri"/>
    </w:rPr>
  </w:style>
  <w:style w:type="paragraph" w:styleId="86">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7">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8">
    <w:name w:val="annotation subject"/>
    <w:basedOn w:val="29"/>
    <w:next w:val="29"/>
    <w:link w:val="193"/>
    <w:qFormat/>
    <w:uiPriority w:val="0"/>
    <w:pPr>
      <w:widowControl w:val="0"/>
      <w:spacing w:line="240" w:lineRule="auto"/>
    </w:pPr>
    <w:rPr>
      <w:rFonts w:ascii="宋体" w:hAnsi="宋体"/>
      <w:b/>
      <w:bCs/>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2"/>
    <w:basedOn w:val="89"/>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1"/>
    <w:basedOn w:val="89"/>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2"/>
    <w:basedOn w:val="89"/>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3"/>
    <w:basedOn w:val="89"/>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8">
    <w:name w:val="Table List 4"/>
    <w:basedOn w:val="89"/>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9">
    <w:name w:val="Table List 5"/>
    <w:basedOn w:val="89"/>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0">
    <w:name w:val="Table List 6"/>
    <w:basedOn w:val="89"/>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List 7"/>
    <w:basedOn w:val="89"/>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2">
    <w:name w:val="Table List 8"/>
    <w:basedOn w:val="89"/>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Contemporary"/>
    <w:basedOn w:val="89"/>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4">
    <w:name w:val="Table Columns 1"/>
    <w:basedOn w:val="89"/>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2"/>
    <w:basedOn w:val="89"/>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3"/>
    <w:basedOn w:val="89"/>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7">
    <w:name w:val="Table Columns 4"/>
    <w:basedOn w:val="89"/>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9"/>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9"/>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2"/>
    <w:basedOn w:val="89"/>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1">
    <w:name w:val="Table Grid 3"/>
    <w:basedOn w:val="89"/>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4"/>
    <w:basedOn w:val="89"/>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Grid 5"/>
    <w:basedOn w:val="89"/>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6"/>
    <w:basedOn w:val="89"/>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7"/>
    <w:basedOn w:val="89"/>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8"/>
    <w:basedOn w:val="89"/>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Web 1"/>
    <w:basedOn w:val="89"/>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2"/>
    <w:basedOn w:val="89"/>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3"/>
    <w:basedOn w:val="89"/>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Professional"/>
    <w:basedOn w:val="89"/>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2">
    <w:name w:val="Strong"/>
    <w:qFormat/>
    <w:uiPriority w:val="22"/>
    <w:rPr>
      <w:b/>
      <w:bCs/>
    </w:rPr>
  </w:style>
  <w:style w:type="character" w:styleId="133">
    <w:name w:val="endnote reference"/>
    <w:qFormat/>
    <w:uiPriority w:val="0"/>
    <w:rPr>
      <w:vertAlign w:val="superscript"/>
    </w:rPr>
  </w:style>
  <w:style w:type="character" w:styleId="134">
    <w:name w:val="page number"/>
    <w:qFormat/>
    <w:uiPriority w:val="0"/>
  </w:style>
  <w:style w:type="character" w:styleId="135">
    <w:name w:val="FollowedHyperlink"/>
    <w:qFormat/>
    <w:uiPriority w:val="0"/>
    <w:rPr>
      <w:color w:val="800080"/>
      <w:u w:val="none"/>
    </w:rPr>
  </w:style>
  <w:style w:type="character" w:styleId="136">
    <w:name w:val="Emphasis"/>
    <w:qFormat/>
    <w:uiPriority w:val="0"/>
  </w:style>
  <w:style w:type="character" w:styleId="137">
    <w:name w:val="line number"/>
    <w:qFormat/>
    <w:uiPriority w:val="0"/>
  </w:style>
  <w:style w:type="character" w:styleId="138">
    <w:name w:val="HTML Definition"/>
    <w:qFormat/>
    <w:uiPriority w:val="0"/>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style>
  <w:style w:type="character" w:styleId="142">
    <w:name w:val="Hyperlink"/>
    <w:qFormat/>
    <w:uiPriority w:val="99"/>
    <w:rPr>
      <w:color w:val="136EC2"/>
      <w:u w:val="single"/>
    </w:rPr>
  </w:style>
  <w:style w:type="character" w:styleId="143">
    <w:name w:val="HTML Code"/>
    <w:qFormat/>
    <w:uiPriority w:val="0"/>
    <w:rPr>
      <w:rFonts w:hint="default" w:ascii="Courier New" w:hAnsi="Courier New" w:eastAsia="Courier New" w:cs="Courier New"/>
      <w:sz w:val="20"/>
    </w:rPr>
  </w:style>
  <w:style w:type="character" w:styleId="144">
    <w:name w:val="annotation reference"/>
    <w:qFormat/>
    <w:uiPriority w:val="0"/>
    <w:rPr>
      <w:sz w:val="21"/>
      <w:szCs w:val="21"/>
    </w:rPr>
  </w:style>
  <w:style w:type="character" w:styleId="145">
    <w:name w:val="HTML Cite"/>
    <w:qFormat/>
    <w:uiPriority w:val="0"/>
  </w:style>
  <w:style w:type="character" w:styleId="146">
    <w:name w:val="footnote reference"/>
    <w:qFormat/>
    <w:uiPriority w:val="0"/>
    <w:rPr>
      <w:vertAlign w:val="superscript"/>
    </w:rPr>
  </w:style>
  <w:style w:type="character" w:styleId="147">
    <w:name w:val="HTML Keyboard"/>
    <w:qFormat/>
    <w:uiPriority w:val="0"/>
    <w:rPr>
      <w:rFonts w:ascii="Courier New" w:hAnsi="Courier New" w:eastAsia="Courier New" w:cs="Courier New"/>
      <w:sz w:val="20"/>
    </w:rPr>
  </w:style>
  <w:style w:type="character" w:styleId="148">
    <w:name w:val="HTML Sample"/>
    <w:qFormat/>
    <w:uiPriority w:val="0"/>
    <w:rPr>
      <w:rFonts w:hint="default" w:ascii="Courier New" w:hAnsi="Courier New" w:eastAsia="Courier New" w:cs="Courier New"/>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31"/>
    <w:link w:val="87"/>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31"/>
    <w:link w:val="3"/>
    <w:qFormat/>
    <w:uiPriority w:val="0"/>
    <w:rPr>
      <w:rFonts w:hint="default" w:ascii="Calibri" w:hAnsi="Calibri" w:cs="Calibri"/>
      <w:kern w:val="2"/>
      <w:sz w:val="21"/>
      <w:szCs w:val="24"/>
    </w:rPr>
  </w:style>
  <w:style w:type="character" w:customStyle="1" w:styleId="156">
    <w:name w:val="正文文本首行缩进 2 字符"/>
    <w:basedOn w:val="155"/>
    <w:link w:val="2"/>
    <w:qFormat/>
    <w:uiPriority w:val="0"/>
    <w:rPr>
      <w:rFonts w:hint="default" w:ascii="Calibri" w:hAnsi="Calibri" w:cs="Calibri"/>
      <w:kern w:val="2"/>
      <w:sz w:val="21"/>
      <w:szCs w:val="24"/>
    </w:rPr>
  </w:style>
  <w:style w:type="character" w:customStyle="1" w:styleId="157">
    <w:name w:val="脚注文本 Char"/>
    <w:basedOn w:val="131"/>
    <w:qFormat/>
    <w:uiPriority w:val="0"/>
    <w:rPr>
      <w:rFonts w:hint="eastAsia" w:ascii="宋体" w:hAnsi="宋体" w:eastAsia="宋体" w:cs="宋体"/>
      <w:sz w:val="18"/>
      <w:szCs w:val="18"/>
    </w:rPr>
  </w:style>
  <w:style w:type="character" w:customStyle="1" w:styleId="158">
    <w:name w:val="脚注文本 字符"/>
    <w:basedOn w:val="131"/>
    <w:link w:val="70"/>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31"/>
    <w:link w:val="5"/>
    <w:qFormat/>
    <w:uiPriority w:val="0"/>
    <w:rPr>
      <w:rFonts w:ascii="Arial" w:hAnsi="Arial"/>
      <w:b/>
      <w:bCs/>
      <w:kern w:val="2"/>
      <w:sz w:val="32"/>
      <w:szCs w:val="32"/>
    </w:rPr>
  </w:style>
  <w:style w:type="character" w:customStyle="1" w:styleId="187">
    <w:name w:val="标题 5 字符"/>
    <w:basedOn w:val="131"/>
    <w:link w:val="8"/>
    <w:qFormat/>
    <w:uiPriority w:val="0"/>
    <w:rPr>
      <w:rFonts w:ascii="Calibri" w:hAnsi="Calibri"/>
      <w:b/>
      <w:bCs/>
      <w:sz w:val="28"/>
      <w:szCs w:val="28"/>
    </w:rPr>
  </w:style>
  <w:style w:type="character" w:customStyle="1" w:styleId="188">
    <w:name w:val="标题 6 字符"/>
    <w:basedOn w:val="131"/>
    <w:link w:val="9"/>
    <w:qFormat/>
    <w:uiPriority w:val="0"/>
    <w:rPr>
      <w:rFonts w:ascii="Arial" w:hAnsi="Arial" w:eastAsia="黑体"/>
      <w:b/>
      <w:bCs/>
      <w:sz w:val="24"/>
      <w:szCs w:val="24"/>
    </w:rPr>
  </w:style>
  <w:style w:type="character" w:customStyle="1" w:styleId="189">
    <w:name w:val="标题 7 字符"/>
    <w:basedOn w:val="131"/>
    <w:link w:val="10"/>
    <w:qFormat/>
    <w:uiPriority w:val="1"/>
    <w:rPr>
      <w:rFonts w:ascii="Calibri" w:hAnsi="Calibri"/>
      <w:b/>
      <w:bCs/>
      <w:sz w:val="24"/>
      <w:szCs w:val="24"/>
    </w:rPr>
  </w:style>
  <w:style w:type="character" w:customStyle="1" w:styleId="190">
    <w:name w:val="标题 8 字符"/>
    <w:basedOn w:val="131"/>
    <w:link w:val="11"/>
    <w:qFormat/>
    <w:uiPriority w:val="0"/>
    <w:rPr>
      <w:rFonts w:ascii="Arial" w:hAnsi="Arial" w:eastAsia="黑体"/>
      <w:sz w:val="24"/>
      <w:szCs w:val="24"/>
    </w:rPr>
  </w:style>
  <w:style w:type="character" w:customStyle="1" w:styleId="191">
    <w:name w:val="标题 9 字符"/>
    <w:basedOn w:val="131"/>
    <w:link w:val="12"/>
    <w:qFormat/>
    <w:uiPriority w:val="0"/>
    <w:rPr>
      <w:rFonts w:ascii="Arial" w:hAnsi="Arial" w:eastAsia="黑体"/>
      <w:sz w:val="21"/>
      <w:szCs w:val="21"/>
    </w:rPr>
  </w:style>
  <w:style w:type="character" w:customStyle="1" w:styleId="192">
    <w:name w:val="批注文字 字符"/>
    <w:basedOn w:val="131"/>
    <w:link w:val="29"/>
    <w:qFormat/>
    <w:uiPriority w:val="0"/>
    <w:rPr>
      <w:kern w:val="2"/>
      <w:sz w:val="21"/>
      <w:szCs w:val="24"/>
    </w:rPr>
  </w:style>
  <w:style w:type="character" w:customStyle="1" w:styleId="193">
    <w:name w:val="批注主题 字符"/>
    <w:basedOn w:val="192"/>
    <w:link w:val="88"/>
    <w:qFormat/>
    <w:uiPriority w:val="0"/>
    <w:rPr>
      <w:rFonts w:ascii="宋体" w:hAnsi="宋体"/>
      <w:b/>
      <w:bCs/>
      <w:kern w:val="2"/>
      <w:sz w:val="21"/>
      <w:szCs w:val="24"/>
    </w:rPr>
  </w:style>
  <w:style w:type="character" w:customStyle="1" w:styleId="194">
    <w:name w:val="注释标题 字符"/>
    <w:basedOn w:val="131"/>
    <w:link w:val="17"/>
    <w:qFormat/>
    <w:uiPriority w:val="0"/>
    <w:rPr>
      <w:rFonts w:ascii="Calibri" w:hAnsi="Calibri"/>
      <w:kern w:val="2"/>
      <w:sz w:val="21"/>
      <w:szCs w:val="24"/>
    </w:rPr>
  </w:style>
  <w:style w:type="character" w:customStyle="1" w:styleId="195">
    <w:name w:val="电子邮件签名 字符"/>
    <w:basedOn w:val="131"/>
    <w:link w:val="20"/>
    <w:qFormat/>
    <w:uiPriority w:val="0"/>
    <w:rPr>
      <w:rFonts w:ascii="Calibri" w:hAnsi="Calibri"/>
      <w:kern w:val="2"/>
      <w:sz w:val="21"/>
      <w:szCs w:val="24"/>
    </w:rPr>
  </w:style>
  <w:style w:type="character" w:customStyle="1" w:styleId="196">
    <w:name w:val="文档结构图 字符"/>
    <w:basedOn w:val="131"/>
    <w:link w:val="27"/>
    <w:qFormat/>
    <w:uiPriority w:val="0"/>
    <w:rPr>
      <w:rFonts w:ascii="Calibri" w:hAnsi="Calibri"/>
      <w:szCs w:val="24"/>
      <w:shd w:val="clear" w:color="auto" w:fill="000080"/>
    </w:rPr>
  </w:style>
  <w:style w:type="character" w:customStyle="1" w:styleId="197">
    <w:name w:val="称呼 字符"/>
    <w:basedOn w:val="131"/>
    <w:link w:val="31"/>
    <w:qFormat/>
    <w:uiPriority w:val="0"/>
    <w:rPr>
      <w:rFonts w:ascii="仿宋_GB2312" w:hAnsi="Calibri" w:eastAsia="仿宋_GB2312"/>
      <w:sz w:val="24"/>
      <w:szCs w:val="24"/>
    </w:rPr>
  </w:style>
  <w:style w:type="character" w:customStyle="1" w:styleId="198">
    <w:name w:val="正文文本 3 字符"/>
    <w:basedOn w:val="131"/>
    <w:link w:val="32"/>
    <w:qFormat/>
    <w:uiPriority w:val="0"/>
    <w:rPr>
      <w:rFonts w:ascii="宋体" w:hAnsi="Calibri"/>
      <w:color w:val="000000"/>
      <w:sz w:val="24"/>
    </w:rPr>
  </w:style>
  <w:style w:type="character" w:customStyle="1" w:styleId="199">
    <w:name w:val="结束语 字符"/>
    <w:basedOn w:val="131"/>
    <w:link w:val="33"/>
    <w:qFormat/>
    <w:uiPriority w:val="0"/>
    <w:rPr>
      <w:rFonts w:ascii="Calibri" w:hAnsi="Calibri"/>
      <w:kern w:val="2"/>
      <w:sz w:val="21"/>
      <w:szCs w:val="24"/>
    </w:rPr>
  </w:style>
  <w:style w:type="character" w:customStyle="1" w:styleId="200">
    <w:name w:val="HTML 地址 字符"/>
    <w:basedOn w:val="131"/>
    <w:link w:val="44"/>
    <w:qFormat/>
    <w:uiPriority w:val="0"/>
    <w:rPr>
      <w:rFonts w:ascii="Calibri" w:hAnsi="Calibri"/>
      <w:i/>
      <w:iCs/>
      <w:kern w:val="2"/>
      <w:sz w:val="21"/>
      <w:szCs w:val="24"/>
    </w:rPr>
  </w:style>
  <w:style w:type="character" w:customStyle="1" w:styleId="201">
    <w:name w:val="纯文本 字符"/>
    <w:basedOn w:val="131"/>
    <w:qFormat/>
    <w:uiPriority w:val="0"/>
    <w:rPr>
      <w:rFonts w:hAnsi="Courier New" w:cs="Courier New" w:asciiTheme="minorEastAsia" w:eastAsiaTheme="minorEastAsia"/>
      <w:kern w:val="2"/>
      <w:sz w:val="21"/>
      <w:szCs w:val="24"/>
    </w:rPr>
  </w:style>
  <w:style w:type="character" w:customStyle="1" w:styleId="202">
    <w:name w:val="日期 字符"/>
    <w:basedOn w:val="131"/>
    <w:qFormat/>
    <w:uiPriority w:val="0"/>
    <w:rPr>
      <w:kern w:val="2"/>
      <w:sz w:val="21"/>
      <w:szCs w:val="24"/>
    </w:rPr>
  </w:style>
  <w:style w:type="character" w:customStyle="1" w:styleId="203">
    <w:name w:val="正文文本缩进 2 字符"/>
    <w:basedOn w:val="131"/>
    <w:link w:val="54"/>
    <w:qFormat/>
    <w:uiPriority w:val="0"/>
    <w:rPr>
      <w:rFonts w:ascii="Calibri" w:hAnsi="Calibri"/>
      <w:szCs w:val="24"/>
    </w:rPr>
  </w:style>
  <w:style w:type="character" w:customStyle="1" w:styleId="204">
    <w:name w:val="尾注文本 字符"/>
    <w:basedOn w:val="131"/>
    <w:link w:val="55"/>
    <w:qFormat/>
    <w:uiPriority w:val="0"/>
    <w:rPr>
      <w:rFonts w:ascii="宋体" w:hAnsi="Calibri"/>
      <w:sz w:val="24"/>
    </w:rPr>
  </w:style>
  <w:style w:type="character" w:customStyle="1" w:styleId="205">
    <w:name w:val="批注框文本 字符"/>
    <w:basedOn w:val="131"/>
    <w:link w:val="57"/>
    <w:qFormat/>
    <w:uiPriority w:val="99"/>
    <w:rPr>
      <w:rFonts w:ascii="Calibri" w:hAnsi="Calibri"/>
      <w:kern w:val="2"/>
      <w:sz w:val="18"/>
      <w:szCs w:val="18"/>
    </w:rPr>
  </w:style>
  <w:style w:type="character" w:customStyle="1" w:styleId="206">
    <w:name w:val="签名 字符"/>
    <w:basedOn w:val="131"/>
    <w:link w:val="61"/>
    <w:qFormat/>
    <w:uiPriority w:val="0"/>
    <w:rPr>
      <w:rFonts w:ascii="Calibri" w:hAnsi="Calibri"/>
      <w:kern w:val="2"/>
      <w:sz w:val="21"/>
      <w:szCs w:val="24"/>
    </w:rPr>
  </w:style>
  <w:style w:type="character" w:customStyle="1" w:styleId="207">
    <w:name w:val="副标题 字符"/>
    <w:basedOn w:val="131"/>
    <w:link w:val="67"/>
    <w:qFormat/>
    <w:uiPriority w:val="0"/>
    <w:rPr>
      <w:rFonts w:ascii="Arial" w:hAnsi="Arial"/>
      <w:b/>
      <w:bCs/>
      <w:kern w:val="28"/>
      <w:sz w:val="32"/>
      <w:szCs w:val="32"/>
    </w:rPr>
  </w:style>
  <w:style w:type="character" w:customStyle="1" w:styleId="208">
    <w:name w:val="正文文本缩进 3 字符"/>
    <w:basedOn w:val="131"/>
    <w:link w:val="73"/>
    <w:qFormat/>
    <w:uiPriority w:val="0"/>
    <w:rPr>
      <w:rFonts w:ascii="宋体" w:hAnsi="宋体"/>
      <w:kern w:val="2"/>
      <w:sz w:val="16"/>
      <w:szCs w:val="16"/>
    </w:rPr>
  </w:style>
  <w:style w:type="character" w:customStyle="1" w:styleId="209">
    <w:name w:val="正文文本 2 字符"/>
    <w:basedOn w:val="131"/>
    <w:link w:val="79"/>
    <w:qFormat/>
    <w:uiPriority w:val="0"/>
    <w:rPr>
      <w:rFonts w:ascii="Calibri" w:hAnsi="Calibri"/>
      <w:szCs w:val="24"/>
    </w:rPr>
  </w:style>
  <w:style w:type="character" w:customStyle="1" w:styleId="210">
    <w:name w:val="信息标题 字符"/>
    <w:basedOn w:val="131"/>
    <w:link w:val="82"/>
    <w:qFormat/>
    <w:uiPriority w:val="0"/>
    <w:rPr>
      <w:rFonts w:ascii="Arial" w:hAnsi="Arial"/>
      <w:kern w:val="2"/>
      <w:sz w:val="24"/>
      <w:szCs w:val="24"/>
      <w:shd w:val="pct20" w:color="auto" w:fill="auto"/>
    </w:rPr>
  </w:style>
  <w:style w:type="character" w:customStyle="1" w:styleId="211">
    <w:name w:val="HTML 预设格式 字符"/>
    <w:basedOn w:val="131"/>
    <w:link w:val="83"/>
    <w:qFormat/>
    <w:uiPriority w:val="99"/>
    <w:rPr>
      <w:rFonts w:ascii="Arial" w:hAnsi="Arial"/>
      <w:sz w:val="24"/>
      <w:szCs w:val="24"/>
    </w:rPr>
  </w:style>
  <w:style w:type="paragraph" w:customStyle="1" w:styleId="212">
    <w:name w:val="正文文本首行缩进1"/>
    <w:basedOn w:val="35"/>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8"/>
    <w:link w:val="773"/>
    <w:qFormat/>
    <w:uiPriority w:val="0"/>
    <w:pPr>
      <w:snapToGrid w:val="0"/>
      <w:jc w:val="center"/>
    </w:pPr>
    <w:rPr>
      <w:rFonts w:hAnsi="宋体" w:cs="Times New Roman"/>
    </w:rPr>
  </w:style>
  <w:style w:type="paragraph" w:customStyle="1" w:styleId="219">
    <w:name w:val="表名"/>
    <w:basedOn w:val="22"/>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5"/>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7"/>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6"/>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6"/>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60"/>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7"/>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5"/>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8"/>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4"/>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6"/>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4"/>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8"/>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4"/>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6"/>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2"/>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7"/>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60"/>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7"/>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5"/>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7"/>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5"/>
    <w:next w:val="35"/>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8"/>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6"/>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4"/>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7"/>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4"/>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8"/>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4"/>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2"/>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5"/>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5"/>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6"/>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5"/>
    <w:qFormat/>
    <w:uiPriority w:val="0"/>
    <w:pPr>
      <w:widowControl w:val="0"/>
      <w:spacing w:line="360" w:lineRule="auto"/>
      <w:ind w:firstLine="482"/>
      <w:jc w:val="both"/>
    </w:pPr>
    <w:rPr>
      <w:rFonts w:ascii="Calibri" w:hAnsi="Calibri"/>
      <w:sz w:val="24"/>
      <w:szCs w:val="20"/>
    </w:rPr>
  </w:style>
  <w:style w:type="paragraph" w:customStyle="1" w:styleId="630">
    <w:name w:val="标题2"/>
    <w:basedOn w:val="87"/>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5"/>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6"/>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5"/>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5"/>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5"/>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5"/>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6"/>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4"/>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4"/>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5"/>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4"/>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6"/>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2"/>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4"/>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62"/>
    <w:qFormat/>
    <w:uiPriority w:val="0"/>
    <w:pPr>
      <w:ind w:left="420"/>
    </w:pPr>
    <w:rPr>
      <w:rFonts w:cs="宋体"/>
      <w:szCs w:val="20"/>
    </w:rPr>
  </w:style>
  <w:style w:type="character" w:customStyle="1" w:styleId="727">
    <w:name w:val="标题 1 字符1"/>
    <w:link w:val="4"/>
    <w:qFormat/>
    <w:locked/>
    <w:uiPriority w:val="0"/>
    <w:rPr>
      <w:b/>
      <w:bCs/>
      <w:kern w:val="44"/>
      <w:sz w:val="44"/>
      <w:szCs w:val="44"/>
    </w:rPr>
  </w:style>
  <w:style w:type="character" w:customStyle="1" w:styleId="728">
    <w:name w:val="标题 3 字符"/>
    <w:link w:val="6"/>
    <w:qFormat/>
    <w:locked/>
    <w:uiPriority w:val="0"/>
    <w:rPr>
      <w:rFonts w:ascii="宋体" w:hAnsi="宋体"/>
      <w:b/>
      <w:bCs/>
      <w:kern w:val="2"/>
      <w:sz w:val="24"/>
      <w:szCs w:val="24"/>
    </w:rPr>
  </w:style>
  <w:style w:type="character" w:customStyle="1" w:styleId="729">
    <w:name w:val="标题 4 字符"/>
    <w:link w:val="7"/>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2"/>
    <w:qFormat/>
    <w:uiPriority w:val="0"/>
    <w:rPr>
      <w:kern w:val="2"/>
      <w:sz w:val="21"/>
      <w:szCs w:val="24"/>
    </w:rPr>
  </w:style>
  <w:style w:type="character" w:customStyle="1" w:styleId="731">
    <w:name w:val="正文文本 字符"/>
    <w:link w:val="35"/>
    <w:qFormat/>
    <w:uiPriority w:val="0"/>
    <w:rPr>
      <w:kern w:val="2"/>
      <w:sz w:val="21"/>
      <w:szCs w:val="24"/>
    </w:rPr>
  </w:style>
  <w:style w:type="character" w:customStyle="1" w:styleId="732">
    <w:name w:val="纯文本 字符1"/>
    <w:link w:val="48"/>
    <w:qFormat/>
    <w:locked/>
    <w:uiPriority w:val="0"/>
    <w:rPr>
      <w:rFonts w:ascii="宋体" w:hAnsi="Courier New" w:cs="Courier New"/>
      <w:kern w:val="2"/>
      <w:sz w:val="21"/>
      <w:szCs w:val="21"/>
    </w:rPr>
  </w:style>
  <w:style w:type="character" w:customStyle="1" w:styleId="733">
    <w:name w:val="日期 字符1"/>
    <w:link w:val="53"/>
    <w:qFormat/>
    <w:locked/>
    <w:uiPriority w:val="0"/>
    <w:rPr>
      <w:rFonts w:ascii="宋体" w:hAnsi="宋体"/>
      <w:kern w:val="2"/>
      <w:sz w:val="24"/>
    </w:rPr>
  </w:style>
  <w:style w:type="character" w:customStyle="1" w:styleId="734">
    <w:name w:val="页脚 字符"/>
    <w:link w:val="58"/>
    <w:qFormat/>
    <w:locked/>
    <w:uiPriority w:val="99"/>
    <w:rPr>
      <w:rFonts w:asciiTheme="minorHAnsi" w:hAnsiTheme="minorHAnsi" w:eastAsiaTheme="minorEastAsia" w:cstheme="minorBidi"/>
      <w:kern w:val="2"/>
      <w:sz w:val="18"/>
      <w:szCs w:val="18"/>
    </w:rPr>
  </w:style>
  <w:style w:type="character" w:customStyle="1" w:styleId="735">
    <w:name w:val="页眉 字符"/>
    <w:link w:val="60"/>
    <w:qFormat/>
    <w:locked/>
    <w:uiPriority w:val="99"/>
    <w:rPr>
      <w:kern w:val="2"/>
      <w:sz w:val="18"/>
      <w:szCs w:val="24"/>
    </w:rPr>
  </w:style>
  <w:style w:type="character" w:customStyle="1" w:styleId="736">
    <w:name w:val="普通(网站) 字符"/>
    <w:link w:val="84"/>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9"/>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9"/>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9"/>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9"/>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9"/>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eastAsia="Times New Roman"/>
      <w:sz w:val="15"/>
      <w:szCs w:val="15"/>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116</Pages>
  <Words>19488</Words>
  <Characters>20775</Characters>
  <Lines>2053</Lines>
  <Paragraphs>2050</Paragraphs>
  <TotalTime>8</TotalTime>
  <ScaleCrop>false</ScaleCrop>
  <LinksUpToDate>false</LinksUpToDate>
  <CharactersWithSpaces>21899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2025-07-10T07:19:00Z</dcterms:created>
  <dc:creator>lemon</dc:creator>
  <cp:lastModifiedBy>Administrator</cp:lastModifiedBy>
  <cp:lastPrinted>2025-07-04T02:31:00Z</cp:lastPrinted>
  <dcterms:modified xsi:type="dcterms:W3CDTF">2025-11-10T01:48:40Z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BBCB80D04485442AB1D69D68C1A3CF63_13</vt:lpwstr>
  </property>
  <property fmtid="{D5CDD505-2E9C-101B-9397-08002B2CF9AE}" pid="4" name="KSOTemplateDocerSaveRecord">
    <vt:lpwstr>eyJoZGlkIjoiZGQyODJhMWVhYzkyMzg2ZmU1NWNiMTIxODkyNmE4YjUiLCJ1c2VySWQiOiI5NDY1ODMxMDkifQ==</vt:lpwstr>
  </property>
</Properties>
</file>