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ED55D">
      <w:pPr>
        <w:pStyle w:val="18"/>
        <w:spacing w:line="440" w:lineRule="atLeast"/>
        <w:rPr>
          <w:rFonts w:ascii="Times New Roman" w:eastAsia="黑体"/>
          <w:color w:val="auto"/>
          <w:sz w:val="31"/>
          <w:szCs w:val="31"/>
          <w:highlight w:val="none"/>
          <w:u w:val="single"/>
        </w:rPr>
      </w:pPr>
    </w:p>
    <w:p w14:paraId="5D922640">
      <w:pPr>
        <w:pStyle w:val="18"/>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黑体" w:cs="Times New Roman"/>
          <w:color w:val="auto"/>
          <w:sz w:val="36"/>
          <w:szCs w:val="36"/>
          <w:highlight w:val="none"/>
          <w:lang w:val="en-US" w:eastAsia="zh-CN"/>
        </w:rPr>
      </w:pPr>
      <w:r>
        <w:rPr>
          <w:rFonts w:hint="eastAsia" w:ascii="Times New Roman" w:hAnsi="Times New Roman" w:eastAsia="黑体" w:cs="Times New Roman"/>
          <w:color w:val="auto"/>
          <w:sz w:val="36"/>
          <w:szCs w:val="36"/>
          <w:highlight w:val="none"/>
          <w:lang w:val="en-US" w:eastAsia="zh-CN"/>
        </w:rPr>
        <w:t>G59呼北高速张家界至官庄段第二标段成桥动静载检测（桥梁）技术咨询服务招标</w:t>
      </w:r>
    </w:p>
    <w:p w14:paraId="4E435FEC">
      <w:pPr>
        <w:spacing w:line="440" w:lineRule="atLeast"/>
        <w:rPr>
          <w:color w:val="auto"/>
          <w:sz w:val="20"/>
          <w:szCs w:val="20"/>
          <w:highlight w:val="none"/>
        </w:rPr>
      </w:pPr>
    </w:p>
    <w:p w14:paraId="346325C6">
      <w:pPr>
        <w:spacing w:line="440" w:lineRule="atLeast"/>
        <w:jc w:val="center"/>
        <w:rPr>
          <w:color w:val="auto"/>
          <w:sz w:val="20"/>
          <w:szCs w:val="20"/>
          <w:highlight w:val="none"/>
        </w:rPr>
      </w:pPr>
      <w:r>
        <w:rPr>
          <w:color w:val="auto"/>
          <w:sz w:val="20"/>
          <w:szCs w:val="20"/>
          <w:highlight w:val="none"/>
        </w:rPr>
        <w:t xml:space="preserve"> </w:t>
      </w:r>
      <w:r>
        <w:rPr>
          <w:rFonts w:eastAsia="黑体"/>
          <w:color w:val="auto"/>
          <w:sz w:val="28"/>
          <w:szCs w:val="28"/>
          <w:highlight w:val="none"/>
        </w:rPr>
        <w:t>（招标编号：</w:t>
      </w:r>
      <w:r>
        <w:rPr>
          <w:rFonts w:hint="eastAsia" w:eastAsia="黑体"/>
          <w:color w:val="auto"/>
          <w:sz w:val="28"/>
          <w:szCs w:val="28"/>
          <w:highlight w:val="none"/>
          <w:lang w:val="en-US" w:eastAsia="zh-CN"/>
        </w:rPr>
        <w:t xml:space="preserve">ZKGS(ZB)-20250631 </w:t>
      </w:r>
      <w:r>
        <w:rPr>
          <w:rFonts w:eastAsia="黑体"/>
          <w:color w:val="auto"/>
          <w:sz w:val="28"/>
          <w:szCs w:val="28"/>
          <w:highlight w:val="none"/>
        </w:rPr>
        <w:t xml:space="preserve"> ）</w:t>
      </w:r>
    </w:p>
    <w:p w14:paraId="40DBCC06">
      <w:pPr>
        <w:spacing w:line="440" w:lineRule="atLeast"/>
        <w:rPr>
          <w:color w:val="auto"/>
          <w:sz w:val="20"/>
          <w:szCs w:val="20"/>
          <w:highlight w:val="none"/>
        </w:rPr>
      </w:pPr>
      <w:r>
        <w:rPr>
          <w:color w:val="auto"/>
          <w:sz w:val="20"/>
          <w:szCs w:val="20"/>
          <w:highlight w:val="none"/>
        </w:rPr>
        <w:t xml:space="preserve"> </w:t>
      </w:r>
    </w:p>
    <w:p w14:paraId="4FFEB475">
      <w:pPr>
        <w:spacing w:line="440" w:lineRule="atLeast"/>
        <w:rPr>
          <w:color w:val="auto"/>
          <w:sz w:val="20"/>
          <w:szCs w:val="20"/>
          <w:highlight w:val="none"/>
        </w:rPr>
      </w:pPr>
    </w:p>
    <w:p w14:paraId="04D7BF67">
      <w:pPr>
        <w:spacing w:line="440" w:lineRule="atLeast"/>
        <w:rPr>
          <w:color w:val="auto"/>
          <w:sz w:val="20"/>
          <w:szCs w:val="20"/>
          <w:highlight w:val="none"/>
        </w:rPr>
      </w:pPr>
    </w:p>
    <w:p w14:paraId="4F649888">
      <w:pPr>
        <w:spacing w:line="440" w:lineRule="atLeast"/>
        <w:rPr>
          <w:color w:val="auto"/>
          <w:sz w:val="20"/>
          <w:szCs w:val="20"/>
          <w:highlight w:val="none"/>
        </w:rPr>
      </w:pPr>
    </w:p>
    <w:p w14:paraId="44B2A1B8">
      <w:pPr>
        <w:spacing w:line="440" w:lineRule="atLeast"/>
        <w:rPr>
          <w:color w:val="auto"/>
          <w:sz w:val="20"/>
          <w:szCs w:val="20"/>
          <w:highlight w:val="none"/>
        </w:rPr>
      </w:pPr>
    </w:p>
    <w:p w14:paraId="10B5746C">
      <w:pPr>
        <w:spacing w:line="440" w:lineRule="atLeast"/>
        <w:jc w:val="center"/>
        <w:rPr>
          <w:rFonts w:eastAsia="黑体"/>
          <w:color w:val="auto"/>
          <w:sz w:val="50"/>
          <w:szCs w:val="50"/>
          <w:highlight w:val="none"/>
        </w:rPr>
      </w:pPr>
      <w:r>
        <w:rPr>
          <w:rFonts w:eastAsia="黑体"/>
          <w:color w:val="auto"/>
          <w:sz w:val="72"/>
          <w:szCs w:val="72"/>
          <w:highlight w:val="none"/>
        </w:rPr>
        <w:t>招 标 文 件</w:t>
      </w:r>
    </w:p>
    <w:p w14:paraId="248D300B">
      <w:pPr>
        <w:spacing w:line="440" w:lineRule="atLeast"/>
        <w:rPr>
          <w:color w:val="auto"/>
          <w:sz w:val="20"/>
          <w:szCs w:val="20"/>
          <w:highlight w:val="none"/>
        </w:rPr>
      </w:pPr>
    </w:p>
    <w:p w14:paraId="4D1AE9BA">
      <w:pPr>
        <w:spacing w:line="440" w:lineRule="atLeast"/>
        <w:rPr>
          <w:color w:val="auto"/>
          <w:sz w:val="20"/>
          <w:szCs w:val="20"/>
          <w:highlight w:val="none"/>
        </w:rPr>
      </w:pPr>
    </w:p>
    <w:p w14:paraId="2ACAEA3E">
      <w:pPr>
        <w:spacing w:line="440" w:lineRule="atLeast"/>
        <w:rPr>
          <w:color w:val="auto"/>
          <w:sz w:val="20"/>
          <w:szCs w:val="20"/>
          <w:highlight w:val="none"/>
        </w:rPr>
      </w:pPr>
    </w:p>
    <w:p w14:paraId="39E2FE61">
      <w:pPr>
        <w:spacing w:line="440" w:lineRule="atLeast"/>
        <w:rPr>
          <w:color w:val="auto"/>
          <w:sz w:val="20"/>
          <w:szCs w:val="20"/>
          <w:highlight w:val="none"/>
        </w:rPr>
      </w:pPr>
    </w:p>
    <w:p w14:paraId="3BB1EB37">
      <w:pPr>
        <w:spacing w:line="440" w:lineRule="atLeast"/>
        <w:rPr>
          <w:color w:val="auto"/>
          <w:sz w:val="20"/>
          <w:szCs w:val="20"/>
          <w:highlight w:val="none"/>
        </w:rPr>
      </w:pPr>
    </w:p>
    <w:p w14:paraId="62F3B140">
      <w:pPr>
        <w:spacing w:line="440" w:lineRule="atLeast"/>
        <w:rPr>
          <w:color w:val="auto"/>
          <w:sz w:val="20"/>
          <w:szCs w:val="20"/>
          <w:highlight w:val="none"/>
        </w:rPr>
      </w:pPr>
    </w:p>
    <w:p w14:paraId="7278B351">
      <w:pPr>
        <w:spacing w:line="440" w:lineRule="atLeast"/>
        <w:rPr>
          <w:color w:val="auto"/>
          <w:sz w:val="20"/>
          <w:szCs w:val="20"/>
          <w:highlight w:val="none"/>
        </w:rPr>
      </w:pPr>
    </w:p>
    <w:p w14:paraId="432BBFD6">
      <w:pPr>
        <w:spacing w:line="440" w:lineRule="atLeast"/>
        <w:rPr>
          <w:color w:val="auto"/>
          <w:sz w:val="20"/>
          <w:szCs w:val="20"/>
          <w:highlight w:val="none"/>
        </w:rPr>
      </w:pPr>
    </w:p>
    <w:p w14:paraId="0BC679F8">
      <w:pPr>
        <w:spacing w:line="700" w:lineRule="exact"/>
        <w:jc w:val="center"/>
        <w:rPr>
          <w:rFonts w:hint="eastAsia" w:ascii="Times New Roman" w:hAnsi="Times New Roman" w:eastAsia="黑体" w:cs="Times New Roman"/>
          <w:color w:val="auto"/>
          <w:sz w:val="28"/>
          <w:szCs w:val="28"/>
          <w:highlight w:val="none"/>
          <w:lang w:eastAsia="zh-CN"/>
        </w:rPr>
      </w:pPr>
      <w:r>
        <w:rPr>
          <w:rFonts w:hint="eastAsia" w:eastAsia="黑体"/>
          <w:color w:val="auto"/>
          <w:sz w:val="28"/>
          <w:szCs w:val="28"/>
          <w:highlight w:val="none"/>
          <w:lang w:val="en-US" w:eastAsia="zh-CN"/>
        </w:rPr>
        <w:t xml:space="preserve">   </w:t>
      </w:r>
      <w:r>
        <w:rPr>
          <w:rFonts w:eastAsia="黑体"/>
          <w:color w:val="auto"/>
          <w:sz w:val="28"/>
          <w:szCs w:val="28"/>
          <w:highlight w:val="none"/>
        </w:rPr>
        <w:t>招标人：</w:t>
      </w:r>
      <w:r>
        <w:rPr>
          <w:rFonts w:ascii="Times New Roman" w:hAnsi="Times New Roman" w:eastAsia="黑体" w:cs="Times New Roman"/>
          <w:color w:val="auto"/>
          <w:sz w:val="28"/>
          <w:szCs w:val="28"/>
          <w:highlight w:val="none"/>
        </w:rPr>
        <w:t>湖南省新新张官高速公路建设开发有限公司</w:t>
      </w:r>
      <w:r>
        <w:rPr>
          <w:rFonts w:hint="eastAsia" w:eastAsia="黑体" w:cs="Times New Roman"/>
          <w:color w:val="auto"/>
          <w:sz w:val="28"/>
          <w:szCs w:val="28"/>
          <w:highlight w:val="none"/>
          <w:lang w:val="en-US" w:eastAsia="zh-CN"/>
        </w:rPr>
        <w:t>张家界分公司</w:t>
      </w:r>
    </w:p>
    <w:p w14:paraId="13607F07">
      <w:pPr>
        <w:spacing w:line="700" w:lineRule="exact"/>
        <w:jc w:val="center"/>
        <w:rPr>
          <w:color w:val="auto"/>
          <w:sz w:val="28"/>
          <w:szCs w:val="28"/>
          <w:highlight w:val="none"/>
        </w:rPr>
      </w:pPr>
      <w:r>
        <w:rPr>
          <w:rFonts w:eastAsia="黑体"/>
          <w:color w:val="auto"/>
          <w:sz w:val="28"/>
          <w:szCs w:val="28"/>
          <w:highlight w:val="none"/>
        </w:rPr>
        <w:t>招标代理机构：</w:t>
      </w:r>
      <w:bookmarkStart w:id="0" w:name="EBa0d34e1d839f4041ab20ef36ff06a157"/>
      <w:r>
        <w:rPr>
          <w:rFonts w:hint="eastAsia" w:ascii="Times New Roman" w:hAnsi="Times New Roman" w:eastAsia="黑体" w:cs="Times New Roman"/>
          <w:color w:val="auto"/>
          <w:sz w:val="28"/>
          <w:szCs w:val="28"/>
          <w:highlight w:val="none"/>
        </w:rPr>
        <w:t>中科高盛咨询集团有限公司</w:t>
      </w:r>
      <w:bookmarkEnd w:id="0"/>
    </w:p>
    <w:p w14:paraId="2B33D056">
      <w:pPr>
        <w:spacing w:line="440" w:lineRule="atLeast"/>
        <w:ind w:firstLine="3096" w:firstLineChars="1106"/>
        <w:rPr>
          <w:rFonts w:hint="eastAsia" w:eastAsia="黑体"/>
          <w:color w:val="auto"/>
          <w:sz w:val="28"/>
          <w:szCs w:val="28"/>
          <w:highlight w:val="none"/>
          <w:u w:val="none"/>
          <w:lang w:val="en-US" w:eastAsia="zh-CN"/>
        </w:rPr>
      </w:pPr>
    </w:p>
    <w:p w14:paraId="485CAC82">
      <w:pPr>
        <w:spacing w:line="440" w:lineRule="atLeast"/>
        <w:ind w:firstLine="3656" w:firstLineChars="1306"/>
        <w:rPr>
          <w:rFonts w:eastAsia="黑体"/>
          <w:color w:val="auto"/>
          <w:sz w:val="36"/>
          <w:szCs w:val="36"/>
          <w:highlight w:val="none"/>
        </w:rPr>
      </w:pPr>
      <w:r>
        <w:rPr>
          <w:rFonts w:hint="eastAsia" w:eastAsia="黑体"/>
          <w:color w:val="auto"/>
          <w:sz w:val="28"/>
          <w:szCs w:val="28"/>
          <w:highlight w:val="none"/>
          <w:u w:val="none"/>
          <w:lang w:val="en-US" w:eastAsia="zh-CN"/>
        </w:rPr>
        <w:t>2025年10月</w:t>
      </w:r>
      <w:r>
        <w:rPr>
          <w:rFonts w:eastAsia="仿宋_GB2312"/>
          <w:color w:val="auto"/>
          <w:sz w:val="26"/>
          <w:szCs w:val="26"/>
          <w:highlight w:val="none"/>
        </w:rPr>
        <w:br w:type="page"/>
      </w:r>
    </w:p>
    <w:p w14:paraId="6FCB6E54">
      <w:pPr>
        <w:spacing w:line="440" w:lineRule="atLeast"/>
        <w:jc w:val="center"/>
        <w:rPr>
          <w:rFonts w:eastAsia="黑体"/>
          <w:color w:val="auto"/>
          <w:sz w:val="36"/>
          <w:szCs w:val="36"/>
          <w:highlight w:val="none"/>
        </w:rPr>
      </w:pPr>
    </w:p>
    <w:p w14:paraId="2888B42C">
      <w:pPr>
        <w:spacing w:line="440" w:lineRule="atLeast"/>
        <w:jc w:val="center"/>
        <w:rPr>
          <w:rFonts w:eastAsia="黑体"/>
          <w:color w:val="auto"/>
          <w:sz w:val="36"/>
          <w:szCs w:val="36"/>
          <w:highlight w:val="none"/>
        </w:rPr>
      </w:pPr>
      <w:r>
        <w:rPr>
          <w:rFonts w:eastAsia="黑体"/>
          <w:color w:val="auto"/>
          <w:sz w:val="36"/>
          <w:szCs w:val="36"/>
          <w:highlight w:val="none"/>
        </w:rPr>
        <w:t>目     录</w:t>
      </w:r>
    </w:p>
    <w:p w14:paraId="622267A7">
      <w:pPr>
        <w:pStyle w:val="37"/>
        <w:spacing w:line="440" w:lineRule="atLeast"/>
        <w:rPr>
          <w:rStyle w:val="66"/>
          <w:rFonts w:eastAsia="黑体"/>
          <w:color w:val="auto"/>
          <w:spacing w:val="-4"/>
          <w:highlight w:val="none"/>
        </w:rPr>
      </w:pPr>
    </w:p>
    <w:tbl>
      <w:tblPr>
        <w:tblStyle w:val="55"/>
        <w:tblW w:w="8609" w:type="dxa"/>
        <w:tblInd w:w="288" w:type="dxa"/>
        <w:tblLayout w:type="fixed"/>
        <w:tblCellMar>
          <w:top w:w="0" w:type="dxa"/>
          <w:left w:w="108" w:type="dxa"/>
          <w:bottom w:w="0" w:type="dxa"/>
          <w:right w:w="108" w:type="dxa"/>
        </w:tblCellMar>
      </w:tblPr>
      <w:tblGrid>
        <w:gridCol w:w="1080"/>
        <w:gridCol w:w="110"/>
        <w:gridCol w:w="15"/>
        <w:gridCol w:w="7404"/>
      </w:tblGrid>
      <w:tr w14:paraId="7C7A6F23">
        <w:tblPrEx>
          <w:tblCellMar>
            <w:top w:w="0" w:type="dxa"/>
            <w:left w:w="108" w:type="dxa"/>
            <w:bottom w:w="0" w:type="dxa"/>
            <w:right w:w="108" w:type="dxa"/>
          </w:tblCellMar>
        </w:tblPrEx>
        <w:trPr>
          <w:trHeight w:val="680" w:hRule="atLeast"/>
        </w:trPr>
        <w:tc>
          <w:tcPr>
            <w:tcW w:w="8609" w:type="dxa"/>
            <w:gridSpan w:val="4"/>
            <w:vAlign w:val="center"/>
          </w:tcPr>
          <w:p w14:paraId="6BFD9E13">
            <w:pPr>
              <w:tabs>
                <w:tab w:val="left" w:pos="3312"/>
              </w:tabs>
              <w:spacing w:line="440" w:lineRule="atLeast"/>
              <w:jc w:val="center"/>
              <w:rPr>
                <w:b/>
                <w:color w:val="auto"/>
                <w:sz w:val="30"/>
                <w:szCs w:val="30"/>
                <w:highlight w:val="none"/>
              </w:rPr>
            </w:pPr>
            <w:r>
              <w:rPr>
                <w:b/>
                <w:color w:val="auto"/>
                <w:sz w:val="30"/>
                <w:szCs w:val="30"/>
                <w:highlight w:val="none"/>
              </w:rPr>
              <w:t>第 一 卷</w:t>
            </w:r>
          </w:p>
        </w:tc>
      </w:tr>
      <w:tr w14:paraId="4BE5A55E">
        <w:tblPrEx>
          <w:tblCellMar>
            <w:top w:w="0" w:type="dxa"/>
            <w:left w:w="108" w:type="dxa"/>
            <w:bottom w:w="0" w:type="dxa"/>
            <w:right w:w="108" w:type="dxa"/>
          </w:tblCellMar>
        </w:tblPrEx>
        <w:tc>
          <w:tcPr>
            <w:tcW w:w="1080" w:type="dxa"/>
            <w:vAlign w:val="center"/>
          </w:tcPr>
          <w:p w14:paraId="04DFDE77">
            <w:pPr>
              <w:spacing w:before="84" w:beforeLines="35" w:after="84" w:afterLines="35" w:line="440" w:lineRule="atLeast"/>
              <w:jc w:val="center"/>
              <w:rPr>
                <w:color w:val="auto"/>
                <w:sz w:val="24"/>
                <w:highlight w:val="none"/>
              </w:rPr>
            </w:pPr>
            <w:r>
              <w:rPr>
                <w:color w:val="auto"/>
                <w:sz w:val="24"/>
                <w:highlight w:val="none"/>
              </w:rPr>
              <w:t>第一章</w:t>
            </w:r>
          </w:p>
        </w:tc>
        <w:tc>
          <w:tcPr>
            <w:tcW w:w="7529" w:type="dxa"/>
            <w:gridSpan w:val="3"/>
            <w:vAlign w:val="center"/>
          </w:tcPr>
          <w:p w14:paraId="286E97CD">
            <w:pPr>
              <w:spacing w:before="84" w:beforeLines="35" w:after="84" w:afterLines="35" w:line="440" w:lineRule="atLeast"/>
              <w:jc w:val="distribute"/>
              <w:rPr>
                <w:rFonts w:hint="eastAsia" w:eastAsia="宋体"/>
                <w:color w:val="auto"/>
                <w:sz w:val="24"/>
                <w:highlight w:val="none"/>
                <w:lang w:eastAsia="zh-CN"/>
              </w:rPr>
            </w:pPr>
            <w:r>
              <w:rPr>
                <w:color w:val="auto"/>
                <w:sz w:val="24"/>
                <w:highlight w:val="none"/>
              </w:rPr>
              <w:t>招标公告/投标邀请书………………………………………………</w:t>
            </w:r>
            <w:r>
              <w:rPr>
                <w:rFonts w:hint="eastAsia"/>
                <w:color w:val="auto"/>
                <w:sz w:val="24"/>
                <w:highlight w:val="none"/>
                <w:lang w:val="en-US" w:eastAsia="zh-CN"/>
              </w:rPr>
              <w:t>4</w:t>
            </w:r>
          </w:p>
        </w:tc>
      </w:tr>
      <w:tr w14:paraId="3388364B">
        <w:tblPrEx>
          <w:tblCellMar>
            <w:top w:w="0" w:type="dxa"/>
            <w:left w:w="108" w:type="dxa"/>
            <w:bottom w:w="0" w:type="dxa"/>
            <w:right w:w="108" w:type="dxa"/>
          </w:tblCellMar>
        </w:tblPrEx>
        <w:tc>
          <w:tcPr>
            <w:tcW w:w="1080" w:type="dxa"/>
            <w:vAlign w:val="center"/>
          </w:tcPr>
          <w:p w14:paraId="54460227">
            <w:pPr>
              <w:spacing w:before="84" w:beforeLines="35" w:after="84" w:afterLines="35" w:line="440" w:lineRule="atLeast"/>
              <w:jc w:val="center"/>
              <w:rPr>
                <w:color w:val="auto"/>
                <w:sz w:val="24"/>
                <w:highlight w:val="none"/>
              </w:rPr>
            </w:pPr>
            <w:r>
              <w:rPr>
                <w:color w:val="auto"/>
                <w:sz w:val="24"/>
                <w:highlight w:val="none"/>
              </w:rPr>
              <w:t>第二章</w:t>
            </w:r>
          </w:p>
        </w:tc>
        <w:tc>
          <w:tcPr>
            <w:tcW w:w="7529" w:type="dxa"/>
            <w:gridSpan w:val="3"/>
            <w:vAlign w:val="center"/>
          </w:tcPr>
          <w:p w14:paraId="79936F06">
            <w:pPr>
              <w:spacing w:before="84" w:beforeLines="35" w:after="84" w:afterLines="35" w:line="440" w:lineRule="atLeast"/>
              <w:jc w:val="distribute"/>
              <w:rPr>
                <w:rFonts w:hint="default" w:eastAsia="宋体"/>
                <w:color w:val="auto"/>
                <w:sz w:val="24"/>
                <w:highlight w:val="none"/>
                <w:lang w:val="en-US" w:eastAsia="zh-CN"/>
              </w:rPr>
            </w:pPr>
            <w:r>
              <w:rPr>
                <w:color w:val="auto"/>
                <w:sz w:val="24"/>
                <w:highlight w:val="none"/>
              </w:rPr>
              <w:t>投标人须知…………………………………………………………</w:t>
            </w:r>
            <w:r>
              <w:rPr>
                <w:rFonts w:hint="eastAsia"/>
                <w:color w:val="auto"/>
                <w:sz w:val="24"/>
                <w:highlight w:val="none"/>
                <w:lang w:val="en-US" w:eastAsia="zh-CN"/>
              </w:rPr>
              <w:t>10</w:t>
            </w:r>
          </w:p>
        </w:tc>
      </w:tr>
      <w:tr w14:paraId="3ADA309F">
        <w:tblPrEx>
          <w:tblCellMar>
            <w:top w:w="0" w:type="dxa"/>
            <w:left w:w="108" w:type="dxa"/>
            <w:bottom w:w="0" w:type="dxa"/>
            <w:right w:w="108" w:type="dxa"/>
          </w:tblCellMar>
        </w:tblPrEx>
        <w:tc>
          <w:tcPr>
            <w:tcW w:w="1080" w:type="dxa"/>
            <w:vAlign w:val="center"/>
          </w:tcPr>
          <w:p w14:paraId="1F23A37D">
            <w:pPr>
              <w:spacing w:before="84" w:beforeLines="35" w:after="84" w:afterLines="35" w:line="440" w:lineRule="atLeast"/>
              <w:jc w:val="center"/>
              <w:rPr>
                <w:color w:val="auto"/>
                <w:sz w:val="24"/>
                <w:highlight w:val="none"/>
              </w:rPr>
            </w:pPr>
            <w:r>
              <w:rPr>
                <w:color w:val="auto"/>
                <w:sz w:val="24"/>
                <w:highlight w:val="none"/>
              </w:rPr>
              <w:t>第三章</w:t>
            </w:r>
          </w:p>
        </w:tc>
        <w:tc>
          <w:tcPr>
            <w:tcW w:w="7529" w:type="dxa"/>
            <w:gridSpan w:val="3"/>
            <w:vAlign w:val="center"/>
          </w:tcPr>
          <w:p w14:paraId="5D6BF95C">
            <w:pPr>
              <w:spacing w:before="84" w:beforeLines="35" w:after="84" w:afterLines="35" w:line="440" w:lineRule="atLeast"/>
              <w:jc w:val="distribute"/>
              <w:rPr>
                <w:rFonts w:hint="default" w:eastAsia="宋体"/>
                <w:color w:val="auto"/>
                <w:sz w:val="24"/>
                <w:highlight w:val="none"/>
                <w:lang w:val="en-US" w:eastAsia="zh-CN"/>
              </w:rPr>
            </w:pPr>
            <w:r>
              <w:rPr>
                <w:color w:val="auto"/>
                <w:sz w:val="24"/>
                <w:highlight w:val="none"/>
              </w:rPr>
              <w:t>评标办法……………………………………………………………</w:t>
            </w:r>
            <w:r>
              <w:rPr>
                <w:rFonts w:hint="eastAsia"/>
                <w:color w:val="auto"/>
                <w:sz w:val="24"/>
                <w:highlight w:val="none"/>
                <w:lang w:val="en-US" w:eastAsia="zh-CN"/>
              </w:rPr>
              <w:t>48</w:t>
            </w:r>
          </w:p>
        </w:tc>
      </w:tr>
      <w:tr w14:paraId="460C7FFE">
        <w:tblPrEx>
          <w:tblCellMar>
            <w:top w:w="0" w:type="dxa"/>
            <w:left w:w="108" w:type="dxa"/>
            <w:bottom w:w="0" w:type="dxa"/>
            <w:right w:w="108" w:type="dxa"/>
          </w:tblCellMar>
        </w:tblPrEx>
        <w:tc>
          <w:tcPr>
            <w:tcW w:w="1080" w:type="dxa"/>
            <w:vAlign w:val="center"/>
          </w:tcPr>
          <w:p w14:paraId="042F36DF">
            <w:pPr>
              <w:spacing w:before="84" w:beforeLines="35" w:after="84" w:afterLines="35" w:line="440" w:lineRule="atLeast"/>
              <w:jc w:val="center"/>
              <w:rPr>
                <w:color w:val="auto"/>
                <w:sz w:val="24"/>
                <w:highlight w:val="none"/>
              </w:rPr>
            </w:pPr>
            <w:r>
              <w:rPr>
                <w:color w:val="auto"/>
                <w:sz w:val="24"/>
                <w:highlight w:val="none"/>
              </w:rPr>
              <w:t>第四章</w:t>
            </w:r>
          </w:p>
        </w:tc>
        <w:tc>
          <w:tcPr>
            <w:tcW w:w="7529" w:type="dxa"/>
            <w:gridSpan w:val="3"/>
            <w:vAlign w:val="center"/>
          </w:tcPr>
          <w:p w14:paraId="661F8040">
            <w:pPr>
              <w:spacing w:before="84" w:beforeLines="35" w:after="84" w:afterLines="35" w:line="440" w:lineRule="atLeast"/>
              <w:jc w:val="distribute"/>
              <w:rPr>
                <w:rFonts w:hint="default" w:eastAsia="宋体"/>
                <w:color w:val="auto"/>
                <w:sz w:val="24"/>
                <w:highlight w:val="none"/>
                <w:lang w:val="en-US" w:eastAsia="zh-CN"/>
              </w:rPr>
            </w:pPr>
            <w:r>
              <w:rPr>
                <w:color w:val="auto"/>
                <w:sz w:val="24"/>
                <w:highlight w:val="none"/>
              </w:rPr>
              <w:t>合同条款及格式……………………………………………………</w:t>
            </w:r>
            <w:r>
              <w:rPr>
                <w:rFonts w:hint="eastAsia"/>
                <w:color w:val="auto"/>
                <w:sz w:val="24"/>
                <w:highlight w:val="none"/>
                <w:lang w:val="en-US" w:eastAsia="zh-CN"/>
              </w:rPr>
              <w:t>61</w:t>
            </w:r>
          </w:p>
        </w:tc>
      </w:tr>
      <w:tr w14:paraId="03E85A92">
        <w:tblPrEx>
          <w:tblCellMar>
            <w:top w:w="0" w:type="dxa"/>
            <w:left w:w="108" w:type="dxa"/>
            <w:bottom w:w="0" w:type="dxa"/>
            <w:right w:w="108" w:type="dxa"/>
          </w:tblCellMar>
        </w:tblPrEx>
        <w:trPr>
          <w:trHeight w:val="680" w:hRule="atLeast"/>
        </w:trPr>
        <w:tc>
          <w:tcPr>
            <w:tcW w:w="8609" w:type="dxa"/>
            <w:gridSpan w:val="4"/>
            <w:vAlign w:val="center"/>
          </w:tcPr>
          <w:p w14:paraId="49BE85FE">
            <w:pPr>
              <w:tabs>
                <w:tab w:val="left" w:pos="3312"/>
              </w:tabs>
              <w:spacing w:line="440" w:lineRule="atLeast"/>
              <w:jc w:val="center"/>
              <w:rPr>
                <w:b/>
                <w:color w:val="auto"/>
                <w:sz w:val="24"/>
                <w:highlight w:val="none"/>
              </w:rPr>
            </w:pPr>
            <w:r>
              <w:rPr>
                <w:b/>
                <w:color w:val="auto"/>
                <w:sz w:val="30"/>
                <w:szCs w:val="30"/>
                <w:highlight w:val="none"/>
              </w:rPr>
              <w:t>第 二 卷</w:t>
            </w:r>
          </w:p>
        </w:tc>
      </w:tr>
      <w:tr w14:paraId="0772D637">
        <w:tblPrEx>
          <w:tblCellMar>
            <w:top w:w="0" w:type="dxa"/>
            <w:left w:w="108" w:type="dxa"/>
            <w:bottom w:w="0" w:type="dxa"/>
            <w:right w:w="108" w:type="dxa"/>
          </w:tblCellMar>
        </w:tblPrEx>
        <w:trPr>
          <w:trHeight w:val="680" w:hRule="atLeast"/>
        </w:trPr>
        <w:tc>
          <w:tcPr>
            <w:tcW w:w="1190" w:type="dxa"/>
            <w:gridSpan w:val="2"/>
            <w:vAlign w:val="center"/>
          </w:tcPr>
          <w:p w14:paraId="1DA96E63">
            <w:pPr>
              <w:spacing w:line="440" w:lineRule="atLeast"/>
              <w:jc w:val="center"/>
              <w:rPr>
                <w:color w:val="auto"/>
                <w:sz w:val="24"/>
                <w:highlight w:val="none"/>
              </w:rPr>
            </w:pPr>
            <w:r>
              <w:rPr>
                <w:color w:val="auto"/>
                <w:sz w:val="24"/>
                <w:highlight w:val="none"/>
              </w:rPr>
              <w:t>第五章</w:t>
            </w:r>
          </w:p>
        </w:tc>
        <w:tc>
          <w:tcPr>
            <w:tcW w:w="7419" w:type="dxa"/>
            <w:gridSpan w:val="2"/>
            <w:vAlign w:val="center"/>
          </w:tcPr>
          <w:p w14:paraId="55944A4D">
            <w:pPr>
              <w:spacing w:line="440" w:lineRule="atLeast"/>
              <w:jc w:val="distribute"/>
              <w:rPr>
                <w:rFonts w:hint="default" w:eastAsia="宋体"/>
                <w:color w:val="auto"/>
                <w:sz w:val="24"/>
                <w:highlight w:val="none"/>
                <w:lang w:val="en-US" w:eastAsia="zh-CN"/>
              </w:rPr>
            </w:pPr>
            <w:r>
              <w:rPr>
                <w:color w:val="auto"/>
                <w:sz w:val="24"/>
                <w:highlight w:val="none"/>
              </w:rPr>
              <w:t>委托人要求…………………………………………………………1</w:t>
            </w:r>
            <w:r>
              <w:rPr>
                <w:rFonts w:hint="eastAsia"/>
                <w:color w:val="auto"/>
                <w:sz w:val="24"/>
                <w:highlight w:val="none"/>
                <w:lang w:val="en-US" w:eastAsia="zh-CN"/>
              </w:rPr>
              <w:t>07</w:t>
            </w:r>
          </w:p>
        </w:tc>
      </w:tr>
      <w:tr w14:paraId="129A8144">
        <w:tblPrEx>
          <w:tblCellMar>
            <w:top w:w="0" w:type="dxa"/>
            <w:left w:w="108" w:type="dxa"/>
            <w:bottom w:w="0" w:type="dxa"/>
            <w:right w:w="108" w:type="dxa"/>
          </w:tblCellMar>
        </w:tblPrEx>
        <w:trPr>
          <w:trHeight w:val="680" w:hRule="atLeast"/>
        </w:trPr>
        <w:tc>
          <w:tcPr>
            <w:tcW w:w="1190" w:type="dxa"/>
            <w:gridSpan w:val="2"/>
            <w:vAlign w:val="center"/>
          </w:tcPr>
          <w:p w14:paraId="1973A5E0">
            <w:pPr>
              <w:spacing w:line="440" w:lineRule="atLeast"/>
              <w:jc w:val="center"/>
              <w:rPr>
                <w:color w:val="auto"/>
                <w:sz w:val="24"/>
                <w:highlight w:val="none"/>
              </w:rPr>
            </w:pPr>
            <w:r>
              <w:rPr>
                <w:color w:val="auto"/>
                <w:sz w:val="24"/>
                <w:highlight w:val="none"/>
              </w:rPr>
              <w:t>第六章</w:t>
            </w:r>
          </w:p>
        </w:tc>
        <w:tc>
          <w:tcPr>
            <w:tcW w:w="7419" w:type="dxa"/>
            <w:gridSpan w:val="2"/>
            <w:vAlign w:val="center"/>
          </w:tcPr>
          <w:p w14:paraId="70D18148">
            <w:pPr>
              <w:spacing w:line="440" w:lineRule="atLeast"/>
              <w:jc w:val="distribute"/>
              <w:rPr>
                <w:rFonts w:hint="default" w:eastAsia="宋体"/>
                <w:color w:val="auto"/>
                <w:sz w:val="24"/>
                <w:highlight w:val="none"/>
                <w:lang w:val="en-US" w:eastAsia="zh-CN"/>
              </w:rPr>
            </w:pPr>
            <w:r>
              <w:rPr>
                <w:color w:val="auto"/>
                <w:sz w:val="24"/>
                <w:highlight w:val="none"/>
              </w:rPr>
              <w:t>图纸和资料…………………………………………………………1</w:t>
            </w:r>
            <w:r>
              <w:rPr>
                <w:rFonts w:hint="eastAsia"/>
                <w:color w:val="auto"/>
                <w:sz w:val="24"/>
                <w:highlight w:val="none"/>
                <w:lang w:val="en-US" w:eastAsia="zh-CN"/>
              </w:rPr>
              <w:t>11</w:t>
            </w:r>
          </w:p>
        </w:tc>
      </w:tr>
      <w:tr w14:paraId="70C154D6">
        <w:tblPrEx>
          <w:tblCellMar>
            <w:top w:w="0" w:type="dxa"/>
            <w:left w:w="108" w:type="dxa"/>
            <w:bottom w:w="0" w:type="dxa"/>
            <w:right w:w="108" w:type="dxa"/>
          </w:tblCellMar>
        </w:tblPrEx>
        <w:trPr>
          <w:trHeight w:val="680" w:hRule="atLeast"/>
        </w:trPr>
        <w:tc>
          <w:tcPr>
            <w:tcW w:w="8609" w:type="dxa"/>
            <w:gridSpan w:val="4"/>
            <w:vAlign w:val="center"/>
          </w:tcPr>
          <w:p w14:paraId="2BAF952C">
            <w:pPr>
              <w:tabs>
                <w:tab w:val="left" w:pos="3312"/>
              </w:tabs>
              <w:spacing w:line="440" w:lineRule="atLeast"/>
              <w:jc w:val="center"/>
              <w:rPr>
                <w:b/>
                <w:color w:val="auto"/>
                <w:sz w:val="24"/>
                <w:highlight w:val="none"/>
              </w:rPr>
            </w:pPr>
            <w:r>
              <w:rPr>
                <w:b/>
                <w:color w:val="auto"/>
                <w:sz w:val="30"/>
                <w:szCs w:val="30"/>
                <w:highlight w:val="none"/>
              </w:rPr>
              <w:t>第 三 卷</w:t>
            </w:r>
          </w:p>
        </w:tc>
      </w:tr>
      <w:tr w14:paraId="4F1E5067">
        <w:tblPrEx>
          <w:tblCellMar>
            <w:top w:w="0" w:type="dxa"/>
            <w:left w:w="108" w:type="dxa"/>
            <w:bottom w:w="0" w:type="dxa"/>
            <w:right w:w="108" w:type="dxa"/>
          </w:tblCellMar>
        </w:tblPrEx>
        <w:trPr>
          <w:trHeight w:val="680" w:hRule="atLeast"/>
        </w:trPr>
        <w:tc>
          <w:tcPr>
            <w:tcW w:w="1205" w:type="dxa"/>
            <w:gridSpan w:val="3"/>
            <w:vAlign w:val="center"/>
          </w:tcPr>
          <w:p w14:paraId="54CF8DB1">
            <w:pPr>
              <w:spacing w:line="440" w:lineRule="atLeast"/>
              <w:jc w:val="center"/>
              <w:rPr>
                <w:color w:val="auto"/>
                <w:sz w:val="24"/>
                <w:highlight w:val="none"/>
              </w:rPr>
            </w:pPr>
            <w:r>
              <w:rPr>
                <w:color w:val="auto"/>
                <w:sz w:val="24"/>
                <w:highlight w:val="none"/>
              </w:rPr>
              <w:t>第七章</w:t>
            </w:r>
          </w:p>
        </w:tc>
        <w:tc>
          <w:tcPr>
            <w:tcW w:w="7404" w:type="dxa"/>
            <w:vAlign w:val="center"/>
          </w:tcPr>
          <w:p w14:paraId="6035445E">
            <w:pPr>
              <w:spacing w:line="440" w:lineRule="atLeast"/>
              <w:jc w:val="distribute"/>
              <w:rPr>
                <w:rFonts w:hint="default" w:eastAsia="宋体"/>
                <w:color w:val="auto"/>
                <w:sz w:val="24"/>
                <w:highlight w:val="none"/>
                <w:lang w:val="en-US" w:eastAsia="zh-CN"/>
              </w:rPr>
            </w:pPr>
            <w:r>
              <w:rPr>
                <w:color w:val="auto"/>
                <w:sz w:val="24"/>
                <w:highlight w:val="none"/>
              </w:rPr>
              <w:t>投标文件格式………………………………………………………1</w:t>
            </w:r>
            <w:r>
              <w:rPr>
                <w:rFonts w:hint="eastAsia"/>
                <w:color w:val="auto"/>
                <w:sz w:val="24"/>
                <w:highlight w:val="none"/>
                <w:lang w:val="en-US" w:eastAsia="zh-CN"/>
              </w:rPr>
              <w:t>13</w:t>
            </w:r>
          </w:p>
        </w:tc>
      </w:tr>
    </w:tbl>
    <w:p w14:paraId="1132C3DD">
      <w:pPr>
        <w:pStyle w:val="37"/>
        <w:spacing w:line="440" w:lineRule="atLeast"/>
        <w:rPr>
          <w:color w:val="auto"/>
          <w:highlight w:val="none"/>
        </w:rPr>
      </w:pPr>
    </w:p>
    <w:p w14:paraId="662A9E37">
      <w:pPr>
        <w:pStyle w:val="37"/>
        <w:spacing w:line="440" w:lineRule="atLeast"/>
        <w:rPr>
          <w:color w:val="auto"/>
          <w:highlight w:val="none"/>
        </w:rPr>
      </w:pPr>
    </w:p>
    <w:p w14:paraId="735DA737">
      <w:pPr>
        <w:pStyle w:val="37"/>
        <w:spacing w:line="440" w:lineRule="atLeast"/>
        <w:rPr>
          <w:color w:val="auto"/>
          <w:highlight w:val="none"/>
        </w:rPr>
      </w:pPr>
    </w:p>
    <w:p w14:paraId="24DA6832">
      <w:pPr>
        <w:pStyle w:val="37"/>
        <w:spacing w:line="440" w:lineRule="atLeast"/>
        <w:rPr>
          <w:color w:val="auto"/>
          <w:highlight w:val="none"/>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31" w:bottom="1644" w:left="1588" w:header="851" w:footer="851" w:gutter="0"/>
          <w:pgNumType w:fmt="numberInDash"/>
          <w:cols w:space="425" w:num="1"/>
          <w:docGrid w:linePitch="312" w:charSpace="0"/>
        </w:sectPr>
      </w:pPr>
    </w:p>
    <w:p w14:paraId="290CA4AB">
      <w:pPr>
        <w:spacing w:line="440" w:lineRule="atLeast"/>
        <w:jc w:val="center"/>
        <w:rPr>
          <w:rFonts w:eastAsiaTheme="minorEastAsia"/>
          <w:color w:val="auto"/>
          <w:sz w:val="24"/>
          <w:highlight w:val="none"/>
        </w:rPr>
      </w:pPr>
      <w:bookmarkStart w:id="1" w:name="_Toc234832844"/>
    </w:p>
    <w:p w14:paraId="71160A98">
      <w:pPr>
        <w:spacing w:line="440" w:lineRule="atLeast"/>
        <w:jc w:val="center"/>
        <w:rPr>
          <w:rFonts w:eastAsiaTheme="minorEastAsia"/>
          <w:color w:val="auto"/>
          <w:sz w:val="24"/>
          <w:highlight w:val="none"/>
        </w:rPr>
      </w:pPr>
    </w:p>
    <w:p w14:paraId="69F844E7">
      <w:pPr>
        <w:spacing w:line="440" w:lineRule="atLeast"/>
        <w:jc w:val="center"/>
        <w:rPr>
          <w:rFonts w:eastAsiaTheme="minorEastAsia"/>
          <w:color w:val="auto"/>
          <w:sz w:val="24"/>
          <w:highlight w:val="none"/>
        </w:rPr>
      </w:pPr>
    </w:p>
    <w:p w14:paraId="1F75F2B9">
      <w:pPr>
        <w:spacing w:line="440" w:lineRule="atLeast"/>
        <w:jc w:val="center"/>
        <w:rPr>
          <w:rFonts w:eastAsiaTheme="minorEastAsia"/>
          <w:color w:val="auto"/>
          <w:sz w:val="24"/>
          <w:highlight w:val="none"/>
        </w:rPr>
      </w:pPr>
    </w:p>
    <w:p w14:paraId="46379CAA">
      <w:pPr>
        <w:spacing w:line="440" w:lineRule="atLeast"/>
        <w:jc w:val="center"/>
        <w:rPr>
          <w:rFonts w:eastAsiaTheme="minorEastAsia"/>
          <w:color w:val="auto"/>
          <w:sz w:val="24"/>
          <w:highlight w:val="none"/>
        </w:rPr>
      </w:pPr>
    </w:p>
    <w:p w14:paraId="687713F8">
      <w:pPr>
        <w:spacing w:line="440" w:lineRule="atLeast"/>
        <w:jc w:val="center"/>
        <w:rPr>
          <w:rFonts w:eastAsiaTheme="minorEastAsia"/>
          <w:color w:val="auto"/>
          <w:sz w:val="24"/>
          <w:highlight w:val="none"/>
        </w:rPr>
      </w:pPr>
    </w:p>
    <w:p w14:paraId="0782F4A0">
      <w:pPr>
        <w:spacing w:line="440" w:lineRule="atLeast"/>
        <w:jc w:val="center"/>
        <w:rPr>
          <w:rFonts w:eastAsiaTheme="minorEastAsia"/>
          <w:color w:val="auto"/>
          <w:sz w:val="24"/>
          <w:highlight w:val="none"/>
        </w:rPr>
      </w:pPr>
    </w:p>
    <w:p w14:paraId="02D91494">
      <w:pPr>
        <w:spacing w:line="440" w:lineRule="atLeast"/>
        <w:jc w:val="center"/>
        <w:rPr>
          <w:rFonts w:eastAsiaTheme="minorEastAsia"/>
          <w:color w:val="auto"/>
          <w:sz w:val="24"/>
          <w:highlight w:val="none"/>
        </w:rPr>
      </w:pPr>
    </w:p>
    <w:p w14:paraId="508BEEAE">
      <w:pPr>
        <w:spacing w:line="440" w:lineRule="atLeast"/>
        <w:jc w:val="center"/>
        <w:rPr>
          <w:rFonts w:eastAsiaTheme="minorEastAsia"/>
          <w:color w:val="auto"/>
          <w:sz w:val="24"/>
          <w:highlight w:val="none"/>
        </w:rPr>
      </w:pPr>
    </w:p>
    <w:p w14:paraId="6F3091FD">
      <w:pPr>
        <w:spacing w:line="440" w:lineRule="atLeast"/>
        <w:jc w:val="center"/>
        <w:rPr>
          <w:rFonts w:eastAsiaTheme="minorEastAsia"/>
          <w:color w:val="auto"/>
          <w:sz w:val="24"/>
          <w:highlight w:val="none"/>
        </w:rPr>
      </w:pPr>
    </w:p>
    <w:p w14:paraId="3D64D859">
      <w:pPr>
        <w:spacing w:line="440" w:lineRule="atLeast"/>
        <w:jc w:val="center"/>
        <w:rPr>
          <w:rStyle w:val="89"/>
          <w:rFonts w:ascii="Times New Roman" w:hAnsi="Times New Roman" w:eastAsia="黑体"/>
          <w:color w:val="auto"/>
          <w:sz w:val="42"/>
          <w:szCs w:val="42"/>
          <w:highlight w:val="none"/>
        </w:rPr>
      </w:pPr>
      <w:r>
        <w:rPr>
          <w:rFonts w:eastAsia="黑体"/>
          <w:color w:val="auto"/>
          <w:sz w:val="56"/>
          <w:szCs w:val="56"/>
          <w:highlight w:val="none"/>
        </w:rPr>
        <w:t>第一卷</w:t>
      </w:r>
    </w:p>
    <w:p w14:paraId="0ADDD3D1">
      <w:pPr>
        <w:spacing w:line="440" w:lineRule="atLeast"/>
        <w:rPr>
          <w:rFonts w:eastAsia="黑体"/>
          <w:color w:val="auto"/>
          <w:sz w:val="42"/>
          <w:szCs w:val="42"/>
          <w:highlight w:val="none"/>
        </w:rPr>
      </w:pPr>
    </w:p>
    <w:p w14:paraId="139A9659">
      <w:pPr>
        <w:spacing w:line="440" w:lineRule="atLeast"/>
        <w:rPr>
          <w:rFonts w:eastAsia="黑体"/>
          <w:color w:val="auto"/>
          <w:sz w:val="42"/>
          <w:szCs w:val="42"/>
          <w:highlight w:val="none"/>
        </w:rPr>
      </w:pPr>
    </w:p>
    <w:p w14:paraId="7148258A">
      <w:pPr>
        <w:spacing w:line="440" w:lineRule="atLeast"/>
        <w:rPr>
          <w:rFonts w:eastAsia="黑体"/>
          <w:color w:val="auto"/>
          <w:sz w:val="42"/>
          <w:szCs w:val="42"/>
          <w:highlight w:val="none"/>
        </w:rPr>
      </w:pPr>
    </w:p>
    <w:p w14:paraId="43C95349">
      <w:pPr>
        <w:spacing w:line="440" w:lineRule="atLeast"/>
        <w:jc w:val="center"/>
        <w:rPr>
          <w:rStyle w:val="89"/>
          <w:rFonts w:ascii="Times New Roman" w:hAnsi="Times New Roman" w:eastAsia="黑体"/>
          <w:color w:val="auto"/>
          <w:sz w:val="42"/>
          <w:szCs w:val="42"/>
          <w:highlight w:val="none"/>
        </w:rPr>
      </w:pPr>
      <w:r>
        <w:rPr>
          <w:rFonts w:eastAsia="黑体"/>
          <w:color w:val="auto"/>
          <w:sz w:val="42"/>
          <w:szCs w:val="42"/>
          <w:highlight w:val="none"/>
        </w:rPr>
        <w:br w:type="page"/>
      </w:r>
    </w:p>
    <w:p w14:paraId="3E474AFB">
      <w:pPr>
        <w:spacing w:line="440" w:lineRule="atLeast"/>
        <w:jc w:val="center"/>
        <w:rPr>
          <w:rStyle w:val="89"/>
          <w:rFonts w:ascii="Times New Roman" w:hAnsi="Times New Roman" w:eastAsia="黑体"/>
          <w:color w:val="auto"/>
          <w:sz w:val="42"/>
          <w:szCs w:val="42"/>
          <w:highlight w:val="none"/>
        </w:rPr>
      </w:pPr>
    </w:p>
    <w:p w14:paraId="62B3C2E5">
      <w:pPr>
        <w:spacing w:line="440" w:lineRule="atLeast"/>
        <w:jc w:val="center"/>
        <w:rPr>
          <w:rFonts w:eastAsia="黑体"/>
          <w:color w:val="auto"/>
          <w:sz w:val="56"/>
          <w:szCs w:val="56"/>
          <w:highlight w:val="none"/>
        </w:rPr>
      </w:pPr>
    </w:p>
    <w:p w14:paraId="30C13E3F">
      <w:pPr>
        <w:spacing w:line="440" w:lineRule="atLeast"/>
        <w:jc w:val="center"/>
        <w:rPr>
          <w:rFonts w:eastAsia="黑体"/>
          <w:color w:val="auto"/>
          <w:sz w:val="56"/>
          <w:szCs w:val="56"/>
          <w:highlight w:val="none"/>
        </w:rPr>
      </w:pPr>
    </w:p>
    <w:p w14:paraId="7CC4EBAC">
      <w:pPr>
        <w:spacing w:line="440" w:lineRule="atLeast"/>
        <w:jc w:val="center"/>
        <w:rPr>
          <w:rFonts w:eastAsia="黑体"/>
          <w:color w:val="auto"/>
          <w:sz w:val="56"/>
          <w:szCs w:val="56"/>
          <w:highlight w:val="none"/>
        </w:rPr>
      </w:pPr>
    </w:p>
    <w:p w14:paraId="348C207E">
      <w:pPr>
        <w:spacing w:line="440" w:lineRule="atLeast"/>
        <w:jc w:val="center"/>
        <w:rPr>
          <w:rFonts w:eastAsia="黑体"/>
          <w:color w:val="auto"/>
          <w:sz w:val="56"/>
          <w:szCs w:val="56"/>
          <w:highlight w:val="none"/>
        </w:rPr>
      </w:pPr>
    </w:p>
    <w:p w14:paraId="58496932">
      <w:pPr>
        <w:spacing w:line="440" w:lineRule="atLeast"/>
        <w:jc w:val="center"/>
        <w:rPr>
          <w:rFonts w:eastAsia="黑体"/>
          <w:color w:val="auto"/>
          <w:sz w:val="56"/>
          <w:szCs w:val="56"/>
          <w:highlight w:val="none"/>
        </w:rPr>
      </w:pPr>
    </w:p>
    <w:p w14:paraId="4BD174ED">
      <w:pPr>
        <w:spacing w:line="440" w:lineRule="atLeast"/>
        <w:jc w:val="center"/>
        <w:rPr>
          <w:rFonts w:eastAsia="黑体"/>
          <w:color w:val="auto"/>
          <w:sz w:val="56"/>
          <w:szCs w:val="56"/>
          <w:highlight w:val="none"/>
        </w:rPr>
      </w:pPr>
    </w:p>
    <w:p w14:paraId="0BE62D31">
      <w:pPr>
        <w:spacing w:line="440" w:lineRule="atLeast"/>
        <w:jc w:val="center"/>
        <w:rPr>
          <w:rStyle w:val="89"/>
          <w:rFonts w:ascii="黑体" w:hAnsi="黑体" w:eastAsia="黑体"/>
          <w:color w:val="auto"/>
          <w:sz w:val="42"/>
          <w:szCs w:val="42"/>
          <w:highlight w:val="none"/>
        </w:rPr>
      </w:pPr>
      <w:r>
        <w:rPr>
          <w:rFonts w:hint="eastAsia" w:ascii="黑体" w:hAnsi="黑体" w:eastAsia="黑体"/>
          <w:color w:val="auto"/>
          <w:sz w:val="56"/>
          <w:szCs w:val="56"/>
          <w:highlight w:val="none"/>
        </w:rPr>
        <w:t>第一章</w:t>
      </w:r>
      <w:r>
        <w:rPr>
          <w:rFonts w:ascii="黑体" w:hAnsi="黑体" w:eastAsia="黑体"/>
          <w:color w:val="auto"/>
          <w:sz w:val="56"/>
          <w:szCs w:val="56"/>
          <w:highlight w:val="none"/>
        </w:rPr>
        <w:t xml:space="preserve">  </w:t>
      </w:r>
      <w:r>
        <w:rPr>
          <w:rFonts w:hint="eastAsia" w:ascii="黑体" w:hAnsi="黑体" w:eastAsia="黑体"/>
          <w:color w:val="auto"/>
          <w:sz w:val="56"/>
          <w:szCs w:val="56"/>
          <w:highlight w:val="none"/>
        </w:rPr>
        <w:t>招标公告</w:t>
      </w:r>
      <w:r>
        <w:rPr>
          <w:rFonts w:ascii="黑体" w:hAnsi="黑体" w:eastAsia="黑体"/>
          <w:color w:val="auto"/>
          <w:sz w:val="56"/>
          <w:szCs w:val="56"/>
          <w:highlight w:val="none"/>
        </w:rPr>
        <w:t>/</w:t>
      </w:r>
      <w:r>
        <w:rPr>
          <w:rFonts w:hint="eastAsia" w:ascii="黑体" w:hAnsi="黑体" w:eastAsia="黑体"/>
          <w:color w:val="auto"/>
          <w:sz w:val="56"/>
          <w:szCs w:val="56"/>
          <w:highlight w:val="none"/>
        </w:rPr>
        <w:t>投标邀请书</w:t>
      </w:r>
    </w:p>
    <w:p w14:paraId="331B31AA">
      <w:pPr>
        <w:spacing w:line="440" w:lineRule="atLeast"/>
        <w:jc w:val="center"/>
        <w:rPr>
          <w:rStyle w:val="89"/>
          <w:rFonts w:ascii="Times New Roman" w:hAnsi="Times New Roman" w:eastAsia="黑体"/>
          <w:color w:val="auto"/>
          <w:sz w:val="42"/>
          <w:szCs w:val="42"/>
          <w:highlight w:val="none"/>
        </w:rPr>
      </w:pPr>
    </w:p>
    <w:p w14:paraId="3D00B3C1">
      <w:pPr>
        <w:spacing w:line="440" w:lineRule="atLeast"/>
        <w:jc w:val="center"/>
        <w:rPr>
          <w:rFonts w:eastAsia="黑体"/>
          <w:color w:val="auto"/>
          <w:sz w:val="42"/>
          <w:szCs w:val="42"/>
          <w:highlight w:val="none"/>
        </w:rPr>
      </w:pPr>
      <w:r>
        <w:rPr>
          <w:rStyle w:val="89"/>
          <w:rFonts w:ascii="Times New Roman" w:hAnsi="Times New Roman" w:eastAsia="黑体"/>
          <w:color w:val="auto"/>
          <w:sz w:val="42"/>
          <w:szCs w:val="42"/>
          <w:highlight w:val="none"/>
        </w:rPr>
        <w:br w:type="page"/>
      </w:r>
      <w:bookmarkStart w:id="2" w:name="_Toc510015648"/>
      <w:bookmarkStart w:id="3" w:name="_Toc503235713"/>
      <w:bookmarkStart w:id="4" w:name="_Toc492300756"/>
      <w:r>
        <w:rPr>
          <w:rStyle w:val="89"/>
          <w:rFonts w:ascii="Times New Roman" w:hAnsi="Times New Roman" w:eastAsia="黑体"/>
          <w:color w:val="auto"/>
          <w:sz w:val="42"/>
          <w:szCs w:val="42"/>
          <w:highlight w:val="none"/>
        </w:rPr>
        <w:t>第一章  招标公告</w:t>
      </w:r>
      <w:bookmarkEnd w:id="2"/>
      <w:bookmarkEnd w:id="3"/>
    </w:p>
    <w:p w14:paraId="6DCA11D5">
      <w:pPr>
        <w:spacing w:line="440" w:lineRule="atLeast"/>
        <w:ind w:firstLine="480" w:firstLineChars="200"/>
        <w:rPr>
          <w:color w:val="auto"/>
          <w:sz w:val="24"/>
          <w:highlight w:val="none"/>
        </w:rPr>
      </w:pPr>
    </w:p>
    <w:p w14:paraId="4CD493A4">
      <w:pPr>
        <w:spacing w:line="440" w:lineRule="atLeast"/>
        <w:ind w:firstLine="560" w:firstLineChars="200"/>
        <w:jc w:val="center"/>
        <w:rPr>
          <w:rFonts w:eastAsia="黑体"/>
          <w:color w:val="auto"/>
          <w:sz w:val="28"/>
          <w:szCs w:val="28"/>
          <w:highlight w:val="none"/>
        </w:rPr>
      </w:pPr>
      <w:r>
        <w:rPr>
          <w:rFonts w:hint="eastAsia" w:eastAsia="黑体"/>
          <w:color w:val="auto"/>
          <w:sz w:val="28"/>
          <w:szCs w:val="28"/>
          <w:highlight w:val="none"/>
          <w:lang w:val="en-US" w:eastAsia="zh-CN"/>
        </w:rPr>
        <w:t>G59呼北高速张家界至官庄段第二标段成桥动静载检测（桥梁）技术咨询服务</w:t>
      </w:r>
      <w:r>
        <w:rPr>
          <w:rFonts w:eastAsia="黑体"/>
          <w:color w:val="auto"/>
          <w:sz w:val="28"/>
          <w:szCs w:val="28"/>
          <w:highlight w:val="none"/>
        </w:rPr>
        <w:t>招标公告</w:t>
      </w:r>
    </w:p>
    <w:p w14:paraId="54AD4607">
      <w:pPr>
        <w:spacing w:line="440" w:lineRule="atLeast"/>
        <w:ind w:firstLine="480" w:firstLineChars="200"/>
        <w:rPr>
          <w:color w:val="auto"/>
          <w:sz w:val="24"/>
          <w:highlight w:val="none"/>
        </w:rPr>
      </w:pPr>
      <w:bookmarkStart w:id="5" w:name="_Toc510015649"/>
      <w:bookmarkStart w:id="6" w:name="_Toc503235714"/>
    </w:p>
    <w:p w14:paraId="4D55D65C">
      <w:pPr>
        <w:pStyle w:val="2"/>
        <w:spacing w:before="240" w:after="240" w:line="440" w:lineRule="atLeast"/>
        <w:rPr>
          <w:color w:val="auto"/>
          <w:sz w:val="28"/>
          <w:szCs w:val="28"/>
          <w:highlight w:val="none"/>
        </w:rPr>
      </w:pPr>
      <w:r>
        <w:rPr>
          <w:color w:val="auto"/>
          <w:sz w:val="28"/>
          <w:szCs w:val="28"/>
          <w:highlight w:val="none"/>
        </w:rPr>
        <w:t xml:space="preserve">1. </w:t>
      </w:r>
      <w:r>
        <w:rPr>
          <w:rFonts w:eastAsia="黑体"/>
          <w:color w:val="auto"/>
          <w:sz w:val="28"/>
          <w:szCs w:val="28"/>
          <w:highlight w:val="none"/>
        </w:rPr>
        <w:t>招标条件</w:t>
      </w:r>
      <w:bookmarkEnd w:id="5"/>
      <w:bookmarkEnd w:id="6"/>
    </w:p>
    <w:p w14:paraId="276FD2A6">
      <w:pPr>
        <w:spacing w:line="440" w:lineRule="atLeast"/>
        <w:ind w:firstLine="480" w:firstLineChars="200"/>
        <w:rPr>
          <w:rFonts w:eastAsia="黑体"/>
          <w:bCs/>
          <w:color w:val="auto"/>
          <w:sz w:val="22"/>
          <w:szCs w:val="22"/>
          <w:highlight w:val="none"/>
        </w:rPr>
      </w:pPr>
      <w:r>
        <w:rPr>
          <w:rStyle w:val="57"/>
          <w:rFonts w:hint="eastAsia"/>
          <w:color w:val="auto"/>
          <w:sz w:val="24"/>
          <w:szCs w:val="24"/>
          <w:highlight w:val="none"/>
        </w:rPr>
        <w:t>本招标项目</w:t>
      </w:r>
      <w:r>
        <w:rPr>
          <w:rStyle w:val="57"/>
          <w:color w:val="auto"/>
          <w:sz w:val="24"/>
          <w:szCs w:val="24"/>
          <w:highlight w:val="none"/>
          <w:u w:val="single"/>
        </w:rPr>
        <w:t xml:space="preserve"> </w:t>
      </w:r>
      <w:r>
        <w:rPr>
          <w:rStyle w:val="57"/>
          <w:rFonts w:hint="eastAsia" w:ascii="宋体" w:hAnsi="宋体" w:cs="宋体"/>
          <w:color w:val="auto"/>
          <w:sz w:val="24"/>
          <w:highlight w:val="none"/>
          <w:u w:val="single"/>
        </w:rPr>
        <w:t>G59呼北高速</w:t>
      </w:r>
      <w:r>
        <w:rPr>
          <w:rStyle w:val="57"/>
          <w:rFonts w:hint="eastAsia" w:ascii="宋体" w:hAnsi="宋体" w:cs="宋体"/>
          <w:color w:val="auto"/>
          <w:sz w:val="24"/>
          <w:highlight w:val="none"/>
          <w:u w:val="single"/>
          <w:lang w:eastAsia="zh-CN"/>
        </w:rPr>
        <w:t>张家界</w:t>
      </w:r>
      <w:r>
        <w:rPr>
          <w:rStyle w:val="57"/>
          <w:rFonts w:hint="eastAsia" w:ascii="宋体" w:hAnsi="宋体" w:cs="宋体"/>
          <w:color w:val="auto"/>
          <w:sz w:val="24"/>
          <w:highlight w:val="none"/>
          <w:u w:val="single"/>
        </w:rPr>
        <w:t>至</w:t>
      </w:r>
      <w:r>
        <w:rPr>
          <w:rStyle w:val="57"/>
          <w:rFonts w:hint="eastAsia" w:ascii="宋体" w:hAnsi="宋体" w:cs="宋体"/>
          <w:color w:val="auto"/>
          <w:sz w:val="24"/>
          <w:highlight w:val="none"/>
          <w:u w:val="single"/>
          <w:lang w:eastAsia="zh-CN"/>
        </w:rPr>
        <w:t>官庄</w:t>
      </w:r>
      <w:r>
        <w:rPr>
          <w:rStyle w:val="57"/>
          <w:rFonts w:hint="eastAsia" w:ascii="宋体" w:hAnsi="宋体" w:cs="宋体"/>
          <w:color w:val="auto"/>
          <w:sz w:val="24"/>
          <w:highlight w:val="none"/>
          <w:u w:val="single"/>
        </w:rPr>
        <w:t>段（简称“</w:t>
      </w:r>
      <w:r>
        <w:rPr>
          <w:rStyle w:val="57"/>
          <w:rFonts w:hint="eastAsia" w:ascii="宋体" w:hAnsi="宋体" w:cs="宋体"/>
          <w:color w:val="auto"/>
          <w:sz w:val="24"/>
          <w:highlight w:val="none"/>
          <w:u w:val="single"/>
          <w:lang w:eastAsia="zh-CN"/>
        </w:rPr>
        <w:t>张官</w:t>
      </w:r>
      <w:r>
        <w:rPr>
          <w:rStyle w:val="57"/>
          <w:rFonts w:hint="eastAsia" w:ascii="宋体" w:hAnsi="宋体" w:cs="宋体"/>
          <w:color w:val="auto"/>
          <w:sz w:val="24"/>
          <w:highlight w:val="none"/>
          <w:u w:val="single"/>
        </w:rPr>
        <w:t>高速”）</w:t>
      </w:r>
      <w:r>
        <w:rPr>
          <w:rStyle w:val="57"/>
          <w:rFonts w:hint="eastAsia"/>
          <w:color w:val="auto"/>
          <w:sz w:val="24"/>
          <w:szCs w:val="24"/>
          <w:highlight w:val="none"/>
        </w:rPr>
        <w:t>已由</w:t>
      </w:r>
      <w:r>
        <w:rPr>
          <w:rStyle w:val="57"/>
          <w:rFonts w:hint="eastAsia"/>
          <w:color w:val="auto"/>
          <w:sz w:val="24"/>
          <w:szCs w:val="24"/>
          <w:highlight w:val="none"/>
          <w:u w:val="single"/>
        </w:rPr>
        <w:t xml:space="preserve"> </w:t>
      </w:r>
      <w:r>
        <w:rPr>
          <w:rStyle w:val="57"/>
          <w:rFonts w:hint="eastAsia" w:ascii="宋体" w:hAnsi="宋体" w:cs="宋体"/>
          <w:color w:val="auto"/>
          <w:sz w:val="24"/>
          <w:highlight w:val="none"/>
          <w:u w:val="single"/>
        </w:rPr>
        <w:t>湖南省发展和改革委员会</w:t>
      </w:r>
      <w:r>
        <w:rPr>
          <w:rStyle w:val="57"/>
          <w:rFonts w:hint="eastAsia"/>
          <w:color w:val="auto"/>
          <w:sz w:val="24"/>
          <w:szCs w:val="24"/>
          <w:highlight w:val="none"/>
        </w:rPr>
        <w:t>以</w:t>
      </w:r>
      <w:r>
        <w:rPr>
          <w:rStyle w:val="57"/>
          <w:rFonts w:hint="eastAsia" w:ascii="宋体" w:hAnsi="宋体" w:cs="宋体"/>
          <w:color w:val="auto"/>
          <w:sz w:val="24"/>
          <w:highlight w:val="none"/>
          <w:u w:val="single"/>
        </w:rPr>
        <w:t>湘发改基础〔202</w:t>
      </w:r>
      <w:r>
        <w:rPr>
          <w:rStyle w:val="57"/>
          <w:rFonts w:hint="eastAsia" w:ascii="宋体" w:hAnsi="宋体" w:cs="宋体"/>
          <w:color w:val="auto"/>
          <w:sz w:val="24"/>
          <w:highlight w:val="none"/>
          <w:u w:val="single"/>
          <w:lang w:val="en-US" w:eastAsia="zh-CN"/>
        </w:rPr>
        <w:t>0</w:t>
      </w:r>
      <w:r>
        <w:rPr>
          <w:rStyle w:val="57"/>
          <w:rFonts w:hint="eastAsia" w:ascii="宋体" w:hAnsi="宋体" w:cs="宋体"/>
          <w:color w:val="auto"/>
          <w:sz w:val="24"/>
          <w:highlight w:val="none"/>
          <w:u w:val="single"/>
        </w:rPr>
        <w:t>〕</w:t>
      </w:r>
      <w:r>
        <w:rPr>
          <w:rStyle w:val="57"/>
          <w:rFonts w:hint="eastAsia" w:ascii="宋体" w:hAnsi="宋体" w:cs="宋体"/>
          <w:color w:val="auto"/>
          <w:sz w:val="24"/>
          <w:highlight w:val="none"/>
          <w:u w:val="single"/>
          <w:lang w:val="en-US" w:eastAsia="zh-CN"/>
        </w:rPr>
        <w:t>564</w:t>
      </w:r>
      <w:r>
        <w:rPr>
          <w:rStyle w:val="57"/>
          <w:rFonts w:hint="eastAsia" w:ascii="宋体" w:hAnsi="宋体" w:cs="宋体"/>
          <w:color w:val="auto"/>
          <w:sz w:val="24"/>
          <w:highlight w:val="none"/>
          <w:u w:val="single"/>
        </w:rPr>
        <w:t>号</w:t>
      </w:r>
      <w:r>
        <w:rPr>
          <w:rStyle w:val="57"/>
          <w:rFonts w:hint="eastAsia"/>
          <w:color w:val="auto"/>
          <w:sz w:val="24"/>
          <w:szCs w:val="24"/>
          <w:highlight w:val="none"/>
        </w:rPr>
        <w:t>批准建设，初步设计已由</w:t>
      </w:r>
      <w:r>
        <w:rPr>
          <w:rStyle w:val="57"/>
          <w:rFonts w:hint="eastAsia"/>
          <w:color w:val="auto"/>
          <w:sz w:val="24"/>
          <w:szCs w:val="24"/>
          <w:highlight w:val="none"/>
          <w:u w:val="single"/>
        </w:rPr>
        <w:t>交通运输部</w:t>
      </w:r>
      <w:r>
        <w:rPr>
          <w:rStyle w:val="57"/>
          <w:rFonts w:hint="eastAsia"/>
          <w:color w:val="auto"/>
          <w:sz w:val="24"/>
          <w:szCs w:val="24"/>
          <w:highlight w:val="none"/>
        </w:rPr>
        <w:t>以</w:t>
      </w:r>
      <w:r>
        <w:rPr>
          <w:rStyle w:val="57"/>
          <w:rFonts w:hint="eastAsia"/>
          <w:color w:val="auto"/>
          <w:sz w:val="24"/>
          <w:szCs w:val="24"/>
          <w:highlight w:val="none"/>
          <w:u w:val="single"/>
        </w:rPr>
        <w:t>交公路函</w:t>
      </w:r>
      <w:r>
        <w:rPr>
          <w:rStyle w:val="57"/>
          <w:rFonts w:hint="eastAsia" w:ascii="宋体" w:hAnsi="宋体" w:eastAsia="宋体" w:cs="宋体"/>
          <w:color w:val="auto"/>
          <w:sz w:val="24"/>
          <w:highlight w:val="none"/>
          <w:u w:val="single"/>
        </w:rPr>
        <w:t>〔</w:t>
      </w:r>
      <w:r>
        <w:rPr>
          <w:rStyle w:val="57"/>
          <w:rFonts w:hint="eastAsia"/>
          <w:color w:val="auto"/>
          <w:sz w:val="24"/>
          <w:szCs w:val="24"/>
          <w:highlight w:val="none"/>
          <w:u w:val="single"/>
        </w:rPr>
        <w:t>2020</w:t>
      </w:r>
      <w:r>
        <w:rPr>
          <w:rStyle w:val="57"/>
          <w:rFonts w:hint="eastAsia" w:ascii="宋体" w:hAnsi="宋体" w:eastAsia="宋体" w:cs="宋体"/>
          <w:color w:val="auto"/>
          <w:sz w:val="24"/>
          <w:highlight w:val="none"/>
          <w:u w:val="single"/>
        </w:rPr>
        <w:t>〕</w:t>
      </w:r>
      <w:r>
        <w:rPr>
          <w:rStyle w:val="57"/>
          <w:rFonts w:hint="eastAsia"/>
          <w:color w:val="auto"/>
          <w:sz w:val="24"/>
          <w:szCs w:val="24"/>
          <w:highlight w:val="none"/>
          <w:u w:val="single"/>
        </w:rPr>
        <w:t>922号</w:t>
      </w:r>
      <w:r>
        <w:rPr>
          <w:rStyle w:val="57"/>
          <w:rFonts w:hint="eastAsia"/>
          <w:color w:val="auto"/>
          <w:sz w:val="24"/>
          <w:szCs w:val="24"/>
          <w:highlight w:val="none"/>
        </w:rPr>
        <w:t>批准，项目业主为</w:t>
      </w:r>
      <w:r>
        <w:rPr>
          <w:rStyle w:val="57"/>
          <w:rFonts w:hint="eastAsia" w:ascii="宋体" w:hAnsi="宋体" w:cs="宋体"/>
          <w:color w:val="auto"/>
          <w:sz w:val="24"/>
          <w:highlight w:val="none"/>
          <w:u w:val="single"/>
        </w:rPr>
        <w:t>湖南省新新张官高速公路建设开发有限公司</w:t>
      </w:r>
      <w:r>
        <w:rPr>
          <w:rStyle w:val="57"/>
          <w:rFonts w:hint="eastAsia"/>
          <w:color w:val="auto"/>
          <w:sz w:val="24"/>
          <w:szCs w:val="24"/>
          <w:highlight w:val="none"/>
        </w:rPr>
        <w:t>，建设资金来自</w:t>
      </w:r>
      <w:r>
        <w:rPr>
          <w:rStyle w:val="57"/>
          <w:rFonts w:hint="eastAsia"/>
          <w:color w:val="auto"/>
          <w:sz w:val="24"/>
          <w:szCs w:val="24"/>
          <w:highlight w:val="none"/>
          <w:u w:val="single"/>
        </w:rPr>
        <w:t>政府补助、建设单位自筹及银行贷款</w:t>
      </w:r>
      <w:r>
        <w:rPr>
          <w:rStyle w:val="57"/>
          <w:rFonts w:hint="eastAsia"/>
          <w:color w:val="auto"/>
          <w:sz w:val="24"/>
          <w:szCs w:val="24"/>
          <w:highlight w:val="none"/>
        </w:rPr>
        <w:t>，招标人为</w:t>
      </w:r>
      <w:r>
        <w:rPr>
          <w:rStyle w:val="57"/>
          <w:rFonts w:hint="eastAsia"/>
          <w:color w:val="auto"/>
          <w:sz w:val="24"/>
          <w:highlight w:val="none"/>
          <w:u w:val="single"/>
        </w:rPr>
        <w:t>湖南省新新张官高速公路建设开发有限公司</w:t>
      </w:r>
      <w:r>
        <w:rPr>
          <w:rStyle w:val="57"/>
          <w:rFonts w:hint="eastAsia"/>
          <w:color w:val="auto"/>
          <w:sz w:val="24"/>
          <w:highlight w:val="none"/>
          <w:u w:val="none"/>
          <w:lang w:eastAsia="zh-CN"/>
        </w:rPr>
        <w:t>，招标执行机构为</w:t>
      </w:r>
      <w:r>
        <w:rPr>
          <w:rStyle w:val="57"/>
          <w:rFonts w:hint="eastAsia"/>
          <w:color w:val="auto"/>
          <w:sz w:val="24"/>
          <w:highlight w:val="none"/>
          <w:u w:val="single"/>
        </w:rPr>
        <w:t>湖南省新新张官高速公路建设开发有限公司</w:t>
      </w:r>
      <w:r>
        <w:rPr>
          <w:rStyle w:val="57"/>
          <w:rFonts w:hint="eastAsia"/>
          <w:color w:val="auto"/>
          <w:sz w:val="24"/>
          <w:highlight w:val="none"/>
          <w:u w:val="single"/>
          <w:lang w:eastAsia="zh-CN"/>
        </w:rPr>
        <w:t>张家界分公司</w:t>
      </w:r>
      <w:r>
        <w:rPr>
          <w:rStyle w:val="57"/>
          <w:rFonts w:hint="eastAsia"/>
          <w:color w:val="auto"/>
          <w:sz w:val="24"/>
          <w:szCs w:val="24"/>
          <w:highlight w:val="none"/>
        </w:rPr>
        <w:t>。项目已具备招标条件，现对该项目</w:t>
      </w:r>
      <w:r>
        <w:rPr>
          <w:rStyle w:val="57"/>
          <w:rFonts w:hint="eastAsia" w:ascii="宋体" w:hAnsi="宋体" w:cs="宋体"/>
          <w:color w:val="auto"/>
          <w:sz w:val="24"/>
          <w:highlight w:val="none"/>
          <w:u w:val="single"/>
          <w:lang w:val="en-US" w:eastAsia="zh-CN"/>
        </w:rPr>
        <w:t>成桥动静载检测（桥梁）技术</w:t>
      </w:r>
      <w:r>
        <w:rPr>
          <w:rStyle w:val="57"/>
          <w:rFonts w:hint="eastAsia" w:ascii="Calibri" w:hAnsi="Calibri" w:eastAsia="宋体" w:cs="Times New Roman"/>
          <w:color w:val="auto"/>
          <w:sz w:val="24"/>
          <w:szCs w:val="24"/>
          <w:highlight w:val="none"/>
        </w:rPr>
        <w:t>咨询服务进行公开招标。</w:t>
      </w:r>
    </w:p>
    <w:p w14:paraId="5D564497">
      <w:pPr>
        <w:pStyle w:val="2"/>
        <w:spacing w:before="240" w:after="240" w:line="440" w:lineRule="atLeast"/>
        <w:rPr>
          <w:rFonts w:eastAsia="黑体"/>
          <w:color w:val="auto"/>
          <w:sz w:val="28"/>
          <w:szCs w:val="28"/>
          <w:highlight w:val="none"/>
        </w:rPr>
      </w:pPr>
      <w:bookmarkStart w:id="7" w:name="_Toc503235715"/>
      <w:bookmarkStart w:id="8" w:name="_Toc510015650"/>
      <w:r>
        <w:rPr>
          <w:rFonts w:eastAsia="黑体"/>
          <w:color w:val="auto"/>
          <w:sz w:val="28"/>
          <w:szCs w:val="28"/>
          <w:highlight w:val="none"/>
        </w:rPr>
        <w:t>2. 项目概况与招标范围</w:t>
      </w:r>
      <w:bookmarkEnd w:id="7"/>
      <w:bookmarkEnd w:id="8"/>
    </w:p>
    <w:p w14:paraId="793B7C83">
      <w:pPr>
        <w:pStyle w:val="21"/>
        <w:spacing w:line="400" w:lineRule="atLeast"/>
        <w:ind w:firstLine="540" w:firstLineChars="225"/>
        <w:outlineLvl w:val="2"/>
        <w:rPr>
          <w:rStyle w:val="57"/>
          <w:rFonts w:hint="eastAsia" w:ascii="宋体" w:hAnsi="宋体" w:eastAsia="宋体" w:cs="宋体"/>
          <w:color w:val="auto"/>
          <w:sz w:val="24"/>
          <w:szCs w:val="24"/>
          <w:highlight w:val="none"/>
        </w:rPr>
      </w:pPr>
      <w:r>
        <w:rPr>
          <w:rStyle w:val="57"/>
          <w:rFonts w:hint="eastAsia" w:ascii="宋体" w:hAnsi="宋体" w:eastAsia="宋体" w:cs="宋体"/>
          <w:color w:val="auto"/>
          <w:sz w:val="24"/>
          <w:szCs w:val="24"/>
          <w:highlight w:val="none"/>
        </w:rPr>
        <w:t>2.1 建设地点：</w:t>
      </w:r>
      <w:r>
        <w:rPr>
          <w:rStyle w:val="57"/>
          <w:rFonts w:hint="eastAsia" w:ascii="宋体" w:hAnsi="宋体" w:eastAsia="宋体" w:cs="宋体"/>
          <w:color w:val="auto"/>
          <w:sz w:val="24"/>
          <w:szCs w:val="24"/>
          <w:highlight w:val="none"/>
          <w:u w:val="single"/>
        </w:rPr>
        <w:t>湖南省</w:t>
      </w:r>
      <w:r>
        <w:rPr>
          <w:rStyle w:val="57"/>
          <w:rFonts w:hint="eastAsia" w:ascii="宋体" w:hAnsi="宋体" w:cs="宋体"/>
          <w:color w:val="auto"/>
          <w:sz w:val="24"/>
          <w:szCs w:val="24"/>
          <w:highlight w:val="none"/>
          <w:u w:val="single"/>
          <w:lang w:eastAsia="zh-CN"/>
        </w:rPr>
        <w:t>张家界、怀化</w:t>
      </w:r>
      <w:r>
        <w:rPr>
          <w:rStyle w:val="57"/>
          <w:rFonts w:hint="eastAsia" w:ascii="宋体" w:hAnsi="宋体" w:eastAsia="宋体" w:cs="宋体"/>
          <w:color w:val="auto"/>
          <w:sz w:val="24"/>
          <w:szCs w:val="24"/>
          <w:highlight w:val="none"/>
          <w:u w:val="single"/>
          <w:lang w:val="en-US" w:eastAsia="zh-CN"/>
        </w:rPr>
        <w:t>市</w:t>
      </w:r>
      <w:r>
        <w:rPr>
          <w:rStyle w:val="57"/>
          <w:rFonts w:hint="eastAsia" w:ascii="宋体" w:hAnsi="宋体" w:eastAsia="宋体" w:cs="宋体"/>
          <w:color w:val="auto"/>
          <w:sz w:val="24"/>
          <w:szCs w:val="24"/>
          <w:highlight w:val="none"/>
        </w:rPr>
        <w:t>境内。</w:t>
      </w:r>
    </w:p>
    <w:p w14:paraId="4480BCBD">
      <w:pPr>
        <w:spacing w:line="440" w:lineRule="atLeast"/>
        <w:ind w:firstLine="540" w:firstLineChars="225"/>
        <w:rPr>
          <w:rFonts w:eastAsia="黑体"/>
          <w:color w:val="auto"/>
          <w:sz w:val="24"/>
          <w:highlight w:val="none"/>
        </w:rPr>
      </w:pPr>
      <w:r>
        <w:rPr>
          <w:rStyle w:val="57"/>
          <w:rFonts w:hint="eastAsia" w:ascii="宋体" w:hAnsi="宋体" w:eastAsia="宋体" w:cs="宋体"/>
          <w:color w:val="auto"/>
          <w:sz w:val="24"/>
          <w:szCs w:val="24"/>
          <w:highlight w:val="none"/>
        </w:rPr>
        <w:t>2.2 项目建设规模及招标范围：</w:t>
      </w:r>
      <w:r>
        <w:rPr>
          <w:rStyle w:val="57"/>
          <w:rFonts w:hint="eastAsia" w:ascii="宋体" w:hAnsi="宋体" w:eastAsia="宋体" w:cs="宋体"/>
          <w:color w:val="auto"/>
          <w:sz w:val="24"/>
          <w:szCs w:val="24"/>
          <w:highlight w:val="none"/>
          <w:lang w:val="en-US" w:eastAsia="zh-CN"/>
        </w:rPr>
        <w:t xml:space="preserve"> </w:t>
      </w:r>
      <w:r>
        <w:rPr>
          <w:rStyle w:val="57"/>
          <w:rFonts w:hint="eastAsia" w:ascii="宋体" w:hAnsi="宋体" w:eastAsia="宋体" w:cs="宋体"/>
          <w:color w:val="auto"/>
          <w:sz w:val="24"/>
          <w:szCs w:val="24"/>
          <w:highlight w:val="none"/>
        </w:rPr>
        <w:t>G59呼北高速张家界至官庄段第二合同段路线全27.368km，起讫桩号为K22+290~K49+658.413，起点位于张家界市永定区沅古坪镇沅古坪互通顺接1标，终点位于怀化市沅陵县七甲坪镇杜泉坪村杜泉坪隧道(长度468m)。线路整体跨越两个市级行政单位，其中张家界市境内有主线长度12.488km，怀化市境内有主线长度14.880km、连接线长度2</w:t>
      </w:r>
      <w:r>
        <w:rPr>
          <w:rStyle w:val="57"/>
          <w:rFonts w:hint="eastAsia" w:ascii="宋体" w:hAnsi="宋体" w:eastAsia="宋体" w:cs="宋体"/>
          <w:color w:val="auto"/>
          <w:sz w:val="24"/>
          <w:szCs w:val="24"/>
          <w:highlight w:val="none"/>
          <w:lang w:val="en-US" w:eastAsia="zh-CN"/>
        </w:rPr>
        <w:t>1</w:t>
      </w:r>
      <w:r>
        <w:rPr>
          <w:rStyle w:val="57"/>
          <w:rFonts w:hint="eastAsia" w:ascii="宋体" w:hAnsi="宋体" w:eastAsia="宋体" w:cs="宋体"/>
          <w:color w:val="auto"/>
          <w:sz w:val="24"/>
          <w:szCs w:val="24"/>
          <w:highlight w:val="none"/>
        </w:rPr>
        <w:t>.02km，其中南滩岗连接线全长6.18km，清浪连接线</w:t>
      </w:r>
      <w:r>
        <w:rPr>
          <w:rStyle w:val="57"/>
          <w:rFonts w:hint="eastAsia" w:ascii="宋体" w:hAnsi="宋体" w:eastAsia="宋体" w:cs="宋体"/>
          <w:color w:val="auto"/>
          <w:sz w:val="24"/>
          <w:szCs w:val="24"/>
          <w:highlight w:val="none"/>
          <w:lang w:val="en-US" w:eastAsia="zh-CN"/>
        </w:rPr>
        <w:t>可施工</w:t>
      </w:r>
      <w:r>
        <w:rPr>
          <w:rStyle w:val="57"/>
          <w:rFonts w:hint="eastAsia" w:ascii="宋体" w:hAnsi="宋体" w:eastAsia="宋体" w:cs="宋体"/>
          <w:color w:val="auto"/>
          <w:sz w:val="24"/>
          <w:szCs w:val="24"/>
          <w:highlight w:val="none"/>
        </w:rPr>
        <w:t>长</w:t>
      </w:r>
      <w:r>
        <w:rPr>
          <w:rStyle w:val="57"/>
          <w:rFonts w:hint="eastAsia" w:ascii="宋体" w:hAnsi="宋体" w:eastAsia="宋体" w:cs="宋体"/>
          <w:color w:val="auto"/>
          <w:sz w:val="24"/>
          <w:szCs w:val="24"/>
          <w:highlight w:val="none"/>
          <w:lang w:val="en-US" w:eastAsia="zh-CN"/>
        </w:rPr>
        <w:t>度</w:t>
      </w:r>
      <w:r>
        <w:rPr>
          <w:rStyle w:val="57"/>
          <w:rFonts w:hint="eastAsia" w:ascii="宋体" w:hAnsi="宋体" w:eastAsia="宋体" w:cs="宋体"/>
          <w:color w:val="auto"/>
          <w:sz w:val="24"/>
          <w:szCs w:val="24"/>
          <w:highlight w:val="none"/>
        </w:rPr>
        <w:t>1</w:t>
      </w:r>
      <w:r>
        <w:rPr>
          <w:rStyle w:val="57"/>
          <w:rFonts w:hint="eastAsia" w:ascii="宋体" w:hAnsi="宋体" w:eastAsia="宋体" w:cs="宋体"/>
          <w:color w:val="auto"/>
          <w:sz w:val="24"/>
          <w:szCs w:val="24"/>
          <w:highlight w:val="none"/>
          <w:lang w:val="en-US" w:eastAsia="zh-CN"/>
        </w:rPr>
        <w:t>4</w:t>
      </w:r>
      <w:r>
        <w:rPr>
          <w:rStyle w:val="57"/>
          <w:rFonts w:hint="eastAsia" w:ascii="宋体" w:hAnsi="宋体" w:eastAsia="宋体" w:cs="宋体"/>
          <w:color w:val="auto"/>
          <w:sz w:val="24"/>
          <w:szCs w:val="24"/>
          <w:highlight w:val="none"/>
        </w:rPr>
        <w:t>.8</w:t>
      </w:r>
      <w:r>
        <w:rPr>
          <w:rStyle w:val="57"/>
          <w:rFonts w:hint="eastAsia" w:ascii="宋体" w:hAnsi="宋体" w:eastAsia="宋体" w:cs="宋体"/>
          <w:color w:val="auto"/>
          <w:sz w:val="24"/>
          <w:szCs w:val="24"/>
          <w:highlight w:val="none"/>
          <w:lang w:val="en-US" w:eastAsia="zh-CN"/>
        </w:rPr>
        <w:t>4</w:t>
      </w:r>
      <w:r>
        <w:rPr>
          <w:rStyle w:val="57"/>
          <w:rFonts w:hint="eastAsia" w:ascii="宋体" w:hAnsi="宋体" w:eastAsia="宋体" w:cs="宋体"/>
          <w:color w:val="auto"/>
          <w:sz w:val="24"/>
          <w:szCs w:val="24"/>
          <w:highlight w:val="none"/>
        </w:rPr>
        <w:t>km</w:t>
      </w:r>
      <w:r>
        <w:rPr>
          <w:rStyle w:val="57"/>
          <w:rFonts w:hint="eastAsia" w:ascii="宋体" w:hAnsi="宋体" w:cs="宋体"/>
          <w:color w:val="auto"/>
          <w:sz w:val="24"/>
          <w:szCs w:val="24"/>
          <w:highlight w:val="none"/>
          <w:lang w:eastAsia="zh-CN"/>
        </w:rPr>
        <w:t>。</w:t>
      </w:r>
      <w:r>
        <w:rPr>
          <w:rFonts w:hint="eastAsia" w:ascii="Times New Roman" w:hAnsi="Times New Roman" w:eastAsia="宋体" w:cs="Times New Roman"/>
          <w:color w:val="auto"/>
          <w:sz w:val="24"/>
          <w:szCs w:val="24"/>
          <w:highlight w:val="none"/>
        </w:rPr>
        <w:t>现对该项目的</w:t>
      </w:r>
      <w:r>
        <w:rPr>
          <w:rFonts w:hint="eastAsia" w:ascii="Times New Roman" w:hAnsi="Times New Roman" w:eastAsia="宋体" w:cs="Times New Roman"/>
          <w:color w:val="auto"/>
          <w:sz w:val="24"/>
          <w:szCs w:val="24"/>
          <w:highlight w:val="none"/>
          <w:lang w:val="en-US" w:eastAsia="zh-CN"/>
        </w:rPr>
        <w:t>成桥动静载检测（桥梁）技术</w:t>
      </w:r>
      <w:r>
        <w:rPr>
          <w:rFonts w:hint="eastAsia" w:ascii="Times New Roman" w:hAnsi="Times New Roman" w:eastAsia="宋体" w:cs="Times New Roman"/>
          <w:color w:val="auto"/>
          <w:sz w:val="24"/>
          <w:szCs w:val="24"/>
          <w:highlight w:val="none"/>
        </w:rPr>
        <w:t>咨询服务进行公开招标。</w:t>
      </w:r>
    </w:p>
    <w:p w14:paraId="608F996D">
      <w:pPr>
        <w:spacing w:line="44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本次咨询服务招标共分为</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rPr>
        <w:t>个标段。其标段划分及工程内容等见下表。</w:t>
      </w:r>
    </w:p>
    <w:p w14:paraId="38313301">
      <w:pPr>
        <w:spacing w:line="440" w:lineRule="atLeast"/>
        <w:ind w:firstLine="540" w:firstLineChars="225"/>
        <w:rPr>
          <w:rFonts w:hint="eastAsia" w:ascii="宋体" w:hAnsi="宋体" w:eastAsia="宋体" w:cs="宋体"/>
          <w:color w:val="auto"/>
          <w:sz w:val="24"/>
          <w:highlight w:val="none"/>
        </w:rPr>
      </w:pPr>
    </w:p>
    <w:p w14:paraId="0379E4F5">
      <w:pPr>
        <w:spacing w:line="440" w:lineRule="atLeast"/>
        <w:ind w:firstLine="540" w:firstLineChars="225"/>
        <w:rPr>
          <w:rFonts w:hint="eastAsia" w:ascii="宋体" w:hAnsi="宋体" w:eastAsia="宋体" w:cs="宋体"/>
          <w:color w:val="auto"/>
          <w:sz w:val="24"/>
          <w:highlight w:val="none"/>
        </w:rPr>
      </w:pPr>
    </w:p>
    <w:p w14:paraId="2F1B884B">
      <w:pPr>
        <w:spacing w:line="440" w:lineRule="atLeast"/>
        <w:ind w:firstLine="540" w:firstLineChars="225"/>
        <w:rPr>
          <w:rFonts w:hint="eastAsia" w:ascii="宋体" w:hAnsi="宋体" w:eastAsia="宋体" w:cs="宋体"/>
          <w:color w:val="auto"/>
          <w:sz w:val="24"/>
          <w:highlight w:val="none"/>
        </w:rPr>
      </w:pPr>
    </w:p>
    <w:p w14:paraId="66A40E74">
      <w:pPr>
        <w:spacing w:line="440" w:lineRule="atLeast"/>
        <w:ind w:firstLine="540" w:firstLineChars="225"/>
        <w:rPr>
          <w:rFonts w:hint="eastAsia" w:ascii="宋体" w:hAnsi="宋体" w:eastAsia="宋体" w:cs="宋体"/>
          <w:color w:val="auto"/>
          <w:sz w:val="24"/>
          <w:highlight w:val="none"/>
        </w:rPr>
      </w:pPr>
    </w:p>
    <w:p w14:paraId="21B714CF">
      <w:pPr>
        <w:spacing w:line="440" w:lineRule="atLeast"/>
        <w:ind w:firstLine="540" w:firstLineChars="225"/>
        <w:rPr>
          <w:rFonts w:hint="eastAsia" w:ascii="宋体" w:hAnsi="宋体" w:eastAsia="宋体" w:cs="宋体"/>
          <w:color w:val="auto"/>
          <w:sz w:val="24"/>
          <w:highlight w:val="none"/>
        </w:rPr>
      </w:pP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070"/>
        <w:gridCol w:w="975"/>
        <w:gridCol w:w="4971"/>
      </w:tblGrid>
      <w:tr w14:paraId="2C07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49" w:type="pct"/>
            <w:vAlign w:val="center"/>
          </w:tcPr>
          <w:p w14:paraId="6DC0B305">
            <w:pPr>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标段号</w:t>
            </w:r>
          </w:p>
        </w:tc>
        <w:tc>
          <w:tcPr>
            <w:tcW w:w="1149" w:type="pct"/>
            <w:vAlign w:val="center"/>
          </w:tcPr>
          <w:p w14:paraId="13272B30">
            <w:pPr>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桩号</w:t>
            </w:r>
          </w:p>
        </w:tc>
        <w:tc>
          <w:tcPr>
            <w:tcW w:w="541" w:type="pct"/>
            <w:vAlign w:val="center"/>
          </w:tcPr>
          <w:p w14:paraId="7DF893EB">
            <w:pPr>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长度</w:t>
            </w:r>
          </w:p>
          <w:p w14:paraId="0A588B59">
            <w:pPr>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（Km）</w:t>
            </w:r>
          </w:p>
        </w:tc>
        <w:tc>
          <w:tcPr>
            <w:tcW w:w="2759" w:type="pct"/>
            <w:vAlign w:val="center"/>
          </w:tcPr>
          <w:p w14:paraId="1286CBE3">
            <w:pPr>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招标范围</w:t>
            </w:r>
          </w:p>
        </w:tc>
      </w:tr>
      <w:tr w14:paraId="0A8A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549" w:type="pct"/>
            <w:vAlign w:val="center"/>
          </w:tcPr>
          <w:p w14:paraId="32A56E75">
            <w:pPr>
              <w:spacing w:line="440" w:lineRule="atLeast"/>
              <w:jc w:val="center"/>
              <w:rPr>
                <w:rFonts w:hint="eastAsia" w:asciiTheme="minorEastAsia" w:hAnsiTheme="minorEastAsia" w:eastAsiaTheme="minorEastAsia" w:cstheme="minorEastAsia"/>
                <w:b/>
                <w:color w:val="auto"/>
                <w:sz w:val="21"/>
                <w:szCs w:val="21"/>
                <w:highlight w:val="none"/>
                <w:lang w:val="en-US" w:eastAsia="zh-CN"/>
              </w:rPr>
            </w:pPr>
            <w:r>
              <w:rPr>
                <w:rStyle w:val="57"/>
                <w:rFonts w:hint="eastAsia" w:ascii="宋体" w:hAnsi="宋体" w:cs="宋体"/>
                <w:color w:val="auto"/>
                <w:sz w:val="18"/>
                <w:szCs w:val="18"/>
                <w:highlight w:val="none"/>
                <w:lang w:val="en-US" w:eastAsia="zh-CN"/>
              </w:rPr>
              <w:t>I标</w:t>
            </w:r>
          </w:p>
        </w:tc>
        <w:tc>
          <w:tcPr>
            <w:tcW w:w="2070" w:type="dxa"/>
            <w:vAlign w:val="center"/>
          </w:tcPr>
          <w:p w14:paraId="7CB51CF2">
            <w:pPr>
              <w:spacing w:line="440" w:lineRule="atLeast"/>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K</w:t>
            </w:r>
            <w:r>
              <w:rPr>
                <w:rFonts w:hint="eastAsia" w:asciiTheme="minorEastAsia" w:hAnsiTheme="minorEastAsia" w:eastAsiaTheme="minorEastAsia" w:cstheme="minorEastAsia"/>
                <w:b/>
                <w:color w:val="auto"/>
                <w:sz w:val="21"/>
                <w:szCs w:val="21"/>
                <w:highlight w:val="none"/>
                <w:lang w:val="en-US" w:eastAsia="zh-CN"/>
              </w:rPr>
              <w:t>22</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290</w:t>
            </w:r>
            <w:r>
              <w:rPr>
                <w:rFonts w:hint="eastAsia" w:asciiTheme="minorEastAsia" w:hAnsiTheme="minorEastAsia" w:eastAsiaTheme="minorEastAsia" w:cstheme="minorEastAsia"/>
                <w:b/>
                <w:color w:val="auto"/>
                <w:sz w:val="21"/>
                <w:szCs w:val="21"/>
                <w:highlight w:val="none"/>
                <w:lang w:eastAsia="zh-CN"/>
              </w:rPr>
              <w:t>～K</w:t>
            </w:r>
            <w:r>
              <w:rPr>
                <w:rFonts w:hint="eastAsia" w:asciiTheme="minorEastAsia" w:hAnsiTheme="minorEastAsia" w:eastAsiaTheme="minorEastAsia" w:cstheme="minorEastAsia"/>
                <w:b/>
                <w:color w:val="auto"/>
                <w:sz w:val="21"/>
                <w:szCs w:val="21"/>
                <w:highlight w:val="none"/>
                <w:lang w:val="en-US" w:eastAsia="zh-CN"/>
              </w:rPr>
              <w:t>49+658.413及南滩岗、清浪连接线</w:t>
            </w:r>
          </w:p>
        </w:tc>
        <w:tc>
          <w:tcPr>
            <w:tcW w:w="975" w:type="dxa"/>
            <w:vAlign w:val="center"/>
          </w:tcPr>
          <w:p w14:paraId="41EFA371">
            <w:pPr>
              <w:spacing w:line="440" w:lineRule="atLeast"/>
              <w:jc w:val="both"/>
              <w:rPr>
                <w:rFonts w:hint="default" w:asciiTheme="minorEastAsia" w:hAnsiTheme="minorEastAsia" w:eastAsiaTheme="minorEastAsia" w:cstheme="minorEastAsia"/>
                <w:b/>
                <w:color w:val="auto"/>
                <w:sz w:val="21"/>
                <w:szCs w:val="21"/>
                <w:highlight w:val="none"/>
                <w:lang w:val="en-US" w:eastAsia="zh-CN"/>
              </w:rPr>
            </w:pPr>
            <w:r>
              <w:rPr>
                <w:rStyle w:val="57"/>
                <w:rFonts w:hint="eastAsia" w:asciiTheme="minorEastAsia" w:hAnsiTheme="minorEastAsia" w:eastAsiaTheme="minorEastAsia" w:cstheme="minorEastAsia"/>
                <w:iCs/>
                <w:color w:val="auto"/>
                <w:sz w:val="21"/>
                <w:szCs w:val="21"/>
                <w:highlight w:val="none"/>
                <w:lang w:val="en-US" w:eastAsia="zh-CN"/>
              </w:rPr>
              <w:t>27.368</w:t>
            </w:r>
          </w:p>
        </w:tc>
        <w:tc>
          <w:tcPr>
            <w:tcW w:w="2759" w:type="pct"/>
            <w:vAlign w:val="center"/>
          </w:tcPr>
          <w:p w14:paraId="12BE169D">
            <w:pPr>
              <w:pStyle w:val="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标段范围内的</w:t>
            </w:r>
            <w:bookmarkStart w:id="9" w:name="OLE_LINK2"/>
            <w:r>
              <w:rPr>
                <w:rFonts w:hint="eastAsia" w:asciiTheme="minorEastAsia" w:hAnsiTheme="minorEastAsia" w:eastAsiaTheme="minorEastAsia" w:cstheme="minorEastAsia"/>
                <w:color w:val="auto"/>
                <w:kern w:val="2"/>
                <w:sz w:val="21"/>
                <w:szCs w:val="21"/>
                <w:highlight w:val="none"/>
                <w:lang w:val="en-US" w:eastAsia="zh-CN" w:bidi="ar-SA"/>
              </w:rPr>
              <w:t>所</w:t>
            </w:r>
            <w:bookmarkEnd w:id="9"/>
            <w:r>
              <w:rPr>
                <w:rFonts w:hint="eastAsia" w:asciiTheme="minorEastAsia" w:hAnsiTheme="minorEastAsia" w:eastAsiaTheme="minorEastAsia" w:cstheme="minorEastAsia"/>
                <w:color w:val="auto"/>
                <w:kern w:val="2"/>
                <w:sz w:val="21"/>
                <w:szCs w:val="21"/>
                <w:highlight w:val="none"/>
                <w:lang w:val="en-US" w:eastAsia="zh-CN" w:bidi="ar-SA"/>
              </w:rPr>
              <w:t>有连续刚构、拱桥及部分连续梁桥梁动、静载试验检测全部内容。</w:t>
            </w:r>
          </w:p>
        </w:tc>
      </w:tr>
    </w:tbl>
    <w:p w14:paraId="131C483B">
      <w:pPr>
        <w:spacing w:line="440" w:lineRule="atLeast"/>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本次招标咨询服务期限为：签订合同协议书之日起至本项目</w:t>
      </w:r>
      <w:r>
        <w:rPr>
          <w:rFonts w:hint="eastAsia" w:ascii="宋体" w:hAnsi="宋体" w:eastAsia="宋体" w:cs="宋体"/>
          <w:color w:val="auto"/>
          <w:sz w:val="24"/>
          <w:szCs w:val="24"/>
          <w:highlight w:val="none"/>
        </w:rPr>
        <w:t>成桥动静载检测（桥梁）</w:t>
      </w:r>
      <w:r>
        <w:rPr>
          <w:rFonts w:hint="eastAsia" w:ascii="宋体" w:hAnsi="宋体" w:cs="宋体"/>
          <w:color w:val="auto"/>
          <w:sz w:val="24"/>
          <w:szCs w:val="24"/>
          <w:highlight w:val="none"/>
          <w:lang w:val="en-US" w:eastAsia="zh-CN"/>
        </w:rPr>
        <w:t>完</w:t>
      </w:r>
      <w:r>
        <w:rPr>
          <w:rFonts w:hint="eastAsia" w:ascii="宋体" w:hAnsi="宋体" w:eastAsia="宋体" w:cs="宋体"/>
          <w:color w:val="auto"/>
          <w:sz w:val="24"/>
          <w:szCs w:val="24"/>
          <w:highlight w:val="none"/>
        </w:rPr>
        <w:t>工</w:t>
      </w:r>
      <w:r>
        <w:rPr>
          <w:rFonts w:ascii="宋体" w:hAnsi="宋体" w:eastAsia="宋体" w:cs="宋体"/>
          <w:color w:val="auto"/>
          <w:sz w:val="24"/>
          <w:szCs w:val="24"/>
          <w:highlight w:val="none"/>
        </w:rPr>
        <w:t>验收通过之日止。</w:t>
      </w:r>
      <w:r>
        <w:rPr>
          <w:rFonts w:hint="eastAsia" w:ascii="宋体" w:hAnsi="宋体" w:eastAsia="宋体" w:cs="宋体"/>
          <w:color w:val="auto"/>
          <w:sz w:val="24"/>
          <w:szCs w:val="24"/>
          <w:highlight w:val="none"/>
          <w:lang w:val="en-US" w:eastAsia="zh-CN"/>
        </w:rPr>
        <w:t xml:space="preserve">具体进场时间为合同签订之日起 </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lang w:val="en-US" w:eastAsia="zh-CN"/>
        </w:rPr>
        <w:t>日内。</w:t>
      </w:r>
    </w:p>
    <w:p w14:paraId="633320DE">
      <w:pPr>
        <w:pStyle w:val="2"/>
        <w:spacing w:before="240" w:after="240" w:line="440" w:lineRule="atLeast"/>
        <w:rPr>
          <w:rFonts w:eastAsia="黑体"/>
          <w:color w:val="auto"/>
          <w:sz w:val="28"/>
          <w:szCs w:val="28"/>
          <w:highlight w:val="none"/>
        </w:rPr>
      </w:pPr>
      <w:bookmarkStart w:id="10" w:name="_Toc510015651"/>
      <w:bookmarkStart w:id="11" w:name="_Toc503235716"/>
      <w:r>
        <w:rPr>
          <w:rFonts w:eastAsia="黑体"/>
          <w:color w:val="auto"/>
          <w:sz w:val="28"/>
          <w:szCs w:val="28"/>
          <w:highlight w:val="none"/>
        </w:rPr>
        <w:t>3. 投标人资格要求</w:t>
      </w:r>
      <w:bookmarkEnd w:id="10"/>
      <w:bookmarkEnd w:id="11"/>
    </w:p>
    <w:p w14:paraId="1CF04DE4">
      <w:pPr>
        <w:pStyle w:val="658"/>
        <w:spacing w:line="440" w:lineRule="exact"/>
        <w:ind w:firstLine="480" w:firstLineChars="200"/>
        <w:rPr>
          <w:color w:val="auto"/>
          <w:sz w:val="24"/>
          <w:highlight w:val="none"/>
          <w:u w:val="none"/>
        </w:rPr>
      </w:pPr>
      <w:r>
        <w:rPr>
          <w:color w:val="auto"/>
          <w:sz w:val="24"/>
          <w:highlight w:val="none"/>
        </w:rPr>
        <w:t xml:space="preserve">3.1 </w:t>
      </w:r>
      <w:r>
        <w:rPr>
          <w:rStyle w:val="57"/>
          <w:rFonts w:hint="eastAsia" w:ascii="宋体" w:hAnsi="宋体" w:eastAsia="宋体" w:cs="宋体"/>
          <w:color w:val="auto"/>
          <w:sz w:val="24"/>
          <w:szCs w:val="24"/>
          <w:highlight w:val="none"/>
          <w:lang w:val="en-US" w:eastAsia="zh-CN"/>
        </w:rPr>
        <w:t>具备</w:t>
      </w:r>
      <w:r>
        <w:rPr>
          <w:rStyle w:val="57"/>
          <w:rFonts w:hint="eastAsia" w:ascii="宋体" w:hAnsi="宋体" w:eastAsia="宋体" w:cs="宋体"/>
          <w:color w:val="auto"/>
          <w:sz w:val="24"/>
          <w:szCs w:val="24"/>
          <w:highlight w:val="none"/>
        </w:rPr>
        <w:t>独立法人资格，持有工商行政管理部门核发的有效的营业执照（或事业单位法人证书,或社会团体法人登记证书）（投标人为企业的，还应具备组织机构代码证，按照“三证合一”或“五证合一”登记制度进行登记的，可仅提供营业执照副本；投标人为依法允许经营的事业单位的，应具有事业单位法人证书和组织机构代码证，下同）；</w:t>
      </w:r>
      <w:r>
        <w:rPr>
          <w:rFonts w:hint="eastAsia" w:ascii="宋体" w:hAnsi="宋体"/>
          <w:color w:val="auto"/>
          <w:kern w:val="0"/>
          <w:position w:val="0"/>
          <w:sz w:val="24"/>
          <w:highlight w:val="none"/>
        </w:rPr>
        <w:t>具有交通运输主管部门认定的《公路水运工程试验检测机构等级证书》公路工程</w:t>
      </w:r>
      <w:r>
        <w:rPr>
          <w:rFonts w:hint="eastAsia" w:ascii="宋体" w:hAnsi="宋体"/>
          <w:b/>
          <w:bCs/>
          <w:color w:val="auto"/>
          <w:kern w:val="0"/>
          <w:position w:val="0"/>
          <w:sz w:val="24"/>
          <w:highlight w:val="none"/>
        </w:rPr>
        <w:t>综合甲级资质</w:t>
      </w:r>
      <w:r>
        <w:rPr>
          <w:rFonts w:hint="eastAsia" w:ascii="宋体" w:hAnsi="宋体"/>
          <w:color w:val="auto"/>
          <w:kern w:val="0"/>
          <w:position w:val="0"/>
          <w:sz w:val="24"/>
          <w:highlight w:val="none"/>
          <w:lang w:eastAsia="zh-CN"/>
        </w:rPr>
        <w:t>或</w:t>
      </w:r>
      <w:r>
        <w:rPr>
          <w:rFonts w:hint="eastAsia" w:ascii="宋体" w:hAnsi="宋体"/>
          <w:color w:val="auto"/>
          <w:kern w:val="0"/>
          <w:position w:val="0"/>
          <w:sz w:val="24"/>
          <w:highlight w:val="none"/>
        </w:rPr>
        <w:t>交通运输主管部门认定的《公路水运工程试验检测机构等级证书》公路工程</w:t>
      </w:r>
      <w:r>
        <w:rPr>
          <w:rFonts w:hint="eastAsia" w:ascii="宋体" w:hAnsi="宋体"/>
          <w:b/>
          <w:bCs/>
          <w:color w:val="auto"/>
          <w:kern w:val="0"/>
          <w:position w:val="0"/>
          <w:sz w:val="24"/>
          <w:highlight w:val="none"/>
        </w:rPr>
        <w:t>桥梁隧道工程</w:t>
      </w:r>
      <w:r>
        <w:rPr>
          <w:rFonts w:hint="eastAsia" w:ascii="宋体" w:hAnsi="宋体"/>
          <w:color w:val="auto"/>
          <w:kern w:val="0"/>
          <w:position w:val="0"/>
          <w:sz w:val="24"/>
          <w:highlight w:val="none"/>
        </w:rPr>
        <w:t>专项资质，且授予检测项目及参数中包含</w:t>
      </w:r>
      <w:r>
        <w:rPr>
          <w:rFonts w:hint="eastAsia" w:ascii="宋体" w:hAnsi="宋体"/>
          <w:color w:val="auto"/>
          <w:kern w:val="0"/>
          <w:position w:val="0"/>
          <w:sz w:val="24"/>
          <w:highlight w:val="none"/>
          <w:lang w:val="en-US" w:eastAsia="zh-CN"/>
        </w:rPr>
        <w:t>相关</w:t>
      </w:r>
      <w:r>
        <w:rPr>
          <w:rFonts w:hint="eastAsia" w:ascii="宋体" w:hAnsi="宋体"/>
          <w:color w:val="auto"/>
          <w:kern w:val="0"/>
          <w:position w:val="0"/>
          <w:sz w:val="24"/>
          <w:highlight w:val="none"/>
        </w:rPr>
        <w:t>检测</w:t>
      </w:r>
      <w:r>
        <w:rPr>
          <w:rFonts w:hint="eastAsia" w:ascii="宋体" w:hAnsi="宋体"/>
          <w:color w:val="auto"/>
          <w:kern w:val="0"/>
          <w:position w:val="0"/>
          <w:sz w:val="24"/>
          <w:highlight w:val="none"/>
          <w:lang w:val="en-US" w:eastAsia="zh-CN"/>
        </w:rPr>
        <w:t>项目及相关参数</w:t>
      </w:r>
      <w:r>
        <w:rPr>
          <w:rStyle w:val="57"/>
          <w:rFonts w:hint="eastAsia" w:ascii="宋体" w:hAnsi="宋体" w:eastAsia="宋体" w:cs="宋体"/>
          <w:color w:val="auto"/>
          <w:sz w:val="24"/>
          <w:szCs w:val="24"/>
          <w:highlight w:val="none"/>
        </w:rPr>
        <w:t>；具有省级</w:t>
      </w:r>
      <w:r>
        <w:rPr>
          <w:rStyle w:val="57"/>
          <w:rFonts w:hint="eastAsia" w:ascii="宋体" w:hAnsi="宋体" w:eastAsia="宋体" w:cs="宋体"/>
          <w:color w:val="auto"/>
          <w:sz w:val="24"/>
          <w:szCs w:val="24"/>
          <w:highlight w:val="none"/>
          <w:lang w:val="en-US" w:eastAsia="zh-CN"/>
        </w:rPr>
        <w:t>及</w:t>
      </w:r>
      <w:r>
        <w:rPr>
          <w:rStyle w:val="57"/>
          <w:rFonts w:hint="eastAsia" w:ascii="宋体" w:hAnsi="宋体" w:eastAsia="宋体" w:cs="宋体"/>
          <w:color w:val="auto"/>
          <w:sz w:val="24"/>
          <w:szCs w:val="24"/>
          <w:highlight w:val="none"/>
        </w:rPr>
        <w:t>以上质量技术监督部门核准的CMA计量认证合格证书，</w:t>
      </w:r>
      <w:r>
        <w:rPr>
          <w:rStyle w:val="57"/>
          <w:rFonts w:hint="eastAsia" w:ascii="宋体" w:hAnsi="宋体" w:eastAsia="宋体" w:cs="宋体"/>
          <w:color w:val="auto"/>
          <w:sz w:val="24"/>
          <w:szCs w:val="24"/>
          <w:highlight w:val="none"/>
        </w:rPr>
        <w:t>CMA认证范围应</w:t>
      </w:r>
      <w:r>
        <w:rPr>
          <w:rStyle w:val="57"/>
          <w:rFonts w:hint="eastAsia" w:ascii="宋体" w:hAnsi="宋体" w:cs="宋体"/>
          <w:color w:val="auto"/>
          <w:sz w:val="24"/>
          <w:szCs w:val="24"/>
          <w:highlight w:val="none"/>
          <w:lang w:val="en-US" w:eastAsia="zh-CN"/>
        </w:rPr>
        <w:t>含有相关检测参数</w:t>
      </w:r>
      <w:r>
        <w:rPr>
          <w:rStyle w:val="57"/>
          <w:rFonts w:hint="eastAsia" w:ascii="宋体" w:hAnsi="宋体" w:eastAsia="宋体" w:cs="宋体"/>
          <w:color w:val="auto"/>
          <w:sz w:val="24"/>
          <w:szCs w:val="24"/>
          <w:highlight w:val="none"/>
        </w:rPr>
        <w:t>且</w:t>
      </w:r>
      <w:r>
        <w:rPr>
          <w:rStyle w:val="57"/>
          <w:rFonts w:hint="eastAsia" w:ascii="宋体" w:hAnsi="宋体" w:eastAsia="宋体" w:cs="宋体"/>
          <w:color w:val="auto"/>
          <w:sz w:val="24"/>
          <w:szCs w:val="24"/>
          <w:highlight w:val="none"/>
          <w:u w:val="none"/>
        </w:rPr>
        <w:t>在有效期内</w:t>
      </w:r>
      <w:r>
        <w:rPr>
          <w:rStyle w:val="57"/>
          <w:rFonts w:hint="eastAsia" w:ascii="宋体" w:hAnsi="宋体" w:eastAsia="宋体" w:cs="宋体"/>
          <w:color w:val="auto"/>
          <w:sz w:val="24"/>
          <w:szCs w:val="24"/>
          <w:highlight w:val="none"/>
          <w:u w:val="none"/>
          <w:lang w:eastAsia="zh-CN"/>
        </w:rPr>
        <w:t>；</w:t>
      </w:r>
      <w:r>
        <w:rPr>
          <w:rStyle w:val="57"/>
          <w:rFonts w:hint="eastAsia"/>
          <w:color w:val="auto"/>
          <w:sz w:val="24"/>
          <w:szCs w:val="24"/>
          <w:highlight w:val="none"/>
          <w:u w:val="none"/>
        </w:rPr>
        <w:t>投标人须知附录2资格审查条件（业绩最低要求）业绩</w:t>
      </w:r>
      <w:r>
        <w:rPr>
          <w:rStyle w:val="57"/>
          <w:rFonts w:hint="eastAsia"/>
          <w:color w:val="auto"/>
          <w:sz w:val="24"/>
          <w:szCs w:val="24"/>
          <w:highlight w:val="none"/>
          <w:u w:val="none"/>
          <w:lang w:eastAsia="zh-CN"/>
        </w:rPr>
        <w:t>、</w:t>
      </w:r>
      <w:r>
        <w:rPr>
          <w:rFonts w:ascii="宋体" w:hAnsi="宋体" w:eastAsia="宋体" w:cs="宋体"/>
          <w:color w:val="auto"/>
          <w:spacing w:val="-2"/>
          <w:sz w:val="24"/>
          <w:szCs w:val="24"/>
          <w:highlight w:val="none"/>
        </w:rPr>
        <w:t>附录</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rPr>
        <w:t>3的信誉要求、附录</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4的项目负责人资格要求</w:t>
      </w:r>
      <w:r>
        <w:rPr>
          <w:rFonts w:hint="eastAsia" w:ascii="宋体" w:hAnsi="宋体" w:eastAsia="宋体" w:cs="宋体"/>
          <w:color w:val="auto"/>
          <w:spacing w:val="-2"/>
          <w:sz w:val="24"/>
          <w:szCs w:val="24"/>
          <w:highlight w:val="none"/>
          <w:lang w:eastAsia="zh-CN"/>
        </w:rPr>
        <w:t>、附录</w:t>
      </w:r>
      <w:r>
        <w:rPr>
          <w:rFonts w:hint="eastAsia" w:ascii="宋体" w:hAnsi="宋体" w:eastAsia="宋体" w:cs="宋体"/>
          <w:color w:val="auto"/>
          <w:spacing w:val="-2"/>
          <w:sz w:val="24"/>
          <w:szCs w:val="24"/>
          <w:highlight w:val="none"/>
          <w:lang w:val="en-US" w:eastAsia="zh-CN"/>
        </w:rPr>
        <w:t>5的其他主要投标人员资格要求</w:t>
      </w:r>
      <w:r>
        <w:rPr>
          <w:rStyle w:val="57"/>
          <w:rFonts w:hint="eastAsia" w:ascii="宋体" w:hAnsi="宋体" w:eastAsia="宋体" w:cs="宋体"/>
          <w:color w:val="auto"/>
          <w:sz w:val="24"/>
          <w:szCs w:val="24"/>
          <w:highlight w:val="none"/>
          <w:u w:val="none"/>
          <w:lang w:eastAsia="zh-CN"/>
        </w:rPr>
        <w:t>，</w:t>
      </w:r>
      <w:r>
        <w:rPr>
          <w:color w:val="auto"/>
          <w:sz w:val="24"/>
          <w:highlight w:val="none"/>
          <w:u w:val="none"/>
        </w:rPr>
        <w:t>并在人员等方面具有相应的咨询服务能力。</w:t>
      </w:r>
    </w:p>
    <w:p w14:paraId="1F4CD1BD">
      <w:pPr>
        <w:spacing w:line="440" w:lineRule="atLeast"/>
        <w:ind w:firstLine="480" w:firstLineChars="200"/>
        <w:rPr>
          <w:rFonts w:eastAsiaTheme="minorEastAsia"/>
          <w:color w:val="auto"/>
          <w:sz w:val="24"/>
          <w:szCs w:val="20"/>
          <w:highlight w:val="none"/>
        </w:rPr>
      </w:pPr>
      <w:r>
        <w:rPr>
          <w:rFonts w:eastAsiaTheme="minorEastAsia"/>
          <w:color w:val="auto"/>
          <w:sz w:val="24"/>
          <w:szCs w:val="20"/>
          <w:highlight w:val="none"/>
        </w:rPr>
        <w:t xml:space="preserve">3.2 </w:t>
      </w:r>
      <w:r>
        <w:rPr>
          <w:rFonts w:eastAsiaTheme="minorEastAsia"/>
          <w:color w:val="auto"/>
          <w:sz w:val="24"/>
          <w:highlight w:val="none"/>
        </w:rPr>
        <w:t>本次招标</w:t>
      </w:r>
      <w:r>
        <w:rPr>
          <w:rFonts w:eastAsiaTheme="minorEastAsia"/>
          <w:color w:val="auto"/>
          <w:sz w:val="24"/>
          <w:highlight w:val="none"/>
          <w:u w:val="single"/>
        </w:rPr>
        <w:t>不接受</w:t>
      </w:r>
      <w:r>
        <w:rPr>
          <w:rFonts w:eastAsiaTheme="minorEastAsia"/>
          <w:color w:val="auto"/>
          <w:sz w:val="24"/>
          <w:highlight w:val="none"/>
        </w:rPr>
        <w:t>联合体投标。</w:t>
      </w:r>
    </w:p>
    <w:p w14:paraId="02B35BDE">
      <w:pPr>
        <w:spacing w:line="440" w:lineRule="atLeast"/>
        <w:ind w:firstLine="480" w:firstLineChars="200"/>
        <w:rPr>
          <w:rFonts w:hint="eastAsia" w:cs="Times New Roman"/>
          <w:color w:val="auto"/>
          <w:sz w:val="24"/>
          <w:highlight w:val="none"/>
          <w:lang w:val="en-US" w:eastAsia="zh-CN"/>
        </w:rPr>
      </w:pPr>
      <w:bookmarkStart w:id="12" w:name="_Hlk2767314"/>
      <w:r>
        <w:rPr>
          <w:rFonts w:eastAsia="黑体"/>
          <w:color w:val="auto"/>
          <w:sz w:val="24"/>
          <w:szCs w:val="20"/>
          <w:highlight w:val="none"/>
        </w:rPr>
        <w:t>3.3</w:t>
      </w:r>
      <w:r>
        <w:rPr>
          <w:rFonts w:eastAsia="黑体"/>
          <w:color w:val="auto"/>
          <w:sz w:val="24"/>
          <w:highlight w:val="none"/>
        </w:rPr>
        <w:t xml:space="preserve"> </w:t>
      </w:r>
      <w:r>
        <w:rPr>
          <w:rFonts w:ascii="Times New Roman" w:hAnsi="Times New Roman" w:eastAsia="宋体" w:cs="Times New Roman"/>
          <w:color w:val="auto"/>
          <w:sz w:val="24"/>
          <w:highlight w:val="none"/>
        </w:rPr>
        <w:t>每个投标人可在本次招标中对</w:t>
      </w:r>
      <w:r>
        <w:rPr>
          <w:rFonts w:hint="eastAsia" w:cs="Times New Roman"/>
          <w:color w:val="auto"/>
          <w:sz w:val="24"/>
          <w:highlight w:val="none"/>
          <w:lang w:val="en-US" w:eastAsia="zh-CN"/>
        </w:rPr>
        <w:t>1</w:t>
      </w:r>
      <w:r>
        <w:rPr>
          <w:rFonts w:ascii="Times New Roman" w:hAnsi="Times New Roman" w:eastAsia="宋体" w:cs="Times New Roman"/>
          <w:color w:val="auto"/>
          <w:sz w:val="24"/>
          <w:highlight w:val="none"/>
        </w:rPr>
        <w:t>个标段投标，每个投标人允许中</w:t>
      </w:r>
      <w:r>
        <w:rPr>
          <w:rFonts w:hint="eastAsia" w:ascii="Times New Roman" w:hAnsi="Times New Roman" w:eastAsia="宋体" w:cs="Times New Roman"/>
          <w:color w:val="auto"/>
          <w:sz w:val="24"/>
          <w:highlight w:val="none"/>
          <w:lang w:val="en-US" w:eastAsia="zh-CN"/>
        </w:rPr>
        <w:t>1</w:t>
      </w:r>
      <w:r>
        <w:rPr>
          <w:rFonts w:ascii="Times New Roman" w:hAnsi="Times New Roman" w:eastAsia="宋体" w:cs="Times New Roman"/>
          <w:color w:val="auto"/>
          <w:sz w:val="24"/>
          <w:highlight w:val="none"/>
        </w:rPr>
        <w:t>个标。</w:t>
      </w:r>
      <w:r>
        <w:rPr>
          <w:rFonts w:hint="eastAsia" w:cs="Times New Roman"/>
          <w:color w:val="auto"/>
          <w:sz w:val="24"/>
          <w:highlight w:val="none"/>
          <w:lang w:val="en-US" w:eastAsia="zh-CN"/>
        </w:rPr>
        <w:t xml:space="preserve"> </w:t>
      </w:r>
    </w:p>
    <w:p w14:paraId="260BC068">
      <w:pPr>
        <w:spacing w:line="440" w:lineRule="atLeast"/>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3.4 与招标人存在利害关系且可能影响招标公正性的单位，不得参加投标。单位负责人为同一人或者存在控股、管理关系的不同单位（即利益相关人），不得参加同一标段投标，否则，相关投标均无效。</w:t>
      </w:r>
    </w:p>
    <w:p w14:paraId="26A44B40">
      <w:pPr>
        <w:pStyle w:val="659"/>
        <w:spacing w:line="440" w:lineRule="exact"/>
        <w:ind w:firstLine="480" w:firstLineChars="200"/>
        <w:rPr>
          <w:rStyle w:val="57"/>
          <w:rFonts w:hint="eastAsia" w:ascii="宋体" w:hAnsi="宋体" w:eastAsia="宋体" w:cs="宋体"/>
          <w:color w:val="auto"/>
          <w:sz w:val="24"/>
          <w:szCs w:val="24"/>
          <w:highlight w:val="none"/>
        </w:rPr>
      </w:pPr>
      <w:r>
        <w:rPr>
          <w:rFonts w:ascii="Times New Roman" w:hAnsi="Times New Roman" w:eastAsia="宋体" w:cs="Times New Roman"/>
          <w:color w:val="auto"/>
          <w:sz w:val="24"/>
          <w:highlight w:val="none"/>
        </w:rPr>
        <w:t xml:space="preserve">3.5 </w:t>
      </w:r>
      <w:r>
        <w:rPr>
          <w:rStyle w:val="57"/>
          <w:rFonts w:hint="eastAsia" w:ascii="宋体" w:hAnsi="宋体" w:eastAsia="宋体" w:cs="宋体"/>
          <w:color w:val="auto"/>
          <w:sz w:val="24"/>
          <w:szCs w:val="24"/>
          <w:highlight w:val="none"/>
        </w:rPr>
        <w:t>招标人不接受被湖南省交通运输厅评为最近第一年度 D 级、连续三年（最近第三年、最近第二年和最近第一年）评为C 级及以下信用等级的投标人投标。</w:t>
      </w:r>
    </w:p>
    <w:p w14:paraId="0B46014C">
      <w:pPr>
        <w:pStyle w:val="659"/>
        <w:spacing w:line="440" w:lineRule="exact"/>
        <w:ind w:firstLine="480" w:firstLineChars="200"/>
        <w:rPr>
          <w:rStyle w:val="57"/>
          <w:rFonts w:hint="eastAsia" w:ascii="宋体" w:hAnsi="宋体" w:eastAsia="宋体" w:cs="宋体"/>
          <w:color w:val="auto"/>
          <w:sz w:val="24"/>
          <w:szCs w:val="24"/>
          <w:highlight w:val="none"/>
        </w:rPr>
      </w:pPr>
      <w:r>
        <w:rPr>
          <w:rStyle w:val="57"/>
          <w:rFonts w:hint="eastAsia" w:ascii="宋体" w:hAnsi="宋体" w:eastAsia="宋体" w:cs="宋体"/>
          <w:color w:val="auto"/>
          <w:sz w:val="24"/>
          <w:szCs w:val="24"/>
          <w:highlight w:val="none"/>
        </w:rPr>
        <w:t>注：信用等级评价结果是指以投标递交截止之日前一日发布的文件结果为准，若发布的最近一年的信用评价等级和投标人填报的最近一年的信用等级不一致时，以最新一年发布的信用评价文件为准。</w:t>
      </w:r>
    </w:p>
    <w:p w14:paraId="61965AE7">
      <w:pPr>
        <w:spacing w:line="440" w:lineRule="atLeast"/>
        <w:ind w:firstLine="480" w:firstLineChars="200"/>
        <w:rPr>
          <w:rFonts w:ascii="Times New Roman" w:hAnsi="Times New Roman" w:eastAsia="宋体" w:cs="Times New Roman"/>
          <w:color w:val="auto"/>
          <w:sz w:val="24"/>
          <w:highlight w:val="none"/>
        </w:rPr>
      </w:pPr>
      <w:r>
        <w:rPr>
          <w:rFonts w:hint="eastAsia" w:cs="Times New Roman"/>
          <w:color w:val="auto"/>
          <w:sz w:val="24"/>
          <w:highlight w:val="none"/>
          <w:lang w:val="en-US" w:eastAsia="zh-CN"/>
        </w:rPr>
        <w:t>3.6</w:t>
      </w:r>
      <w:r>
        <w:rPr>
          <w:rFonts w:ascii="Times New Roman" w:hAnsi="Times New Roman" w:eastAsia="宋体" w:cs="Times New Roman"/>
          <w:color w:val="auto"/>
          <w:sz w:val="24"/>
          <w:highlight w:val="none"/>
        </w:rPr>
        <w:t>招标人不接受在全国企业信用信息公示系统（http://www.gsxt.gov.cn）中被列入严重违法失信企业名单的或在“信用中国”网站（www.creditchina.gov.cn）中被列入失信被执行人名单的投标人投标。</w:t>
      </w:r>
      <w:bookmarkEnd w:id="12"/>
    </w:p>
    <w:p w14:paraId="6E108B02">
      <w:pPr>
        <w:pStyle w:val="659"/>
        <w:spacing w:line="440" w:lineRule="exact"/>
        <w:ind w:firstLine="480" w:firstLineChars="200"/>
        <w:rPr>
          <w:rStyle w:val="57"/>
          <w:rFonts w:hint="default" w:ascii="宋体" w:hAnsi="宋体" w:eastAsia="宋体" w:cs="宋体"/>
          <w:color w:val="auto"/>
          <w:sz w:val="24"/>
          <w:szCs w:val="24"/>
          <w:highlight w:val="none"/>
          <w:lang w:val="en-US" w:eastAsia="zh-CN"/>
        </w:rPr>
      </w:pPr>
      <w:r>
        <w:rPr>
          <w:rFonts w:hint="eastAsia" w:cs="Times New Roman"/>
          <w:color w:val="auto"/>
          <w:sz w:val="24"/>
          <w:highlight w:val="none"/>
          <w:lang w:val="en-US" w:eastAsia="zh-CN"/>
        </w:rPr>
        <w:t>3.7</w:t>
      </w:r>
      <w:r>
        <w:rPr>
          <w:rStyle w:val="57"/>
          <w:rFonts w:hint="eastAsia" w:ascii="宋体" w:hAnsi="宋体" w:eastAsia="宋体" w:cs="宋体"/>
          <w:color w:val="auto"/>
          <w:sz w:val="24"/>
          <w:szCs w:val="24"/>
          <w:highlight w:val="none"/>
          <w:lang w:val="en-US" w:eastAsia="zh-CN"/>
        </w:rPr>
        <w:t>投标人不得与所投标段的施工单位、监理单位、交工验收受托人有直接隶属关系或利益关系，本项目工地试验室的母体单位不得参与本项目投标。</w:t>
      </w:r>
      <w:r>
        <w:rPr>
          <w:rFonts w:hint="eastAsia" w:ascii="黑体" w:hAnsi="宋体" w:eastAsia="黑体" w:cs="黑体"/>
          <w:color w:val="auto"/>
          <w:kern w:val="0"/>
          <w:sz w:val="24"/>
          <w:szCs w:val="24"/>
          <w:highlight w:val="none"/>
          <w:lang w:val="en-US" w:eastAsia="zh-CN" w:bidi="ar"/>
        </w:rPr>
        <w:t xml:space="preserve"> </w:t>
      </w:r>
    </w:p>
    <w:p w14:paraId="4B5A7005">
      <w:pPr>
        <w:pStyle w:val="34"/>
        <w:rPr>
          <w:rFonts w:hint="default" w:eastAsia="宋体"/>
          <w:color w:val="auto"/>
          <w:highlight w:val="none"/>
          <w:lang w:val="en-US" w:eastAsia="zh-CN"/>
        </w:rPr>
      </w:pPr>
    </w:p>
    <w:p w14:paraId="5709962F">
      <w:pPr>
        <w:pStyle w:val="2"/>
        <w:spacing w:before="240" w:after="240" w:line="440" w:lineRule="atLeast"/>
        <w:rPr>
          <w:rFonts w:eastAsia="黑体"/>
          <w:color w:val="auto"/>
          <w:sz w:val="28"/>
          <w:szCs w:val="28"/>
          <w:highlight w:val="none"/>
        </w:rPr>
      </w:pPr>
      <w:bookmarkStart w:id="13" w:name="_Toc503235718"/>
      <w:bookmarkStart w:id="14" w:name="_Toc510015652"/>
      <w:r>
        <w:rPr>
          <w:rFonts w:eastAsia="黑体"/>
          <w:color w:val="auto"/>
          <w:sz w:val="28"/>
          <w:szCs w:val="28"/>
          <w:highlight w:val="none"/>
        </w:rPr>
        <w:t>4. 招标文件的获取</w:t>
      </w:r>
      <w:bookmarkEnd w:id="13"/>
      <w:bookmarkEnd w:id="14"/>
      <w:r>
        <w:rPr>
          <w:rFonts w:eastAsia="黑体"/>
          <w:color w:val="auto"/>
          <w:sz w:val="28"/>
          <w:szCs w:val="28"/>
          <w:highlight w:val="none"/>
        </w:rPr>
        <w:tab/>
      </w:r>
    </w:p>
    <w:p w14:paraId="02F9C832">
      <w:pPr>
        <w:pStyle w:val="286"/>
        <w:keepNext w:val="0"/>
        <w:keepLines w:val="0"/>
        <w:pageBreakBefore w:val="0"/>
        <w:widowControl w:val="0"/>
        <w:numPr>
          <w:ilvl w:val="0"/>
          <w:numId w:val="0"/>
        </w:numPr>
        <w:tabs>
          <w:tab w:val="left" w:pos="978"/>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Times New Roman"/>
          <w:color w:val="auto"/>
          <w:sz w:val="24"/>
          <w:highlight w:val="none"/>
          <w:lang w:val="en-US" w:eastAsia="zh-CN"/>
        </w:rPr>
      </w:pPr>
      <w:r>
        <w:rPr>
          <w:rFonts w:ascii="Times New Roman" w:hAnsi="Times New Roman" w:eastAsia="黑体"/>
          <w:color w:val="auto"/>
          <w:sz w:val="24"/>
          <w:highlight w:val="none"/>
        </w:rPr>
        <w:t xml:space="preserve">4.1 </w:t>
      </w:r>
      <w:r>
        <w:rPr>
          <w:rFonts w:hint="eastAsia" w:ascii="宋体" w:hAnsi="宋体" w:eastAsia="宋体" w:cs="Times New Roman"/>
          <w:color w:val="auto"/>
          <w:sz w:val="24"/>
          <w:highlight w:val="none"/>
        </w:rPr>
        <w:t>根据规定，本项目只接受网上报名。</w:t>
      </w:r>
      <w:r>
        <w:rPr>
          <w:rFonts w:hint="eastAsia" w:ascii="宋体" w:hAnsi="宋体"/>
          <w:color w:val="auto"/>
          <w:sz w:val="24"/>
          <w:highlight w:val="none"/>
        </w:rPr>
        <w:t>凡有意参加</w:t>
      </w:r>
      <w:r>
        <w:rPr>
          <w:rFonts w:hint="eastAsia" w:ascii="宋体" w:hAnsi="宋体"/>
          <w:color w:val="auto"/>
          <w:sz w:val="24"/>
          <w:highlight w:val="none"/>
          <w:lang w:val="en-US" w:eastAsia="zh-CN"/>
        </w:rPr>
        <w:t>投标</w:t>
      </w:r>
      <w:r>
        <w:rPr>
          <w:rFonts w:hint="eastAsia" w:ascii="宋体" w:hAnsi="宋体"/>
          <w:color w:val="auto"/>
          <w:sz w:val="24"/>
          <w:highlight w:val="none"/>
        </w:rPr>
        <w:t>的单位，请</w:t>
      </w:r>
      <w:r>
        <w:rPr>
          <w:rFonts w:hint="eastAsia" w:ascii="宋体" w:hAnsi="宋体" w:eastAsia="宋体" w:cs="Times New Roman"/>
          <w:color w:val="auto"/>
          <w:sz w:val="24"/>
          <w:highlight w:val="none"/>
          <w:lang w:val="en-US" w:eastAsia="zh-CN"/>
        </w:rPr>
        <w:t>自行</w:t>
      </w:r>
      <w:r>
        <w:rPr>
          <w:rFonts w:hint="eastAsia" w:ascii="宋体" w:hAnsi="宋体" w:eastAsia="宋体" w:cs="Times New Roman"/>
          <w:color w:val="auto"/>
          <w:sz w:val="24"/>
          <w:highlight w:val="none"/>
        </w:rPr>
        <w:t>登录</w:t>
      </w:r>
      <w:r>
        <w:rPr>
          <w:rStyle w:val="57"/>
          <w:rFonts w:hint="eastAsia" w:ascii="宋体" w:hAnsi="宋体"/>
          <w:color w:val="auto"/>
          <w:sz w:val="24"/>
          <w:highlight w:val="none"/>
        </w:rPr>
        <w:t>中科高盛咨询集团有限公司</w:t>
      </w:r>
      <w:r>
        <w:rPr>
          <w:rFonts w:hint="eastAsia" w:ascii="宋体" w:hAnsi="宋体" w:eastAsia="宋体" w:cs="Times New Roman"/>
          <w:color w:val="auto"/>
          <w:sz w:val="24"/>
          <w:highlight w:val="none"/>
        </w:rPr>
        <w:t>网</w:t>
      </w:r>
      <w:r>
        <w:rPr>
          <w:rFonts w:hint="eastAsia" w:ascii="宋体" w:hAnsi="宋体" w:cs="Times New Roman"/>
          <w:color w:val="auto"/>
          <w:sz w:val="24"/>
          <w:highlight w:val="none"/>
          <w:lang w:val="en-US" w:eastAsia="zh-CN"/>
        </w:rPr>
        <w:t>站</w:t>
      </w:r>
      <w:r>
        <w:rPr>
          <w:rFonts w:hint="eastAsia" w:ascii="宋体" w:hAnsi="宋体" w:eastAsia="宋体" w:cs="Times New Roman"/>
          <w:color w:val="auto"/>
          <w:sz w:val="24"/>
          <w:highlight w:val="none"/>
        </w:rPr>
        <w:t>（http://www.zkgscg.com/）</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www.1688.com/）中注册、完善、公开本单位信息（如遇到平台使用问题可以咨询客服电话4008001688）。自行在平台上进行网上下载采购文件等资料，通过网络下载的采购文件等资料与备案的书面采购文件等资料具有同等法律效力。"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进行网上下载招标文件等资料，通过网络下载的招标文件等资料与备案的书面招标文件等资料具有同等法律效力。</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凡资料不全、投标人与其证照不符、超过招标文件下载时间将被拒绝。投标人应及时关注网上相关招标信息，如有遗漏招标人概不负责，所造成的投标失败或损失由投标人自行负责。</w:t>
      </w:r>
    </w:p>
    <w:p w14:paraId="1DB8F873">
      <w:pPr>
        <w:spacing w:line="440" w:lineRule="atLeast"/>
        <w:ind w:firstLine="480" w:firstLineChars="200"/>
        <w:rPr>
          <w:color w:val="auto"/>
          <w:sz w:val="24"/>
          <w:highlight w:val="none"/>
        </w:rPr>
      </w:pPr>
      <w:r>
        <w:rPr>
          <w:rFonts w:hint="eastAsia" w:ascii="宋体" w:hAnsi="宋体" w:eastAsia="宋体" w:cs="Times New Roman"/>
          <w:color w:val="auto"/>
          <w:sz w:val="24"/>
          <w:highlight w:val="none"/>
          <w:lang w:val="en-US" w:eastAsia="zh-CN"/>
        </w:rPr>
        <w:t>4.2投标人应及时关注网上相关招标信息，如有遗漏招标人概不负责，所造成的投标失败或损失由投标人自行负责。</w:t>
      </w:r>
    </w:p>
    <w:p w14:paraId="60399F5E">
      <w:pPr>
        <w:pStyle w:val="2"/>
        <w:spacing w:before="240" w:after="240" w:line="440" w:lineRule="atLeast"/>
        <w:rPr>
          <w:rFonts w:eastAsia="黑体"/>
          <w:color w:val="auto"/>
          <w:sz w:val="28"/>
          <w:szCs w:val="28"/>
          <w:highlight w:val="none"/>
        </w:rPr>
      </w:pPr>
      <w:bookmarkStart w:id="15" w:name="_Toc503235719"/>
      <w:bookmarkStart w:id="16" w:name="_Toc510015653"/>
      <w:r>
        <w:rPr>
          <w:rFonts w:eastAsia="黑体"/>
          <w:color w:val="auto"/>
          <w:sz w:val="28"/>
          <w:szCs w:val="28"/>
          <w:highlight w:val="none"/>
        </w:rPr>
        <w:t>5. 投标文件的递交及相关事宜</w:t>
      </w:r>
      <w:bookmarkEnd w:id="15"/>
      <w:bookmarkEnd w:id="16"/>
    </w:p>
    <w:p w14:paraId="1752AE16">
      <w:pPr>
        <w:pStyle w:val="286"/>
        <w:keepNext w:val="0"/>
        <w:keepLines w:val="0"/>
        <w:pageBreakBefore w:val="0"/>
        <w:widowControl w:val="0"/>
        <w:numPr>
          <w:ilvl w:val="0"/>
          <w:numId w:val="0"/>
        </w:numPr>
        <w:tabs>
          <w:tab w:val="left" w:pos="978"/>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5.1招标人不组织进行现场踏勘，不召开投标预备会。</w:t>
      </w:r>
    </w:p>
    <w:p w14:paraId="7DDF2BD1">
      <w:pPr>
        <w:pStyle w:val="286"/>
        <w:keepNext w:val="0"/>
        <w:keepLines w:val="0"/>
        <w:pageBreakBefore w:val="0"/>
        <w:widowControl w:val="0"/>
        <w:numPr>
          <w:ilvl w:val="0"/>
          <w:numId w:val="0"/>
        </w:numPr>
        <w:tabs>
          <w:tab w:val="left" w:pos="978"/>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5.2 投标文件递交的截止时间(投标截止时间，下同)为</w:t>
      </w:r>
      <w:r>
        <w:rPr>
          <w:rFonts w:hint="eastAsia" w:ascii="宋体" w:hAnsi="宋体" w:eastAsia="宋体" w:cs="Times New Roman"/>
          <w:color w:val="auto"/>
          <w:sz w:val="24"/>
          <w:highlight w:val="none"/>
          <w:lang w:val="en-US" w:eastAsia="zh-CN"/>
        </w:rPr>
        <w:t>202</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年</w:t>
      </w:r>
      <w:r>
        <w:rPr>
          <w:rFonts w:hint="eastAsia" w:ascii="宋体" w:hAnsi="宋体" w:cs="Times New Roman"/>
          <w:color w:val="auto"/>
          <w:sz w:val="24"/>
          <w:highlight w:val="none"/>
          <w:lang w:val="en-US" w:eastAsia="zh-CN"/>
        </w:rPr>
        <w:t>11</w:t>
      </w:r>
      <w:r>
        <w:rPr>
          <w:rFonts w:hint="eastAsia" w:ascii="宋体" w:hAnsi="宋体" w:eastAsia="宋体" w:cs="Times New Roman"/>
          <w:color w:val="auto"/>
          <w:sz w:val="24"/>
          <w:highlight w:val="none"/>
          <w:lang w:val="en-US" w:eastAsia="zh-CN"/>
        </w:rPr>
        <w:t>月</w:t>
      </w:r>
      <w:r>
        <w:rPr>
          <w:rFonts w:hint="eastAsia" w:ascii="宋体" w:hAnsi="宋体" w:cs="Times New Roman"/>
          <w:color w:val="auto"/>
          <w:sz w:val="24"/>
          <w:highlight w:val="none"/>
          <w:u w:val="single"/>
          <w:lang w:val="en-US" w:eastAsia="zh-CN"/>
        </w:rPr>
        <w:t xml:space="preserve"> 20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lang w:val="en-US" w:eastAsia="zh-CN"/>
        </w:rPr>
        <w:t>日</w:t>
      </w:r>
      <w:r>
        <w:rPr>
          <w:rFonts w:hint="eastAsia" w:ascii="宋体" w:hAnsi="宋体" w:eastAsia="宋体" w:cs="Times New Roman"/>
          <w:color w:val="auto"/>
          <w:sz w:val="24"/>
          <w:highlight w:val="none"/>
          <w:lang w:val="en-US" w:eastAsia="zh-CN"/>
        </w:rPr>
        <w:t>上午9时</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0分（北京时间），投标人应于当日9时</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0分前按招标文件要求制作好投标文件，签字盖章完成后扫描成pdf格式文件，用WinRAR 文件压缩软件进行压缩并设置密码（该密码在视频开标会议上向招标人提供），压缩文件名注明项目名称、投标人名称。上传压缩文件至招标人指定邮箱</w:t>
      </w:r>
      <w:r>
        <w:rPr>
          <w:rFonts w:hint="eastAsia" w:ascii="宋体" w:hAnsi="宋体" w:cs="Times New Roman"/>
          <w:color w:val="auto"/>
          <w:sz w:val="24"/>
          <w:highlight w:val="none"/>
          <w:lang w:val="en-US" w:eastAsia="zh-CN"/>
        </w:rPr>
        <w:t>545826559</w:t>
      </w:r>
      <w:r>
        <w:rPr>
          <w:rFonts w:hint="eastAsia" w:ascii="宋体" w:hAnsi="宋体" w:eastAsia="宋体" w:cs="Times New Roman"/>
          <w:color w:val="auto"/>
          <w:sz w:val="24"/>
          <w:highlight w:val="none"/>
          <w:lang w:val="en-US" w:eastAsia="zh-CN"/>
        </w:rPr>
        <w:t>@qq.com，时间以收到邮件时间为准，邮件中留联系人及手机号码。在截止时间后上传或未按要求发送至指定邮箱的投标文件，招标人将拒绝接收。</w:t>
      </w:r>
    </w:p>
    <w:p w14:paraId="29D716AC">
      <w:pPr>
        <w:spacing w:line="440" w:lineRule="atLeast"/>
        <w:ind w:firstLine="480" w:firstLineChars="200"/>
        <w:rPr>
          <w:color w:val="auto"/>
          <w:sz w:val="24"/>
          <w:highlight w:val="none"/>
        </w:rPr>
      </w:pPr>
      <w:r>
        <w:rPr>
          <w:rFonts w:hint="eastAsia" w:ascii="宋体" w:hAnsi="宋体" w:eastAsia="宋体" w:cs="Times New Roman"/>
          <w:color w:val="auto"/>
          <w:sz w:val="24"/>
          <w:highlight w:val="none"/>
          <w:lang w:val="en-US" w:eastAsia="zh-CN"/>
        </w:rPr>
        <w:t>5.3招标人于</w:t>
      </w:r>
      <w:r>
        <w:rPr>
          <w:rFonts w:hint="eastAsia" w:ascii="宋体" w:hAnsi="宋体" w:eastAsia="宋体" w:cs="Times New Roman"/>
          <w:color w:val="auto"/>
          <w:sz w:val="24"/>
          <w:highlight w:val="none"/>
          <w:lang w:val="en-US" w:eastAsia="zh-CN"/>
        </w:rPr>
        <w:t>202</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年</w:t>
      </w:r>
      <w:r>
        <w:rPr>
          <w:rFonts w:hint="eastAsia" w:ascii="宋体" w:hAnsi="宋体" w:cs="Times New Roman"/>
          <w:color w:val="auto"/>
          <w:sz w:val="24"/>
          <w:highlight w:val="none"/>
          <w:lang w:val="en-US" w:eastAsia="zh-CN"/>
        </w:rPr>
        <w:t>11</w:t>
      </w:r>
      <w:r>
        <w:rPr>
          <w:rFonts w:hint="eastAsia" w:ascii="宋体" w:hAnsi="宋体" w:eastAsia="宋体" w:cs="Times New Roman"/>
          <w:color w:val="auto"/>
          <w:sz w:val="24"/>
          <w:highlight w:val="none"/>
          <w:lang w:val="en-US" w:eastAsia="zh-CN"/>
        </w:rPr>
        <w:t>月</w:t>
      </w:r>
      <w:r>
        <w:rPr>
          <w:rFonts w:hint="eastAsia" w:ascii="宋体" w:hAnsi="宋体" w:cs="Times New Roman"/>
          <w:color w:val="auto"/>
          <w:sz w:val="24"/>
          <w:highlight w:val="none"/>
          <w:u w:val="single"/>
          <w:lang w:val="en-US" w:eastAsia="zh-CN"/>
        </w:rPr>
        <w:t xml:space="preserve"> 20 </w:t>
      </w:r>
      <w:r>
        <w:rPr>
          <w:rFonts w:hint="eastAsia" w:ascii="宋体" w:hAnsi="宋体" w:eastAsia="宋体" w:cs="Times New Roman"/>
          <w:color w:val="auto"/>
          <w:sz w:val="24"/>
          <w:highlight w:val="none"/>
          <w:lang w:val="en-US" w:eastAsia="zh-CN"/>
        </w:rPr>
        <w:t>日</w:t>
      </w:r>
      <w:r>
        <w:rPr>
          <w:rFonts w:hint="eastAsia" w:ascii="宋体" w:hAnsi="宋体" w:eastAsia="宋体" w:cs="Times New Roman"/>
          <w:color w:val="auto"/>
          <w:sz w:val="24"/>
          <w:highlight w:val="none"/>
          <w:lang w:val="en-US" w:eastAsia="zh-CN"/>
        </w:rPr>
        <w:t>9时</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0分(北京时间)通过“腾讯会议”APP进行远程开标，所有投标人的法定代表人（单位负责人）或其委托代理人应当提前下载“腾讯会议”APP并准时参加远程开标会议。投标人若未派法定代表人或委托代理人出席开标活动，视为该投标人默认开标结果。</w:t>
      </w:r>
    </w:p>
    <w:p w14:paraId="3C605DBA">
      <w:pPr>
        <w:autoSpaceDE w:val="0"/>
        <w:autoSpaceDN w:val="0"/>
        <w:adjustRightInd w:val="0"/>
        <w:spacing w:line="440" w:lineRule="atLeast"/>
        <w:ind w:firstLine="48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5.3</w:t>
      </w:r>
      <w:r>
        <w:rPr>
          <w:rFonts w:hint="eastAsia" w:ascii="宋体" w:hAnsi="宋体" w:eastAsia="宋体" w:cs="宋体"/>
          <w:color w:val="auto"/>
          <w:sz w:val="24"/>
          <w:szCs w:val="20"/>
          <w:highlight w:val="none"/>
        </w:rPr>
        <w:t xml:space="preserve"> 投标保证金的递交：</w:t>
      </w:r>
    </w:p>
    <w:p w14:paraId="21578000">
      <w:pPr>
        <w:autoSpaceDE w:val="0"/>
        <w:autoSpaceDN w:val="0"/>
        <w:adjustRightInd w:val="0"/>
        <w:spacing w:line="440" w:lineRule="atLeast"/>
        <w:ind w:firstLine="480"/>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投标保证金的金额：</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u w:val="single"/>
          <w:lang w:eastAsia="zh-CN"/>
        </w:rPr>
        <w:t>叁</w:t>
      </w:r>
      <w:r>
        <w:rPr>
          <w:rFonts w:hint="eastAsia" w:ascii="宋体" w:hAnsi="宋体" w:eastAsia="宋体" w:cs="宋体"/>
          <w:color w:val="auto"/>
          <w:sz w:val="24"/>
          <w:szCs w:val="20"/>
          <w:highlight w:val="none"/>
          <w:u w:val="single"/>
        </w:rPr>
        <w:t>万元</w:t>
      </w:r>
    </w:p>
    <w:p w14:paraId="5A64D9E0">
      <w:pPr>
        <w:pStyle w:val="34"/>
        <w:rPr>
          <w:rFonts w:eastAsia="黑体"/>
          <w:color w:val="auto"/>
          <w:sz w:val="24"/>
          <w:szCs w:val="20"/>
          <w:highlight w:val="none"/>
        </w:rPr>
      </w:pPr>
      <w:r>
        <w:rPr>
          <w:rFonts w:hint="eastAsia"/>
          <w:color w:val="auto"/>
          <w:highlight w:val="none"/>
          <w:u w:val="none"/>
          <w:lang w:val="en-US" w:eastAsia="zh-CN"/>
        </w:rPr>
        <w:t xml:space="preserve">       </w:t>
      </w:r>
      <w:r>
        <w:rPr>
          <w:rFonts w:hint="eastAsia" w:ascii="宋体" w:hAnsi="宋体" w:eastAsia="宋体" w:cs="宋体"/>
          <w:color w:val="auto"/>
          <w:sz w:val="24"/>
          <w:szCs w:val="24"/>
          <w:highlight w:val="none"/>
        </w:rPr>
        <w:t>（1）投标人采用现金或者支票形式提交的投标保证金应当从其基本账户转出，投标人应在投标截止时间前以转账、电汇、网银方式从投标人基本账户一次性划款到以下指定投标保证金专用账号上（以到账时间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备注项目名称</w:t>
      </w:r>
      <w:r>
        <w:rPr>
          <w:rFonts w:hint="eastAsia" w:ascii="宋体" w:hAnsi="宋体" w:eastAsia="宋体" w:cs="宋体"/>
          <w:color w:val="auto"/>
          <w:sz w:val="24"/>
          <w:szCs w:val="24"/>
          <w:highlight w:val="none"/>
        </w:rPr>
        <w:t>）。</w:t>
      </w:r>
    </w:p>
    <w:p w14:paraId="4CCE77D2">
      <w:pPr>
        <w:spacing w:line="44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账户名称：中科高盛咨询集团有限公司</w:t>
      </w:r>
    </w:p>
    <w:p w14:paraId="1C362011">
      <w:pPr>
        <w:spacing w:line="44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开户银行：中国民生银行长沙芙蓉广场支行（行号 3055 5103 1105）</w:t>
      </w:r>
    </w:p>
    <w:p w14:paraId="535C68CB">
      <w:pPr>
        <w:spacing w:line="44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账号：9902 0017 7605 5715</w:t>
      </w:r>
    </w:p>
    <w:p w14:paraId="2653C330">
      <w:pPr>
        <w:autoSpaceDE w:val="0"/>
        <w:autoSpaceDN w:val="0"/>
        <w:adjustRightInd w:val="0"/>
        <w:spacing w:line="440" w:lineRule="atLeast"/>
        <w:ind w:firstLine="480"/>
        <w:rPr>
          <w:rFonts w:eastAsia="黑体"/>
          <w:color w:val="auto"/>
          <w:sz w:val="24"/>
          <w:szCs w:val="20"/>
          <w:highlight w:val="none"/>
        </w:rPr>
      </w:pPr>
      <w:r>
        <w:rPr>
          <w:rFonts w:hint="eastAsia" w:ascii="宋体" w:hAnsi="宋体" w:cs="宋体"/>
          <w:color w:val="auto"/>
          <w:sz w:val="24"/>
          <w:szCs w:val="24"/>
          <w:highlight w:val="none"/>
        </w:rPr>
        <w:t>（2）采用银行保函时，应由</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人开立基本账户的银行出具保函。</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人允许</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人将</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保函原件和银行查询授权书原件（如有）按照</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文件要求密封后（封套注明项目名称、</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人名称），采用邮寄方式最晚于开标之日前一日下午17:00前交</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人或</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代理公司签收（以签收时间为准，不含节假日），邮寄地址：长沙市天心区友谊路413号运成大厦12楼</w:t>
      </w:r>
      <w:r>
        <w:rPr>
          <w:rFonts w:hint="eastAsia" w:ascii="宋体" w:hAnsi="宋体" w:cs="宋体"/>
          <w:color w:val="auto"/>
          <w:sz w:val="24"/>
          <w:szCs w:val="24"/>
          <w:highlight w:val="none"/>
          <w:lang w:eastAsia="zh-CN"/>
        </w:rPr>
        <w:t>彭</w:t>
      </w:r>
      <w:r>
        <w:rPr>
          <w:rFonts w:hint="eastAsia" w:ascii="宋体" w:hAnsi="宋体" w:cs="宋体"/>
          <w:color w:val="auto"/>
          <w:sz w:val="24"/>
          <w:szCs w:val="24"/>
          <w:highlight w:val="none"/>
        </w:rPr>
        <w:t>先生收（联系电话0731-8</w:t>
      </w:r>
      <w:r>
        <w:rPr>
          <w:rFonts w:hint="eastAsia" w:ascii="宋体" w:hAnsi="宋体" w:cs="宋体"/>
          <w:color w:val="auto"/>
          <w:sz w:val="24"/>
          <w:szCs w:val="24"/>
          <w:highlight w:val="none"/>
          <w:lang w:val="en-US" w:eastAsia="zh-CN"/>
        </w:rPr>
        <w:t>4452818</w:t>
      </w:r>
      <w:r>
        <w:rPr>
          <w:rFonts w:hint="eastAsia" w:ascii="宋体" w:hAnsi="宋体" w:cs="宋体"/>
          <w:color w:val="auto"/>
          <w:sz w:val="24"/>
          <w:szCs w:val="24"/>
          <w:highlight w:val="none"/>
        </w:rPr>
        <w:t>）。</w:t>
      </w:r>
    </w:p>
    <w:p w14:paraId="48C37536">
      <w:pPr>
        <w:pStyle w:val="2"/>
        <w:spacing w:before="240" w:after="240" w:line="440" w:lineRule="atLeast"/>
        <w:rPr>
          <w:rFonts w:eastAsia="黑体"/>
          <w:color w:val="auto"/>
          <w:sz w:val="28"/>
          <w:szCs w:val="28"/>
          <w:highlight w:val="none"/>
        </w:rPr>
      </w:pPr>
      <w:bookmarkStart w:id="17" w:name="_Toc517377022"/>
      <w:r>
        <w:rPr>
          <w:rFonts w:eastAsia="黑体"/>
          <w:color w:val="auto"/>
          <w:sz w:val="28"/>
          <w:szCs w:val="28"/>
          <w:highlight w:val="none"/>
        </w:rPr>
        <w:t>6．评标办法</w:t>
      </w:r>
      <w:bookmarkEnd w:id="17"/>
    </w:p>
    <w:p w14:paraId="68EA213C">
      <w:pPr>
        <w:pStyle w:val="18"/>
        <w:topLinePunct/>
        <w:spacing w:line="400" w:lineRule="atLeas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本项目评标办法采用</w:t>
      </w:r>
      <w:r>
        <w:rPr>
          <w:rStyle w:val="57"/>
          <w:rFonts w:hint="eastAsia" w:ascii="宋体" w:hAnsi="宋体" w:eastAsia="宋体" w:cs="宋体"/>
          <w:b/>
          <w:color w:val="auto"/>
          <w:sz w:val="24"/>
          <w:szCs w:val="24"/>
          <w:highlight w:val="none"/>
          <w:u w:val="single"/>
          <w:lang w:val="en-US" w:eastAsia="zh-CN"/>
        </w:rPr>
        <w:t>综合评</w:t>
      </w:r>
      <w:r>
        <w:rPr>
          <w:rStyle w:val="57"/>
          <w:rFonts w:hint="eastAsia" w:hAnsi="宋体" w:cs="宋体"/>
          <w:b/>
          <w:color w:val="auto"/>
          <w:sz w:val="24"/>
          <w:szCs w:val="24"/>
          <w:highlight w:val="none"/>
          <w:u w:val="single"/>
          <w:lang w:val="en-US" w:eastAsia="zh-CN"/>
        </w:rPr>
        <w:t>估</w:t>
      </w:r>
      <w:r>
        <w:rPr>
          <w:rStyle w:val="57"/>
          <w:rFonts w:hint="eastAsia" w:ascii="宋体" w:hAnsi="宋体" w:eastAsia="宋体" w:cs="宋体"/>
          <w:b/>
          <w:color w:val="auto"/>
          <w:sz w:val="24"/>
          <w:szCs w:val="24"/>
          <w:highlight w:val="none"/>
          <w:u w:val="single"/>
          <w:lang w:val="en-US" w:eastAsia="zh-CN"/>
        </w:rPr>
        <w:t>法</w:t>
      </w:r>
      <w:r>
        <w:rPr>
          <w:rStyle w:val="57"/>
          <w:rFonts w:hint="eastAsia" w:ascii="宋体" w:hAnsi="宋体" w:eastAsia="宋体" w:cs="宋体"/>
          <w:color w:val="auto"/>
          <w:sz w:val="24"/>
          <w:szCs w:val="24"/>
          <w:highlight w:val="none"/>
          <w:u w:val="single"/>
        </w:rPr>
        <w:t xml:space="preserve"> </w:t>
      </w:r>
      <w:r>
        <w:rPr>
          <w:rFonts w:hint="eastAsia" w:ascii="宋体" w:hAnsi="宋体" w:eastAsia="宋体" w:cs="宋体"/>
          <w:color w:val="auto"/>
          <w:highlight w:val="none"/>
        </w:rPr>
        <w:t>。</w:t>
      </w:r>
    </w:p>
    <w:p w14:paraId="3568FA21">
      <w:pPr>
        <w:pStyle w:val="2"/>
        <w:spacing w:before="240" w:after="240" w:line="440" w:lineRule="atLeast"/>
        <w:rPr>
          <w:rFonts w:eastAsia="黑体"/>
          <w:color w:val="auto"/>
          <w:sz w:val="28"/>
          <w:szCs w:val="28"/>
          <w:highlight w:val="none"/>
        </w:rPr>
      </w:pPr>
      <w:bookmarkStart w:id="18" w:name="_Toc503235720"/>
      <w:bookmarkStart w:id="19" w:name="_Toc510015654"/>
      <w:r>
        <w:rPr>
          <w:rFonts w:eastAsia="黑体"/>
          <w:color w:val="auto"/>
          <w:sz w:val="28"/>
          <w:szCs w:val="28"/>
          <w:highlight w:val="none"/>
        </w:rPr>
        <w:t>7. 发布公告的媒介</w:t>
      </w:r>
      <w:bookmarkEnd w:id="18"/>
      <w:bookmarkEnd w:id="19"/>
    </w:p>
    <w:p w14:paraId="41BB5D39">
      <w:pPr>
        <w:pStyle w:val="18"/>
        <w:topLinePunct/>
        <w:spacing w:line="400" w:lineRule="atLeast"/>
        <w:ind w:firstLine="480" w:firstLineChars="200"/>
        <w:rPr>
          <w:rFonts w:ascii="Times New Roman" w:eastAsia="黑体"/>
          <w:color w:val="auto"/>
          <w:szCs w:val="24"/>
          <w:highlight w:val="none"/>
        </w:rPr>
      </w:pPr>
      <w:r>
        <w:rPr>
          <w:rFonts w:hint="eastAsia" w:ascii="宋体" w:hAnsi="宋体" w:eastAsia="宋体" w:cs="宋体"/>
          <w:color w:val="auto"/>
          <w:szCs w:val="24"/>
          <w:highlight w:val="none"/>
        </w:rPr>
        <w:t>本次招标公告同时在</w:t>
      </w:r>
      <w:r>
        <w:rPr>
          <w:rFonts w:hint="eastAsia" w:ascii="宋体" w:hAnsi="宋体" w:eastAsia="宋体" w:cs="宋体"/>
          <w:color w:val="auto"/>
          <w:szCs w:val="24"/>
          <w:highlight w:val="none"/>
        </w:rPr>
        <w:t>中国招标投标公共服务平台（http://bulletin.cebpubservice.com）</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中科高盛咨询集团有限公司网</w:t>
      </w:r>
      <w:r>
        <w:rPr>
          <w:rFonts w:hint="eastAsia" w:ascii="宋体" w:hAnsi="宋体" w:eastAsia="宋体" w:cs="宋体"/>
          <w:color w:val="auto"/>
          <w:szCs w:val="24"/>
          <w:highlight w:val="none"/>
          <w:lang w:val="en-US" w:eastAsia="zh-CN"/>
        </w:rPr>
        <w:t>站</w:t>
      </w:r>
      <w:r>
        <w:rPr>
          <w:rFonts w:hint="eastAsia" w:ascii="宋体" w:hAnsi="宋体" w:eastAsia="宋体" w:cs="宋体"/>
          <w:color w:val="auto"/>
          <w:szCs w:val="24"/>
          <w:highlight w:val="none"/>
        </w:rPr>
        <w:t>（http://www.zkgscg.com/）上发布。</w:t>
      </w:r>
    </w:p>
    <w:p w14:paraId="18C110AE">
      <w:pPr>
        <w:pStyle w:val="2"/>
        <w:spacing w:before="240" w:after="240" w:line="440" w:lineRule="atLeast"/>
        <w:rPr>
          <w:rFonts w:eastAsia="黑体"/>
          <w:color w:val="auto"/>
          <w:sz w:val="28"/>
          <w:szCs w:val="28"/>
          <w:highlight w:val="none"/>
        </w:rPr>
      </w:pPr>
      <w:bookmarkStart w:id="20" w:name="_Toc516774588"/>
      <w:r>
        <w:rPr>
          <w:rFonts w:eastAsia="黑体"/>
          <w:color w:val="auto"/>
          <w:sz w:val="28"/>
          <w:szCs w:val="28"/>
          <w:highlight w:val="none"/>
        </w:rPr>
        <w:t>8. 附件</w:t>
      </w:r>
      <w:bookmarkEnd w:id="20"/>
    </w:p>
    <w:p w14:paraId="4B8B7440">
      <w:pPr>
        <w:pStyle w:val="18"/>
        <w:topLinePunct/>
        <w:spacing w:line="440" w:lineRule="atLeas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附件1：资格审查条件要求（详见第二章 投标人须知之附录）</w:t>
      </w:r>
    </w:p>
    <w:p w14:paraId="45F8E6E2">
      <w:pPr>
        <w:pStyle w:val="18"/>
        <w:topLinePunct/>
        <w:spacing w:line="440" w:lineRule="atLeas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附件2：评标办法(详见第三章 评标办法)</w:t>
      </w:r>
    </w:p>
    <w:p w14:paraId="70E7F743">
      <w:pPr>
        <w:pStyle w:val="2"/>
        <w:spacing w:before="240" w:after="240" w:line="440" w:lineRule="atLeast"/>
        <w:rPr>
          <w:rFonts w:eastAsia="黑体"/>
          <w:color w:val="auto"/>
          <w:sz w:val="28"/>
          <w:szCs w:val="28"/>
          <w:highlight w:val="none"/>
        </w:rPr>
      </w:pPr>
      <w:bookmarkStart w:id="21" w:name="_Toc503235721"/>
      <w:bookmarkStart w:id="22" w:name="_Toc510015655"/>
      <w:r>
        <w:rPr>
          <w:color w:val="auto"/>
          <w:sz w:val="28"/>
          <w:szCs w:val="28"/>
          <w:highlight w:val="none"/>
        </w:rPr>
        <w:t>9</w:t>
      </w:r>
      <w:r>
        <w:rPr>
          <w:rFonts w:eastAsia="黑体"/>
          <w:color w:val="auto"/>
          <w:sz w:val="28"/>
          <w:szCs w:val="28"/>
          <w:highlight w:val="none"/>
        </w:rPr>
        <w:t>. 联系方式</w:t>
      </w:r>
      <w:bookmarkEnd w:id="21"/>
      <w:bookmarkEnd w:id="22"/>
    </w:p>
    <w:p w14:paraId="0E1F28B5">
      <w:pPr>
        <w:pStyle w:val="648"/>
        <w:topLinePunct/>
        <w:spacing w:line="400" w:lineRule="atLeast"/>
        <w:ind w:firstLine="480" w:firstLineChars="200"/>
        <w:outlineLvl w:val="2"/>
        <w:rPr>
          <w:rStyle w:val="57"/>
          <w:color w:val="auto"/>
          <w:sz w:val="24"/>
          <w:highlight w:val="none"/>
        </w:rPr>
      </w:pPr>
      <w:r>
        <w:rPr>
          <w:rStyle w:val="57"/>
          <w:rFonts w:hint="eastAsia"/>
          <w:color w:val="auto"/>
          <w:sz w:val="24"/>
          <w:highlight w:val="none"/>
          <w:lang w:val="en-US" w:eastAsia="zh-CN"/>
        </w:rPr>
        <w:t>招 标 人</w:t>
      </w:r>
      <w:r>
        <w:rPr>
          <w:rStyle w:val="57"/>
          <w:rFonts w:hint="eastAsia"/>
          <w:color w:val="auto"/>
          <w:sz w:val="24"/>
          <w:highlight w:val="none"/>
        </w:rPr>
        <w:t>：湖南省新新张官高速公路建设开发有限公司</w:t>
      </w:r>
      <w:r>
        <w:rPr>
          <w:rStyle w:val="57"/>
          <w:rFonts w:hint="eastAsia"/>
          <w:color w:val="auto"/>
          <w:sz w:val="24"/>
          <w:highlight w:val="none"/>
          <w:lang w:eastAsia="zh-CN"/>
        </w:rPr>
        <w:t>张家界分公司</w:t>
      </w:r>
    </w:p>
    <w:p w14:paraId="588C06D6">
      <w:pPr>
        <w:pStyle w:val="649"/>
        <w:topLinePunct/>
        <w:spacing w:line="400" w:lineRule="atLeast"/>
        <w:ind w:firstLine="480" w:firstLineChars="200"/>
        <w:outlineLvl w:val="2"/>
        <w:rPr>
          <w:rStyle w:val="57"/>
          <w:color w:val="auto"/>
          <w:sz w:val="24"/>
          <w:highlight w:val="none"/>
        </w:rPr>
      </w:pPr>
      <w:r>
        <w:rPr>
          <w:rStyle w:val="57"/>
          <w:color w:val="auto"/>
          <w:sz w:val="24"/>
          <w:highlight w:val="none"/>
        </w:rPr>
        <w:t>地    址：</w:t>
      </w:r>
      <w:r>
        <w:rPr>
          <w:rFonts w:hint="eastAsia" w:ascii="宋体" w:hAnsi="宋体"/>
          <w:color w:val="auto"/>
          <w:sz w:val="24"/>
          <w:highlight w:val="none"/>
          <w:lang w:eastAsia="zh-CN"/>
        </w:rPr>
        <w:t>湖南省张家界市永定区教场路</w:t>
      </w:r>
      <w:r>
        <w:rPr>
          <w:rFonts w:hint="eastAsia" w:ascii="宋体" w:hAnsi="宋体"/>
          <w:color w:val="auto"/>
          <w:sz w:val="24"/>
          <w:highlight w:val="none"/>
          <w:lang w:val="en-US" w:eastAsia="zh-CN"/>
        </w:rPr>
        <w:t>103#盛世嘉年酒店</w:t>
      </w:r>
    </w:p>
    <w:p w14:paraId="150BA3B9">
      <w:pPr>
        <w:pStyle w:val="650"/>
        <w:topLinePunct/>
        <w:spacing w:line="400" w:lineRule="atLeast"/>
        <w:ind w:firstLine="480" w:firstLineChars="200"/>
        <w:outlineLvl w:val="2"/>
        <w:rPr>
          <w:rStyle w:val="57"/>
          <w:color w:val="auto"/>
          <w:sz w:val="24"/>
          <w:highlight w:val="none"/>
        </w:rPr>
      </w:pPr>
      <w:r>
        <w:rPr>
          <w:rStyle w:val="57"/>
          <w:color w:val="auto"/>
          <w:sz w:val="24"/>
          <w:highlight w:val="none"/>
        </w:rPr>
        <w:t>联 系 人：</w:t>
      </w:r>
      <w:r>
        <w:rPr>
          <w:rFonts w:hint="eastAsia" w:ascii="宋体" w:hAnsi="宋体"/>
          <w:color w:val="auto"/>
          <w:sz w:val="24"/>
          <w:highlight w:val="none"/>
          <w:lang w:eastAsia="zh-CN"/>
        </w:rPr>
        <w:t>盛女士</w:t>
      </w:r>
      <w:r>
        <w:rPr>
          <w:rFonts w:hint="eastAsia" w:ascii="宋体" w:hAnsi="宋体"/>
          <w:color w:val="auto"/>
          <w:sz w:val="24"/>
          <w:highlight w:val="none"/>
          <w:lang w:val="en-US" w:eastAsia="zh-CN"/>
        </w:rPr>
        <w:t xml:space="preserve"> </w:t>
      </w:r>
      <w:r>
        <w:rPr>
          <w:rStyle w:val="57"/>
          <w:color w:val="auto"/>
          <w:sz w:val="24"/>
          <w:highlight w:val="none"/>
        </w:rPr>
        <w:t xml:space="preserve">    </w:t>
      </w:r>
    </w:p>
    <w:p w14:paraId="59B9B491">
      <w:pPr>
        <w:pStyle w:val="651"/>
        <w:topLinePunct/>
        <w:spacing w:line="400" w:lineRule="atLeast"/>
        <w:ind w:firstLine="480" w:firstLineChars="200"/>
        <w:outlineLvl w:val="2"/>
        <w:rPr>
          <w:rStyle w:val="57"/>
          <w:color w:val="auto"/>
          <w:sz w:val="24"/>
          <w:highlight w:val="none"/>
        </w:rPr>
      </w:pPr>
      <w:r>
        <w:rPr>
          <w:rStyle w:val="57"/>
          <w:color w:val="auto"/>
          <w:sz w:val="24"/>
          <w:highlight w:val="none"/>
        </w:rPr>
        <w:t>电    话：</w:t>
      </w:r>
      <w:r>
        <w:rPr>
          <w:rFonts w:hint="eastAsia" w:ascii="宋体" w:hAnsi="宋体"/>
          <w:color w:val="auto"/>
          <w:sz w:val="24"/>
          <w:highlight w:val="none"/>
          <w:lang w:val="en-US" w:eastAsia="zh-CN"/>
        </w:rPr>
        <w:t>13507200342</w:t>
      </w:r>
      <w:r>
        <w:rPr>
          <w:rStyle w:val="57"/>
          <w:rFonts w:hint="eastAsia"/>
          <w:color w:val="auto"/>
          <w:sz w:val="24"/>
          <w:highlight w:val="none"/>
        </w:rPr>
        <w:t xml:space="preserve"> </w:t>
      </w:r>
    </w:p>
    <w:p w14:paraId="31E15E9E">
      <w:pPr>
        <w:pStyle w:val="652"/>
        <w:autoSpaceDE w:val="0"/>
        <w:autoSpaceDN w:val="0"/>
        <w:adjustRightInd w:val="0"/>
        <w:spacing w:line="420" w:lineRule="exact"/>
        <w:ind w:firstLine="480" w:firstLineChars="200"/>
        <w:jc w:val="left"/>
        <w:outlineLvl w:val="2"/>
        <w:rPr>
          <w:rStyle w:val="57"/>
          <w:rFonts w:hint="eastAsia" w:ascii="宋体" w:hAnsi="宋体"/>
          <w:color w:val="auto"/>
          <w:sz w:val="24"/>
          <w:highlight w:val="none"/>
        </w:rPr>
      </w:pPr>
    </w:p>
    <w:p w14:paraId="62A655E1">
      <w:pPr>
        <w:pStyle w:val="652"/>
        <w:autoSpaceDE w:val="0"/>
        <w:autoSpaceDN w:val="0"/>
        <w:adjustRightInd w:val="0"/>
        <w:spacing w:line="420" w:lineRule="exact"/>
        <w:ind w:firstLine="480" w:firstLineChars="200"/>
        <w:jc w:val="left"/>
        <w:outlineLvl w:val="2"/>
        <w:rPr>
          <w:rStyle w:val="57"/>
          <w:rFonts w:hint="eastAsia" w:ascii="宋体" w:hAnsi="宋体"/>
          <w:color w:val="auto"/>
          <w:sz w:val="24"/>
          <w:highlight w:val="none"/>
        </w:rPr>
      </w:pPr>
      <w:r>
        <w:rPr>
          <w:rStyle w:val="57"/>
          <w:rFonts w:hint="eastAsia" w:ascii="宋体" w:hAnsi="宋体"/>
          <w:color w:val="auto"/>
          <w:sz w:val="24"/>
          <w:highlight w:val="none"/>
        </w:rPr>
        <w:t>招标代理：中科高盛咨询集团有限公司</w:t>
      </w:r>
    </w:p>
    <w:p w14:paraId="596903FE">
      <w:pPr>
        <w:pStyle w:val="653"/>
        <w:autoSpaceDE w:val="0"/>
        <w:autoSpaceDN w:val="0"/>
        <w:adjustRightInd w:val="0"/>
        <w:spacing w:line="420" w:lineRule="exact"/>
        <w:ind w:firstLine="480" w:firstLineChars="200"/>
        <w:jc w:val="left"/>
        <w:outlineLvl w:val="2"/>
        <w:rPr>
          <w:rStyle w:val="57"/>
          <w:rFonts w:hint="eastAsia" w:ascii="宋体" w:hAnsi="宋体"/>
          <w:color w:val="auto"/>
          <w:sz w:val="24"/>
          <w:highlight w:val="none"/>
        </w:rPr>
      </w:pPr>
      <w:r>
        <w:rPr>
          <w:rStyle w:val="57"/>
          <w:rFonts w:hint="eastAsia" w:ascii="宋体" w:cs="宋体"/>
          <w:color w:val="auto"/>
          <w:kern w:val="0"/>
          <w:sz w:val="24"/>
          <w:highlight w:val="none"/>
        </w:rPr>
        <w:t>地    址：</w:t>
      </w:r>
      <w:r>
        <w:rPr>
          <w:rStyle w:val="57"/>
          <w:rFonts w:hint="eastAsia" w:ascii="宋体" w:hAnsi="宋体"/>
          <w:color w:val="auto"/>
          <w:sz w:val="24"/>
          <w:highlight w:val="none"/>
        </w:rPr>
        <w:t>湖南省长沙市天心区友谊路413号运成大厦12楼</w:t>
      </w:r>
    </w:p>
    <w:p w14:paraId="0862BC5D">
      <w:pPr>
        <w:pStyle w:val="654"/>
        <w:autoSpaceDE w:val="0"/>
        <w:autoSpaceDN w:val="0"/>
        <w:adjustRightInd w:val="0"/>
        <w:spacing w:line="420" w:lineRule="exact"/>
        <w:ind w:firstLine="480" w:firstLineChars="200"/>
        <w:jc w:val="left"/>
        <w:outlineLvl w:val="2"/>
        <w:rPr>
          <w:rStyle w:val="57"/>
          <w:rFonts w:hint="eastAsia" w:ascii="宋体" w:hAnsi="宋体"/>
          <w:color w:val="auto"/>
          <w:sz w:val="24"/>
          <w:highlight w:val="none"/>
        </w:rPr>
      </w:pPr>
      <w:r>
        <w:rPr>
          <w:rStyle w:val="57"/>
          <w:rFonts w:hint="eastAsia" w:ascii="宋体" w:cs="宋体"/>
          <w:color w:val="auto"/>
          <w:kern w:val="0"/>
          <w:sz w:val="24"/>
          <w:highlight w:val="none"/>
        </w:rPr>
        <w:t>联 系 人：</w:t>
      </w:r>
      <w:r>
        <w:rPr>
          <w:rFonts w:hint="eastAsia" w:ascii="宋体" w:hAnsi="宋体" w:cs="宋体"/>
          <w:color w:val="auto"/>
          <w:sz w:val="24"/>
          <w:szCs w:val="24"/>
          <w:highlight w:val="none"/>
        </w:rPr>
        <w:t>罗洲、</w:t>
      </w:r>
      <w:r>
        <w:rPr>
          <w:rFonts w:hint="eastAsia" w:ascii="宋体" w:hAnsi="宋体" w:cs="宋体"/>
          <w:color w:val="auto"/>
          <w:sz w:val="24"/>
          <w:szCs w:val="24"/>
          <w:highlight w:val="none"/>
          <w:lang w:eastAsia="zh-CN"/>
        </w:rPr>
        <w:t>彭晖、刘玉霜</w:t>
      </w:r>
    </w:p>
    <w:p w14:paraId="5D182372">
      <w:pPr>
        <w:topLinePunct/>
        <w:spacing w:line="440" w:lineRule="atLeast"/>
        <w:ind w:firstLine="480" w:firstLineChars="200"/>
        <w:rPr>
          <w:rStyle w:val="89"/>
          <w:rFonts w:hint="default" w:ascii="Times New Roman" w:hAnsi="Times New Roman" w:eastAsia="黑体"/>
          <w:color w:val="auto"/>
          <w:sz w:val="44"/>
          <w:szCs w:val="44"/>
          <w:highlight w:val="none"/>
          <w:lang w:val="en-US"/>
        </w:rPr>
        <w:sectPr>
          <w:headerReference r:id="rId8" w:type="default"/>
          <w:headerReference r:id="rId9" w:type="even"/>
          <w:footerReference r:id="rId10" w:type="even"/>
          <w:footnotePr>
            <w:numFmt w:val="decimalEnclosedCircleChinese"/>
            <w:numRestart w:val="eachPage"/>
          </w:footnotePr>
          <w:pgSz w:w="11907" w:h="16840"/>
          <w:pgMar w:top="1588" w:right="1531" w:bottom="1644" w:left="1588" w:header="851" w:footer="851" w:gutter="0"/>
          <w:pgNumType w:fmt="numberInDash"/>
          <w:cols w:space="425" w:num="1"/>
          <w:docGrid w:linePitch="312" w:charSpace="0"/>
        </w:sectPr>
      </w:pPr>
      <w:r>
        <w:rPr>
          <w:rStyle w:val="57"/>
          <w:rFonts w:hint="eastAsia" w:ascii="宋体" w:cs="宋体"/>
          <w:color w:val="auto"/>
          <w:kern w:val="0"/>
          <w:sz w:val="24"/>
          <w:highlight w:val="none"/>
        </w:rPr>
        <w:t>电    话：</w:t>
      </w:r>
      <w:r>
        <w:rPr>
          <w:rFonts w:hint="eastAsia" w:ascii="宋体" w:hAnsi="宋体" w:cs="宋体"/>
          <w:color w:val="auto"/>
          <w:sz w:val="24"/>
          <w:szCs w:val="24"/>
          <w:highlight w:val="none"/>
        </w:rPr>
        <w:t>0731-8</w:t>
      </w:r>
      <w:r>
        <w:rPr>
          <w:rFonts w:hint="eastAsia" w:ascii="宋体" w:hAnsi="宋体" w:cs="宋体"/>
          <w:color w:val="auto"/>
          <w:sz w:val="24"/>
          <w:szCs w:val="24"/>
          <w:highlight w:val="none"/>
          <w:lang w:val="en-US" w:eastAsia="zh-CN"/>
        </w:rPr>
        <w:t>4452818</w:t>
      </w:r>
    </w:p>
    <w:bookmarkEnd w:id="1"/>
    <w:bookmarkEnd w:id="4"/>
    <w:p w14:paraId="2593A78C">
      <w:pPr>
        <w:topLinePunct/>
        <w:spacing w:line="440" w:lineRule="atLeast"/>
        <w:ind w:right="31" w:rightChars="15"/>
        <w:jc w:val="center"/>
        <w:rPr>
          <w:rFonts w:eastAsia="黑体"/>
          <w:color w:val="auto"/>
          <w:sz w:val="29"/>
          <w:szCs w:val="29"/>
          <w:highlight w:val="none"/>
        </w:rPr>
      </w:pPr>
      <w:bookmarkStart w:id="23" w:name="_Toc247527547"/>
      <w:bookmarkEnd w:id="23"/>
      <w:bookmarkStart w:id="24" w:name="_Toc144974491"/>
      <w:bookmarkEnd w:id="24"/>
      <w:bookmarkStart w:id="25" w:name="_Toc144974493"/>
      <w:bookmarkEnd w:id="25"/>
      <w:bookmarkStart w:id="26" w:name="_Toc247527549"/>
      <w:bookmarkEnd w:id="26"/>
      <w:bookmarkStart w:id="27" w:name="_Toc369531509"/>
      <w:bookmarkEnd w:id="27"/>
      <w:bookmarkStart w:id="28" w:name="_Toc369531511"/>
      <w:bookmarkEnd w:id="28"/>
      <w:bookmarkStart w:id="29" w:name="_Toc247513948"/>
      <w:bookmarkEnd w:id="29"/>
      <w:bookmarkStart w:id="30" w:name="_Toc152045523"/>
      <w:bookmarkEnd w:id="30"/>
      <w:bookmarkStart w:id="31" w:name="_Toc384308205"/>
      <w:bookmarkEnd w:id="31"/>
      <w:bookmarkStart w:id="32" w:name="_Toc152042299"/>
      <w:bookmarkEnd w:id="32"/>
      <w:bookmarkStart w:id="33" w:name="_Toc300834943"/>
      <w:bookmarkEnd w:id="33"/>
      <w:bookmarkStart w:id="34" w:name="_Toc361508578"/>
      <w:bookmarkEnd w:id="34"/>
      <w:bookmarkStart w:id="35" w:name="_Toc247513946"/>
      <w:bookmarkEnd w:id="35"/>
      <w:bookmarkStart w:id="36" w:name="_Toc152042301"/>
      <w:bookmarkEnd w:id="36"/>
      <w:bookmarkStart w:id="37" w:name="_Toc300834941"/>
      <w:bookmarkEnd w:id="37"/>
      <w:bookmarkStart w:id="38" w:name="_Toc384308203"/>
      <w:bookmarkEnd w:id="38"/>
      <w:bookmarkStart w:id="39" w:name="_Toc352691469"/>
      <w:bookmarkEnd w:id="39"/>
      <w:bookmarkStart w:id="40" w:name="_Toc14865"/>
      <w:bookmarkEnd w:id="40"/>
      <w:bookmarkStart w:id="41" w:name="_Toc19794"/>
      <w:bookmarkEnd w:id="41"/>
      <w:bookmarkStart w:id="42" w:name="_Toc352691467"/>
      <w:bookmarkEnd w:id="42"/>
      <w:bookmarkStart w:id="43" w:name="_Toc361508580"/>
      <w:bookmarkEnd w:id="43"/>
      <w:bookmarkStart w:id="44" w:name="_Toc152045525"/>
      <w:bookmarkEnd w:id="44"/>
    </w:p>
    <w:p w14:paraId="5F2933B0">
      <w:pPr>
        <w:topLinePunct/>
        <w:spacing w:line="440" w:lineRule="atLeast"/>
        <w:ind w:right="31" w:rightChars="15"/>
        <w:jc w:val="center"/>
        <w:rPr>
          <w:rFonts w:eastAsia="黑体"/>
          <w:color w:val="auto"/>
          <w:sz w:val="29"/>
          <w:szCs w:val="29"/>
          <w:highlight w:val="none"/>
        </w:rPr>
      </w:pPr>
    </w:p>
    <w:p w14:paraId="0898914C">
      <w:pPr>
        <w:topLinePunct/>
        <w:spacing w:line="440" w:lineRule="atLeast"/>
        <w:ind w:right="31" w:rightChars="15"/>
        <w:jc w:val="center"/>
        <w:rPr>
          <w:rFonts w:eastAsia="黑体"/>
          <w:color w:val="auto"/>
          <w:sz w:val="29"/>
          <w:szCs w:val="29"/>
          <w:highlight w:val="none"/>
        </w:rPr>
      </w:pPr>
    </w:p>
    <w:p w14:paraId="201B963B">
      <w:pPr>
        <w:topLinePunct/>
        <w:spacing w:line="440" w:lineRule="atLeast"/>
        <w:ind w:right="31" w:rightChars="15"/>
        <w:jc w:val="center"/>
        <w:rPr>
          <w:rFonts w:eastAsia="黑体"/>
          <w:color w:val="auto"/>
          <w:sz w:val="29"/>
          <w:szCs w:val="29"/>
          <w:highlight w:val="none"/>
        </w:rPr>
      </w:pPr>
    </w:p>
    <w:p w14:paraId="51584A20">
      <w:pPr>
        <w:topLinePunct/>
        <w:spacing w:line="440" w:lineRule="atLeast"/>
        <w:ind w:right="31" w:rightChars="15"/>
        <w:jc w:val="center"/>
        <w:rPr>
          <w:rFonts w:eastAsia="黑体"/>
          <w:color w:val="auto"/>
          <w:sz w:val="29"/>
          <w:szCs w:val="29"/>
          <w:highlight w:val="none"/>
        </w:rPr>
      </w:pPr>
    </w:p>
    <w:p w14:paraId="5B56C90C">
      <w:pPr>
        <w:topLinePunct/>
        <w:spacing w:line="440" w:lineRule="atLeast"/>
        <w:ind w:right="31" w:rightChars="15"/>
        <w:jc w:val="center"/>
        <w:rPr>
          <w:rFonts w:eastAsia="黑体"/>
          <w:color w:val="auto"/>
          <w:sz w:val="29"/>
          <w:szCs w:val="29"/>
          <w:highlight w:val="none"/>
        </w:rPr>
      </w:pPr>
    </w:p>
    <w:p w14:paraId="212AB0EA">
      <w:pPr>
        <w:topLinePunct/>
        <w:spacing w:line="440" w:lineRule="atLeast"/>
        <w:ind w:right="31" w:rightChars="15"/>
        <w:rPr>
          <w:rFonts w:eastAsia="黑体"/>
          <w:color w:val="auto"/>
          <w:sz w:val="29"/>
          <w:szCs w:val="29"/>
          <w:highlight w:val="none"/>
        </w:rPr>
      </w:pPr>
    </w:p>
    <w:p w14:paraId="671F71C0">
      <w:pPr>
        <w:topLinePunct/>
        <w:spacing w:line="440" w:lineRule="atLeast"/>
        <w:ind w:right="31" w:rightChars="15"/>
        <w:jc w:val="center"/>
        <w:rPr>
          <w:rFonts w:eastAsia="黑体"/>
          <w:color w:val="auto"/>
          <w:sz w:val="29"/>
          <w:szCs w:val="29"/>
          <w:highlight w:val="none"/>
        </w:rPr>
      </w:pPr>
    </w:p>
    <w:p w14:paraId="073E33F2">
      <w:pPr>
        <w:topLinePunct/>
        <w:spacing w:line="440" w:lineRule="atLeast"/>
        <w:ind w:right="31" w:rightChars="15"/>
        <w:jc w:val="center"/>
        <w:rPr>
          <w:rFonts w:eastAsia="黑体"/>
          <w:color w:val="auto"/>
          <w:sz w:val="29"/>
          <w:szCs w:val="29"/>
          <w:highlight w:val="none"/>
        </w:rPr>
      </w:pPr>
    </w:p>
    <w:p w14:paraId="4B52EE43">
      <w:pPr>
        <w:topLinePunct/>
        <w:spacing w:line="440" w:lineRule="atLeast"/>
        <w:ind w:right="31" w:rightChars="15"/>
        <w:jc w:val="center"/>
        <w:rPr>
          <w:rFonts w:eastAsia="黑体"/>
          <w:color w:val="auto"/>
          <w:sz w:val="56"/>
          <w:szCs w:val="56"/>
          <w:highlight w:val="none"/>
        </w:rPr>
      </w:pPr>
      <w:r>
        <w:rPr>
          <w:rFonts w:eastAsia="黑体"/>
          <w:color w:val="auto"/>
          <w:sz w:val="56"/>
          <w:szCs w:val="56"/>
          <w:highlight w:val="none"/>
        </w:rPr>
        <w:t>第二章  投标人须知</w:t>
      </w:r>
    </w:p>
    <w:p w14:paraId="004CEADC">
      <w:pPr>
        <w:topLinePunct/>
        <w:spacing w:line="440" w:lineRule="atLeast"/>
        <w:ind w:right="31" w:rightChars="15"/>
        <w:jc w:val="center"/>
        <w:rPr>
          <w:rFonts w:eastAsia="黑体"/>
          <w:color w:val="auto"/>
          <w:sz w:val="56"/>
          <w:szCs w:val="56"/>
          <w:highlight w:val="none"/>
        </w:rPr>
      </w:pPr>
    </w:p>
    <w:p w14:paraId="2E1364B9">
      <w:pPr>
        <w:spacing w:line="440" w:lineRule="atLeast"/>
        <w:jc w:val="center"/>
        <w:rPr>
          <w:rStyle w:val="89"/>
          <w:rFonts w:ascii="Times New Roman" w:hAnsi="Times New Roman" w:eastAsia="黑体"/>
          <w:color w:val="auto"/>
          <w:sz w:val="44"/>
          <w:szCs w:val="44"/>
          <w:highlight w:val="none"/>
        </w:rPr>
        <w:sectPr>
          <w:footerReference r:id="rId11" w:type="default"/>
          <w:footnotePr>
            <w:numFmt w:val="decimalEnclosedCircleChinese"/>
            <w:numRestart w:val="eachPage"/>
          </w:footnotePr>
          <w:pgSz w:w="11907" w:h="16840"/>
          <w:pgMar w:top="1588" w:right="1531" w:bottom="1644" w:left="1588" w:header="851" w:footer="851" w:gutter="0"/>
          <w:pgNumType w:fmt="numberInDash"/>
          <w:cols w:space="425" w:num="1"/>
          <w:docGrid w:linePitch="312" w:charSpace="0"/>
        </w:sectPr>
      </w:pPr>
      <w:bookmarkStart w:id="45" w:name="_Toc234832861"/>
    </w:p>
    <w:p w14:paraId="4658AA98">
      <w:pPr>
        <w:spacing w:line="440" w:lineRule="atLeast"/>
        <w:jc w:val="center"/>
        <w:rPr>
          <w:rStyle w:val="89"/>
          <w:rFonts w:ascii="Times New Roman" w:hAnsi="Times New Roman" w:eastAsia="黑体"/>
          <w:color w:val="auto"/>
          <w:sz w:val="42"/>
          <w:szCs w:val="42"/>
          <w:highlight w:val="none"/>
        </w:rPr>
      </w:pPr>
      <w:bookmarkStart w:id="46" w:name="_Toc510015667"/>
      <w:bookmarkStart w:id="47" w:name="_Toc503235734"/>
      <w:r>
        <w:rPr>
          <w:rStyle w:val="89"/>
          <w:rFonts w:ascii="Times New Roman" w:hAnsi="Times New Roman" w:eastAsia="黑体"/>
          <w:color w:val="auto"/>
          <w:sz w:val="42"/>
          <w:szCs w:val="42"/>
          <w:highlight w:val="none"/>
        </w:rPr>
        <w:t>第二章  投标人须知</w:t>
      </w:r>
      <w:bookmarkEnd w:id="46"/>
      <w:bookmarkEnd w:id="47"/>
    </w:p>
    <w:p w14:paraId="46D87400">
      <w:pPr>
        <w:spacing w:line="440" w:lineRule="atLeast"/>
        <w:jc w:val="center"/>
        <w:rPr>
          <w:rFonts w:eastAsia="黑体"/>
          <w:color w:val="auto"/>
          <w:sz w:val="29"/>
          <w:szCs w:val="29"/>
          <w:highlight w:val="none"/>
        </w:rPr>
      </w:pPr>
    </w:p>
    <w:p w14:paraId="27551A01">
      <w:pPr>
        <w:pStyle w:val="2"/>
        <w:spacing w:before="240" w:after="240" w:line="440" w:lineRule="atLeast"/>
        <w:rPr>
          <w:rFonts w:eastAsia="黑体"/>
          <w:color w:val="auto"/>
          <w:sz w:val="28"/>
          <w:szCs w:val="28"/>
          <w:highlight w:val="none"/>
        </w:rPr>
      </w:pPr>
      <w:bookmarkStart w:id="48" w:name="_Toc510015668"/>
      <w:bookmarkStart w:id="49" w:name="_Toc503235735"/>
      <w:r>
        <w:rPr>
          <w:rFonts w:eastAsia="黑体"/>
          <w:color w:val="auto"/>
          <w:sz w:val="28"/>
          <w:szCs w:val="28"/>
          <w:highlight w:val="none"/>
        </w:rPr>
        <w:t>投标人须知前附表</w:t>
      </w:r>
      <w:bookmarkEnd w:id="48"/>
      <w:bookmarkEnd w:id="49"/>
    </w:p>
    <w:tbl>
      <w:tblPr>
        <w:tblStyle w:val="55"/>
        <w:tblW w:w="8777" w:type="dxa"/>
        <w:tblInd w:w="0" w:type="dxa"/>
        <w:tblLayout w:type="fixed"/>
        <w:tblCellMar>
          <w:top w:w="0" w:type="dxa"/>
          <w:left w:w="108" w:type="dxa"/>
          <w:bottom w:w="0" w:type="dxa"/>
          <w:right w:w="108" w:type="dxa"/>
        </w:tblCellMar>
      </w:tblPr>
      <w:tblGrid>
        <w:gridCol w:w="1009"/>
        <w:gridCol w:w="2879"/>
        <w:gridCol w:w="4889"/>
      </w:tblGrid>
      <w:tr w14:paraId="39582271">
        <w:tblPrEx>
          <w:tblCellMar>
            <w:top w:w="0" w:type="dxa"/>
            <w:left w:w="108" w:type="dxa"/>
            <w:bottom w:w="0" w:type="dxa"/>
            <w:right w:w="108" w:type="dxa"/>
          </w:tblCellMar>
        </w:tblPrEx>
        <w:trPr>
          <w:tblHeader/>
        </w:trPr>
        <w:tc>
          <w:tcPr>
            <w:tcW w:w="1009" w:type="dxa"/>
            <w:tcBorders>
              <w:top w:val="single" w:color="auto" w:sz="4" w:space="0"/>
              <w:left w:val="single" w:color="auto" w:sz="4" w:space="0"/>
              <w:bottom w:val="single" w:color="auto" w:sz="4" w:space="0"/>
              <w:right w:val="single" w:color="auto" w:sz="4" w:space="0"/>
            </w:tcBorders>
            <w:vAlign w:val="center"/>
          </w:tcPr>
          <w:p w14:paraId="1D60F15C">
            <w:pPr>
              <w:spacing w:line="440" w:lineRule="atLeast"/>
              <w:jc w:val="center"/>
              <w:rPr>
                <w:b/>
                <w:color w:val="auto"/>
                <w:szCs w:val="21"/>
                <w:highlight w:val="none"/>
              </w:rPr>
            </w:pPr>
            <w:r>
              <w:rPr>
                <w:b/>
                <w:color w:val="auto"/>
                <w:szCs w:val="21"/>
                <w:highlight w:val="none"/>
              </w:rPr>
              <w:t>条款号</w:t>
            </w:r>
          </w:p>
        </w:tc>
        <w:tc>
          <w:tcPr>
            <w:tcW w:w="2879" w:type="dxa"/>
            <w:tcBorders>
              <w:top w:val="single" w:color="auto" w:sz="4" w:space="0"/>
              <w:left w:val="single" w:color="auto" w:sz="4" w:space="0"/>
              <w:bottom w:val="single" w:color="auto" w:sz="4" w:space="0"/>
              <w:right w:val="single" w:color="auto" w:sz="4" w:space="0"/>
            </w:tcBorders>
            <w:vAlign w:val="center"/>
          </w:tcPr>
          <w:p w14:paraId="18063FCD">
            <w:pPr>
              <w:spacing w:line="440" w:lineRule="atLeast"/>
              <w:jc w:val="center"/>
              <w:rPr>
                <w:b/>
                <w:color w:val="auto"/>
                <w:szCs w:val="21"/>
                <w:highlight w:val="none"/>
              </w:rPr>
            </w:pPr>
            <w:r>
              <w:rPr>
                <w:b/>
                <w:color w:val="auto"/>
                <w:szCs w:val="21"/>
                <w:highlight w:val="none"/>
              </w:rPr>
              <w:t>条  款  名  称</w:t>
            </w:r>
          </w:p>
        </w:tc>
        <w:tc>
          <w:tcPr>
            <w:tcW w:w="4889" w:type="dxa"/>
            <w:tcBorders>
              <w:top w:val="single" w:color="auto" w:sz="4" w:space="0"/>
              <w:left w:val="single" w:color="auto" w:sz="4" w:space="0"/>
              <w:bottom w:val="single" w:color="auto" w:sz="4" w:space="0"/>
              <w:right w:val="single" w:color="auto" w:sz="4" w:space="0"/>
            </w:tcBorders>
            <w:vAlign w:val="center"/>
          </w:tcPr>
          <w:p w14:paraId="269747B8">
            <w:pPr>
              <w:spacing w:line="440" w:lineRule="atLeast"/>
              <w:jc w:val="center"/>
              <w:rPr>
                <w:b/>
                <w:color w:val="auto"/>
                <w:szCs w:val="21"/>
                <w:highlight w:val="none"/>
              </w:rPr>
            </w:pPr>
            <w:r>
              <w:rPr>
                <w:b/>
                <w:color w:val="auto"/>
                <w:szCs w:val="21"/>
                <w:highlight w:val="none"/>
              </w:rPr>
              <w:t>编  列  内  容</w:t>
            </w:r>
          </w:p>
        </w:tc>
      </w:tr>
      <w:tr w14:paraId="3E5C99BB">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4E2AF815">
            <w:pPr>
              <w:spacing w:line="440" w:lineRule="atLeast"/>
              <w:jc w:val="center"/>
              <w:rPr>
                <w:color w:val="auto"/>
                <w:szCs w:val="21"/>
                <w:highlight w:val="none"/>
              </w:rPr>
            </w:pPr>
            <w:r>
              <w:rPr>
                <w:color w:val="auto"/>
                <w:szCs w:val="21"/>
                <w:highlight w:val="none"/>
              </w:rPr>
              <w:t>1.1.2</w:t>
            </w:r>
          </w:p>
        </w:tc>
        <w:tc>
          <w:tcPr>
            <w:tcW w:w="2879" w:type="dxa"/>
            <w:tcBorders>
              <w:top w:val="single" w:color="auto" w:sz="4" w:space="0"/>
              <w:left w:val="single" w:color="auto" w:sz="4" w:space="0"/>
              <w:bottom w:val="single" w:color="auto" w:sz="4" w:space="0"/>
              <w:right w:val="single" w:color="auto" w:sz="4" w:space="0"/>
            </w:tcBorders>
            <w:vAlign w:val="center"/>
          </w:tcPr>
          <w:p w14:paraId="2DFA8F5E">
            <w:pPr>
              <w:spacing w:line="440" w:lineRule="atLeast"/>
              <w:jc w:val="center"/>
              <w:rPr>
                <w:color w:val="auto"/>
                <w:szCs w:val="21"/>
                <w:highlight w:val="none"/>
              </w:rPr>
            </w:pPr>
            <w:r>
              <w:rPr>
                <w:color w:val="auto"/>
                <w:szCs w:val="21"/>
                <w:highlight w:val="none"/>
              </w:rPr>
              <w:t>招标人</w:t>
            </w:r>
          </w:p>
        </w:tc>
        <w:tc>
          <w:tcPr>
            <w:tcW w:w="4889" w:type="dxa"/>
            <w:tcBorders>
              <w:top w:val="single" w:color="auto" w:sz="4" w:space="0"/>
              <w:left w:val="single" w:color="auto" w:sz="4" w:space="0"/>
              <w:bottom w:val="single" w:color="auto" w:sz="4" w:space="0"/>
              <w:right w:val="single" w:color="auto" w:sz="4" w:space="0"/>
            </w:tcBorders>
            <w:vAlign w:val="center"/>
          </w:tcPr>
          <w:p w14:paraId="1D757001">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见招标公告或投标邀请书</w:t>
            </w:r>
          </w:p>
        </w:tc>
      </w:tr>
      <w:tr w14:paraId="386AD6F9">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47D7EEC7">
            <w:pPr>
              <w:spacing w:line="440" w:lineRule="atLeast"/>
              <w:jc w:val="center"/>
              <w:rPr>
                <w:color w:val="auto"/>
                <w:szCs w:val="21"/>
                <w:highlight w:val="none"/>
              </w:rPr>
            </w:pPr>
            <w:r>
              <w:rPr>
                <w:color w:val="auto"/>
                <w:szCs w:val="21"/>
                <w:highlight w:val="none"/>
              </w:rPr>
              <w:t>1.1.3</w:t>
            </w:r>
          </w:p>
        </w:tc>
        <w:tc>
          <w:tcPr>
            <w:tcW w:w="2879" w:type="dxa"/>
            <w:tcBorders>
              <w:top w:val="single" w:color="auto" w:sz="4" w:space="0"/>
              <w:left w:val="single" w:color="auto" w:sz="4" w:space="0"/>
              <w:bottom w:val="single" w:color="auto" w:sz="4" w:space="0"/>
              <w:right w:val="single" w:color="auto" w:sz="4" w:space="0"/>
            </w:tcBorders>
            <w:vAlign w:val="center"/>
          </w:tcPr>
          <w:p w14:paraId="27F91F72">
            <w:pPr>
              <w:spacing w:line="440" w:lineRule="atLeast"/>
              <w:jc w:val="center"/>
              <w:rPr>
                <w:color w:val="auto"/>
                <w:szCs w:val="21"/>
                <w:highlight w:val="none"/>
              </w:rPr>
            </w:pPr>
            <w:r>
              <w:rPr>
                <w:color w:val="auto"/>
                <w:szCs w:val="21"/>
                <w:highlight w:val="none"/>
              </w:rPr>
              <w:t>招标代理机构</w:t>
            </w:r>
          </w:p>
        </w:tc>
        <w:tc>
          <w:tcPr>
            <w:tcW w:w="4889" w:type="dxa"/>
            <w:tcBorders>
              <w:top w:val="single" w:color="auto" w:sz="4" w:space="0"/>
              <w:left w:val="single" w:color="auto" w:sz="4" w:space="0"/>
              <w:bottom w:val="single" w:color="auto" w:sz="4" w:space="0"/>
              <w:right w:val="single" w:color="auto" w:sz="4" w:space="0"/>
            </w:tcBorders>
            <w:vAlign w:val="center"/>
          </w:tcPr>
          <w:p w14:paraId="5FAF9BD9">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见招标公告或投标邀请书</w:t>
            </w:r>
          </w:p>
        </w:tc>
      </w:tr>
      <w:tr w14:paraId="2F052059">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4DBBEB12">
            <w:pPr>
              <w:spacing w:line="440" w:lineRule="atLeast"/>
              <w:jc w:val="center"/>
              <w:rPr>
                <w:color w:val="auto"/>
                <w:szCs w:val="21"/>
                <w:highlight w:val="none"/>
              </w:rPr>
            </w:pPr>
            <w:r>
              <w:rPr>
                <w:color w:val="auto"/>
                <w:szCs w:val="21"/>
                <w:highlight w:val="none"/>
              </w:rPr>
              <w:t>1.1.4</w:t>
            </w:r>
          </w:p>
        </w:tc>
        <w:tc>
          <w:tcPr>
            <w:tcW w:w="2879" w:type="dxa"/>
            <w:tcBorders>
              <w:top w:val="single" w:color="auto" w:sz="4" w:space="0"/>
              <w:left w:val="single" w:color="auto" w:sz="4" w:space="0"/>
              <w:bottom w:val="single" w:color="auto" w:sz="4" w:space="0"/>
              <w:right w:val="single" w:color="auto" w:sz="4" w:space="0"/>
            </w:tcBorders>
            <w:vAlign w:val="center"/>
          </w:tcPr>
          <w:p w14:paraId="1CA14EDF">
            <w:pPr>
              <w:spacing w:line="440" w:lineRule="atLeast"/>
              <w:jc w:val="center"/>
              <w:rPr>
                <w:color w:val="auto"/>
                <w:szCs w:val="21"/>
                <w:highlight w:val="none"/>
              </w:rPr>
            </w:pPr>
            <w:r>
              <w:rPr>
                <w:color w:val="auto"/>
                <w:szCs w:val="21"/>
                <w:highlight w:val="none"/>
              </w:rPr>
              <w:t>招标项目名称</w:t>
            </w:r>
          </w:p>
        </w:tc>
        <w:tc>
          <w:tcPr>
            <w:tcW w:w="4889" w:type="dxa"/>
            <w:tcBorders>
              <w:top w:val="single" w:color="auto" w:sz="4" w:space="0"/>
              <w:left w:val="single" w:color="auto" w:sz="4" w:space="0"/>
              <w:bottom w:val="single" w:color="auto" w:sz="4" w:space="0"/>
              <w:right w:val="single" w:color="auto" w:sz="4" w:space="0"/>
            </w:tcBorders>
            <w:vAlign w:val="center"/>
          </w:tcPr>
          <w:p w14:paraId="146CE52E">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见招标公告或投标邀请书</w:t>
            </w:r>
          </w:p>
        </w:tc>
      </w:tr>
      <w:tr w14:paraId="6AE8C396">
        <w:tblPrEx>
          <w:tblCellMar>
            <w:top w:w="0" w:type="dxa"/>
            <w:left w:w="108" w:type="dxa"/>
            <w:bottom w:w="0" w:type="dxa"/>
            <w:right w:w="108" w:type="dxa"/>
          </w:tblCellMar>
        </w:tblPrEx>
        <w:trPr>
          <w:trHeight w:val="90" w:hRule="atLeast"/>
        </w:trPr>
        <w:tc>
          <w:tcPr>
            <w:tcW w:w="1009" w:type="dxa"/>
            <w:tcBorders>
              <w:top w:val="single" w:color="auto" w:sz="4" w:space="0"/>
              <w:left w:val="single" w:color="auto" w:sz="4" w:space="0"/>
              <w:bottom w:val="single" w:color="auto" w:sz="4" w:space="0"/>
              <w:right w:val="single" w:color="auto" w:sz="4" w:space="0"/>
            </w:tcBorders>
            <w:vAlign w:val="center"/>
          </w:tcPr>
          <w:p w14:paraId="0C6915E4">
            <w:pPr>
              <w:spacing w:line="440" w:lineRule="atLeast"/>
              <w:jc w:val="center"/>
              <w:rPr>
                <w:color w:val="auto"/>
                <w:szCs w:val="21"/>
                <w:highlight w:val="none"/>
              </w:rPr>
            </w:pPr>
            <w:r>
              <w:rPr>
                <w:color w:val="auto"/>
                <w:szCs w:val="21"/>
                <w:highlight w:val="none"/>
              </w:rPr>
              <w:t>1.1.5</w:t>
            </w:r>
          </w:p>
        </w:tc>
        <w:tc>
          <w:tcPr>
            <w:tcW w:w="2879" w:type="dxa"/>
            <w:tcBorders>
              <w:top w:val="single" w:color="auto" w:sz="4" w:space="0"/>
              <w:left w:val="single" w:color="auto" w:sz="4" w:space="0"/>
              <w:bottom w:val="single" w:color="auto" w:sz="4" w:space="0"/>
              <w:right w:val="single" w:color="auto" w:sz="4" w:space="0"/>
            </w:tcBorders>
            <w:vAlign w:val="center"/>
          </w:tcPr>
          <w:p w14:paraId="2756AA68">
            <w:pPr>
              <w:spacing w:line="440" w:lineRule="atLeast"/>
              <w:jc w:val="center"/>
              <w:rPr>
                <w:color w:val="auto"/>
                <w:szCs w:val="21"/>
                <w:highlight w:val="none"/>
              </w:rPr>
            </w:pPr>
            <w:r>
              <w:rPr>
                <w:color w:val="auto"/>
                <w:szCs w:val="21"/>
                <w:highlight w:val="none"/>
              </w:rPr>
              <w:t>标段建设地点</w:t>
            </w:r>
          </w:p>
        </w:tc>
        <w:tc>
          <w:tcPr>
            <w:tcW w:w="4889" w:type="dxa"/>
            <w:tcBorders>
              <w:top w:val="single" w:color="auto" w:sz="4" w:space="0"/>
              <w:left w:val="single" w:color="auto" w:sz="4" w:space="0"/>
              <w:bottom w:val="single" w:color="auto" w:sz="4" w:space="0"/>
              <w:right w:val="single" w:color="auto" w:sz="4" w:space="0"/>
            </w:tcBorders>
            <w:vAlign w:val="center"/>
          </w:tcPr>
          <w:p w14:paraId="0EE12846">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见招标公告或投标邀请书</w:t>
            </w:r>
          </w:p>
        </w:tc>
      </w:tr>
      <w:tr w14:paraId="4A6F4A12">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24F5C1C3">
            <w:pPr>
              <w:spacing w:line="440" w:lineRule="atLeast"/>
              <w:jc w:val="center"/>
              <w:rPr>
                <w:color w:val="auto"/>
                <w:szCs w:val="21"/>
                <w:highlight w:val="none"/>
              </w:rPr>
            </w:pPr>
            <w:r>
              <w:rPr>
                <w:color w:val="auto"/>
                <w:szCs w:val="21"/>
                <w:highlight w:val="none"/>
              </w:rPr>
              <w:t>1.1.6</w:t>
            </w:r>
          </w:p>
        </w:tc>
        <w:tc>
          <w:tcPr>
            <w:tcW w:w="2879" w:type="dxa"/>
            <w:tcBorders>
              <w:top w:val="single" w:color="auto" w:sz="4" w:space="0"/>
              <w:left w:val="single" w:color="auto" w:sz="4" w:space="0"/>
              <w:bottom w:val="single" w:color="auto" w:sz="4" w:space="0"/>
              <w:right w:val="single" w:color="auto" w:sz="4" w:space="0"/>
            </w:tcBorders>
            <w:vAlign w:val="center"/>
          </w:tcPr>
          <w:p w14:paraId="5C61CCDB">
            <w:pPr>
              <w:spacing w:line="440" w:lineRule="atLeast"/>
              <w:jc w:val="center"/>
              <w:rPr>
                <w:color w:val="auto"/>
                <w:szCs w:val="21"/>
                <w:highlight w:val="none"/>
              </w:rPr>
            </w:pPr>
            <w:r>
              <w:rPr>
                <w:color w:val="auto"/>
                <w:szCs w:val="21"/>
                <w:highlight w:val="none"/>
              </w:rPr>
              <w:t>标段建设规模</w:t>
            </w:r>
          </w:p>
        </w:tc>
        <w:tc>
          <w:tcPr>
            <w:tcW w:w="4889" w:type="dxa"/>
            <w:tcBorders>
              <w:top w:val="single" w:color="auto" w:sz="4" w:space="0"/>
              <w:left w:val="single" w:color="auto" w:sz="4" w:space="0"/>
              <w:bottom w:val="single" w:color="auto" w:sz="4" w:space="0"/>
              <w:right w:val="single" w:color="auto" w:sz="4" w:space="0"/>
            </w:tcBorders>
            <w:vAlign w:val="center"/>
          </w:tcPr>
          <w:p w14:paraId="0AE5FB32">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见招标公告或投标邀请书</w:t>
            </w:r>
          </w:p>
        </w:tc>
      </w:tr>
      <w:tr w14:paraId="1E7916CE">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18D3E294">
            <w:pPr>
              <w:spacing w:line="440" w:lineRule="atLeast"/>
              <w:jc w:val="center"/>
              <w:rPr>
                <w:color w:val="auto"/>
                <w:szCs w:val="21"/>
                <w:highlight w:val="none"/>
              </w:rPr>
            </w:pPr>
            <w:r>
              <w:rPr>
                <w:color w:val="auto"/>
                <w:szCs w:val="21"/>
                <w:highlight w:val="none"/>
              </w:rPr>
              <w:t>1.1.7</w:t>
            </w:r>
          </w:p>
        </w:tc>
        <w:tc>
          <w:tcPr>
            <w:tcW w:w="2879" w:type="dxa"/>
            <w:tcBorders>
              <w:top w:val="single" w:color="auto" w:sz="4" w:space="0"/>
              <w:left w:val="single" w:color="auto" w:sz="4" w:space="0"/>
              <w:bottom w:val="single" w:color="auto" w:sz="4" w:space="0"/>
              <w:right w:val="single" w:color="auto" w:sz="4" w:space="0"/>
            </w:tcBorders>
            <w:vAlign w:val="center"/>
          </w:tcPr>
          <w:p w14:paraId="097DEB79">
            <w:pPr>
              <w:spacing w:line="440" w:lineRule="atLeast"/>
              <w:jc w:val="center"/>
              <w:rPr>
                <w:color w:val="auto"/>
                <w:szCs w:val="21"/>
                <w:highlight w:val="none"/>
              </w:rPr>
            </w:pPr>
            <w:r>
              <w:rPr>
                <w:color w:val="auto"/>
                <w:szCs w:val="21"/>
                <w:highlight w:val="none"/>
              </w:rPr>
              <w:t>招标项目施工预计开工日期和建设周期</w:t>
            </w:r>
          </w:p>
        </w:tc>
        <w:tc>
          <w:tcPr>
            <w:tcW w:w="4889" w:type="dxa"/>
            <w:tcBorders>
              <w:top w:val="single" w:color="auto" w:sz="4" w:space="0"/>
              <w:left w:val="single" w:color="auto" w:sz="4" w:space="0"/>
              <w:bottom w:val="single" w:color="auto" w:sz="4" w:space="0"/>
              <w:right w:val="single" w:color="auto" w:sz="4" w:space="0"/>
            </w:tcBorders>
            <w:vAlign w:val="center"/>
          </w:tcPr>
          <w:p w14:paraId="40455055">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见招标公告或投标邀请书</w:t>
            </w:r>
          </w:p>
        </w:tc>
      </w:tr>
      <w:tr w14:paraId="69CA3485">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12F4882B">
            <w:pPr>
              <w:spacing w:line="440" w:lineRule="atLeast"/>
              <w:jc w:val="center"/>
              <w:rPr>
                <w:color w:val="auto"/>
                <w:szCs w:val="21"/>
                <w:highlight w:val="none"/>
              </w:rPr>
            </w:pPr>
            <w:r>
              <w:rPr>
                <w:color w:val="auto"/>
                <w:szCs w:val="21"/>
                <w:highlight w:val="none"/>
              </w:rPr>
              <w:t>1.2.1</w:t>
            </w:r>
          </w:p>
        </w:tc>
        <w:tc>
          <w:tcPr>
            <w:tcW w:w="2879" w:type="dxa"/>
            <w:tcBorders>
              <w:top w:val="single" w:color="auto" w:sz="4" w:space="0"/>
              <w:left w:val="single" w:color="auto" w:sz="4" w:space="0"/>
              <w:bottom w:val="single" w:color="auto" w:sz="4" w:space="0"/>
              <w:right w:val="single" w:color="auto" w:sz="4" w:space="0"/>
            </w:tcBorders>
            <w:vAlign w:val="center"/>
          </w:tcPr>
          <w:p w14:paraId="2954C184">
            <w:pPr>
              <w:spacing w:line="440" w:lineRule="atLeast"/>
              <w:jc w:val="center"/>
              <w:rPr>
                <w:color w:val="auto"/>
                <w:szCs w:val="21"/>
                <w:highlight w:val="none"/>
              </w:rPr>
            </w:pPr>
            <w:r>
              <w:rPr>
                <w:color w:val="auto"/>
                <w:szCs w:val="21"/>
                <w:highlight w:val="none"/>
              </w:rPr>
              <w:t>资金来源及比例</w:t>
            </w:r>
          </w:p>
        </w:tc>
        <w:tc>
          <w:tcPr>
            <w:tcW w:w="4889" w:type="dxa"/>
            <w:tcBorders>
              <w:top w:val="single" w:color="auto" w:sz="4" w:space="0"/>
              <w:left w:val="single" w:color="auto" w:sz="4" w:space="0"/>
              <w:bottom w:val="single" w:color="auto" w:sz="4" w:space="0"/>
              <w:right w:val="single" w:color="auto" w:sz="4" w:space="0"/>
            </w:tcBorders>
            <w:vAlign w:val="center"/>
          </w:tcPr>
          <w:p w14:paraId="66A85152">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见招标公告或投标邀请书</w:t>
            </w:r>
          </w:p>
        </w:tc>
      </w:tr>
      <w:tr w14:paraId="07E4457B">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145FEBF1">
            <w:pPr>
              <w:spacing w:line="440" w:lineRule="atLeast"/>
              <w:jc w:val="center"/>
              <w:rPr>
                <w:color w:val="auto"/>
                <w:szCs w:val="21"/>
                <w:highlight w:val="none"/>
              </w:rPr>
            </w:pPr>
            <w:r>
              <w:rPr>
                <w:color w:val="auto"/>
                <w:szCs w:val="21"/>
                <w:highlight w:val="none"/>
              </w:rPr>
              <w:t>1.2.2</w:t>
            </w:r>
          </w:p>
        </w:tc>
        <w:tc>
          <w:tcPr>
            <w:tcW w:w="2879" w:type="dxa"/>
            <w:tcBorders>
              <w:top w:val="single" w:color="auto" w:sz="4" w:space="0"/>
              <w:left w:val="single" w:color="auto" w:sz="4" w:space="0"/>
              <w:bottom w:val="single" w:color="auto" w:sz="4" w:space="0"/>
              <w:right w:val="single" w:color="auto" w:sz="4" w:space="0"/>
            </w:tcBorders>
            <w:vAlign w:val="center"/>
          </w:tcPr>
          <w:p w14:paraId="47960177">
            <w:pPr>
              <w:spacing w:line="440" w:lineRule="atLeast"/>
              <w:jc w:val="center"/>
              <w:rPr>
                <w:color w:val="auto"/>
                <w:szCs w:val="21"/>
                <w:highlight w:val="none"/>
              </w:rPr>
            </w:pPr>
            <w:r>
              <w:rPr>
                <w:color w:val="auto"/>
                <w:szCs w:val="21"/>
                <w:highlight w:val="none"/>
              </w:rPr>
              <w:t>资金落实情况</w:t>
            </w:r>
          </w:p>
        </w:tc>
        <w:tc>
          <w:tcPr>
            <w:tcW w:w="4889" w:type="dxa"/>
            <w:tcBorders>
              <w:top w:val="single" w:color="auto" w:sz="4" w:space="0"/>
              <w:left w:val="single" w:color="auto" w:sz="4" w:space="0"/>
              <w:bottom w:val="single" w:color="auto" w:sz="4" w:space="0"/>
              <w:right w:val="single" w:color="auto" w:sz="4" w:space="0"/>
            </w:tcBorders>
            <w:vAlign w:val="center"/>
          </w:tcPr>
          <w:p w14:paraId="334A485A">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已落实</w:t>
            </w:r>
          </w:p>
        </w:tc>
      </w:tr>
      <w:tr w14:paraId="033FCED8">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1EBAD28A">
            <w:pPr>
              <w:spacing w:line="440" w:lineRule="atLeast"/>
              <w:jc w:val="center"/>
              <w:rPr>
                <w:color w:val="auto"/>
                <w:szCs w:val="21"/>
                <w:highlight w:val="none"/>
              </w:rPr>
            </w:pPr>
            <w:r>
              <w:rPr>
                <w:color w:val="auto"/>
                <w:szCs w:val="21"/>
                <w:highlight w:val="none"/>
              </w:rPr>
              <w:t>1.3.1</w:t>
            </w:r>
          </w:p>
        </w:tc>
        <w:tc>
          <w:tcPr>
            <w:tcW w:w="2879" w:type="dxa"/>
            <w:tcBorders>
              <w:top w:val="single" w:color="auto" w:sz="4" w:space="0"/>
              <w:left w:val="single" w:color="auto" w:sz="4" w:space="0"/>
              <w:bottom w:val="single" w:color="auto" w:sz="4" w:space="0"/>
              <w:right w:val="single" w:color="auto" w:sz="4" w:space="0"/>
            </w:tcBorders>
            <w:vAlign w:val="center"/>
          </w:tcPr>
          <w:p w14:paraId="4EABAB91">
            <w:pPr>
              <w:spacing w:line="440" w:lineRule="atLeast"/>
              <w:jc w:val="center"/>
              <w:rPr>
                <w:color w:val="auto"/>
                <w:szCs w:val="21"/>
                <w:highlight w:val="none"/>
              </w:rPr>
            </w:pPr>
            <w:r>
              <w:rPr>
                <w:color w:val="auto"/>
                <w:szCs w:val="21"/>
                <w:highlight w:val="none"/>
              </w:rPr>
              <w:t>招标范围</w:t>
            </w:r>
          </w:p>
        </w:tc>
        <w:tc>
          <w:tcPr>
            <w:tcW w:w="4889" w:type="dxa"/>
            <w:tcBorders>
              <w:top w:val="single" w:color="auto" w:sz="4" w:space="0"/>
              <w:left w:val="single" w:color="auto" w:sz="4" w:space="0"/>
              <w:bottom w:val="single" w:color="auto" w:sz="4" w:space="0"/>
              <w:right w:val="single" w:color="auto" w:sz="4" w:space="0"/>
            </w:tcBorders>
            <w:vAlign w:val="center"/>
          </w:tcPr>
          <w:p w14:paraId="1379923B">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见招标公告或投标邀请书</w:t>
            </w:r>
          </w:p>
        </w:tc>
      </w:tr>
      <w:tr w14:paraId="7C36AF25">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2B2FE89C">
            <w:pPr>
              <w:spacing w:line="440" w:lineRule="atLeast"/>
              <w:jc w:val="center"/>
              <w:rPr>
                <w:color w:val="auto"/>
                <w:szCs w:val="21"/>
                <w:highlight w:val="none"/>
              </w:rPr>
            </w:pPr>
            <w:r>
              <w:rPr>
                <w:color w:val="auto"/>
                <w:szCs w:val="21"/>
                <w:highlight w:val="none"/>
              </w:rPr>
              <w:t>1.3.2</w:t>
            </w:r>
          </w:p>
        </w:tc>
        <w:tc>
          <w:tcPr>
            <w:tcW w:w="2879" w:type="dxa"/>
            <w:tcBorders>
              <w:top w:val="single" w:color="auto" w:sz="4" w:space="0"/>
              <w:left w:val="single" w:color="auto" w:sz="4" w:space="0"/>
              <w:bottom w:val="single" w:color="auto" w:sz="4" w:space="0"/>
              <w:right w:val="single" w:color="auto" w:sz="4" w:space="0"/>
            </w:tcBorders>
            <w:vAlign w:val="center"/>
          </w:tcPr>
          <w:p w14:paraId="6806795F">
            <w:pPr>
              <w:spacing w:line="440" w:lineRule="atLeast"/>
              <w:jc w:val="center"/>
              <w:rPr>
                <w:color w:val="auto"/>
                <w:szCs w:val="21"/>
                <w:highlight w:val="none"/>
              </w:rPr>
            </w:pPr>
            <w:r>
              <w:rPr>
                <w:color w:val="auto"/>
                <w:szCs w:val="21"/>
                <w:highlight w:val="none"/>
              </w:rPr>
              <w:t>咨询服务期限</w:t>
            </w:r>
          </w:p>
        </w:tc>
        <w:tc>
          <w:tcPr>
            <w:tcW w:w="4889" w:type="dxa"/>
            <w:tcBorders>
              <w:top w:val="single" w:color="auto" w:sz="4" w:space="0"/>
              <w:left w:val="single" w:color="auto" w:sz="4" w:space="0"/>
              <w:bottom w:val="single" w:color="auto" w:sz="4" w:space="0"/>
              <w:right w:val="single" w:color="auto" w:sz="4" w:space="0"/>
            </w:tcBorders>
            <w:vAlign w:val="center"/>
          </w:tcPr>
          <w:p w14:paraId="7B5C0F1A">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见招标公告或投标邀请书</w:t>
            </w:r>
          </w:p>
        </w:tc>
      </w:tr>
      <w:tr w14:paraId="39108923">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207C88AD">
            <w:pPr>
              <w:spacing w:line="440" w:lineRule="atLeast"/>
              <w:jc w:val="center"/>
              <w:rPr>
                <w:color w:val="auto"/>
                <w:szCs w:val="21"/>
                <w:highlight w:val="none"/>
              </w:rPr>
            </w:pPr>
            <w:r>
              <w:rPr>
                <w:color w:val="auto"/>
                <w:szCs w:val="21"/>
                <w:highlight w:val="none"/>
              </w:rPr>
              <w:t>1.3.3</w:t>
            </w:r>
          </w:p>
        </w:tc>
        <w:tc>
          <w:tcPr>
            <w:tcW w:w="2879" w:type="dxa"/>
            <w:tcBorders>
              <w:top w:val="single" w:color="auto" w:sz="4" w:space="0"/>
              <w:left w:val="single" w:color="auto" w:sz="4" w:space="0"/>
              <w:bottom w:val="single" w:color="auto" w:sz="4" w:space="0"/>
              <w:right w:val="single" w:color="auto" w:sz="4" w:space="0"/>
            </w:tcBorders>
            <w:vAlign w:val="center"/>
          </w:tcPr>
          <w:p w14:paraId="6E91C118">
            <w:pPr>
              <w:spacing w:line="440" w:lineRule="atLeast"/>
              <w:jc w:val="center"/>
              <w:rPr>
                <w:color w:val="auto"/>
                <w:szCs w:val="21"/>
                <w:highlight w:val="none"/>
              </w:rPr>
            </w:pPr>
            <w:r>
              <w:rPr>
                <w:color w:val="auto"/>
                <w:szCs w:val="21"/>
                <w:highlight w:val="none"/>
              </w:rPr>
              <w:t>质量要求</w:t>
            </w:r>
          </w:p>
        </w:tc>
        <w:tc>
          <w:tcPr>
            <w:tcW w:w="4889" w:type="dxa"/>
            <w:tcBorders>
              <w:top w:val="single" w:color="auto" w:sz="4" w:space="0"/>
              <w:left w:val="single" w:color="auto" w:sz="4" w:space="0"/>
              <w:bottom w:val="single" w:color="auto" w:sz="4" w:space="0"/>
              <w:right w:val="single" w:color="auto" w:sz="4" w:space="0"/>
            </w:tcBorders>
            <w:vAlign w:val="center"/>
          </w:tcPr>
          <w:p w14:paraId="59952E10">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（1）供应商应按照相关法律法规、技术标准和规范要求，根据采购人需求，开展</w:t>
            </w:r>
            <w:r>
              <w:rPr>
                <w:rFonts w:hint="eastAsia" w:ascii="宋体" w:hAnsi="宋体" w:cs="宋体"/>
                <w:color w:val="auto"/>
                <w:szCs w:val="21"/>
                <w:highlight w:val="none"/>
                <w:lang w:val="en-US" w:eastAsia="zh-CN"/>
              </w:rPr>
              <w:t>成桥动静载检测（桥梁）技术</w:t>
            </w:r>
            <w:r>
              <w:rPr>
                <w:rFonts w:hint="eastAsia" w:ascii="宋体" w:hAnsi="宋体" w:eastAsia="宋体" w:cs="宋体"/>
                <w:color w:val="auto"/>
                <w:szCs w:val="21"/>
                <w:highlight w:val="none"/>
                <w:lang w:val="en-US" w:eastAsia="zh-CN"/>
              </w:rPr>
              <w:t>咨询服务</w:t>
            </w:r>
            <w:r>
              <w:rPr>
                <w:rFonts w:hint="eastAsia" w:ascii="宋体" w:hAnsi="宋体" w:eastAsia="宋体" w:cs="宋体"/>
                <w:color w:val="auto"/>
                <w:szCs w:val="21"/>
                <w:highlight w:val="none"/>
              </w:rPr>
              <w:t>工作。</w:t>
            </w:r>
          </w:p>
          <w:p w14:paraId="17232DFA">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（2）供应商应按期、按质、按量地完成双方商定的各项工作内容，并对成果报告的质量负责。</w:t>
            </w:r>
          </w:p>
          <w:p w14:paraId="6C0CC11F">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（3）在编制过程中，供应商应主动和采购人保持密切联系。</w:t>
            </w:r>
          </w:p>
          <w:p w14:paraId="634ADBFE">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（4）供应商的工作进度没有达到响应文件中承诺的进度计划时，采购人有权向供应商提出要求增加服务人员，供应商应无条件满足。</w:t>
            </w:r>
          </w:p>
        </w:tc>
      </w:tr>
      <w:tr w14:paraId="58C4AD0C">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202E39C6">
            <w:pPr>
              <w:spacing w:line="440" w:lineRule="atLeast"/>
              <w:jc w:val="center"/>
              <w:rPr>
                <w:color w:val="auto"/>
                <w:szCs w:val="21"/>
                <w:highlight w:val="none"/>
              </w:rPr>
            </w:pPr>
            <w:r>
              <w:rPr>
                <w:bCs/>
                <w:color w:val="auto"/>
                <w:szCs w:val="21"/>
                <w:highlight w:val="none"/>
              </w:rPr>
              <w:t>1.3.4</w:t>
            </w:r>
          </w:p>
        </w:tc>
        <w:tc>
          <w:tcPr>
            <w:tcW w:w="2879" w:type="dxa"/>
            <w:tcBorders>
              <w:top w:val="single" w:color="auto" w:sz="4" w:space="0"/>
              <w:left w:val="single" w:color="auto" w:sz="4" w:space="0"/>
              <w:bottom w:val="single" w:color="auto" w:sz="4" w:space="0"/>
              <w:right w:val="single" w:color="auto" w:sz="4" w:space="0"/>
            </w:tcBorders>
            <w:vAlign w:val="center"/>
          </w:tcPr>
          <w:p w14:paraId="72B4F402">
            <w:pPr>
              <w:spacing w:line="440" w:lineRule="atLeast"/>
              <w:jc w:val="center"/>
              <w:rPr>
                <w:color w:val="auto"/>
                <w:szCs w:val="21"/>
                <w:highlight w:val="none"/>
              </w:rPr>
            </w:pPr>
            <w:r>
              <w:rPr>
                <w:color w:val="auto"/>
                <w:szCs w:val="21"/>
                <w:highlight w:val="none"/>
              </w:rPr>
              <w:t>安全目标</w:t>
            </w:r>
          </w:p>
        </w:tc>
        <w:tc>
          <w:tcPr>
            <w:tcW w:w="4889" w:type="dxa"/>
            <w:tcBorders>
              <w:top w:val="single" w:color="auto" w:sz="4" w:space="0"/>
              <w:left w:val="single" w:color="auto" w:sz="4" w:space="0"/>
              <w:bottom w:val="single" w:color="auto" w:sz="4" w:space="0"/>
              <w:right w:val="single" w:color="auto" w:sz="4" w:space="0"/>
            </w:tcBorders>
            <w:vAlign w:val="center"/>
          </w:tcPr>
          <w:p w14:paraId="65987351">
            <w:pPr>
              <w:pStyle w:val="18"/>
              <w:topLinePunct/>
              <w:spacing w:line="4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严格执行有关安全生产的法律法规和规章制度，确保：</w:t>
            </w:r>
            <w:bookmarkStart w:id="50" w:name="EB18f5c25a16234a778d0decf4bb61f421"/>
            <w:r>
              <w:rPr>
                <w:rFonts w:hint="eastAsia" w:ascii="宋体" w:hAnsi="宋体" w:eastAsia="宋体" w:cs="宋体"/>
                <w:color w:val="auto"/>
                <w:kern w:val="2"/>
                <w:sz w:val="21"/>
                <w:szCs w:val="21"/>
                <w:highlight w:val="none"/>
                <w:lang w:val="en-US" w:eastAsia="zh-CN" w:bidi="ar-SA"/>
              </w:rPr>
              <w:t>项目安全实施，安全生产零事故、零死亡</w:t>
            </w:r>
            <w:bookmarkEnd w:id="50"/>
            <w:r>
              <w:rPr>
                <w:rFonts w:hint="eastAsia" w:ascii="宋体" w:hAnsi="宋体" w:eastAsia="宋体" w:cs="宋体"/>
                <w:color w:val="auto"/>
                <w:kern w:val="2"/>
                <w:sz w:val="21"/>
                <w:szCs w:val="21"/>
                <w:highlight w:val="none"/>
                <w:lang w:val="en-US" w:eastAsia="zh-CN" w:bidi="ar-SA"/>
              </w:rPr>
              <w:t>。</w:t>
            </w:r>
          </w:p>
        </w:tc>
      </w:tr>
      <w:tr w14:paraId="1B760126">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7FC409F4">
            <w:pPr>
              <w:spacing w:line="440" w:lineRule="atLeast"/>
              <w:jc w:val="center"/>
              <w:rPr>
                <w:rFonts w:hint="default" w:eastAsia="宋体"/>
                <w:bCs/>
                <w:color w:val="auto"/>
                <w:szCs w:val="21"/>
                <w:highlight w:val="none"/>
                <w:lang w:val="en-US" w:eastAsia="zh-CN"/>
              </w:rPr>
            </w:pPr>
            <w:r>
              <w:rPr>
                <w:rFonts w:hint="eastAsia"/>
                <w:bCs/>
                <w:color w:val="auto"/>
                <w:szCs w:val="21"/>
                <w:highlight w:val="none"/>
                <w:lang w:val="en-US" w:eastAsia="zh-CN"/>
              </w:rPr>
              <w:t>1.3.5</w:t>
            </w:r>
          </w:p>
        </w:tc>
        <w:tc>
          <w:tcPr>
            <w:tcW w:w="2879" w:type="dxa"/>
            <w:tcBorders>
              <w:top w:val="single" w:color="auto" w:sz="4" w:space="0"/>
              <w:left w:val="single" w:color="auto" w:sz="4" w:space="0"/>
              <w:bottom w:val="single" w:color="auto" w:sz="4" w:space="0"/>
              <w:right w:val="single" w:color="auto" w:sz="4" w:space="0"/>
            </w:tcBorders>
            <w:vAlign w:val="center"/>
          </w:tcPr>
          <w:p w14:paraId="7454659E">
            <w:pPr>
              <w:spacing w:line="360" w:lineRule="atLeas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环保目标</w:t>
            </w:r>
          </w:p>
        </w:tc>
        <w:tc>
          <w:tcPr>
            <w:tcW w:w="4889" w:type="dxa"/>
            <w:tcBorders>
              <w:top w:val="single" w:color="auto" w:sz="4" w:space="0"/>
              <w:left w:val="single" w:color="auto" w:sz="4" w:space="0"/>
              <w:bottom w:val="single" w:color="auto" w:sz="4" w:space="0"/>
              <w:right w:val="single" w:color="auto" w:sz="4" w:space="0"/>
            </w:tcBorders>
            <w:vAlign w:val="center"/>
          </w:tcPr>
          <w:p w14:paraId="2F9E08AC">
            <w:pPr>
              <w:spacing w:line="40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补充1.3.5项 </w:t>
            </w:r>
          </w:p>
          <w:p w14:paraId="4020339A">
            <w:pPr>
              <w:spacing w:line="40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本标段的环保目标：见投标人须知前附表。</w:t>
            </w:r>
          </w:p>
          <w:p w14:paraId="30A73136">
            <w:pPr>
              <w:pStyle w:val="18"/>
              <w:topLinePunct/>
              <w:spacing w:line="360" w:lineRule="atLeas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严格执行有关环境保护的法律法规和规章制度，确保：</w:t>
            </w:r>
            <w:r>
              <w:rPr>
                <w:rFonts w:hint="eastAsia" w:asciiTheme="minorEastAsia" w:hAnsiTheme="minorEastAsia" w:eastAsiaTheme="minorEastAsia" w:cstheme="minorEastAsia"/>
                <w:color w:val="auto"/>
                <w:sz w:val="21"/>
                <w:szCs w:val="21"/>
                <w:highlight w:val="none"/>
                <w:u w:val="single"/>
              </w:rPr>
              <w:t xml:space="preserve"> 无环境污染、水土流失事故和投诉事件发生，环保验收一次性通过。</w:t>
            </w:r>
          </w:p>
        </w:tc>
      </w:tr>
      <w:tr w14:paraId="237B14BF">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426AB13B">
            <w:pPr>
              <w:spacing w:line="440" w:lineRule="atLeast"/>
              <w:jc w:val="center"/>
              <w:rPr>
                <w:color w:val="auto"/>
                <w:szCs w:val="21"/>
                <w:highlight w:val="none"/>
              </w:rPr>
            </w:pPr>
            <w:r>
              <w:rPr>
                <w:color w:val="auto"/>
                <w:szCs w:val="21"/>
                <w:highlight w:val="none"/>
              </w:rPr>
              <w:br w:type="page"/>
            </w:r>
            <w:r>
              <w:rPr>
                <w:color w:val="auto"/>
                <w:szCs w:val="21"/>
                <w:highlight w:val="none"/>
              </w:rPr>
              <w:t>1.4.1</w:t>
            </w:r>
          </w:p>
        </w:tc>
        <w:tc>
          <w:tcPr>
            <w:tcW w:w="2879" w:type="dxa"/>
            <w:tcBorders>
              <w:top w:val="single" w:color="auto" w:sz="4" w:space="0"/>
              <w:left w:val="single" w:color="auto" w:sz="4" w:space="0"/>
              <w:bottom w:val="single" w:color="auto" w:sz="4" w:space="0"/>
              <w:right w:val="single" w:color="auto" w:sz="4" w:space="0"/>
            </w:tcBorders>
            <w:vAlign w:val="center"/>
          </w:tcPr>
          <w:p w14:paraId="7CC02C29">
            <w:pPr>
              <w:spacing w:line="4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投标人资质条件、能力和信誉</w:t>
            </w:r>
          </w:p>
        </w:tc>
        <w:tc>
          <w:tcPr>
            <w:tcW w:w="4889" w:type="dxa"/>
            <w:tcBorders>
              <w:top w:val="single" w:color="auto" w:sz="4" w:space="0"/>
              <w:left w:val="single" w:color="auto" w:sz="4" w:space="0"/>
              <w:bottom w:val="single" w:color="auto" w:sz="4" w:space="0"/>
              <w:right w:val="single" w:color="auto" w:sz="4" w:space="0"/>
            </w:tcBorders>
            <w:vAlign w:val="center"/>
          </w:tcPr>
          <w:p w14:paraId="7EA6C125">
            <w:pPr>
              <w:pStyle w:val="18"/>
              <w:topLinePunct/>
              <w:spacing w:line="4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资质要求：见附录1</w:t>
            </w:r>
          </w:p>
          <w:p w14:paraId="5C53BC5A">
            <w:pPr>
              <w:pStyle w:val="18"/>
              <w:topLinePunct/>
              <w:spacing w:line="4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业绩要求：见附录2</w:t>
            </w:r>
          </w:p>
          <w:p w14:paraId="3A488F39">
            <w:pPr>
              <w:pStyle w:val="18"/>
              <w:topLinePunct/>
              <w:spacing w:line="4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信誉要求：见附录3</w:t>
            </w:r>
          </w:p>
          <w:p w14:paraId="4F545614">
            <w:pPr>
              <w:pStyle w:val="18"/>
              <w:topLinePunct/>
              <w:spacing w:line="4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项目负责人资格：见附录4</w:t>
            </w:r>
          </w:p>
          <w:p w14:paraId="7259140E">
            <w:pPr>
              <w:spacing w:line="440" w:lineRule="atLeas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其他要求：</w:t>
            </w:r>
            <w:r>
              <w:rPr>
                <w:rFonts w:hint="eastAsia" w:asciiTheme="minorEastAsia" w:hAnsiTheme="minorEastAsia" w:eastAsiaTheme="minorEastAsia" w:cstheme="minorEastAsia"/>
                <w:color w:val="auto"/>
                <w:szCs w:val="21"/>
                <w:highlight w:val="none"/>
                <w:lang w:val="en-US" w:eastAsia="zh-CN"/>
              </w:rPr>
              <w:t xml:space="preserve">见附录5 </w:t>
            </w:r>
          </w:p>
        </w:tc>
      </w:tr>
      <w:tr w14:paraId="0AA71250">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192A94F3">
            <w:pPr>
              <w:spacing w:line="440" w:lineRule="atLeast"/>
              <w:jc w:val="center"/>
              <w:rPr>
                <w:color w:val="auto"/>
                <w:szCs w:val="21"/>
                <w:highlight w:val="none"/>
              </w:rPr>
            </w:pPr>
            <w:r>
              <w:rPr>
                <w:color w:val="auto"/>
                <w:szCs w:val="21"/>
                <w:highlight w:val="none"/>
              </w:rPr>
              <w:t>1.4.2</w:t>
            </w:r>
          </w:p>
        </w:tc>
        <w:tc>
          <w:tcPr>
            <w:tcW w:w="2879" w:type="dxa"/>
            <w:tcBorders>
              <w:top w:val="single" w:color="auto" w:sz="4" w:space="0"/>
              <w:left w:val="single" w:color="auto" w:sz="4" w:space="0"/>
              <w:bottom w:val="single" w:color="auto" w:sz="4" w:space="0"/>
              <w:right w:val="single" w:color="auto" w:sz="4" w:space="0"/>
            </w:tcBorders>
            <w:vAlign w:val="center"/>
          </w:tcPr>
          <w:p w14:paraId="481CC305">
            <w:pPr>
              <w:spacing w:line="440" w:lineRule="atLeast"/>
              <w:jc w:val="center"/>
              <w:rPr>
                <w:color w:val="auto"/>
                <w:szCs w:val="21"/>
                <w:highlight w:val="none"/>
              </w:rPr>
            </w:pPr>
            <w:r>
              <w:rPr>
                <w:color w:val="auto"/>
                <w:szCs w:val="21"/>
                <w:highlight w:val="none"/>
              </w:rPr>
              <w:t>是否接受联合体投标</w:t>
            </w:r>
          </w:p>
        </w:tc>
        <w:tc>
          <w:tcPr>
            <w:tcW w:w="4889" w:type="dxa"/>
            <w:tcBorders>
              <w:top w:val="single" w:color="auto" w:sz="4" w:space="0"/>
              <w:left w:val="single" w:color="auto" w:sz="4" w:space="0"/>
              <w:bottom w:val="single" w:color="auto" w:sz="4" w:space="0"/>
              <w:right w:val="single" w:color="auto" w:sz="4" w:space="0"/>
            </w:tcBorders>
            <w:vAlign w:val="center"/>
          </w:tcPr>
          <w:p w14:paraId="11E3EAA2">
            <w:pPr>
              <w:spacing w:line="440" w:lineRule="atLeast"/>
              <w:rPr>
                <w:color w:val="auto"/>
                <w:szCs w:val="21"/>
                <w:highlight w:val="none"/>
              </w:rPr>
            </w:pPr>
            <w:r>
              <w:rPr>
                <w:rFonts w:hint="eastAsia"/>
                <w:color w:val="auto"/>
                <w:szCs w:val="21"/>
                <w:highlight w:val="none"/>
                <w:lang w:eastAsia="zh-CN"/>
              </w:rPr>
              <w:t>☑</w:t>
            </w:r>
            <w:r>
              <w:rPr>
                <w:color w:val="auto"/>
                <w:szCs w:val="21"/>
                <w:highlight w:val="none"/>
              </w:rPr>
              <w:t>不接受</w:t>
            </w:r>
          </w:p>
          <w:p w14:paraId="5E01ED35">
            <w:pPr>
              <w:spacing w:line="440" w:lineRule="atLeast"/>
              <w:rPr>
                <w:color w:val="auto"/>
                <w:szCs w:val="21"/>
                <w:highlight w:val="none"/>
              </w:rPr>
            </w:pPr>
            <w:r>
              <w:rPr>
                <w:color w:val="auto"/>
                <w:szCs w:val="21"/>
                <w:highlight w:val="none"/>
              </w:rPr>
              <w:t>□接受，应满足下列要求：</w:t>
            </w:r>
          </w:p>
          <w:p w14:paraId="2C3F913D">
            <w:pPr>
              <w:spacing w:line="440" w:lineRule="atLeast"/>
              <w:ind w:firstLine="420" w:firstLineChars="200"/>
              <w:rPr>
                <w:color w:val="auto"/>
                <w:szCs w:val="21"/>
                <w:highlight w:val="none"/>
              </w:rPr>
            </w:pPr>
            <w:r>
              <w:rPr>
                <w:color w:val="auto"/>
                <w:szCs w:val="21"/>
                <w:highlight w:val="none"/>
              </w:rPr>
              <w:t>（1）联合体所有成员数量不得超过</w:t>
            </w:r>
            <w:r>
              <w:rPr>
                <w:rFonts w:hint="eastAsia"/>
                <w:color w:val="auto"/>
                <w:szCs w:val="21"/>
                <w:highlight w:val="none"/>
                <w:u w:val="single"/>
                <w:lang w:val="en-US" w:eastAsia="zh-CN"/>
              </w:rPr>
              <w:t>\</w:t>
            </w:r>
            <w:r>
              <w:rPr>
                <w:color w:val="auto"/>
                <w:szCs w:val="21"/>
                <w:highlight w:val="none"/>
              </w:rPr>
              <w:t xml:space="preserve">家； </w:t>
            </w:r>
          </w:p>
          <w:p w14:paraId="4FA614BB">
            <w:pPr>
              <w:spacing w:line="440" w:lineRule="atLeast"/>
              <w:ind w:firstLine="420" w:firstLineChars="200"/>
              <w:rPr>
                <w:color w:val="auto"/>
                <w:szCs w:val="21"/>
                <w:highlight w:val="none"/>
              </w:rPr>
            </w:pPr>
            <w:r>
              <w:rPr>
                <w:color w:val="auto"/>
                <w:szCs w:val="21"/>
                <w:highlight w:val="none"/>
              </w:rPr>
              <w:t>（2）联合体牵头人应具有</w:t>
            </w:r>
            <w:r>
              <w:rPr>
                <w:rFonts w:hint="eastAsia"/>
                <w:color w:val="auto"/>
                <w:szCs w:val="21"/>
                <w:highlight w:val="none"/>
                <w:u w:val="single"/>
                <w:lang w:val="en-US" w:eastAsia="zh-CN"/>
              </w:rPr>
              <w:t>\</w:t>
            </w:r>
            <w:r>
              <w:rPr>
                <w:color w:val="auto"/>
                <w:szCs w:val="21"/>
                <w:highlight w:val="none"/>
              </w:rPr>
              <w:t>资质；</w:t>
            </w:r>
          </w:p>
          <w:p w14:paraId="0BE2F90D">
            <w:pPr>
              <w:spacing w:line="400" w:lineRule="atLeast"/>
              <w:ind w:firstLine="420" w:firstLineChars="200"/>
              <w:rPr>
                <w:color w:val="auto"/>
                <w:szCs w:val="21"/>
                <w:highlight w:val="none"/>
              </w:rPr>
            </w:pPr>
            <w:r>
              <w:rPr>
                <w:rFonts w:hint="eastAsia" w:ascii="宋体" w:hAnsi="宋体" w:eastAsia="宋体" w:cs="宋体"/>
                <w:color w:val="auto"/>
                <w:szCs w:val="21"/>
                <w:highlight w:val="none"/>
              </w:rPr>
              <w:t>（3）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tc>
      </w:tr>
      <w:tr w14:paraId="62B262D3">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43DBD32F">
            <w:pPr>
              <w:spacing w:line="440" w:lineRule="atLeast"/>
              <w:jc w:val="center"/>
              <w:rPr>
                <w:color w:val="auto"/>
                <w:szCs w:val="21"/>
                <w:highlight w:val="none"/>
              </w:rPr>
            </w:pPr>
            <w:r>
              <w:rPr>
                <w:color w:val="auto"/>
                <w:szCs w:val="21"/>
                <w:highlight w:val="none"/>
              </w:rPr>
              <w:t>1.4.3</w:t>
            </w:r>
          </w:p>
        </w:tc>
        <w:tc>
          <w:tcPr>
            <w:tcW w:w="2879" w:type="dxa"/>
            <w:tcBorders>
              <w:top w:val="single" w:color="auto" w:sz="4" w:space="0"/>
              <w:left w:val="single" w:color="auto" w:sz="4" w:space="0"/>
              <w:bottom w:val="single" w:color="auto" w:sz="4" w:space="0"/>
              <w:right w:val="single" w:color="auto" w:sz="4" w:space="0"/>
            </w:tcBorders>
            <w:vAlign w:val="center"/>
          </w:tcPr>
          <w:p w14:paraId="3C08AFC8">
            <w:pPr>
              <w:spacing w:line="440" w:lineRule="atLeast"/>
              <w:jc w:val="center"/>
              <w:rPr>
                <w:color w:val="auto"/>
                <w:szCs w:val="21"/>
                <w:highlight w:val="none"/>
              </w:rPr>
            </w:pPr>
            <w:r>
              <w:rPr>
                <w:color w:val="auto"/>
                <w:szCs w:val="21"/>
                <w:highlight w:val="none"/>
              </w:rPr>
              <w:t>投标人不得存在的其他情形</w:t>
            </w:r>
          </w:p>
        </w:tc>
        <w:tc>
          <w:tcPr>
            <w:tcW w:w="4889" w:type="dxa"/>
            <w:tcBorders>
              <w:top w:val="single" w:color="auto" w:sz="4" w:space="0"/>
              <w:left w:val="single" w:color="auto" w:sz="4" w:space="0"/>
              <w:bottom w:val="single" w:color="auto" w:sz="4" w:space="0"/>
              <w:right w:val="single" w:color="auto" w:sz="4" w:space="0"/>
            </w:tcBorders>
            <w:vAlign w:val="center"/>
          </w:tcPr>
          <w:p w14:paraId="2046B47E">
            <w:pPr>
              <w:spacing w:line="440" w:lineRule="atLeast"/>
              <w:rPr>
                <w:color w:val="auto"/>
                <w:spacing w:val="10"/>
                <w:szCs w:val="21"/>
                <w:highlight w:val="none"/>
                <w:bdr w:val="single" w:color="auto" w:sz="4" w:space="0"/>
              </w:rPr>
            </w:pPr>
          </w:p>
        </w:tc>
      </w:tr>
      <w:tr w14:paraId="73C41D41">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077A5FB3">
            <w:pPr>
              <w:spacing w:line="440" w:lineRule="atLeast"/>
              <w:jc w:val="center"/>
              <w:rPr>
                <w:color w:val="auto"/>
                <w:szCs w:val="21"/>
                <w:highlight w:val="none"/>
              </w:rPr>
            </w:pPr>
            <w:r>
              <w:rPr>
                <w:color w:val="auto"/>
                <w:szCs w:val="21"/>
                <w:highlight w:val="none"/>
              </w:rPr>
              <w:t>1.4.4</w:t>
            </w:r>
          </w:p>
        </w:tc>
        <w:tc>
          <w:tcPr>
            <w:tcW w:w="2879" w:type="dxa"/>
            <w:tcBorders>
              <w:top w:val="single" w:color="auto" w:sz="4" w:space="0"/>
              <w:left w:val="single" w:color="auto" w:sz="4" w:space="0"/>
              <w:bottom w:val="single" w:color="auto" w:sz="4" w:space="0"/>
              <w:right w:val="single" w:color="auto" w:sz="4" w:space="0"/>
            </w:tcBorders>
            <w:vAlign w:val="center"/>
          </w:tcPr>
          <w:p w14:paraId="52133DFD">
            <w:pPr>
              <w:spacing w:line="440" w:lineRule="atLeast"/>
              <w:jc w:val="center"/>
              <w:rPr>
                <w:color w:val="auto"/>
                <w:szCs w:val="21"/>
                <w:highlight w:val="none"/>
              </w:rPr>
            </w:pPr>
            <w:r>
              <w:rPr>
                <w:color w:val="auto"/>
                <w:szCs w:val="21"/>
                <w:highlight w:val="none"/>
              </w:rPr>
              <w:t>投标人不得存在的其他不良状况或不良信用记录</w:t>
            </w:r>
          </w:p>
        </w:tc>
        <w:tc>
          <w:tcPr>
            <w:tcW w:w="4889" w:type="dxa"/>
            <w:tcBorders>
              <w:top w:val="single" w:color="auto" w:sz="4" w:space="0"/>
              <w:left w:val="single" w:color="auto" w:sz="4" w:space="0"/>
              <w:bottom w:val="single" w:color="auto" w:sz="4" w:space="0"/>
              <w:right w:val="single" w:color="auto" w:sz="4" w:space="0"/>
            </w:tcBorders>
            <w:vAlign w:val="center"/>
          </w:tcPr>
          <w:p w14:paraId="3BFA6A5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第（6）目细化为：</w:t>
            </w:r>
          </w:p>
          <w:p w14:paraId="3582EE8C">
            <w:pPr>
              <w:spacing w:line="400" w:lineRule="atLeast"/>
              <w:rPr>
                <w:color w:val="auto"/>
                <w:spacing w:val="10"/>
                <w:szCs w:val="21"/>
                <w:highlight w:val="none"/>
                <w:bdr w:val="single" w:color="auto" w:sz="4" w:space="0"/>
              </w:rPr>
            </w:pPr>
            <w:r>
              <w:rPr>
                <w:rFonts w:hint="eastAsia" w:ascii="宋体" w:hAnsi="宋体" w:eastAsia="宋体" w:cs="宋体"/>
                <w:color w:val="auto"/>
                <w:szCs w:val="21"/>
                <w:highlight w:val="none"/>
              </w:rPr>
              <w:t>（6）投标人或其法定代表人、拟委任的项目负责人在近三年内有行贿犯罪行为的；</w:t>
            </w:r>
          </w:p>
        </w:tc>
      </w:tr>
      <w:tr w14:paraId="7CD7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72A41F6A">
            <w:pPr>
              <w:spacing w:line="360" w:lineRule="atLeast"/>
              <w:jc w:val="center"/>
              <w:rPr>
                <w:color w:val="auto"/>
                <w:szCs w:val="21"/>
                <w:highlight w:val="none"/>
              </w:rPr>
            </w:pPr>
            <w:r>
              <w:rPr>
                <w:color w:val="auto"/>
                <w:szCs w:val="21"/>
                <w:highlight w:val="none"/>
              </w:rPr>
              <w:t>1.11.1</w:t>
            </w:r>
          </w:p>
        </w:tc>
        <w:tc>
          <w:tcPr>
            <w:tcW w:w="2879" w:type="dxa"/>
            <w:vAlign w:val="center"/>
          </w:tcPr>
          <w:p w14:paraId="3DCE6FEC">
            <w:pPr>
              <w:spacing w:line="360" w:lineRule="atLeast"/>
              <w:jc w:val="center"/>
              <w:rPr>
                <w:color w:val="auto"/>
                <w:szCs w:val="21"/>
                <w:highlight w:val="none"/>
              </w:rPr>
            </w:pPr>
            <w:r>
              <w:rPr>
                <w:color w:val="auto"/>
                <w:szCs w:val="21"/>
                <w:highlight w:val="none"/>
              </w:rPr>
              <w:t>分  包</w:t>
            </w:r>
          </w:p>
        </w:tc>
        <w:tc>
          <w:tcPr>
            <w:tcW w:w="4889" w:type="dxa"/>
            <w:vAlign w:val="center"/>
          </w:tcPr>
          <w:p w14:paraId="72596BEC">
            <w:pPr>
              <w:spacing w:line="360" w:lineRule="atLeast"/>
              <w:rPr>
                <w:color w:val="auto"/>
                <w:szCs w:val="21"/>
                <w:highlight w:val="none"/>
              </w:rPr>
            </w:pPr>
            <w:r>
              <w:rPr>
                <w:rFonts w:hint="eastAsia"/>
                <w:color w:val="auto"/>
                <w:szCs w:val="21"/>
                <w:highlight w:val="none"/>
                <w:lang w:eastAsia="zh-CN"/>
              </w:rPr>
              <w:t>☑</w:t>
            </w:r>
            <w:r>
              <w:rPr>
                <w:color w:val="auto"/>
                <w:szCs w:val="21"/>
                <w:highlight w:val="none"/>
              </w:rPr>
              <w:t>不允许</w:t>
            </w:r>
          </w:p>
          <w:p w14:paraId="6383A82E">
            <w:pPr>
              <w:pStyle w:val="16"/>
              <w:spacing w:line="360" w:lineRule="atLeast"/>
              <w:ind w:left="105" w:hanging="105" w:hangingChars="50"/>
              <w:jc w:val="both"/>
              <w:rPr>
                <w:color w:val="auto"/>
                <w:szCs w:val="21"/>
                <w:highlight w:val="none"/>
              </w:rPr>
            </w:pPr>
            <w:r>
              <w:rPr>
                <w:color w:val="auto"/>
                <w:szCs w:val="21"/>
                <w:highlight w:val="none"/>
              </w:rPr>
              <w:t>□</w:t>
            </w:r>
            <w:r>
              <w:rPr>
                <w:color w:val="auto"/>
                <w:spacing w:val="-10"/>
                <w:szCs w:val="21"/>
                <w:highlight w:val="none"/>
              </w:rPr>
              <w:t>允许，允许分包的工程（或不允许分包的工程）：</w:t>
            </w:r>
            <w:r>
              <w:rPr>
                <w:color w:val="auto"/>
                <w:szCs w:val="21"/>
                <w:highlight w:val="none"/>
                <w:u w:val="single"/>
              </w:rPr>
              <w:t xml:space="preserve">      </w:t>
            </w:r>
          </w:p>
          <w:p w14:paraId="18494471">
            <w:pPr>
              <w:pStyle w:val="16"/>
              <w:spacing w:line="360" w:lineRule="atLeast"/>
              <w:ind w:firstLine="105" w:firstLineChars="50"/>
              <w:jc w:val="both"/>
              <w:rPr>
                <w:color w:val="auto"/>
                <w:szCs w:val="21"/>
                <w:highlight w:val="none"/>
              </w:rPr>
            </w:pPr>
            <w:r>
              <w:rPr>
                <w:color w:val="auto"/>
                <w:szCs w:val="21"/>
                <w:highlight w:val="none"/>
              </w:rPr>
              <w:t>对分包人的资格要求：</w:t>
            </w:r>
            <w:r>
              <w:rPr>
                <w:color w:val="auto"/>
                <w:szCs w:val="21"/>
                <w:highlight w:val="none"/>
                <w:u w:val="single"/>
              </w:rPr>
              <w:t xml:space="preserve">         </w:t>
            </w:r>
          </w:p>
        </w:tc>
      </w:tr>
      <w:tr w14:paraId="4D0068F0">
        <w:tblPrEx>
          <w:tblCellMar>
            <w:top w:w="0" w:type="dxa"/>
            <w:left w:w="108" w:type="dxa"/>
            <w:bottom w:w="0" w:type="dxa"/>
            <w:right w:w="108" w:type="dxa"/>
          </w:tblCellMar>
        </w:tblPrEx>
        <w:trPr>
          <w:trHeight w:val="429" w:hRule="atLeast"/>
        </w:trPr>
        <w:tc>
          <w:tcPr>
            <w:tcW w:w="1009" w:type="dxa"/>
            <w:tcBorders>
              <w:top w:val="single" w:color="auto" w:sz="4" w:space="0"/>
              <w:left w:val="single" w:color="auto" w:sz="4" w:space="0"/>
              <w:bottom w:val="single" w:color="auto" w:sz="4" w:space="0"/>
              <w:right w:val="single" w:color="auto" w:sz="4" w:space="0"/>
            </w:tcBorders>
            <w:vAlign w:val="center"/>
          </w:tcPr>
          <w:p w14:paraId="5BEC977F">
            <w:pPr>
              <w:spacing w:line="440" w:lineRule="atLeast"/>
              <w:jc w:val="center"/>
              <w:rPr>
                <w:color w:val="auto"/>
                <w:szCs w:val="21"/>
                <w:highlight w:val="none"/>
              </w:rPr>
            </w:pPr>
            <w:r>
              <w:rPr>
                <w:color w:val="auto"/>
                <w:szCs w:val="21"/>
                <w:highlight w:val="none"/>
              </w:rPr>
              <w:t>2.1</w:t>
            </w:r>
          </w:p>
        </w:tc>
        <w:tc>
          <w:tcPr>
            <w:tcW w:w="2879" w:type="dxa"/>
            <w:tcBorders>
              <w:top w:val="single" w:color="auto" w:sz="4" w:space="0"/>
              <w:left w:val="single" w:color="auto" w:sz="4" w:space="0"/>
              <w:bottom w:val="single" w:color="auto" w:sz="4" w:space="0"/>
              <w:right w:val="single" w:color="auto" w:sz="4" w:space="0"/>
            </w:tcBorders>
            <w:vAlign w:val="center"/>
          </w:tcPr>
          <w:p w14:paraId="253A32C8">
            <w:pPr>
              <w:spacing w:line="440" w:lineRule="atLeast"/>
              <w:jc w:val="center"/>
              <w:rPr>
                <w:color w:val="auto"/>
                <w:szCs w:val="21"/>
                <w:highlight w:val="none"/>
              </w:rPr>
            </w:pPr>
            <w:r>
              <w:rPr>
                <w:color w:val="auto"/>
                <w:szCs w:val="21"/>
                <w:highlight w:val="none"/>
              </w:rPr>
              <w:t>构成招标文件的其他资料</w:t>
            </w:r>
          </w:p>
        </w:tc>
        <w:tc>
          <w:tcPr>
            <w:tcW w:w="4889" w:type="dxa"/>
            <w:tcBorders>
              <w:top w:val="single" w:color="auto" w:sz="4" w:space="0"/>
              <w:left w:val="single" w:color="auto" w:sz="4" w:space="0"/>
              <w:bottom w:val="single" w:color="auto" w:sz="4" w:space="0"/>
              <w:right w:val="single" w:color="auto" w:sz="4" w:space="0"/>
            </w:tcBorders>
            <w:vAlign w:val="center"/>
          </w:tcPr>
          <w:p w14:paraId="7B7DC02F">
            <w:pPr>
              <w:spacing w:line="440" w:lineRule="atLeast"/>
              <w:rPr>
                <w:color w:val="auto"/>
                <w:szCs w:val="21"/>
                <w:highlight w:val="none"/>
              </w:rPr>
            </w:pPr>
            <w:bookmarkStart w:id="51" w:name="EB8326d4e740c54b0680ed65ca575b5c02"/>
            <w:r>
              <w:rPr>
                <w:rFonts w:hint="eastAsia" w:ascii="Times New Roman" w:hAnsi="Times New Roman"/>
                <w:color w:val="auto"/>
                <w:kern w:val="2"/>
                <w:sz w:val="21"/>
                <w:szCs w:val="21"/>
                <w:highlight w:val="none"/>
                <w:lang w:val="en-US" w:eastAsia="zh-CN" w:bidi="ar-SA"/>
              </w:rPr>
              <w:t>增加：招标文件补遗书（如有）</w:t>
            </w:r>
            <w:bookmarkEnd w:id="51"/>
          </w:p>
        </w:tc>
      </w:tr>
      <w:tr w14:paraId="741A45C4">
        <w:tblPrEx>
          <w:tblCellMar>
            <w:top w:w="0" w:type="dxa"/>
            <w:left w:w="108" w:type="dxa"/>
            <w:bottom w:w="0" w:type="dxa"/>
            <w:right w:w="108" w:type="dxa"/>
          </w:tblCellMar>
        </w:tblPrEx>
        <w:trPr>
          <w:trHeight w:val="350" w:hRule="atLeast"/>
        </w:trPr>
        <w:tc>
          <w:tcPr>
            <w:tcW w:w="1009" w:type="dxa"/>
            <w:vMerge w:val="restart"/>
            <w:tcBorders>
              <w:top w:val="single" w:color="auto" w:sz="4" w:space="0"/>
              <w:left w:val="single" w:color="auto" w:sz="4" w:space="0"/>
              <w:right w:val="single" w:color="auto" w:sz="4" w:space="0"/>
            </w:tcBorders>
            <w:vAlign w:val="center"/>
          </w:tcPr>
          <w:p w14:paraId="11DE8189">
            <w:pPr>
              <w:spacing w:line="440" w:lineRule="atLeast"/>
              <w:jc w:val="center"/>
              <w:rPr>
                <w:color w:val="auto"/>
                <w:szCs w:val="21"/>
                <w:highlight w:val="none"/>
              </w:rPr>
            </w:pPr>
            <w:r>
              <w:rPr>
                <w:color w:val="auto"/>
                <w:szCs w:val="21"/>
                <w:highlight w:val="none"/>
              </w:rPr>
              <w:t>2.2.1</w:t>
            </w:r>
          </w:p>
        </w:tc>
        <w:tc>
          <w:tcPr>
            <w:tcW w:w="2879" w:type="dxa"/>
            <w:vMerge w:val="restart"/>
            <w:tcBorders>
              <w:top w:val="single" w:color="auto" w:sz="4" w:space="0"/>
              <w:left w:val="single" w:color="auto" w:sz="4" w:space="0"/>
              <w:right w:val="single" w:color="auto" w:sz="4" w:space="0"/>
            </w:tcBorders>
            <w:vAlign w:val="center"/>
          </w:tcPr>
          <w:p w14:paraId="0AF248E9">
            <w:pPr>
              <w:spacing w:line="440" w:lineRule="atLeast"/>
              <w:jc w:val="center"/>
              <w:rPr>
                <w:color w:val="auto"/>
                <w:szCs w:val="21"/>
                <w:highlight w:val="none"/>
              </w:rPr>
            </w:pPr>
            <w:r>
              <w:rPr>
                <w:color w:val="auto"/>
                <w:szCs w:val="21"/>
                <w:highlight w:val="none"/>
              </w:rPr>
              <w:t>投标人要求澄清招标文件</w:t>
            </w:r>
          </w:p>
        </w:tc>
        <w:tc>
          <w:tcPr>
            <w:tcW w:w="4889" w:type="dxa"/>
            <w:tcBorders>
              <w:top w:val="single" w:color="auto" w:sz="4" w:space="0"/>
              <w:left w:val="single" w:color="auto" w:sz="4" w:space="0"/>
              <w:bottom w:val="single" w:color="auto" w:sz="4" w:space="0"/>
              <w:right w:val="single" w:color="auto" w:sz="4" w:space="0"/>
            </w:tcBorders>
            <w:vAlign w:val="center"/>
          </w:tcPr>
          <w:p w14:paraId="2282704D">
            <w:pPr>
              <w:spacing w:line="440" w:lineRule="atLeast"/>
              <w:rPr>
                <w:color w:val="auto"/>
                <w:szCs w:val="21"/>
                <w:highlight w:val="none"/>
              </w:rPr>
            </w:pPr>
            <w:r>
              <w:rPr>
                <w:color w:val="auto"/>
                <w:szCs w:val="21"/>
                <w:highlight w:val="none"/>
              </w:rPr>
              <w:t>时间：</w:t>
            </w:r>
            <w:bookmarkStart w:id="52" w:name="EBd218217b741c4491a8b6b6a6e8c40a26"/>
            <w:r>
              <w:rPr>
                <w:rFonts w:hint="eastAsia" w:ascii="宋体" w:hAnsi="宋体" w:eastAsia="宋体" w:cs="宋体"/>
                <w:color w:val="auto"/>
                <w:kern w:val="2"/>
                <w:sz w:val="21"/>
                <w:szCs w:val="21"/>
                <w:highlight w:val="none"/>
                <w:lang w:val="en-US" w:eastAsia="zh-CN" w:bidi="ar-SA"/>
              </w:rPr>
              <w:t>递交投标文件截止时间</w:t>
            </w:r>
            <w:r>
              <w:rPr>
                <w:rFonts w:hint="eastAsia" w:ascii="宋体" w:hAnsi="宋体" w:eastAsia="宋体" w:cs="宋体"/>
                <w:color w:val="auto"/>
                <w:kern w:val="2"/>
                <w:sz w:val="21"/>
                <w:szCs w:val="21"/>
                <w:highlight w:val="none"/>
                <w:u w:val="single"/>
                <w:lang w:val="en-US" w:eastAsia="zh-CN" w:bidi="ar-SA"/>
              </w:rPr>
              <w:t xml:space="preserve"> 1</w:t>
            </w:r>
            <w:r>
              <w:rPr>
                <w:rFonts w:hint="eastAsia" w:ascii="宋体" w:hAnsi="宋体" w:cs="宋体"/>
                <w:color w:val="auto"/>
                <w:kern w:val="2"/>
                <w:sz w:val="21"/>
                <w:szCs w:val="21"/>
                <w:highlight w:val="none"/>
                <w:u w:val="single"/>
                <w:lang w:val="en-US" w:eastAsia="zh-CN" w:bidi="ar-SA"/>
              </w:rPr>
              <w:t>0</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天前</w:t>
            </w:r>
            <w:bookmarkEnd w:id="52"/>
          </w:p>
        </w:tc>
      </w:tr>
      <w:tr w14:paraId="7388460B">
        <w:tblPrEx>
          <w:tblCellMar>
            <w:top w:w="0" w:type="dxa"/>
            <w:left w:w="108" w:type="dxa"/>
            <w:bottom w:w="0" w:type="dxa"/>
            <w:right w:w="108" w:type="dxa"/>
          </w:tblCellMar>
        </w:tblPrEx>
        <w:trPr>
          <w:trHeight w:val="350" w:hRule="atLeast"/>
        </w:trPr>
        <w:tc>
          <w:tcPr>
            <w:tcW w:w="1009" w:type="dxa"/>
            <w:vMerge w:val="continue"/>
            <w:tcBorders>
              <w:left w:val="single" w:color="auto" w:sz="4" w:space="0"/>
              <w:bottom w:val="single" w:color="auto" w:sz="4" w:space="0"/>
              <w:right w:val="single" w:color="auto" w:sz="4" w:space="0"/>
            </w:tcBorders>
            <w:vAlign w:val="center"/>
          </w:tcPr>
          <w:p w14:paraId="541F9A47">
            <w:pPr>
              <w:spacing w:line="440" w:lineRule="atLeast"/>
              <w:jc w:val="center"/>
              <w:rPr>
                <w:color w:val="auto"/>
                <w:szCs w:val="21"/>
                <w:highlight w:val="none"/>
              </w:rPr>
            </w:pPr>
          </w:p>
        </w:tc>
        <w:tc>
          <w:tcPr>
            <w:tcW w:w="2879" w:type="dxa"/>
            <w:vMerge w:val="continue"/>
            <w:tcBorders>
              <w:left w:val="single" w:color="auto" w:sz="4" w:space="0"/>
              <w:bottom w:val="single" w:color="auto" w:sz="4" w:space="0"/>
              <w:right w:val="single" w:color="auto" w:sz="4" w:space="0"/>
            </w:tcBorders>
            <w:vAlign w:val="center"/>
          </w:tcPr>
          <w:p w14:paraId="0C9056AD">
            <w:pPr>
              <w:spacing w:line="440" w:lineRule="atLeast"/>
              <w:jc w:val="center"/>
              <w:rPr>
                <w:color w:val="auto"/>
                <w:szCs w:val="21"/>
                <w:highlight w:val="none"/>
              </w:rPr>
            </w:pPr>
          </w:p>
        </w:tc>
        <w:tc>
          <w:tcPr>
            <w:tcW w:w="4889" w:type="dxa"/>
            <w:tcBorders>
              <w:top w:val="single" w:color="auto" w:sz="4" w:space="0"/>
              <w:left w:val="single" w:color="auto" w:sz="4" w:space="0"/>
              <w:bottom w:val="single" w:color="auto" w:sz="4" w:space="0"/>
              <w:right w:val="single" w:color="auto" w:sz="4" w:space="0"/>
            </w:tcBorders>
            <w:vAlign w:val="center"/>
          </w:tcPr>
          <w:p w14:paraId="2D188ABC">
            <w:pPr>
              <w:spacing w:line="440" w:lineRule="atLeast"/>
              <w:rPr>
                <w:color w:val="auto"/>
                <w:szCs w:val="21"/>
                <w:highlight w:val="none"/>
              </w:rPr>
            </w:pPr>
            <w:r>
              <w:rPr>
                <w:color w:val="auto"/>
                <w:szCs w:val="21"/>
                <w:highlight w:val="none"/>
              </w:rPr>
              <w:t>形式：</w:t>
            </w:r>
            <w:r>
              <w:rPr>
                <w:rFonts w:hint="eastAsia" w:ascii="宋体" w:hAnsi="宋体" w:eastAsia="宋体" w:cs="宋体"/>
                <w:color w:val="auto"/>
                <w:kern w:val="2"/>
                <w:sz w:val="21"/>
                <w:szCs w:val="21"/>
                <w:highlight w:val="none"/>
                <w:lang w:val="en-US" w:eastAsia="zh-CN" w:bidi="ar-SA"/>
              </w:rPr>
              <w:t>如有疑问应在规定的时间前以不署名的书面文件形式发送至指定邮箱：</w:t>
            </w:r>
            <w:r>
              <w:rPr>
                <w:rFonts w:hint="eastAsia" w:ascii="宋体" w:hAnsi="宋体" w:cs="Times New Roman"/>
                <w:color w:val="auto"/>
                <w:sz w:val="24"/>
                <w:highlight w:val="none"/>
                <w:lang w:val="en-US" w:eastAsia="zh-CN"/>
              </w:rPr>
              <w:t>545826559</w:t>
            </w:r>
            <w:r>
              <w:rPr>
                <w:rFonts w:hint="eastAsia" w:ascii="宋体" w:hAnsi="宋体" w:eastAsia="宋体" w:cs="Times New Roman"/>
                <w:color w:val="auto"/>
                <w:sz w:val="24"/>
                <w:highlight w:val="none"/>
                <w:lang w:val="en-US" w:eastAsia="zh-CN"/>
              </w:rPr>
              <w:t>@qq.com</w:t>
            </w:r>
            <w:r>
              <w:rPr>
                <w:rFonts w:hint="eastAsia" w:ascii="宋体" w:hAnsi="宋体" w:eastAsia="宋体" w:cs="宋体"/>
                <w:color w:val="auto"/>
                <w:kern w:val="2"/>
                <w:sz w:val="21"/>
                <w:szCs w:val="21"/>
                <w:highlight w:val="none"/>
                <w:lang w:val="en-US" w:eastAsia="zh-CN" w:bidi="ar-SA"/>
              </w:rPr>
              <w:t>。</w:t>
            </w:r>
          </w:p>
        </w:tc>
      </w:tr>
      <w:tr w14:paraId="6044BEA6">
        <w:tblPrEx>
          <w:tblCellMar>
            <w:top w:w="0" w:type="dxa"/>
            <w:left w:w="108" w:type="dxa"/>
            <w:bottom w:w="0" w:type="dxa"/>
            <w:right w:w="108" w:type="dxa"/>
          </w:tblCellMar>
        </w:tblPrEx>
        <w:trPr>
          <w:trHeight w:val="457" w:hRule="atLeast"/>
        </w:trPr>
        <w:tc>
          <w:tcPr>
            <w:tcW w:w="1009" w:type="dxa"/>
            <w:tcBorders>
              <w:top w:val="single" w:color="auto" w:sz="4" w:space="0"/>
              <w:left w:val="single" w:color="auto" w:sz="4" w:space="0"/>
              <w:bottom w:val="single" w:color="auto" w:sz="4" w:space="0"/>
              <w:right w:val="single" w:color="auto" w:sz="4" w:space="0"/>
            </w:tcBorders>
            <w:vAlign w:val="center"/>
          </w:tcPr>
          <w:p w14:paraId="6EFB8DD8">
            <w:pPr>
              <w:spacing w:line="440" w:lineRule="atLeast"/>
              <w:jc w:val="center"/>
              <w:rPr>
                <w:color w:val="auto"/>
                <w:szCs w:val="21"/>
                <w:highlight w:val="none"/>
              </w:rPr>
            </w:pPr>
            <w:r>
              <w:rPr>
                <w:color w:val="auto"/>
                <w:szCs w:val="21"/>
                <w:highlight w:val="none"/>
              </w:rPr>
              <w:t>2.2.2</w:t>
            </w:r>
          </w:p>
        </w:tc>
        <w:tc>
          <w:tcPr>
            <w:tcW w:w="2879" w:type="dxa"/>
            <w:tcBorders>
              <w:top w:val="single" w:color="auto" w:sz="4" w:space="0"/>
              <w:left w:val="single" w:color="auto" w:sz="4" w:space="0"/>
              <w:bottom w:val="single" w:color="auto" w:sz="4" w:space="0"/>
              <w:right w:val="single" w:color="auto" w:sz="4" w:space="0"/>
            </w:tcBorders>
            <w:vAlign w:val="center"/>
          </w:tcPr>
          <w:p w14:paraId="3225BD8D">
            <w:pPr>
              <w:spacing w:line="440" w:lineRule="atLeast"/>
              <w:jc w:val="center"/>
              <w:rPr>
                <w:color w:val="auto"/>
                <w:szCs w:val="21"/>
                <w:highlight w:val="none"/>
              </w:rPr>
            </w:pPr>
            <w:r>
              <w:rPr>
                <w:color w:val="auto"/>
                <w:szCs w:val="21"/>
                <w:highlight w:val="none"/>
              </w:rPr>
              <w:t>招标文件澄清发出的形式</w:t>
            </w:r>
          </w:p>
        </w:tc>
        <w:tc>
          <w:tcPr>
            <w:tcW w:w="4889" w:type="dxa"/>
            <w:tcBorders>
              <w:top w:val="single" w:color="auto" w:sz="4" w:space="0"/>
              <w:left w:val="single" w:color="auto" w:sz="4" w:space="0"/>
              <w:bottom w:val="single" w:color="auto" w:sz="4" w:space="0"/>
              <w:right w:val="single" w:color="auto" w:sz="4" w:space="0"/>
            </w:tcBorders>
            <w:vAlign w:val="center"/>
          </w:tcPr>
          <w:p w14:paraId="22AE676C">
            <w:pPr>
              <w:spacing w:line="440" w:lineRule="atLeast"/>
              <w:rPr>
                <w:color w:val="auto"/>
                <w:szCs w:val="21"/>
                <w:highlight w:val="none"/>
              </w:rPr>
            </w:pPr>
            <w:r>
              <w:rPr>
                <w:rFonts w:hint="eastAsia" w:ascii="宋体" w:hAnsi="宋体" w:eastAsia="宋体" w:cs="宋体"/>
                <w:color w:val="auto"/>
                <w:kern w:val="2"/>
                <w:sz w:val="21"/>
                <w:szCs w:val="21"/>
                <w:highlight w:val="none"/>
                <w:lang w:val="en-US" w:eastAsia="zh-CN" w:bidi="ar-SA"/>
              </w:rPr>
              <w:t>招标人将以网站公告形式（同招标公告发布媒介）发出招标文件澄清通知，投标人应注意及时浏览网上发出的招标文件澄清。</w:t>
            </w:r>
          </w:p>
        </w:tc>
      </w:tr>
      <w:tr w14:paraId="1694F5E1">
        <w:tblPrEx>
          <w:tblCellMar>
            <w:top w:w="0" w:type="dxa"/>
            <w:left w:w="108" w:type="dxa"/>
            <w:bottom w:w="0" w:type="dxa"/>
            <w:right w:w="108" w:type="dxa"/>
          </w:tblCellMar>
        </w:tblPrEx>
        <w:trPr>
          <w:trHeight w:val="890" w:hRule="atLeast"/>
        </w:trPr>
        <w:tc>
          <w:tcPr>
            <w:tcW w:w="1009" w:type="dxa"/>
            <w:tcBorders>
              <w:top w:val="single" w:color="auto" w:sz="4" w:space="0"/>
              <w:left w:val="single" w:color="auto" w:sz="4" w:space="0"/>
              <w:right w:val="single" w:color="auto" w:sz="4" w:space="0"/>
            </w:tcBorders>
            <w:vAlign w:val="center"/>
          </w:tcPr>
          <w:p w14:paraId="1B027020">
            <w:pPr>
              <w:spacing w:line="440" w:lineRule="atLeast"/>
              <w:jc w:val="center"/>
              <w:rPr>
                <w:color w:val="auto"/>
                <w:szCs w:val="21"/>
                <w:highlight w:val="none"/>
              </w:rPr>
            </w:pPr>
            <w:r>
              <w:rPr>
                <w:color w:val="auto"/>
                <w:szCs w:val="21"/>
                <w:highlight w:val="none"/>
              </w:rPr>
              <w:t>2.3.2</w:t>
            </w:r>
          </w:p>
        </w:tc>
        <w:tc>
          <w:tcPr>
            <w:tcW w:w="2879" w:type="dxa"/>
            <w:tcBorders>
              <w:top w:val="single" w:color="auto" w:sz="4" w:space="0"/>
              <w:left w:val="single" w:color="auto" w:sz="4" w:space="0"/>
              <w:right w:val="single" w:color="auto" w:sz="4" w:space="0"/>
            </w:tcBorders>
            <w:vAlign w:val="center"/>
          </w:tcPr>
          <w:p w14:paraId="24524190">
            <w:pPr>
              <w:spacing w:line="440" w:lineRule="atLeast"/>
              <w:jc w:val="center"/>
              <w:rPr>
                <w:color w:val="auto"/>
                <w:szCs w:val="21"/>
                <w:highlight w:val="none"/>
              </w:rPr>
            </w:pPr>
            <w:r>
              <w:rPr>
                <w:color w:val="auto"/>
                <w:szCs w:val="21"/>
                <w:highlight w:val="none"/>
              </w:rPr>
              <w:t>投标人确认收到招标文件修改</w:t>
            </w:r>
          </w:p>
        </w:tc>
        <w:tc>
          <w:tcPr>
            <w:tcW w:w="4889" w:type="dxa"/>
            <w:tcBorders>
              <w:top w:val="single" w:color="auto" w:sz="4" w:space="0"/>
              <w:left w:val="single" w:color="auto" w:sz="4" w:space="0"/>
              <w:right w:val="single" w:color="auto" w:sz="4" w:space="0"/>
            </w:tcBorders>
            <w:vAlign w:val="center"/>
          </w:tcPr>
          <w:p w14:paraId="501304C8">
            <w:pPr>
              <w:spacing w:line="440" w:lineRule="atLeast"/>
              <w:rPr>
                <w:color w:val="auto"/>
                <w:szCs w:val="21"/>
                <w:highlight w:val="none"/>
              </w:rPr>
            </w:pPr>
            <w:r>
              <w:rPr>
                <w:color w:val="auto"/>
                <w:szCs w:val="21"/>
                <w:highlight w:val="none"/>
              </w:rPr>
              <w:t>形式：</w:t>
            </w:r>
            <w:r>
              <w:rPr>
                <w:rFonts w:hint="eastAsia"/>
                <w:color w:val="auto"/>
                <w:szCs w:val="21"/>
                <w:highlight w:val="none"/>
              </w:rPr>
              <w:t>“</w:t>
            </w:r>
            <w:r>
              <w:rPr>
                <w:rFonts w:hint="eastAsia" w:ascii="宋体" w:hAnsi="宋体" w:eastAsia="宋体" w:cs="宋体"/>
                <w:color w:val="auto"/>
                <w:kern w:val="2"/>
                <w:sz w:val="21"/>
                <w:szCs w:val="21"/>
                <w:highlight w:val="none"/>
                <w:lang w:val="en-US" w:eastAsia="zh-CN" w:bidi="ar-SA"/>
              </w:rPr>
              <w:t>网站公告</w:t>
            </w:r>
            <w:r>
              <w:rPr>
                <w:rFonts w:hint="eastAsia"/>
                <w:color w:val="auto"/>
                <w:szCs w:val="21"/>
                <w:highlight w:val="none"/>
              </w:rPr>
              <w:t>”的招标文件修改通知一经发出均视为投标人已收到招标文件修改文件。</w:t>
            </w:r>
          </w:p>
        </w:tc>
      </w:tr>
      <w:tr w14:paraId="2B1ACF95">
        <w:tblPrEx>
          <w:tblCellMar>
            <w:top w:w="0" w:type="dxa"/>
            <w:left w:w="108" w:type="dxa"/>
            <w:bottom w:w="0" w:type="dxa"/>
            <w:right w:w="108" w:type="dxa"/>
          </w:tblCellMar>
        </w:tblPrEx>
        <w:trPr>
          <w:trHeight w:val="442" w:hRule="atLeast"/>
        </w:trPr>
        <w:tc>
          <w:tcPr>
            <w:tcW w:w="1009" w:type="dxa"/>
            <w:tcBorders>
              <w:top w:val="single" w:color="auto" w:sz="4" w:space="0"/>
              <w:left w:val="single" w:color="auto" w:sz="4" w:space="0"/>
              <w:bottom w:val="single" w:color="auto" w:sz="4" w:space="0"/>
              <w:right w:val="single" w:color="auto" w:sz="4" w:space="0"/>
            </w:tcBorders>
            <w:vAlign w:val="center"/>
          </w:tcPr>
          <w:p w14:paraId="5924146E">
            <w:pPr>
              <w:spacing w:line="440" w:lineRule="atLeast"/>
              <w:jc w:val="center"/>
              <w:rPr>
                <w:color w:val="auto"/>
                <w:szCs w:val="21"/>
                <w:highlight w:val="none"/>
              </w:rPr>
            </w:pPr>
            <w:r>
              <w:rPr>
                <w:color w:val="auto"/>
                <w:szCs w:val="21"/>
                <w:highlight w:val="none"/>
              </w:rPr>
              <w:t>3.1.1</w:t>
            </w:r>
          </w:p>
        </w:tc>
        <w:tc>
          <w:tcPr>
            <w:tcW w:w="2879" w:type="dxa"/>
            <w:tcBorders>
              <w:top w:val="single" w:color="auto" w:sz="4" w:space="0"/>
              <w:left w:val="single" w:color="auto" w:sz="4" w:space="0"/>
              <w:bottom w:val="single" w:color="auto" w:sz="4" w:space="0"/>
              <w:right w:val="single" w:color="auto" w:sz="4" w:space="0"/>
            </w:tcBorders>
            <w:vAlign w:val="center"/>
          </w:tcPr>
          <w:p w14:paraId="50D6156A">
            <w:pPr>
              <w:spacing w:line="440" w:lineRule="atLeast"/>
              <w:jc w:val="center"/>
              <w:rPr>
                <w:color w:val="auto"/>
                <w:szCs w:val="21"/>
                <w:highlight w:val="none"/>
              </w:rPr>
            </w:pPr>
            <w:r>
              <w:rPr>
                <w:color w:val="auto"/>
                <w:szCs w:val="21"/>
                <w:highlight w:val="none"/>
              </w:rPr>
              <w:t>构成投标文件的其他资料</w:t>
            </w:r>
          </w:p>
        </w:tc>
        <w:tc>
          <w:tcPr>
            <w:tcW w:w="4889" w:type="dxa"/>
            <w:tcBorders>
              <w:top w:val="single" w:color="auto" w:sz="4" w:space="0"/>
              <w:left w:val="single" w:color="auto" w:sz="4" w:space="0"/>
              <w:bottom w:val="single" w:color="auto" w:sz="4" w:space="0"/>
              <w:right w:val="single" w:color="auto" w:sz="4" w:space="0"/>
            </w:tcBorders>
            <w:vAlign w:val="center"/>
          </w:tcPr>
          <w:p w14:paraId="2013C4D6">
            <w:pPr>
              <w:spacing w:line="440" w:lineRule="atLeast"/>
              <w:rPr>
                <w:color w:val="auto"/>
                <w:szCs w:val="21"/>
                <w:highlight w:val="none"/>
              </w:rPr>
            </w:pPr>
            <w:bookmarkStart w:id="53" w:name="EB9145a14bfee14ca79dc18dc598a0ba48"/>
            <w:r>
              <w:rPr>
                <w:rFonts w:hint="eastAsia" w:ascii="Times New Roman" w:hAnsi="Times New Roman"/>
                <w:color w:val="auto"/>
                <w:kern w:val="2"/>
                <w:sz w:val="21"/>
                <w:szCs w:val="21"/>
                <w:highlight w:val="none"/>
                <w:lang w:val="en-US" w:eastAsia="zh-CN" w:bidi="ar-SA"/>
              </w:rPr>
              <w:t>在评标过程中，评标委员会认可的投标人的书面澄清、说明。</w:t>
            </w:r>
            <w:bookmarkEnd w:id="53"/>
          </w:p>
        </w:tc>
      </w:tr>
      <w:tr w14:paraId="08F4C6D6">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05C9F3F0">
            <w:pPr>
              <w:spacing w:line="440" w:lineRule="atLeast"/>
              <w:jc w:val="center"/>
              <w:rPr>
                <w:color w:val="auto"/>
                <w:szCs w:val="21"/>
                <w:highlight w:val="none"/>
              </w:rPr>
            </w:pPr>
            <w:r>
              <w:rPr>
                <w:color w:val="auto"/>
                <w:szCs w:val="21"/>
                <w:highlight w:val="none"/>
              </w:rPr>
              <w:br w:type="page"/>
            </w:r>
            <w:r>
              <w:rPr>
                <w:color w:val="auto"/>
                <w:szCs w:val="21"/>
                <w:highlight w:val="none"/>
              </w:rPr>
              <w:t>3.2.3</w:t>
            </w:r>
          </w:p>
        </w:tc>
        <w:tc>
          <w:tcPr>
            <w:tcW w:w="2879" w:type="dxa"/>
            <w:tcBorders>
              <w:top w:val="single" w:color="auto" w:sz="4" w:space="0"/>
              <w:left w:val="single" w:color="auto" w:sz="4" w:space="0"/>
              <w:bottom w:val="single" w:color="auto" w:sz="4" w:space="0"/>
              <w:right w:val="single" w:color="auto" w:sz="4" w:space="0"/>
            </w:tcBorders>
            <w:vAlign w:val="center"/>
          </w:tcPr>
          <w:p w14:paraId="1BE5A52C">
            <w:pPr>
              <w:spacing w:line="440" w:lineRule="atLeast"/>
              <w:jc w:val="center"/>
              <w:rPr>
                <w:color w:val="auto"/>
                <w:szCs w:val="21"/>
                <w:highlight w:val="none"/>
              </w:rPr>
            </w:pPr>
            <w:r>
              <w:rPr>
                <w:color w:val="auto"/>
                <w:szCs w:val="21"/>
                <w:highlight w:val="none"/>
              </w:rPr>
              <w:t>报价方式</w:t>
            </w:r>
          </w:p>
        </w:tc>
        <w:tc>
          <w:tcPr>
            <w:tcW w:w="4889" w:type="dxa"/>
            <w:tcBorders>
              <w:top w:val="single" w:color="auto" w:sz="4" w:space="0"/>
              <w:left w:val="single" w:color="auto" w:sz="4" w:space="0"/>
              <w:bottom w:val="single" w:color="auto" w:sz="4" w:space="0"/>
              <w:right w:val="single" w:color="auto" w:sz="4" w:space="0"/>
            </w:tcBorders>
            <w:vAlign w:val="center"/>
          </w:tcPr>
          <w:p w14:paraId="3EA9F14D">
            <w:pPr>
              <w:pStyle w:val="18"/>
              <w:topLinePunct/>
              <w:spacing w:line="440" w:lineRule="atLeast"/>
              <w:rPr>
                <w:rFonts w:ascii="Times New Roman"/>
                <w:color w:val="auto"/>
                <w:sz w:val="21"/>
                <w:szCs w:val="21"/>
                <w:highlight w:val="none"/>
              </w:rPr>
            </w:pPr>
            <w:r>
              <w:rPr>
                <w:rFonts w:hint="eastAsia" w:ascii="Times New Roman"/>
                <w:color w:val="auto"/>
                <w:sz w:val="21"/>
                <w:szCs w:val="21"/>
                <w:highlight w:val="none"/>
                <w:lang w:eastAsia="zh-CN"/>
              </w:rPr>
              <w:t>☑</w:t>
            </w:r>
            <w:r>
              <w:rPr>
                <w:rFonts w:ascii="Times New Roman"/>
                <w:color w:val="auto"/>
                <w:sz w:val="21"/>
                <w:szCs w:val="21"/>
                <w:highlight w:val="none"/>
              </w:rPr>
              <w:t>总价</w:t>
            </w:r>
          </w:p>
          <w:p w14:paraId="4ABE81CA">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□单价</w:t>
            </w:r>
          </w:p>
        </w:tc>
      </w:tr>
      <w:tr w14:paraId="50D42770">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2DC42E00">
            <w:pPr>
              <w:spacing w:line="440" w:lineRule="atLeast"/>
              <w:jc w:val="center"/>
              <w:rPr>
                <w:color w:val="auto"/>
                <w:szCs w:val="21"/>
                <w:highlight w:val="none"/>
              </w:rPr>
            </w:pPr>
            <w:r>
              <w:rPr>
                <w:color w:val="auto"/>
                <w:szCs w:val="21"/>
                <w:highlight w:val="none"/>
              </w:rPr>
              <w:t>3.2.4</w:t>
            </w:r>
          </w:p>
        </w:tc>
        <w:tc>
          <w:tcPr>
            <w:tcW w:w="2879" w:type="dxa"/>
            <w:tcBorders>
              <w:top w:val="single" w:color="auto" w:sz="4" w:space="0"/>
              <w:left w:val="single" w:color="auto" w:sz="4" w:space="0"/>
              <w:bottom w:val="single" w:color="auto" w:sz="4" w:space="0"/>
              <w:right w:val="single" w:color="auto" w:sz="4" w:space="0"/>
            </w:tcBorders>
            <w:vAlign w:val="center"/>
          </w:tcPr>
          <w:p w14:paraId="68101A9F">
            <w:pPr>
              <w:spacing w:line="440" w:lineRule="atLeast"/>
              <w:jc w:val="center"/>
              <w:rPr>
                <w:color w:val="auto"/>
                <w:szCs w:val="21"/>
                <w:highlight w:val="none"/>
              </w:rPr>
            </w:pPr>
            <w:r>
              <w:rPr>
                <w:color w:val="auto"/>
                <w:szCs w:val="21"/>
                <w:highlight w:val="none"/>
              </w:rPr>
              <w:t>最高投标限价</w:t>
            </w:r>
          </w:p>
        </w:tc>
        <w:tc>
          <w:tcPr>
            <w:tcW w:w="4889" w:type="dxa"/>
            <w:tcBorders>
              <w:top w:val="single" w:color="auto" w:sz="4" w:space="0"/>
              <w:left w:val="single" w:color="auto" w:sz="4" w:space="0"/>
              <w:bottom w:val="single" w:color="auto" w:sz="4" w:space="0"/>
              <w:right w:val="single" w:color="auto" w:sz="4" w:space="0"/>
            </w:tcBorders>
            <w:vAlign w:val="center"/>
          </w:tcPr>
          <w:p w14:paraId="413D64E1">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□无</w:t>
            </w:r>
          </w:p>
          <w:p w14:paraId="1BC5C7A7">
            <w:pPr>
              <w:pStyle w:val="18"/>
              <w:topLinePunct/>
              <w:spacing w:line="440" w:lineRule="atLeas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有，招标人为本次招标编制了最高投标限价</w:t>
            </w:r>
            <w:r>
              <w:rPr>
                <w:rFonts w:hint="eastAsia" w:ascii="宋体" w:hAnsi="宋体" w:eastAsia="宋体" w:cs="宋体"/>
                <w:b w:val="0"/>
                <w:bCs w:val="0"/>
                <w:color w:val="auto"/>
                <w:sz w:val="21"/>
                <w:szCs w:val="21"/>
                <w:highlight w:val="none"/>
                <w:lang w:eastAsia="zh-CN"/>
              </w:rPr>
              <w:t>：</w:t>
            </w:r>
          </w:p>
          <w:p w14:paraId="6EAC24E6">
            <w:pPr>
              <w:pStyle w:val="18"/>
              <w:topLinePunct/>
              <w:spacing w:line="440" w:lineRule="atLeast"/>
              <w:rPr>
                <w:rFonts w:hint="default"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 xml:space="preserve"> 1714600.00</w:t>
            </w:r>
            <w:r>
              <w:rPr>
                <w:rFonts w:hint="eastAsia" w:ascii="宋体" w:hAnsi="宋体" w:eastAsia="宋体" w:cs="宋体"/>
                <w:b w:val="0"/>
                <w:bCs w:val="0"/>
                <w:color w:val="auto"/>
                <w:sz w:val="21"/>
                <w:szCs w:val="21"/>
                <w:highlight w:val="none"/>
                <w:lang w:val="en-US" w:eastAsia="zh-CN"/>
              </w:rPr>
              <w:t>元</w:t>
            </w:r>
            <w:r>
              <w:rPr>
                <w:rFonts w:hint="eastAsia" w:hAnsi="宋体" w:cs="宋体"/>
                <w:b w:val="0"/>
                <w:bCs w:val="0"/>
                <w:color w:val="auto"/>
                <w:sz w:val="21"/>
                <w:szCs w:val="21"/>
                <w:highlight w:val="none"/>
                <w:lang w:val="en-US" w:eastAsia="zh-CN"/>
              </w:rPr>
              <w:t>；</w:t>
            </w:r>
          </w:p>
        </w:tc>
      </w:tr>
      <w:tr w14:paraId="4C107B24">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4567BAA0">
            <w:pPr>
              <w:spacing w:line="440" w:lineRule="atLeast"/>
              <w:jc w:val="center"/>
              <w:rPr>
                <w:color w:val="auto"/>
                <w:szCs w:val="21"/>
                <w:highlight w:val="none"/>
              </w:rPr>
            </w:pPr>
            <w:r>
              <w:rPr>
                <w:color w:val="auto"/>
                <w:szCs w:val="21"/>
                <w:highlight w:val="none"/>
              </w:rPr>
              <w:t>3.2.5</w:t>
            </w:r>
          </w:p>
        </w:tc>
        <w:tc>
          <w:tcPr>
            <w:tcW w:w="2879" w:type="dxa"/>
            <w:tcBorders>
              <w:top w:val="single" w:color="auto" w:sz="4" w:space="0"/>
              <w:left w:val="single" w:color="auto" w:sz="4" w:space="0"/>
              <w:bottom w:val="single" w:color="auto" w:sz="4" w:space="0"/>
              <w:right w:val="single" w:color="auto" w:sz="4" w:space="0"/>
            </w:tcBorders>
            <w:vAlign w:val="center"/>
          </w:tcPr>
          <w:p w14:paraId="4A882894">
            <w:pPr>
              <w:spacing w:line="440" w:lineRule="atLeast"/>
              <w:jc w:val="center"/>
              <w:rPr>
                <w:color w:val="auto"/>
                <w:szCs w:val="21"/>
                <w:highlight w:val="none"/>
              </w:rPr>
            </w:pPr>
            <w:r>
              <w:rPr>
                <w:color w:val="auto"/>
                <w:szCs w:val="21"/>
                <w:highlight w:val="none"/>
              </w:rPr>
              <w:t>投标报价的其他要求</w:t>
            </w:r>
          </w:p>
        </w:tc>
        <w:tc>
          <w:tcPr>
            <w:tcW w:w="4889" w:type="dxa"/>
            <w:tcBorders>
              <w:top w:val="single" w:color="auto" w:sz="4" w:space="0"/>
              <w:left w:val="single" w:color="auto" w:sz="4" w:space="0"/>
              <w:bottom w:val="single" w:color="auto" w:sz="4" w:space="0"/>
              <w:right w:val="single" w:color="auto" w:sz="4" w:space="0"/>
            </w:tcBorders>
            <w:vAlign w:val="center"/>
          </w:tcPr>
          <w:p w14:paraId="7BF40318">
            <w:pPr>
              <w:pStyle w:val="18"/>
              <w:widowControl w:val="0"/>
              <w:topLinePunct/>
              <w:spacing w:line="440" w:lineRule="atLeast"/>
              <w:jc w:val="both"/>
              <w:rPr>
                <w:rFonts w:ascii="宋体" w:hAnsi="宋体" w:eastAsia="宋体" w:cs="宋体"/>
                <w:color w:val="auto"/>
                <w:kern w:val="2"/>
                <w:sz w:val="21"/>
                <w:szCs w:val="21"/>
                <w:highlight w:val="none"/>
                <w:lang w:val="en-US" w:eastAsia="zh-CN" w:bidi="ar-SA"/>
              </w:rPr>
            </w:pPr>
            <w:bookmarkStart w:id="54" w:name="EB54783baf4f0b463b8b987c0113fd29bb"/>
            <w:r>
              <w:rPr>
                <w:rFonts w:hint="eastAsia" w:ascii="宋体" w:hAnsi="宋体" w:eastAsia="宋体" w:cs="宋体"/>
                <w:color w:val="auto"/>
                <w:kern w:val="2"/>
                <w:sz w:val="21"/>
                <w:szCs w:val="21"/>
                <w:highlight w:val="none"/>
                <w:lang w:val="en-US" w:eastAsia="zh-CN" w:bidi="ar-SA"/>
              </w:rPr>
              <w:t>最高限价基准税率为6%。</w:t>
            </w:r>
          </w:p>
          <w:p w14:paraId="193E4636">
            <w:pPr>
              <w:pStyle w:val="18"/>
              <w:topLinePunct/>
              <w:spacing w:line="440" w:lineRule="atLeast"/>
              <w:rPr>
                <w:rFonts w:ascii="Times New Roman"/>
                <w:color w:val="auto"/>
                <w:sz w:val="21"/>
                <w:szCs w:val="21"/>
                <w:highlight w:val="none"/>
              </w:rPr>
            </w:pPr>
            <w:r>
              <w:rPr>
                <w:rFonts w:hint="eastAsia" w:hAnsi="宋体" w:eastAsia="宋体" w:cs="宋体"/>
                <w:color w:val="auto"/>
                <w:kern w:val="2"/>
                <w:sz w:val="21"/>
                <w:szCs w:val="21"/>
                <w:highlight w:val="none"/>
                <w:lang w:val="en-US" w:eastAsia="zh-CN" w:bidi="ar-SA"/>
              </w:rPr>
              <w:t>投标人投标</w:t>
            </w:r>
            <w:r>
              <w:rPr>
                <w:rFonts w:hint="eastAsia" w:ascii="宋体" w:hAnsi="宋体" w:eastAsia="宋体" w:cs="宋体"/>
                <w:color w:val="auto"/>
                <w:kern w:val="2"/>
                <w:sz w:val="21"/>
                <w:szCs w:val="21"/>
                <w:highlight w:val="none"/>
                <w:lang w:val="en-US" w:eastAsia="zh-CN" w:bidi="ar-SA"/>
              </w:rPr>
              <w:t>报价应不高于</w:t>
            </w:r>
            <w:r>
              <w:rPr>
                <w:rFonts w:hint="eastAsia" w:hAnsi="宋体" w:eastAsia="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人最高</w:t>
            </w:r>
            <w:r>
              <w:rPr>
                <w:rFonts w:hint="eastAsia" w:hAnsi="宋体" w:eastAsia="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限价，否则其</w:t>
            </w:r>
            <w:r>
              <w:rPr>
                <w:rFonts w:hint="eastAsia" w:hAnsi="宋体" w:eastAsia="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文件将被否决。</w:t>
            </w:r>
            <w:bookmarkEnd w:id="54"/>
          </w:p>
        </w:tc>
      </w:tr>
      <w:tr w14:paraId="2F0BFDDB">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47AD161D">
            <w:pPr>
              <w:spacing w:line="440" w:lineRule="atLeast"/>
              <w:jc w:val="center"/>
              <w:rPr>
                <w:color w:val="auto"/>
                <w:szCs w:val="21"/>
                <w:highlight w:val="none"/>
              </w:rPr>
            </w:pPr>
            <w:r>
              <w:rPr>
                <w:color w:val="auto"/>
                <w:szCs w:val="21"/>
                <w:highlight w:val="none"/>
              </w:rPr>
              <w:t>3.3.1</w:t>
            </w:r>
          </w:p>
        </w:tc>
        <w:tc>
          <w:tcPr>
            <w:tcW w:w="2879" w:type="dxa"/>
            <w:tcBorders>
              <w:top w:val="single" w:color="auto" w:sz="4" w:space="0"/>
              <w:left w:val="single" w:color="auto" w:sz="4" w:space="0"/>
              <w:bottom w:val="single" w:color="auto" w:sz="4" w:space="0"/>
              <w:right w:val="single" w:color="auto" w:sz="4" w:space="0"/>
            </w:tcBorders>
            <w:vAlign w:val="center"/>
          </w:tcPr>
          <w:p w14:paraId="3B510EAD">
            <w:pPr>
              <w:spacing w:line="440" w:lineRule="atLeast"/>
              <w:jc w:val="center"/>
              <w:rPr>
                <w:color w:val="auto"/>
                <w:szCs w:val="21"/>
                <w:highlight w:val="none"/>
              </w:rPr>
            </w:pPr>
            <w:r>
              <w:rPr>
                <w:color w:val="auto"/>
                <w:szCs w:val="21"/>
                <w:highlight w:val="none"/>
              </w:rPr>
              <w:t>投标有效期</w:t>
            </w:r>
          </w:p>
        </w:tc>
        <w:tc>
          <w:tcPr>
            <w:tcW w:w="4889" w:type="dxa"/>
            <w:tcBorders>
              <w:top w:val="single" w:color="auto" w:sz="4" w:space="0"/>
              <w:left w:val="single" w:color="auto" w:sz="4" w:space="0"/>
              <w:bottom w:val="single" w:color="auto" w:sz="4" w:space="0"/>
              <w:right w:val="single" w:color="auto" w:sz="4" w:space="0"/>
            </w:tcBorders>
            <w:vAlign w:val="center"/>
          </w:tcPr>
          <w:p w14:paraId="3E9BC115">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自投标人提交投标文件截止之日起计算</w:t>
            </w:r>
            <w:r>
              <w:rPr>
                <w:rFonts w:ascii="Times New Roman"/>
                <w:color w:val="auto"/>
                <w:sz w:val="21"/>
                <w:szCs w:val="21"/>
                <w:highlight w:val="none"/>
                <w:u w:val="single"/>
              </w:rPr>
              <w:t xml:space="preserve"> </w:t>
            </w:r>
            <w:r>
              <w:rPr>
                <w:rFonts w:hint="eastAsia" w:ascii="Times New Roman"/>
                <w:color w:val="auto"/>
                <w:sz w:val="21"/>
                <w:szCs w:val="21"/>
                <w:highlight w:val="none"/>
                <w:u w:val="single"/>
                <w:lang w:val="en-US" w:eastAsia="zh-CN"/>
              </w:rPr>
              <w:t>90</w:t>
            </w:r>
            <w:r>
              <w:rPr>
                <w:rFonts w:ascii="Times New Roman"/>
                <w:color w:val="auto"/>
                <w:sz w:val="21"/>
                <w:szCs w:val="21"/>
                <w:highlight w:val="none"/>
                <w:u w:val="single"/>
              </w:rPr>
              <w:t xml:space="preserve"> </w:t>
            </w:r>
            <w:r>
              <w:rPr>
                <w:rFonts w:ascii="Times New Roman"/>
                <w:color w:val="auto"/>
                <w:sz w:val="21"/>
                <w:szCs w:val="21"/>
                <w:highlight w:val="none"/>
              </w:rPr>
              <w:t>日</w:t>
            </w:r>
          </w:p>
        </w:tc>
      </w:tr>
      <w:tr w14:paraId="4655DDD6">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75F66FE4">
            <w:pPr>
              <w:spacing w:line="440" w:lineRule="atLeast"/>
              <w:jc w:val="center"/>
              <w:rPr>
                <w:color w:val="auto"/>
                <w:szCs w:val="21"/>
                <w:highlight w:val="none"/>
              </w:rPr>
            </w:pPr>
            <w:r>
              <w:rPr>
                <w:color w:val="auto"/>
                <w:szCs w:val="21"/>
                <w:highlight w:val="none"/>
              </w:rPr>
              <w:t>3.4.1</w:t>
            </w:r>
          </w:p>
        </w:tc>
        <w:tc>
          <w:tcPr>
            <w:tcW w:w="2879" w:type="dxa"/>
            <w:tcBorders>
              <w:top w:val="single" w:color="auto" w:sz="4" w:space="0"/>
              <w:left w:val="single" w:color="auto" w:sz="4" w:space="0"/>
              <w:bottom w:val="single" w:color="auto" w:sz="4" w:space="0"/>
              <w:right w:val="single" w:color="auto" w:sz="4" w:space="0"/>
            </w:tcBorders>
            <w:vAlign w:val="center"/>
          </w:tcPr>
          <w:p w14:paraId="4758E1F3">
            <w:pPr>
              <w:spacing w:line="440" w:lineRule="atLeast"/>
              <w:jc w:val="center"/>
              <w:rPr>
                <w:color w:val="auto"/>
                <w:szCs w:val="21"/>
                <w:highlight w:val="none"/>
              </w:rPr>
            </w:pPr>
            <w:r>
              <w:rPr>
                <w:color w:val="auto"/>
                <w:szCs w:val="21"/>
                <w:highlight w:val="none"/>
              </w:rPr>
              <w:t>投标保证金</w:t>
            </w:r>
          </w:p>
        </w:tc>
        <w:tc>
          <w:tcPr>
            <w:tcW w:w="4889" w:type="dxa"/>
            <w:tcBorders>
              <w:top w:val="single" w:color="auto" w:sz="4" w:space="0"/>
              <w:left w:val="single" w:color="auto" w:sz="4" w:space="0"/>
              <w:bottom w:val="single" w:color="auto" w:sz="4" w:space="0"/>
              <w:right w:val="single" w:color="auto" w:sz="4" w:space="0"/>
            </w:tcBorders>
            <w:vAlign w:val="center"/>
          </w:tcPr>
          <w:p w14:paraId="44C60504">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是否要求投标人递交投标保证金：</w:t>
            </w:r>
          </w:p>
          <w:p w14:paraId="5D96C065">
            <w:pPr>
              <w:autoSpaceDE w:val="0"/>
              <w:autoSpaceDN w:val="0"/>
              <w:adjustRightInd w:val="0"/>
              <w:spacing w:line="440" w:lineRule="atLeast"/>
              <w:ind w:firstLine="480"/>
              <w:rPr>
                <w:rFonts w:hint="eastAsia" w:ascii="宋体" w:hAnsi="宋体" w:eastAsia="宋体" w:cs="宋体"/>
                <w:color w:val="auto"/>
                <w:sz w:val="21"/>
                <w:szCs w:val="21"/>
                <w:highlight w:val="none"/>
              </w:rPr>
            </w:pPr>
            <w:r>
              <w:rPr>
                <w:rFonts w:hint="eastAsia" w:ascii="Times New Roman"/>
                <w:color w:val="auto"/>
                <w:sz w:val="21"/>
                <w:szCs w:val="21"/>
                <w:highlight w:val="none"/>
                <w:lang w:eastAsia="zh-CN"/>
              </w:rPr>
              <w:t>☑</w:t>
            </w:r>
            <w:r>
              <w:rPr>
                <w:rFonts w:ascii="Times New Roman"/>
                <w:color w:val="auto"/>
                <w:sz w:val="21"/>
                <w:szCs w:val="21"/>
                <w:highlight w:val="none"/>
              </w:rPr>
              <w:t>要求，</w:t>
            </w:r>
            <w:r>
              <w:rPr>
                <w:rFonts w:hint="eastAsia" w:ascii="宋体" w:hAnsi="宋体" w:eastAsia="宋体" w:cs="宋体"/>
                <w:color w:val="auto"/>
                <w:sz w:val="21"/>
                <w:szCs w:val="21"/>
                <w:highlight w:val="none"/>
              </w:rPr>
              <w:t>投标保证金的金额：</w:t>
            </w:r>
          </w:p>
          <w:p w14:paraId="67640445">
            <w:pPr>
              <w:autoSpaceDE w:val="0"/>
              <w:autoSpaceDN w:val="0"/>
              <w:adjustRightInd w:val="0"/>
              <w:spacing w:line="440" w:lineRule="atLeast"/>
              <w:ind w:firstLine="48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eastAsia="zh-CN"/>
              </w:rPr>
              <w:t>叁</w:t>
            </w:r>
            <w:r>
              <w:rPr>
                <w:rFonts w:hint="eastAsia" w:ascii="宋体" w:hAnsi="宋体" w:eastAsia="宋体" w:cs="宋体"/>
                <w:color w:val="auto"/>
                <w:sz w:val="21"/>
                <w:szCs w:val="21"/>
                <w:highlight w:val="none"/>
                <w:u w:val="single"/>
              </w:rPr>
              <w:t>万元</w:t>
            </w:r>
          </w:p>
          <w:p w14:paraId="4517DD47">
            <w:pPr>
              <w:pStyle w:val="18"/>
              <w:widowControl w:val="0"/>
              <w:topLinePunct/>
              <w:spacing w:line="440" w:lineRule="atLeast"/>
              <w:ind w:firstLine="420" w:firstLineChars="200"/>
              <w:jc w:val="both"/>
              <w:rPr>
                <w:rFonts w:hint="eastAsia" w:ascii="宋体" w:hAnsi="宋体" w:eastAsia="宋体" w:cs="宋体"/>
                <w:color w:val="auto"/>
                <w:kern w:val="2"/>
                <w:sz w:val="21"/>
                <w:szCs w:val="21"/>
                <w:highlight w:val="none"/>
                <w:u w:val="single"/>
                <w:lang w:val="en-US" w:eastAsia="zh-CN" w:bidi="ar-SA"/>
              </w:rPr>
            </w:pP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投标保证金可采用的其他形式：</w:t>
            </w:r>
            <w:bookmarkStart w:id="55" w:name="EB06800f1d1cc4400083a40488c6667870"/>
            <w:r>
              <w:rPr>
                <w:rFonts w:hint="eastAsia" w:ascii="宋体" w:hAnsi="宋体" w:eastAsia="宋体" w:cs="宋体"/>
                <w:color w:val="auto"/>
                <w:kern w:val="2"/>
                <w:sz w:val="21"/>
                <w:szCs w:val="21"/>
                <w:highlight w:val="none"/>
                <w:u w:val="single"/>
                <w:lang w:val="en-US" w:eastAsia="zh-CN" w:bidi="ar-SA"/>
              </w:rPr>
              <w:t>银行保函或现金(转账、电汇、网银)等形式</w:t>
            </w:r>
            <w:bookmarkEnd w:id="55"/>
          </w:p>
          <w:p w14:paraId="21AA8045">
            <w:pPr>
              <w:widowControl w:val="0"/>
              <w:spacing w:line="440" w:lineRule="atLeast"/>
              <w:ind w:firstLine="840" w:firstLineChars="4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招标人指定的开户银行及账号如下：</w:t>
            </w:r>
          </w:p>
          <w:p w14:paraId="5BA24F5B">
            <w:pPr>
              <w:widowControl w:val="0"/>
              <w:spacing w:line="440" w:lineRule="atLeast"/>
              <w:ind w:firstLine="840" w:firstLineChars="4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账户名称：</w:t>
            </w:r>
            <w:bookmarkStart w:id="56" w:name="EB6aaeb58edc0f41a48cf4f9b4d367a309"/>
            <w:r>
              <w:rPr>
                <w:rFonts w:hint="eastAsia" w:ascii="宋体" w:hAnsi="宋体" w:eastAsia="宋体" w:cs="宋体"/>
                <w:color w:val="auto"/>
                <w:kern w:val="2"/>
                <w:sz w:val="21"/>
                <w:szCs w:val="21"/>
                <w:highlight w:val="none"/>
                <w:lang w:val="en-US" w:eastAsia="zh-CN" w:bidi="ar-SA"/>
              </w:rPr>
              <w:t>中科高盛咨询集团有限公司</w:t>
            </w:r>
            <w:bookmarkEnd w:id="56"/>
          </w:p>
          <w:p w14:paraId="54ED821C">
            <w:pPr>
              <w:widowControl w:val="0"/>
              <w:spacing w:line="440" w:lineRule="atLeast"/>
              <w:ind w:firstLine="840" w:firstLineChars="4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开户银行：</w:t>
            </w:r>
            <w:bookmarkStart w:id="57" w:name="EBdaebe7103b6643e09141118ed9e1daa8"/>
            <w:r>
              <w:rPr>
                <w:rFonts w:hint="eastAsia" w:ascii="宋体" w:hAnsi="宋体" w:eastAsia="宋体" w:cs="宋体"/>
                <w:color w:val="auto"/>
                <w:kern w:val="2"/>
                <w:sz w:val="21"/>
                <w:szCs w:val="21"/>
                <w:highlight w:val="none"/>
                <w:lang w:val="en-US" w:eastAsia="zh-CN" w:bidi="ar-SA"/>
              </w:rPr>
              <w:t>中国民生银行长沙芙蓉广场支行（行号 3055 5103 1105）</w:t>
            </w:r>
            <w:bookmarkEnd w:id="57"/>
          </w:p>
          <w:p w14:paraId="7A2BE2C2">
            <w:pPr>
              <w:widowControl w:val="0"/>
              <w:topLinePunct/>
              <w:spacing w:line="440" w:lineRule="atLeast"/>
              <w:ind w:firstLine="840" w:firstLineChars="4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账    号：</w:t>
            </w:r>
            <w:bookmarkStart w:id="58" w:name="EB9c759dc6b488478d9723b3678da992b8"/>
            <w:r>
              <w:rPr>
                <w:rFonts w:hint="eastAsia" w:ascii="宋体" w:hAnsi="宋体" w:eastAsia="宋体" w:cs="宋体"/>
                <w:color w:val="auto"/>
                <w:kern w:val="2"/>
                <w:sz w:val="21"/>
                <w:szCs w:val="21"/>
                <w:highlight w:val="none"/>
                <w:lang w:val="en-US" w:eastAsia="zh-CN" w:bidi="ar-SA"/>
              </w:rPr>
              <w:t>9902 0017 7605 5715</w:t>
            </w:r>
            <w:bookmarkEnd w:id="58"/>
          </w:p>
          <w:p w14:paraId="3A4AE0B0">
            <w:pPr>
              <w:topLinePunct/>
              <w:spacing w:line="440" w:lineRule="atLeas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kern w:val="2"/>
                <w:sz w:val="21"/>
                <w:szCs w:val="22"/>
                <w:highlight w:val="none"/>
                <w:lang w:val="en-US" w:eastAsia="zh-CN" w:bidi="ar-SA"/>
              </w:rPr>
              <w:t>备    注：</w:t>
            </w:r>
            <w:bookmarkStart w:id="59" w:name="EBba68bf0216de48aea1f6926bc167efa7"/>
            <w:r>
              <w:rPr>
                <w:rFonts w:hint="eastAsia" w:ascii="宋体" w:hAnsi="宋体" w:eastAsia="宋体" w:cs="宋体"/>
                <w:color w:val="auto"/>
                <w:kern w:val="2"/>
                <w:sz w:val="21"/>
                <w:szCs w:val="22"/>
                <w:highlight w:val="none"/>
                <w:lang w:val="en-US" w:eastAsia="zh-CN" w:bidi="ar-SA"/>
              </w:rPr>
              <w:t>备注所投项目名称</w:t>
            </w:r>
            <w:bookmarkEnd w:id="59"/>
            <w:r>
              <w:rPr>
                <w:rFonts w:hint="eastAsia" w:ascii="宋体" w:hAnsi="宋体" w:cs="宋体"/>
                <w:color w:val="auto"/>
                <w:kern w:val="2"/>
                <w:sz w:val="21"/>
                <w:szCs w:val="22"/>
                <w:highlight w:val="none"/>
                <w:lang w:val="en-US" w:eastAsia="zh-CN" w:bidi="ar-SA"/>
              </w:rPr>
              <w:t>及标段</w:t>
            </w:r>
          </w:p>
          <w:p w14:paraId="47D5E386">
            <w:pPr>
              <w:pStyle w:val="18"/>
              <w:topLinePunct/>
              <w:spacing w:line="4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银行保函时，出具保函的银行级别：保函必须由投标人的基本账户的银行开具（联合体投标的，由牵头人开立基本账户的银行开具），银行保函原件和银行查询授权书在递交投标文件时单独密封递交，其复印件附在投标文件中。</w:t>
            </w:r>
          </w:p>
          <w:p w14:paraId="05389DB0">
            <w:pPr>
              <w:spacing w:line="440" w:lineRule="atLeast"/>
              <w:rPr>
                <w:color w:val="auto"/>
                <w:szCs w:val="21"/>
                <w:highlight w:val="none"/>
              </w:rPr>
            </w:pPr>
            <w:r>
              <w:rPr>
                <w:color w:val="auto"/>
                <w:szCs w:val="21"/>
                <w:highlight w:val="none"/>
              </w:rPr>
              <w:t>□不要求</w:t>
            </w:r>
          </w:p>
        </w:tc>
      </w:tr>
      <w:tr w14:paraId="5F9FFE80">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14E05015">
            <w:pPr>
              <w:spacing w:line="440" w:lineRule="atLeast"/>
              <w:jc w:val="center"/>
              <w:rPr>
                <w:color w:val="auto"/>
                <w:szCs w:val="21"/>
                <w:highlight w:val="none"/>
              </w:rPr>
            </w:pPr>
            <w:r>
              <w:rPr>
                <w:color w:val="auto"/>
                <w:szCs w:val="21"/>
                <w:highlight w:val="none"/>
              </w:rPr>
              <w:t>3.4.4</w:t>
            </w:r>
          </w:p>
        </w:tc>
        <w:tc>
          <w:tcPr>
            <w:tcW w:w="2879" w:type="dxa"/>
            <w:tcBorders>
              <w:top w:val="single" w:color="auto" w:sz="4" w:space="0"/>
              <w:left w:val="single" w:color="auto" w:sz="4" w:space="0"/>
              <w:bottom w:val="single" w:color="auto" w:sz="4" w:space="0"/>
              <w:right w:val="single" w:color="auto" w:sz="4" w:space="0"/>
            </w:tcBorders>
            <w:vAlign w:val="center"/>
          </w:tcPr>
          <w:p w14:paraId="508BC9AD">
            <w:pPr>
              <w:spacing w:line="440" w:lineRule="atLeast"/>
              <w:jc w:val="center"/>
              <w:rPr>
                <w:color w:val="auto"/>
                <w:szCs w:val="21"/>
                <w:highlight w:val="none"/>
              </w:rPr>
            </w:pPr>
            <w:r>
              <w:rPr>
                <w:color w:val="auto"/>
                <w:szCs w:val="21"/>
                <w:highlight w:val="none"/>
              </w:rPr>
              <w:t>其他可以不予退还投标保证金的情形</w:t>
            </w:r>
          </w:p>
        </w:tc>
        <w:tc>
          <w:tcPr>
            <w:tcW w:w="4889" w:type="dxa"/>
            <w:tcBorders>
              <w:top w:val="single" w:color="auto" w:sz="4" w:space="0"/>
              <w:left w:val="single" w:color="auto" w:sz="4" w:space="0"/>
              <w:bottom w:val="single" w:color="auto" w:sz="4" w:space="0"/>
              <w:right w:val="single" w:color="auto" w:sz="4" w:space="0"/>
            </w:tcBorders>
            <w:vAlign w:val="center"/>
          </w:tcPr>
          <w:p w14:paraId="77FEBAD6">
            <w:pPr>
              <w:widowControl w:val="0"/>
              <w:topLinePunct/>
              <w:spacing w:line="440" w:lineRule="atLeast"/>
              <w:jc w:val="both"/>
              <w:rPr>
                <w:rFonts w:hint="eastAsia" w:ascii="宋体" w:hAnsi="宋体" w:eastAsia="宋体" w:cs="宋体"/>
                <w:color w:val="auto"/>
                <w:kern w:val="2"/>
                <w:sz w:val="21"/>
                <w:szCs w:val="21"/>
                <w:highlight w:val="none"/>
                <w:u w:val="single"/>
                <w:lang w:val="en-US" w:eastAsia="zh-CN" w:bidi="ar-SA"/>
              </w:rPr>
            </w:pPr>
            <w:bookmarkStart w:id="60" w:name="EB24e79041cd0c41e4912034a243cee37a"/>
            <w:r>
              <w:rPr>
                <w:rFonts w:hint="eastAsia" w:ascii="宋体" w:hAnsi="宋体" w:eastAsia="宋体" w:cs="宋体"/>
                <w:color w:val="auto"/>
                <w:kern w:val="2"/>
                <w:sz w:val="21"/>
                <w:szCs w:val="21"/>
                <w:highlight w:val="none"/>
                <w:u w:val="single"/>
                <w:lang w:val="en-US" w:eastAsia="zh-CN" w:bidi="ar-SA"/>
              </w:rPr>
              <w:t>原款末增加：</w:t>
            </w:r>
          </w:p>
          <w:p w14:paraId="6A300898">
            <w:pPr>
              <w:widowControl w:val="0"/>
              <w:topLinePunct/>
              <w:spacing w:line="440" w:lineRule="atLeast"/>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（4）投标人不接受依据评标办法的规定对其投标文件中细微偏差进行澄清和补正；</w:t>
            </w:r>
          </w:p>
          <w:p w14:paraId="4CECAB8F">
            <w:pPr>
              <w:widowControl w:val="0"/>
              <w:topLinePunct/>
              <w:spacing w:line="440" w:lineRule="atLeast"/>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（5）投标人存在以他人名义投标、与他人串通投标、以行贿手段谋取中标，以及弄虚作假等违法行为。</w:t>
            </w:r>
          </w:p>
          <w:p w14:paraId="5887215C">
            <w:pPr>
              <w:pStyle w:val="18"/>
              <w:topLinePunct/>
              <w:spacing w:line="440" w:lineRule="atLeast"/>
              <w:rPr>
                <w:rFonts w:ascii="Times New Roman" w:eastAsia="黑体"/>
                <w:color w:val="auto"/>
                <w:sz w:val="21"/>
                <w:szCs w:val="21"/>
                <w:highlight w:val="none"/>
                <w:u w:val="single"/>
              </w:rPr>
            </w:pPr>
            <w:r>
              <w:rPr>
                <w:rFonts w:hint="eastAsia" w:ascii="宋体" w:hAnsi="宋体" w:eastAsia="宋体" w:cs="宋体"/>
                <w:color w:val="auto"/>
                <w:kern w:val="2"/>
                <w:sz w:val="21"/>
                <w:szCs w:val="21"/>
                <w:highlight w:val="none"/>
                <w:u w:val="single"/>
                <w:lang w:val="en-US" w:eastAsia="zh-CN" w:bidi="ar-SA"/>
              </w:rPr>
              <w:t>（6）未按投标文件中填报的项目负责人进场的。</w:t>
            </w:r>
            <w:bookmarkEnd w:id="60"/>
          </w:p>
        </w:tc>
      </w:tr>
      <w:tr w14:paraId="2E52587F">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6FE709F2">
            <w:pPr>
              <w:spacing w:line="440" w:lineRule="atLeast"/>
              <w:jc w:val="center"/>
              <w:rPr>
                <w:color w:val="auto"/>
                <w:szCs w:val="21"/>
                <w:highlight w:val="none"/>
              </w:rPr>
            </w:pPr>
            <w:r>
              <w:rPr>
                <w:color w:val="auto"/>
                <w:szCs w:val="21"/>
                <w:highlight w:val="none"/>
              </w:rPr>
              <w:t>3.5</w:t>
            </w:r>
          </w:p>
        </w:tc>
        <w:tc>
          <w:tcPr>
            <w:tcW w:w="2879" w:type="dxa"/>
            <w:tcBorders>
              <w:top w:val="single" w:color="auto" w:sz="4" w:space="0"/>
              <w:left w:val="single" w:color="auto" w:sz="4" w:space="0"/>
              <w:bottom w:val="single" w:color="auto" w:sz="4" w:space="0"/>
              <w:right w:val="single" w:color="auto" w:sz="4" w:space="0"/>
            </w:tcBorders>
            <w:vAlign w:val="center"/>
          </w:tcPr>
          <w:p w14:paraId="2BD47169">
            <w:pPr>
              <w:spacing w:line="440" w:lineRule="atLeast"/>
              <w:jc w:val="center"/>
              <w:rPr>
                <w:color w:val="auto"/>
                <w:szCs w:val="21"/>
                <w:highlight w:val="none"/>
              </w:rPr>
            </w:pPr>
            <w:r>
              <w:rPr>
                <w:color w:val="auto"/>
                <w:szCs w:val="21"/>
                <w:highlight w:val="none"/>
              </w:rPr>
              <w:t>资格审查资料的特殊要求</w:t>
            </w:r>
          </w:p>
        </w:tc>
        <w:tc>
          <w:tcPr>
            <w:tcW w:w="4889" w:type="dxa"/>
            <w:tcBorders>
              <w:top w:val="single" w:color="auto" w:sz="4" w:space="0"/>
              <w:left w:val="single" w:color="auto" w:sz="4" w:space="0"/>
              <w:bottom w:val="single" w:color="auto" w:sz="4" w:space="0"/>
              <w:right w:val="single" w:color="auto" w:sz="4" w:space="0"/>
            </w:tcBorders>
            <w:vAlign w:val="center"/>
          </w:tcPr>
          <w:p w14:paraId="26048D3A">
            <w:pPr>
              <w:pStyle w:val="18"/>
              <w:topLinePunct/>
              <w:spacing w:line="4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14:paraId="0EE1D874">
            <w:pPr>
              <w:pStyle w:val="18"/>
              <w:topLinePunct/>
              <w:spacing w:line="4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有，具体要求：</w:t>
            </w:r>
          </w:p>
          <w:p w14:paraId="3A92EF40">
            <w:pPr>
              <w:pStyle w:val="18"/>
              <w:topLinePunct/>
              <w:spacing w:line="440" w:lineRule="atLeast"/>
              <w:rPr>
                <w:rFonts w:hint="eastAsia" w:ascii="宋体" w:hAnsi="宋体" w:eastAsia="宋体" w:cs="宋体"/>
                <w:color w:val="auto"/>
                <w:sz w:val="21"/>
                <w:szCs w:val="21"/>
                <w:highlight w:val="none"/>
              </w:rPr>
            </w:pPr>
            <w:bookmarkStart w:id="61" w:name="EBe72999cfa114478088d65117a6c0b216"/>
            <w:r>
              <w:rPr>
                <w:rFonts w:hint="eastAsia" w:ascii="宋体" w:hAnsi="宋体" w:eastAsia="宋体" w:cs="宋体"/>
                <w:color w:val="auto"/>
                <w:kern w:val="2"/>
                <w:sz w:val="21"/>
                <w:szCs w:val="21"/>
                <w:highlight w:val="none"/>
                <w:u w:val="single"/>
                <w:lang w:val="en-US" w:eastAsia="zh-CN" w:bidi="ar-SA"/>
              </w:rPr>
              <w:t>投标人发生合并、分立、破产等重大变化的，应当及时书面告知招标人。投标人不再具备招标文件规定的资格条件或者其投标影响招标公正性的，其投标无效。</w:t>
            </w:r>
            <w:bookmarkEnd w:id="61"/>
          </w:p>
        </w:tc>
      </w:tr>
      <w:tr w14:paraId="3F228B8B">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1C4D7AEE">
            <w:pPr>
              <w:spacing w:line="440" w:lineRule="atLeast"/>
              <w:jc w:val="center"/>
              <w:rPr>
                <w:color w:val="auto"/>
                <w:szCs w:val="21"/>
                <w:highlight w:val="none"/>
              </w:rPr>
            </w:pPr>
            <w:r>
              <w:rPr>
                <w:color w:val="auto"/>
                <w:szCs w:val="21"/>
                <w:highlight w:val="none"/>
              </w:rPr>
              <w:t>3.5.2</w:t>
            </w:r>
          </w:p>
        </w:tc>
        <w:tc>
          <w:tcPr>
            <w:tcW w:w="2879" w:type="dxa"/>
            <w:tcBorders>
              <w:top w:val="single" w:color="auto" w:sz="4" w:space="0"/>
              <w:left w:val="single" w:color="auto" w:sz="4" w:space="0"/>
              <w:bottom w:val="single" w:color="auto" w:sz="4" w:space="0"/>
              <w:right w:val="single" w:color="auto" w:sz="4" w:space="0"/>
            </w:tcBorders>
            <w:vAlign w:val="center"/>
          </w:tcPr>
          <w:p w14:paraId="75A5A146">
            <w:pPr>
              <w:spacing w:line="440" w:lineRule="atLeast"/>
              <w:jc w:val="center"/>
              <w:rPr>
                <w:color w:val="auto"/>
                <w:szCs w:val="21"/>
                <w:highlight w:val="none"/>
              </w:rPr>
            </w:pPr>
            <w:r>
              <w:rPr>
                <w:color w:val="auto"/>
                <w:szCs w:val="21"/>
                <w:highlight w:val="none"/>
              </w:rPr>
              <w:t>近年完成的类似项目情况的时间要求</w:t>
            </w:r>
          </w:p>
        </w:tc>
        <w:tc>
          <w:tcPr>
            <w:tcW w:w="4889" w:type="dxa"/>
            <w:tcBorders>
              <w:top w:val="single" w:color="auto" w:sz="4" w:space="0"/>
              <w:left w:val="single" w:color="auto" w:sz="4" w:space="0"/>
              <w:bottom w:val="single" w:color="auto" w:sz="4" w:space="0"/>
              <w:right w:val="single" w:color="auto" w:sz="4" w:space="0"/>
            </w:tcBorders>
            <w:vAlign w:val="center"/>
          </w:tcPr>
          <w:p w14:paraId="6C5BA2E2">
            <w:pPr>
              <w:spacing w:line="440" w:lineRule="atLeast"/>
              <w:rPr>
                <w:rFonts w:hint="eastAsia" w:ascii="宋体" w:hAnsi="宋体" w:eastAsia="宋体" w:cs="宋体"/>
                <w:color w:val="auto"/>
                <w:szCs w:val="21"/>
                <w:highlight w:val="none"/>
              </w:rPr>
            </w:pPr>
            <w:bookmarkStart w:id="62" w:name="EB960abd8257424ef692128ba8e7d542e1"/>
            <w:r>
              <w:rPr>
                <w:rFonts w:hint="eastAsia" w:ascii="宋体" w:hAnsi="宋体" w:eastAsia="宋体" w:cs="宋体"/>
                <w:color w:val="auto"/>
                <w:kern w:val="2"/>
                <w:sz w:val="21"/>
                <w:szCs w:val="21"/>
                <w:highlight w:val="none"/>
                <w:lang w:val="en-US" w:eastAsia="zh-CN" w:bidi="ar-SA"/>
              </w:rPr>
              <w:t>最近5年，指投标文件递交截止之日前一日往前回溯5年。</w:t>
            </w:r>
            <w:bookmarkEnd w:id="62"/>
          </w:p>
        </w:tc>
      </w:tr>
      <w:tr w14:paraId="01A89310">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0BE276E5">
            <w:pPr>
              <w:spacing w:line="440" w:lineRule="atLeast"/>
              <w:jc w:val="center"/>
              <w:rPr>
                <w:color w:val="auto"/>
                <w:sz w:val="22"/>
                <w:szCs w:val="22"/>
                <w:highlight w:val="none"/>
              </w:rPr>
            </w:pPr>
            <w:r>
              <w:rPr>
                <w:color w:val="auto"/>
                <w:sz w:val="22"/>
                <w:szCs w:val="22"/>
                <w:highlight w:val="none"/>
              </w:rPr>
              <w:t>3.5.3</w:t>
            </w:r>
          </w:p>
        </w:tc>
        <w:tc>
          <w:tcPr>
            <w:tcW w:w="2879" w:type="dxa"/>
            <w:tcBorders>
              <w:top w:val="single" w:color="auto" w:sz="4" w:space="0"/>
              <w:left w:val="single" w:color="auto" w:sz="4" w:space="0"/>
              <w:bottom w:val="single" w:color="auto" w:sz="4" w:space="0"/>
              <w:right w:val="single" w:color="auto" w:sz="4" w:space="0"/>
            </w:tcBorders>
            <w:vAlign w:val="center"/>
          </w:tcPr>
          <w:p w14:paraId="26E0E9D1">
            <w:pPr>
              <w:spacing w:line="440" w:lineRule="atLeast"/>
              <w:jc w:val="center"/>
              <w:rPr>
                <w:color w:val="auto"/>
                <w:sz w:val="22"/>
                <w:szCs w:val="22"/>
                <w:highlight w:val="none"/>
              </w:rPr>
            </w:pPr>
            <w:r>
              <w:rPr>
                <w:rFonts w:hint="eastAsia"/>
                <w:color w:val="auto"/>
                <w:sz w:val="22"/>
                <w:szCs w:val="22"/>
                <w:highlight w:val="none"/>
              </w:rPr>
              <w:t>投标人的信誉情况表</w:t>
            </w:r>
          </w:p>
        </w:tc>
        <w:tc>
          <w:tcPr>
            <w:tcW w:w="4889" w:type="dxa"/>
            <w:tcBorders>
              <w:top w:val="single" w:color="auto" w:sz="4" w:space="0"/>
              <w:left w:val="single" w:color="auto" w:sz="4" w:space="0"/>
              <w:bottom w:val="single" w:color="auto" w:sz="4" w:space="0"/>
              <w:right w:val="single" w:color="auto" w:sz="4" w:space="0"/>
            </w:tcBorders>
            <w:vAlign w:val="center"/>
          </w:tcPr>
          <w:p w14:paraId="2BADA11E">
            <w:pPr>
              <w:pStyle w:val="18"/>
              <w:topLinePunct/>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第3.5.3项细化为：</w:t>
            </w:r>
          </w:p>
          <w:p w14:paraId="0234A1FF">
            <w:pPr>
              <w:spacing w:line="440" w:lineRule="atLeast"/>
              <w:rPr>
                <w:color w:val="auto"/>
                <w:szCs w:val="21"/>
                <w:highlight w:val="none"/>
              </w:rPr>
            </w:pPr>
            <w:r>
              <w:rPr>
                <w:rFonts w:hint="eastAsia" w:ascii="宋体" w:hAnsi="宋体" w:eastAsia="宋体" w:cs="宋体"/>
                <w:color w:val="auto"/>
                <w:szCs w:val="21"/>
                <w:highlight w:val="none"/>
              </w:rPr>
              <w:t>“投标人的信誉情况表”应附投标人在国家企业信用信息公示系统中未被列入严重违法失信企业名单的网页截图复印件和在“信用中国”网站中未被列入失信被执行人名单的网页截图复印件。</w:t>
            </w:r>
          </w:p>
        </w:tc>
      </w:tr>
      <w:tr w14:paraId="7FBDE295">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212EF141">
            <w:pPr>
              <w:spacing w:line="440" w:lineRule="atLeast"/>
              <w:jc w:val="center"/>
              <w:rPr>
                <w:color w:val="auto"/>
                <w:szCs w:val="21"/>
                <w:highlight w:val="none"/>
              </w:rPr>
            </w:pPr>
            <w:r>
              <w:rPr>
                <w:color w:val="auto"/>
                <w:szCs w:val="21"/>
                <w:highlight w:val="none"/>
              </w:rPr>
              <w:t>3.6.1</w:t>
            </w:r>
          </w:p>
        </w:tc>
        <w:tc>
          <w:tcPr>
            <w:tcW w:w="2879" w:type="dxa"/>
            <w:tcBorders>
              <w:top w:val="single" w:color="auto" w:sz="4" w:space="0"/>
              <w:left w:val="single" w:color="auto" w:sz="4" w:space="0"/>
              <w:bottom w:val="single" w:color="auto" w:sz="4" w:space="0"/>
              <w:right w:val="single" w:color="auto" w:sz="4" w:space="0"/>
            </w:tcBorders>
            <w:vAlign w:val="center"/>
          </w:tcPr>
          <w:p w14:paraId="499D232B">
            <w:pPr>
              <w:spacing w:line="440" w:lineRule="atLeast"/>
              <w:jc w:val="center"/>
              <w:rPr>
                <w:color w:val="auto"/>
                <w:szCs w:val="21"/>
                <w:highlight w:val="none"/>
              </w:rPr>
            </w:pPr>
            <w:r>
              <w:rPr>
                <w:color w:val="auto"/>
                <w:szCs w:val="21"/>
                <w:highlight w:val="none"/>
              </w:rPr>
              <w:t>是否允许递交备选投标方案</w:t>
            </w:r>
          </w:p>
        </w:tc>
        <w:tc>
          <w:tcPr>
            <w:tcW w:w="4889" w:type="dxa"/>
            <w:tcBorders>
              <w:top w:val="single" w:color="auto" w:sz="4" w:space="0"/>
              <w:left w:val="single" w:color="auto" w:sz="4" w:space="0"/>
              <w:bottom w:val="single" w:color="auto" w:sz="4" w:space="0"/>
              <w:right w:val="single" w:color="auto" w:sz="4" w:space="0"/>
            </w:tcBorders>
            <w:vAlign w:val="center"/>
          </w:tcPr>
          <w:p w14:paraId="6DE8179A">
            <w:pPr>
              <w:pStyle w:val="18"/>
              <w:topLinePunct/>
              <w:spacing w:line="440" w:lineRule="atLeast"/>
              <w:rPr>
                <w:rFonts w:ascii="Times New Roman"/>
                <w:color w:val="auto"/>
                <w:sz w:val="21"/>
                <w:szCs w:val="21"/>
                <w:highlight w:val="none"/>
              </w:rPr>
            </w:pPr>
            <w:r>
              <w:rPr>
                <w:rFonts w:hint="eastAsia" w:ascii="Times New Roman"/>
                <w:color w:val="auto"/>
                <w:sz w:val="21"/>
                <w:szCs w:val="21"/>
                <w:highlight w:val="none"/>
                <w:lang w:eastAsia="zh-CN"/>
              </w:rPr>
              <w:t>☑</w:t>
            </w:r>
            <w:r>
              <w:rPr>
                <w:rFonts w:ascii="Times New Roman"/>
                <w:color w:val="auto"/>
                <w:sz w:val="21"/>
                <w:szCs w:val="21"/>
                <w:highlight w:val="none"/>
              </w:rPr>
              <w:t>不允许</w:t>
            </w:r>
          </w:p>
          <w:p w14:paraId="57D93AF9">
            <w:pPr>
              <w:spacing w:line="440" w:lineRule="atLeast"/>
              <w:rPr>
                <w:color w:val="auto"/>
                <w:szCs w:val="21"/>
                <w:highlight w:val="none"/>
              </w:rPr>
            </w:pPr>
            <w:r>
              <w:rPr>
                <w:color w:val="auto"/>
                <w:szCs w:val="21"/>
                <w:highlight w:val="none"/>
              </w:rPr>
              <w:t>□允许</w:t>
            </w:r>
          </w:p>
        </w:tc>
      </w:tr>
      <w:tr w14:paraId="16CE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21EAE439">
            <w:pPr>
              <w:spacing w:line="360" w:lineRule="atLeast"/>
              <w:jc w:val="center"/>
              <w:rPr>
                <w:color w:val="auto"/>
                <w:szCs w:val="21"/>
                <w:highlight w:val="none"/>
              </w:rPr>
            </w:pPr>
            <w:r>
              <w:rPr>
                <w:color w:val="auto"/>
                <w:szCs w:val="21"/>
                <w:highlight w:val="none"/>
              </w:rPr>
              <w:t>3.7.2</w:t>
            </w:r>
          </w:p>
        </w:tc>
        <w:tc>
          <w:tcPr>
            <w:tcW w:w="2879" w:type="dxa"/>
            <w:vAlign w:val="center"/>
          </w:tcPr>
          <w:p w14:paraId="49C7A4E9">
            <w:pPr>
              <w:spacing w:line="360" w:lineRule="atLeast"/>
              <w:jc w:val="center"/>
              <w:rPr>
                <w:color w:val="auto"/>
                <w:szCs w:val="21"/>
                <w:highlight w:val="none"/>
              </w:rPr>
            </w:pPr>
            <w:r>
              <w:rPr>
                <w:color w:val="auto"/>
                <w:szCs w:val="21"/>
                <w:highlight w:val="none"/>
              </w:rPr>
              <w:t>投标文件应对招标文件实质性内容作出响应</w:t>
            </w:r>
          </w:p>
        </w:tc>
        <w:tc>
          <w:tcPr>
            <w:tcW w:w="4889" w:type="dxa"/>
            <w:vAlign w:val="center"/>
          </w:tcPr>
          <w:p w14:paraId="10FFC8AE">
            <w:pPr>
              <w:pStyle w:val="18"/>
              <w:topLinePunct/>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第3.7.2项修改为：</w:t>
            </w:r>
          </w:p>
          <w:p w14:paraId="7258C025">
            <w:pPr>
              <w:spacing w:line="360" w:lineRule="atLeast"/>
              <w:rPr>
                <w:color w:val="auto"/>
                <w:szCs w:val="21"/>
                <w:highlight w:val="none"/>
              </w:rPr>
            </w:pPr>
            <w:r>
              <w:rPr>
                <w:rFonts w:hint="eastAsia" w:ascii="宋体" w:hAnsi="宋体" w:eastAsia="宋体" w:cs="宋体"/>
                <w:color w:val="auto"/>
                <w:szCs w:val="21"/>
                <w:highlight w:val="none"/>
              </w:rPr>
              <w:t>投标文件应对招标文件有关咨询服务期限、投标有效期、质量要求、安全目标、环保目标、委托人要求、招标范围等实质性内容作出响应。</w:t>
            </w:r>
          </w:p>
        </w:tc>
      </w:tr>
      <w:tr w14:paraId="5A9B397F">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484F9D9C">
            <w:pPr>
              <w:spacing w:line="440" w:lineRule="atLeast"/>
              <w:jc w:val="center"/>
              <w:rPr>
                <w:color w:val="auto"/>
                <w:szCs w:val="21"/>
                <w:highlight w:val="none"/>
              </w:rPr>
            </w:pPr>
            <w:r>
              <w:rPr>
                <w:color w:val="auto"/>
                <w:szCs w:val="21"/>
                <w:highlight w:val="none"/>
              </w:rPr>
              <w:br w:type="page"/>
            </w:r>
            <w:r>
              <w:rPr>
                <w:color w:val="auto"/>
                <w:szCs w:val="21"/>
                <w:highlight w:val="none"/>
              </w:rPr>
              <w:t>3.7.4</w:t>
            </w:r>
          </w:p>
        </w:tc>
        <w:tc>
          <w:tcPr>
            <w:tcW w:w="2879" w:type="dxa"/>
            <w:tcBorders>
              <w:top w:val="single" w:color="auto" w:sz="4" w:space="0"/>
              <w:left w:val="single" w:color="auto" w:sz="4" w:space="0"/>
              <w:bottom w:val="single" w:color="auto" w:sz="4" w:space="0"/>
              <w:right w:val="single" w:color="auto" w:sz="4" w:space="0"/>
            </w:tcBorders>
            <w:vAlign w:val="center"/>
          </w:tcPr>
          <w:p w14:paraId="008CBE95">
            <w:pPr>
              <w:spacing w:line="440" w:lineRule="atLeast"/>
              <w:jc w:val="center"/>
              <w:rPr>
                <w:color w:val="auto"/>
                <w:szCs w:val="21"/>
                <w:highlight w:val="none"/>
              </w:rPr>
            </w:pPr>
            <w:r>
              <w:rPr>
                <w:color w:val="auto"/>
                <w:szCs w:val="21"/>
                <w:highlight w:val="none"/>
              </w:rPr>
              <w:t>投标文件副本份数及其他要求</w:t>
            </w:r>
          </w:p>
        </w:tc>
        <w:tc>
          <w:tcPr>
            <w:tcW w:w="4889" w:type="dxa"/>
            <w:tcBorders>
              <w:top w:val="single" w:color="auto" w:sz="4" w:space="0"/>
              <w:left w:val="single" w:color="auto" w:sz="4" w:space="0"/>
              <w:bottom w:val="single" w:color="auto" w:sz="4" w:space="0"/>
              <w:right w:val="single" w:color="auto" w:sz="4" w:space="0"/>
            </w:tcBorders>
            <w:vAlign w:val="center"/>
          </w:tcPr>
          <w:p w14:paraId="684B79D4">
            <w:pPr>
              <w:pStyle w:val="18"/>
              <w:topLinePunct/>
              <w:spacing w:line="440" w:lineRule="atLeast"/>
              <w:rPr>
                <w:rFonts w:ascii="Times New Roman"/>
                <w:color w:val="auto"/>
                <w:sz w:val="21"/>
                <w:szCs w:val="21"/>
                <w:highlight w:val="none"/>
              </w:rPr>
            </w:pPr>
            <w:r>
              <w:rPr>
                <w:rFonts w:hint="eastAsia" w:ascii="宋体" w:hAnsi="宋体" w:eastAsia="宋体" w:cs="宋体"/>
                <w:color w:val="auto"/>
                <w:kern w:val="2"/>
                <w:sz w:val="21"/>
                <w:szCs w:val="21"/>
                <w:highlight w:val="none"/>
                <w:lang w:val="en-US" w:eastAsia="zh-CN" w:bidi="ar-SA"/>
              </w:rPr>
              <w:t>如中标，</w:t>
            </w:r>
            <w:r>
              <w:rPr>
                <w:rFonts w:hint="eastAsia" w:hAnsi="宋体" w:eastAsia="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人应再提供纸质</w:t>
            </w:r>
            <w:r>
              <w:rPr>
                <w:rFonts w:hint="eastAsia" w:hAnsi="宋体" w:eastAsia="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文件</w:t>
            </w:r>
            <w:bookmarkStart w:id="63" w:name="EB2b77ccdd20f24f0699850c01a4811aab"/>
            <w:r>
              <w:rPr>
                <w:rFonts w:hint="eastAsia" w:ascii="宋体" w:hAnsi="宋体" w:eastAsia="宋体" w:cs="宋体"/>
                <w:color w:val="auto"/>
                <w:kern w:val="2"/>
                <w:sz w:val="21"/>
                <w:szCs w:val="21"/>
                <w:highlight w:val="none"/>
                <w:lang w:val="en-US" w:eastAsia="zh-CN" w:bidi="ar-SA"/>
              </w:rPr>
              <w:t>2</w:t>
            </w:r>
            <w:bookmarkEnd w:id="63"/>
            <w:r>
              <w:rPr>
                <w:rFonts w:hint="eastAsia" w:ascii="宋体" w:hAnsi="宋体" w:eastAsia="宋体" w:cs="宋体"/>
                <w:color w:val="auto"/>
                <w:kern w:val="2"/>
                <w:sz w:val="21"/>
                <w:szCs w:val="21"/>
                <w:highlight w:val="none"/>
                <w:lang w:val="en-US" w:eastAsia="zh-CN" w:bidi="ar-SA"/>
              </w:rPr>
              <w:t>份。</w:t>
            </w:r>
          </w:p>
        </w:tc>
      </w:tr>
      <w:tr w14:paraId="0D6903D4">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52C17817">
            <w:pPr>
              <w:spacing w:line="440" w:lineRule="atLeast"/>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4.2.2</w:t>
            </w:r>
          </w:p>
        </w:tc>
        <w:tc>
          <w:tcPr>
            <w:tcW w:w="2879" w:type="dxa"/>
            <w:tcBorders>
              <w:top w:val="single" w:color="auto" w:sz="4" w:space="0"/>
              <w:left w:val="single" w:color="auto" w:sz="4" w:space="0"/>
              <w:bottom w:val="single" w:color="auto" w:sz="4" w:space="0"/>
              <w:right w:val="single" w:color="auto" w:sz="4" w:space="0"/>
            </w:tcBorders>
            <w:vAlign w:val="center"/>
          </w:tcPr>
          <w:p w14:paraId="710FF57F">
            <w:pPr>
              <w:spacing w:line="440" w:lineRule="atLeast"/>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纸质投标文件</w:t>
            </w:r>
            <w:r>
              <w:rPr>
                <w:color w:val="auto"/>
                <w:szCs w:val="21"/>
                <w:highlight w:val="none"/>
              </w:rPr>
              <w:t>封套上应载明的信息</w:t>
            </w:r>
          </w:p>
        </w:tc>
        <w:tc>
          <w:tcPr>
            <w:tcW w:w="4889" w:type="dxa"/>
            <w:tcBorders>
              <w:top w:val="single" w:color="auto" w:sz="4" w:space="0"/>
              <w:left w:val="single" w:color="auto" w:sz="4" w:space="0"/>
              <w:bottom w:val="single" w:color="auto" w:sz="4" w:space="0"/>
              <w:right w:val="single" w:color="auto" w:sz="4" w:space="0"/>
            </w:tcBorders>
            <w:vAlign w:val="center"/>
          </w:tcPr>
          <w:p w14:paraId="1ADA4C20">
            <w:pPr>
              <w:pStyle w:val="18"/>
              <w:topLinePunct/>
              <w:spacing w:line="440" w:lineRule="atLeast"/>
              <w:rPr>
                <w:rFonts w:ascii="Times New Roman"/>
                <w:b/>
                <w:color w:val="auto"/>
                <w:sz w:val="21"/>
                <w:szCs w:val="21"/>
                <w:highlight w:val="none"/>
              </w:rPr>
            </w:pPr>
            <w:r>
              <w:rPr>
                <w:rFonts w:ascii="Times New Roman"/>
                <w:b/>
                <w:color w:val="auto"/>
                <w:sz w:val="21"/>
                <w:szCs w:val="21"/>
                <w:highlight w:val="none"/>
              </w:rPr>
              <w:t>投标文件第一个信封（商务及技术文件）封套：</w:t>
            </w:r>
          </w:p>
          <w:p w14:paraId="7F208DF3">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招标人名称：</w:t>
            </w:r>
            <w:r>
              <w:rPr>
                <w:rFonts w:ascii="Times New Roman"/>
                <w:color w:val="auto"/>
                <w:sz w:val="21"/>
                <w:szCs w:val="21"/>
                <w:highlight w:val="none"/>
                <w:u w:val="single"/>
              </w:rPr>
              <w:t xml:space="preserve">                  </w:t>
            </w:r>
          </w:p>
          <w:p w14:paraId="1BBFC831">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招标人地址：</w:t>
            </w:r>
            <w:r>
              <w:rPr>
                <w:rFonts w:ascii="Times New Roman"/>
                <w:color w:val="auto"/>
                <w:sz w:val="21"/>
                <w:szCs w:val="21"/>
                <w:highlight w:val="none"/>
                <w:u w:val="single"/>
              </w:rPr>
              <w:t xml:space="preserve">                  </w:t>
            </w:r>
          </w:p>
          <w:p w14:paraId="43FFD37D">
            <w:pPr>
              <w:pStyle w:val="18"/>
              <w:topLinePunct/>
              <w:spacing w:line="440" w:lineRule="atLeast"/>
              <w:rPr>
                <w:rFonts w:ascii="Times New Roman"/>
                <w:color w:val="auto"/>
                <w:sz w:val="21"/>
                <w:szCs w:val="21"/>
                <w:highlight w:val="none"/>
              </w:rPr>
            </w:pPr>
            <w:r>
              <w:rPr>
                <w:rFonts w:ascii="Times New Roman"/>
                <w:color w:val="auto"/>
                <w:sz w:val="21"/>
                <w:szCs w:val="21"/>
                <w:highlight w:val="none"/>
                <w:u w:val="single"/>
              </w:rPr>
              <w:t xml:space="preserve">      </w:t>
            </w:r>
            <w:r>
              <w:rPr>
                <w:rFonts w:ascii="Times New Roman"/>
                <w:color w:val="auto"/>
                <w:sz w:val="21"/>
                <w:szCs w:val="21"/>
                <w:highlight w:val="none"/>
              </w:rPr>
              <w:t>（项目名称）</w:t>
            </w:r>
            <w:r>
              <w:rPr>
                <w:rFonts w:ascii="Times New Roman"/>
                <w:color w:val="auto"/>
                <w:sz w:val="21"/>
                <w:szCs w:val="21"/>
                <w:highlight w:val="none"/>
                <w:u w:val="single"/>
              </w:rPr>
              <w:t xml:space="preserve">      </w:t>
            </w:r>
            <w:r>
              <w:rPr>
                <w:rFonts w:ascii="Times New Roman"/>
                <w:color w:val="auto"/>
                <w:sz w:val="21"/>
                <w:szCs w:val="21"/>
                <w:highlight w:val="none"/>
              </w:rPr>
              <w:t>标段咨询服务招标第一个信封（商务及技术文件）投标文件</w:t>
            </w:r>
          </w:p>
          <w:p w14:paraId="10E55A67">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招标项目编号：</w:t>
            </w:r>
            <w:r>
              <w:rPr>
                <w:rFonts w:ascii="Times New Roman"/>
                <w:color w:val="auto"/>
                <w:sz w:val="21"/>
                <w:szCs w:val="21"/>
                <w:highlight w:val="none"/>
                <w:u w:val="single"/>
              </w:rPr>
              <w:t xml:space="preserve">            </w:t>
            </w:r>
          </w:p>
          <w:p w14:paraId="642D84AD">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在</w:t>
            </w:r>
            <w:r>
              <w:rPr>
                <w:rFonts w:ascii="Times New Roman"/>
                <w:color w:val="auto"/>
                <w:sz w:val="21"/>
                <w:szCs w:val="21"/>
                <w:highlight w:val="none"/>
                <w:u w:val="single"/>
              </w:rPr>
              <w:t xml:space="preserve">    </w:t>
            </w:r>
            <w:r>
              <w:rPr>
                <w:rFonts w:ascii="Times New Roman"/>
                <w:color w:val="auto"/>
                <w:sz w:val="21"/>
                <w:szCs w:val="21"/>
                <w:highlight w:val="none"/>
              </w:rPr>
              <w:t>年</w:t>
            </w:r>
            <w:r>
              <w:rPr>
                <w:rFonts w:ascii="Times New Roman"/>
                <w:color w:val="auto"/>
                <w:sz w:val="21"/>
                <w:szCs w:val="21"/>
                <w:highlight w:val="none"/>
                <w:u w:val="single"/>
              </w:rPr>
              <w:t xml:space="preserve">   </w:t>
            </w:r>
            <w:r>
              <w:rPr>
                <w:rFonts w:ascii="Times New Roman"/>
                <w:color w:val="auto"/>
                <w:sz w:val="21"/>
                <w:szCs w:val="21"/>
                <w:highlight w:val="none"/>
              </w:rPr>
              <w:t>月</w:t>
            </w:r>
            <w:r>
              <w:rPr>
                <w:rFonts w:ascii="Times New Roman"/>
                <w:color w:val="auto"/>
                <w:sz w:val="21"/>
                <w:szCs w:val="21"/>
                <w:highlight w:val="none"/>
                <w:u w:val="single"/>
              </w:rPr>
              <w:t xml:space="preserve">  </w:t>
            </w:r>
            <w:r>
              <w:rPr>
                <w:rFonts w:ascii="Times New Roman"/>
                <w:color w:val="auto"/>
                <w:sz w:val="21"/>
                <w:szCs w:val="21"/>
                <w:highlight w:val="none"/>
              </w:rPr>
              <w:t>日</w:t>
            </w:r>
            <w:r>
              <w:rPr>
                <w:rFonts w:ascii="Times New Roman"/>
                <w:color w:val="auto"/>
                <w:sz w:val="21"/>
                <w:szCs w:val="21"/>
                <w:highlight w:val="none"/>
                <w:u w:val="single"/>
              </w:rPr>
              <w:t xml:space="preserve">  </w:t>
            </w:r>
            <w:r>
              <w:rPr>
                <w:rFonts w:ascii="Times New Roman"/>
                <w:color w:val="auto"/>
                <w:sz w:val="21"/>
                <w:szCs w:val="21"/>
                <w:highlight w:val="none"/>
              </w:rPr>
              <w:t>时</w:t>
            </w:r>
            <w:r>
              <w:rPr>
                <w:rFonts w:ascii="Times New Roman"/>
                <w:color w:val="auto"/>
                <w:sz w:val="21"/>
                <w:szCs w:val="21"/>
                <w:highlight w:val="none"/>
                <w:u w:val="single"/>
              </w:rPr>
              <w:t xml:space="preserve">  </w:t>
            </w:r>
            <w:r>
              <w:rPr>
                <w:rFonts w:ascii="Times New Roman"/>
                <w:color w:val="auto"/>
                <w:sz w:val="21"/>
                <w:szCs w:val="21"/>
                <w:highlight w:val="none"/>
              </w:rPr>
              <w:t>分前不得开启</w:t>
            </w:r>
          </w:p>
          <w:p w14:paraId="3D1C85D1">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投标人名称：</w:t>
            </w:r>
            <w:r>
              <w:rPr>
                <w:rFonts w:ascii="Times New Roman"/>
                <w:color w:val="auto"/>
                <w:sz w:val="21"/>
                <w:szCs w:val="21"/>
                <w:highlight w:val="none"/>
                <w:u w:val="single"/>
              </w:rPr>
              <w:t xml:space="preserve">                    </w:t>
            </w:r>
          </w:p>
          <w:p w14:paraId="5C5777B2">
            <w:pPr>
              <w:pStyle w:val="18"/>
              <w:topLinePunct/>
              <w:spacing w:line="440" w:lineRule="atLeast"/>
              <w:rPr>
                <w:rFonts w:ascii="Times New Roman"/>
                <w:color w:val="auto"/>
                <w:sz w:val="21"/>
                <w:szCs w:val="21"/>
                <w:highlight w:val="none"/>
              </w:rPr>
            </w:pPr>
          </w:p>
          <w:p w14:paraId="78F0D90F">
            <w:pPr>
              <w:pStyle w:val="18"/>
              <w:topLinePunct/>
              <w:spacing w:line="440" w:lineRule="atLeast"/>
              <w:rPr>
                <w:rFonts w:ascii="Times New Roman"/>
                <w:b/>
                <w:color w:val="auto"/>
                <w:sz w:val="21"/>
                <w:szCs w:val="21"/>
                <w:highlight w:val="none"/>
              </w:rPr>
            </w:pPr>
            <w:r>
              <w:rPr>
                <w:rFonts w:ascii="Times New Roman"/>
                <w:b/>
                <w:color w:val="auto"/>
                <w:sz w:val="21"/>
                <w:szCs w:val="21"/>
                <w:highlight w:val="none"/>
              </w:rPr>
              <w:t>投标文件第二个信封（报价文件）封套：</w:t>
            </w:r>
          </w:p>
          <w:p w14:paraId="42881043">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招标人名称：</w:t>
            </w:r>
            <w:r>
              <w:rPr>
                <w:rFonts w:ascii="Times New Roman"/>
                <w:color w:val="auto"/>
                <w:sz w:val="21"/>
                <w:szCs w:val="21"/>
                <w:highlight w:val="none"/>
                <w:u w:val="single"/>
              </w:rPr>
              <w:t xml:space="preserve">                  </w:t>
            </w:r>
          </w:p>
          <w:p w14:paraId="725EA71F">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招标人地址：</w:t>
            </w:r>
            <w:r>
              <w:rPr>
                <w:rFonts w:ascii="Times New Roman"/>
                <w:color w:val="auto"/>
                <w:sz w:val="21"/>
                <w:szCs w:val="21"/>
                <w:highlight w:val="none"/>
                <w:u w:val="single"/>
              </w:rPr>
              <w:t xml:space="preserve">                  </w:t>
            </w:r>
          </w:p>
          <w:p w14:paraId="4A163415">
            <w:pPr>
              <w:pStyle w:val="18"/>
              <w:topLinePunct/>
              <w:spacing w:line="440" w:lineRule="atLeast"/>
              <w:rPr>
                <w:rFonts w:ascii="Times New Roman"/>
                <w:color w:val="auto"/>
                <w:sz w:val="21"/>
                <w:szCs w:val="21"/>
                <w:highlight w:val="none"/>
              </w:rPr>
            </w:pPr>
            <w:r>
              <w:rPr>
                <w:rFonts w:ascii="Times New Roman"/>
                <w:color w:val="auto"/>
                <w:sz w:val="21"/>
                <w:szCs w:val="21"/>
                <w:highlight w:val="none"/>
                <w:u w:val="single"/>
              </w:rPr>
              <w:t xml:space="preserve">      </w:t>
            </w:r>
            <w:r>
              <w:rPr>
                <w:rFonts w:ascii="Times New Roman"/>
                <w:color w:val="auto"/>
                <w:sz w:val="21"/>
                <w:szCs w:val="21"/>
                <w:highlight w:val="none"/>
              </w:rPr>
              <w:t>（项目名称）</w:t>
            </w:r>
            <w:r>
              <w:rPr>
                <w:rFonts w:ascii="Times New Roman"/>
                <w:color w:val="auto"/>
                <w:sz w:val="21"/>
                <w:szCs w:val="21"/>
                <w:highlight w:val="none"/>
                <w:u w:val="single"/>
              </w:rPr>
              <w:t xml:space="preserve">      </w:t>
            </w:r>
            <w:r>
              <w:rPr>
                <w:rFonts w:ascii="Times New Roman"/>
                <w:color w:val="auto"/>
                <w:sz w:val="21"/>
                <w:szCs w:val="21"/>
                <w:highlight w:val="none"/>
              </w:rPr>
              <w:t>标段咨询服务招标第二个信封（报价文件）投标文件</w:t>
            </w:r>
          </w:p>
          <w:p w14:paraId="4656C80C">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招标项目编号：</w:t>
            </w:r>
            <w:r>
              <w:rPr>
                <w:rFonts w:ascii="Times New Roman"/>
                <w:color w:val="auto"/>
                <w:sz w:val="21"/>
                <w:szCs w:val="21"/>
                <w:highlight w:val="none"/>
                <w:u w:val="single"/>
              </w:rPr>
              <w:t xml:space="preserve">            </w:t>
            </w:r>
          </w:p>
          <w:p w14:paraId="269CC4DA">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在投标文件第二个信封（报价文件）开标前不得开启</w:t>
            </w:r>
          </w:p>
          <w:p w14:paraId="47A04DF0">
            <w:pPr>
              <w:pStyle w:val="18"/>
              <w:topLinePunct/>
              <w:spacing w:line="440" w:lineRule="atLeast"/>
              <w:rPr>
                <w:rFonts w:ascii="Times New Roman"/>
                <w:color w:val="auto"/>
                <w:sz w:val="21"/>
                <w:szCs w:val="21"/>
                <w:highlight w:val="none"/>
                <w:u w:val="single"/>
              </w:rPr>
            </w:pPr>
            <w:r>
              <w:rPr>
                <w:rFonts w:ascii="Times New Roman"/>
                <w:color w:val="auto"/>
                <w:sz w:val="21"/>
                <w:szCs w:val="21"/>
                <w:highlight w:val="none"/>
              </w:rPr>
              <w:t>投标人名称：</w:t>
            </w:r>
            <w:r>
              <w:rPr>
                <w:rFonts w:ascii="Times New Roman"/>
                <w:color w:val="auto"/>
                <w:sz w:val="21"/>
                <w:szCs w:val="21"/>
                <w:highlight w:val="none"/>
                <w:u w:val="single"/>
              </w:rPr>
              <w:t xml:space="preserve">                        </w:t>
            </w:r>
          </w:p>
          <w:p w14:paraId="31736296">
            <w:pPr>
              <w:pStyle w:val="18"/>
              <w:topLinePunct/>
              <w:spacing w:line="440" w:lineRule="atLeast"/>
              <w:rPr>
                <w:rFonts w:ascii="Times New Roman"/>
                <w:color w:val="auto"/>
                <w:sz w:val="21"/>
                <w:szCs w:val="21"/>
                <w:highlight w:val="none"/>
                <w:u w:val="single"/>
              </w:rPr>
            </w:pPr>
            <w:r>
              <w:rPr>
                <w:rFonts w:ascii="Times New Roman"/>
                <w:color w:val="auto"/>
                <w:sz w:val="21"/>
                <w:szCs w:val="21"/>
                <w:highlight w:val="none"/>
              </w:rPr>
              <w:t>投标人地址：</w:t>
            </w:r>
            <w:r>
              <w:rPr>
                <w:rFonts w:ascii="Times New Roman"/>
                <w:color w:val="auto"/>
                <w:sz w:val="21"/>
                <w:szCs w:val="21"/>
                <w:highlight w:val="none"/>
                <w:u w:val="single"/>
              </w:rPr>
              <w:t xml:space="preserve">                        </w:t>
            </w:r>
          </w:p>
          <w:p w14:paraId="58CD2A79">
            <w:pPr>
              <w:pStyle w:val="18"/>
              <w:topLinePunct/>
              <w:spacing w:line="440" w:lineRule="atLeast"/>
              <w:rPr>
                <w:rFonts w:ascii="Times New Roman"/>
                <w:color w:val="auto"/>
                <w:sz w:val="21"/>
                <w:szCs w:val="21"/>
                <w:highlight w:val="none"/>
              </w:rPr>
            </w:pPr>
          </w:p>
          <w:p w14:paraId="5EED3984">
            <w:pPr>
              <w:pStyle w:val="18"/>
              <w:topLinePunct/>
              <w:spacing w:line="440" w:lineRule="atLeast"/>
              <w:rPr>
                <w:rFonts w:ascii="Times New Roman"/>
                <w:b/>
                <w:color w:val="auto"/>
                <w:sz w:val="21"/>
                <w:szCs w:val="21"/>
                <w:highlight w:val="none"/>
              </w:rPr>
            </w:pPr>
            <w:r>
              <w:rPr>
                <w:rFonts w:ascii="Times New Roman"/>
                <w:b/>
                <w:color w:val="auto"/>
                <w:sz w:val="21"/>
                <w:szCs w:val="21"/>
                <w:highlight w:val="none"/>
              </w:rPr>
              <w:t>银行保函封套：</w:t>
            </w:r>
          </w:p>
          <w:p w14:paraId="3AECD61A">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招标人名称：</w:t>
            </w:r>
            <w:r>
              <w:rPr>
                <w:rFonts w:ascii="Times New Roman"/>
                <w:color w:val="auto"/>
                <w:sz w:val="21"/>
                <w:szCs w:val="21"/>
                <w:highlight w:val="none"/>
                <w:u w:val="single"/>
              </w:rPr>
              <w:t xml:space="preserve">                  </w:t>
            </w:r>
          </w:p>
          <w:p w14:paraId="4C0AC2E3">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招标人地址：</w:t>
            </w:r>
            <w:r>
              <w:rPr>
                <w:rFonts w:ascii="Times New Roman"/>
                <w:color w:val="auto"/>
                <w:sz w:val="21"/>
                <w:szCs w:val="21"/>
                <w:highlight w:val="none"/>
                <w:u w:val="single"/>
              </w:rPr>
              <w:t xml:space="preserve">                  </w:t>
            </w:r>
          </w:p>
          <w:p w14:paraId="34A459A5">
            <w:pPr>
              <w:pStyle w:val="18"/>
              <w:topLinePunct/>
              <w:spacing w:line="440" w:lineRule="atLeast"/>
              <w:rPr>
                <w:rFonts w:ascii="Times New Roman"/>
                <w:color w:val="auto"/>
                <w:sz w:val="21"/>
                <w:szCs w:val="21"/>
                <w:highlight w:val="none"/>
              </w:rPr>
            </w:pPr>
            <w:r>
              <w:rPr>
                <w:rFonts w:ascii="Times New Roman"/>
                <w:color w:val="auto"/>
                <w:sz w:val="21"/>
                <w:szCs w:val="21"/>
                <w:highlight w:val="none"/>
                <w:u w:val="single"/>
              </w:rPr>
              <w:t xml:space="preserve">      </w:t>
            </w:r>
            <w:r>
              <w:rPr>
                <w:rFonts w:ascii="Times New Roman"/>
                <w:color w:val="auto"/>
                <w:sz w:val="21"/>
                <w:szCs w:val="21"/>
                <w:highlight w:val="none"/>
              </w:rPr>
              <w:t>（项目名称）</w:t>
            </w:r>
            <w:r>
              <w:rPr>
                <w:rFonts w:ascii="Times New Roman"/>
                <w:color w:val="auto"/>
                <w:sz w:val="21"/>
                <w:szCs w:val="21"/>
                <w:highlight w:val="none"/>
                <w:u w:val="single"/>
              </w:rPr>
              <w:t xml:space="preserve">      </w:t>
            </w:r>
            <w:r>
              <w:rPr>
                <w:rFonts w:ascii="Times New Roman"/>
                <w:color w:val="auto"/>
                <w:sz w:val="21"/>
                <w:szCs w:val="21"/>
                <w:highlight w:val="none"/>
              </w:rPr>
              <w:t>标段咨询服务招标投标保证金（银行保函原件）</w:t>
            </w:r>
          </w:p>
          <w:p w14:paraId="42103DCF">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招标项目编号：</w:t>
            </w:r>
            <w:r>
              <w:rPr>
                <w:rFonts w:ascii="Times New Roman"/>
                <w:color w:val="auto"/>
                <w:sz w:val="21"/>
                <w:szCs w:val="21"/>
                <w:highlight w:val="none"/>
                <w:u w:val="single"/>
              </w:rPr>
              <w:t xml:space="preserve">            </w:t>
            </w:r>
          </w:p>
          <w:p w14:paraId="139EB604">
            <w:pPr>
              <w:pStyle w:val="18"/>
              <w:topLinePunct/>
              <w:spacing w:line="440" w:lineRule="atLeast"/>
              <w:rPr>
                <w:rFonts w:hint="eastAsia" w:ascii="Times New Roman" w:hAnsi="Times New Roman" w:eastAsia="宋体" w:cs="Times New Roman"/>
                <w:color w:val="auto"/>
                <w:kern w:val="2"/>
                <w:sz w:val="21"/>
                <w:szCs w:val="21"/>
                <w:highlight w:val="none"/>
                <w:lang w:val="en-US" w:eastAsia="zh-CN" w:bidi="ar-SA"/>
              </w:rPr>
            </w:pPr>
            <w:r>
              <w:rPr>
                <w:rFonts w:ascii="Times New Roman"/>
                <w:color w:val="auto"/>
                <w:sz w:val="21"/>
                <w:szCs w:val="21"/>
                <w:highlight w:val="none"/>
              </w:rPr>
              <w:t>投标人名称：</w:t>
            </w:r>
            <w:r>
              <w:rPr>
                <w:rFonts w:ascii="Times New Roman"/>
                <w:color w:val="auto"/>
                <w:sz w:val="21"/>
                <w:szCs w:val="21"/>
                <w:highlight w:val="none"/>
                <w:u w:val="single"/>
              </w:rPr>
              <w:t xml:space="preserve">                        </w:t>
            </w:r>
          </w:p>
        </w:tc>
      </w:tr>
      <w:tr w14:paraId="3716002F">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74F1DCB7">
            <w:pPr>
              <w:spacing w:line="440" w:lineRule="atLeast"/>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5.1</w:t>
            </w:r>
          </w:p>
        </w:tc>
        <w:tc>
          <w:tcPr>
            <w:tcW w:w="2879" w:type="dxa"/>
            <w:tcBorders>
              <w:top w:val="single" w:color="auto" w:sz="4" w:space="0"/>
              <w:left w:val="single" w:color="auto" w:sz="4" w:space="0"/>
              <w:bottom w:val="single" w:color="auto" w:sz="4" w:space="0"/>
              <w:right w:val="single" w:color="auto" w:sz="4" w:space="0"/>
            </w:tcBorders>
            <w:vAlign w:val="center"/>
          </w:tcPr>
          <w:p w14:paraId="4C7ABBE7">
            <w:pPr>
              <w:spacing w:line="440" w:lineRule="atLeast"/>
              <w:jc w:val="center"/>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开标时间和地点</w:t>
            </w:r>
          </w:p>
        </w:tc>
        <w:tc>
          <w:tcPr>
            <w:tcW w:w="4889" w:type="dxa"/>
            <w:tcBorders>
              <w:top w:val="single" w:color="auto" w:sz="4" w:space="0"/>
              <w:left w:val="single" w:color="auto" w:sz="4" w:space="0"/>
              <w:bottom w:val="single" w:color="auto" w:sz="4" w:space="0"/>
              <w:right w:val="single" w:color="auto" w:sz="4" w:space="0"/>
            </w:tcBorders>
            <w:vAlign w:val="center"/>
          </w:tcPr>
          <w:p w14:paraId="7C317A81">
            <w:pPr>
              <w:spacing w:line="440" w:lineRule="atLeast"/>
              <w:rPr>
                <w:color w:val="auto"/>
                <w:szCs w:val="21"/>
                <w:highlight w:val="none"/>
              </w:rPr>
            </w:pPr>
            <w:r>
              <w:rPr>
                <w:color w:val="auto"/>
                <w:szCs w:val="21"/>
                <w:highlight w:val="none"/>
              </w:rPr>
              <w:t>投标文件第一个信封（商务及技术文件）开标时间：同投标截止时间</w:t>
            </w:r>
          </w:p>
          <w:p w14:paraId="0D0944BE">
            <w:pPr>
              <w:spacing w:line="440" w:lineRule="atLeast"/>
              <w:rPr>
                <w:color w:val="auto"/>
                <w:szCs w:val="21"/>
                <w:highlight w:val="none"/>
              </w:rPr>
            </w:pPr>
            <w:r>
              <w:rPr>
                <w:color w:val="auto"/>
                <w:szCs w:val="21"/>
                <w:highlight w:val="none"/>
              </w:rPr>
              <w:t>投标文件第一个信封（商务及技术文件）开标地点：同递交投标文件地点</w:t>
            </w:r>
          </w:p>
          <w:p w14:paraId="1985E91F">
            <w:pPr>
              <w:spacing w:line="440" w:lineRule="atLeast"/>
              <w:rPr>
                <w:color w:val="auto"/>
                <w:szCs w:val="21"/>
                <w:highlight w:val="none"/>
              </w:rPr>
            </w:pPr>
            <w:r>
              <w:rPr>
                <w:color w:val="auto"/>
                <w:szCs w:val="21"/>
                <w:highlight w:val="none"/>
              </w:rPr>
              <w:t>投标文件第二个信封（报价文件）开标时间：</w:t>
            </w:r>
            <w:r>
              <w:rPr>
                <w:rFonts w:hint="eastAsia" w:ascii="等线" w:hAnsi="等线" w:eastAsia="等线"/>
                <w:color w:val="auto"/>
                <w:kern w:val="2"/>
                <w:sz w:val="21"/>
                <w:szCs w:val="21"/>
                <w:highlight w:val="none"/>
                <w:u w:val="single"/>
                <w:lang w:val="en-US" w:eastAsia="zh-CN" w:bidi="ar-SA"/>
              </w:rPr>
              <w:t>另行通知</w:t>
            </w:r>
            <w:r>
              <w:rPr>
                <w:color w:val="auto"/>
                <w:szCs w:val="21"/>
                <w:highlight w:val="none"/>
                <w:u w:val="single"/>
              </w:rPr>
              <w:t xml:space="preserve">  </w:t>
            </w:r>
            <w:r>
              <w:rPr>
                <w:color w:val="auto"/>
                <w:szCs w:val="21"/>
                <w:highlight w:val="none"/>
              </w:rPr>
              <w:t xml:space="preserve">         </w:t>
            </w:r>
          </w:p>
          <w:p w14:paraId="467FA8BE">
            <w:pPr>
              <w:spacing w:line="440" w:lineRule="atLeast"/>
              <w:rPr>
                <w:rFonts w:ascii="Times New Roman" w:hAnsi="Times New Roman" w:eastAsia="宋体" w:cs="Times New Roman"/>
                <w:color w:val="auto"/>
                <w:kern w:val="2"/>
                <w:sz w:val="21"/>
                <w:szCs w:val="21"/>
                <w:highlight w:val="none"/>
                <w:lang w:val="en-US" w:eastAsia="zh-CN" w:bidi="ar-SA"/>
              </w:rPr>
            </w:pPr>
            <w:r>
              <w:rPr>
                <w:color w:val="auto"/>
                <w:szCs w:val="21"/>
                <w:highlight w:val="none"/>
              </w:rPr>
              <w:t>投标文件第二个信封（报价文件）开标地点：</w:t>
            </w:r>
            <w:r>
              <w:rPr>
                <w:rFonts w:hint="eastAsia" w:ascii="等线" w:hAnsi="等线" w:eastAsia="等线"/>
                <w:color w:val="auto"/>
                <w:kern w:val="2"/>
                <w:sz w:val="21"/>
                <w:szCs w:val="21"/>
                <w:highlight w:val="none"/>
                <w:u w:val="single"/>
                <w:lang w:val="en-US" w:eastAsia="zh-CN" w:bidi="ar-SA"/>
              </w:rPr>
              <w:t>另行通知</w:t>
            </w:r>
            <w:r>
              <w:rPr>
                <w:color w:val="auto"/>
                <w:szCs w:val="21"/>
                <w:highlight w:val="none"/>
                <w:u w:val="single"/>
              </w:rPr>
              <w:t xml:space="preserve">  </w:t>
            </w:r>
            <w:r>
              <w:rPr>
                <w:color w:val="auto"/>
                <w:szCs w:val="21"/>
                <w:highlight w:val="none"/>
              </w:rPr>
              <w:t xml:space="preserve">   </w:t>
            </w:r>
          </w:p>
        </w:tc>
      </w:tr>
      <w:tr w14:paraId="7DB1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Borders>
              <w:bottom w:val="single" w:color="auto" w:sz="4" w:space="0"/>
            </w:tcBorders>
            <w:vAlign w:val="center"/>
          </w:tcPr>
          <w:p w14:paraId="245AD7F9">
            <w:pPr>
              <w:spacing w:line="440" w:lineRule="atLeast"/>
              <w:jc w:val="center"/>
              <w:rPr>
                <w:color w:val="auto"/>
                <w:szCs w:val="21"/>
                <w:highlight w:val="none"/>
              </w:rPr>
            </w:pPr>
            <w:r>
              <w:rPr>
                <w:color w:val="auto"/>
                <w:szCs w:val="21"/>
                <w:highlight w:val="none"/>
              </w:rPr>
              <w:t>6.1.1</w:t>
            </w:r>
          </w:p>
        </w:tc>
        <w:tc>
          <w:tcPr>
            <w:tcW w:w="2879" w:type="dxa"/>
            <w:tcBorders>
              <w:bottom w:val="single" w:color="auto" w:sz="4" w:space="0"/>
            </w:tcBorders>
            <w:vAlign w:val="center"/>
          </w:tcPr>
          <w:p w14:paraId="72AC262D">
            <w:pPr>
              <w:spacing w:line="440" w:lineRule="atLeast"/>
              <w:jc w:val="center"/>
              <w:rPr>
                <w:color w:val="auto"/>
                <w:szCs w:val="21"/>
                <w:highlight w:val="none"/>
              </w:rPr>
            </w:pPr>
            <w:r>
              <w:rPr>
                <w:color w:val="auto"/>
                <w:szCs w:val="21"/>
                <w:highlight w:val="none"/>
              </w:rPr>
              <w:t>评标委员会的组建</w:t>
            </w:r>
          </w:p>
        </w:tc>
        <w:tc>
          <w:tcPr>
            <w:tcW w:w="4889" w:type="dxa"/>
            <w:tcBorders>
              <w:bottom w:val="single" w:color="auto" w:sz="4" w:space="0"/>
            </w:tcBorders>
            <w:vAlign w:val="center"/>
          </w:tcPr>
          <w:p w14:paraId="0E68D442">
            <w:pPr>
              <w:spacing w:line="440" w:lineRule="atLeast"/>
              <w:rPr>
                <w:color w:val="auto"/>
                <w:szCs w:val="21"/>
                <w:highlight w:val="none"/>
              </w:rPr>
            </w:pPr>
            <w:r>
              <w:rPr>
                <w:color w:val="auto"/>
                <w:szCs w:val="21"/>
                <w:highlight w:val="none"/>
              </w:rPr>
              <w:t>评标委员会构成：</w:t>
            </w:r>
            <w:r>
              <w:rPr>
                <w:rFonts w:hint="eastAsia"/>
                <w:color w:val="auto"/>
                <w:szCs w:val="21"/>
                <w:highlight w:val="none"/>
                <w:u w:val="single"/>
                <w:lang w:val="en-US" w:eastAsia="zh-CN"/>
              </w:rPr>
              <w:t>5</w:t>
            </w:r>
            <w:r>
              <w:rPr>
                <w:color w:val="auto"/>
                <w:szCs w:val="21"/>
                <w:highlight w:val="none"/>
              </w:rPr>
              <w:t>人，其中招标人代表</w:t>
            </w:r>
            <w:r>
              <w:rPr>
                <w:rFonts w:hint="eastAsia"/>
                <w:color w:val="auto"/>
                <w:szCs w:val="21"/>
                <w:highlight w:val="none"/>
                <w:u w:val="single"/>
                <w:lang w:val="en-US" w:eastAsia="zh-CN"/>
              </w:rPr>
              <w:t>0</w:t>
            </w:r>
            <w:r>
              <w:rPr>
                <w:color w:val="auto"/>
                <w:szCs w:val="21"/>
                <w:highlight w:val="none"/>
              </w:rPr>
              <w:t>人，专家</w:t>
            </w:r>
            <w:r>
              <w:rPr>
                <w:color w:val="auto"/>
                <w:szCs w:val="21"/>
                <w:highlight w:val="none"/>
                <w:u w:val="single"/>
              </w:rPr>
              <w:t xml:space="preserve">    </w:t>
            </w:r>
            <w:r>
              <w:rPr>
                <w:rFonts w:hint="eastAsia"/>
                <w:color w:val="auto"/>
                <w:szCs w:val="21"/>
                <w:highlight w:val="none"/>
                <w:u w:val="single"/>
                <w:lang w:val="en-US" w:eastAsia="zh-CN"/>
              </w:rPr>
              <w:t>5</w:t>
            </w:r>
            <w:r>
              <w:rPr>
                <w:color w:val="auto"/>
                <w:szCs w:val="21"/>
                <w:highlight w:val="none"/>
              </w:rPr>
              <w:t>人；</w:t>
            </w:r>
          </w:p>
          <w:p w14:paraId="516482B6">
            <w:pPr>
              <w:spacing w:line="440" w:lineRule="atLeast"/>
              <w:rPr>
                <w:color w:val="auto"/>
                <w:szCs w:val="21"/>
                <w:highlight w:val="none"/>
              </w:rPr>
            </w:pPr>
            <w:r>
              <w:rPr>
                <w:color w:val="auto"/>
                <w:szCs w:val="21"/>
                <w:highlight w:val="none"/>
              </w:rPr>
              <w:t>评标专家确定方式：</w:t>
            </w:r>
            <w:r>
              <w:rPr>
                <w:rFonts w:hint="eastAsia" w:ascii="宋体" w:hAnsi="宋体" w:eastAsia="宋体" w:cs="宋体"/>
                <w:color w:val="auto"/>
                <w:kern w:val="2"/>
                <w:sz w:val="21"/>
                <w:szCs w:val="21"/>
                <w:highlight w:val="none"/>
                <w:lang w:val="en-US" w:eastAsia="zh-CN" w:bidi="ar-SA"/>
              </w:rPr>
              <w:t>招标人按相关规定组建评标委员会。</w:t>
            </w:r>
          </w:p>
        </w:tc>
      </w:tr>
      <w:tr w14:paraId="5F0A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Borders>
              <w:bottom w:val="single" w:color="auto" w:sz="4" w:space="0"/>
            </w:tcBorders>
            <w:vAlign w:val="center"/>
          </w:tcPr>
          <w:p w14:paraId="0261834A">
            <w:pPr>
              <w:spacing w:line="440" w:lineRule="atLeast"/>
              <w:jc w:val="center"/>
              <w:rPr>
                <w:color w:val="auto"/>
                <w:szCs w:val="21"/>
                <w:highlight w:val="none"/>
              </w:rPr>
            </w:pPr>
            <w:r>
              <w:rPr>
                <w:color w:val="auto"/>
                <w:szCs w:val="21"/>
                <w:highlight w:val="none"/>
              </w:rPr>
              <w:t>6.3.2</w:t>
            </w:r>
          </w:p>
        </w:tc>
        <w:tc>
          <w:tcPr>
            <w:tcW w:w="2879" w:type="dxa"/>
            <w:tcBorders>
              <w:bottom w:val="single" w:color="auto" w:sz="4" w:space="0"/>
            </w:tcBorders>
            <w:vAlign w:val="center"/>
          </w:tcPr>
          <w:p w14:paraId="31495B6A">
            <w:pPr>
              <w:spacing w:line="440" w:lineRule="atLeast"/>
              <w:jc w:val="center"/>
              <w:rPr>
                <w:color w:val="auto"/>
                <w:szCs w:val="21"/>
                <w:highlight w:val="none"/>
              </w:rPr>
            </w:pPr>
            <w:r>
              <w:rPr>
                <w:color w:val="auto"/>
                <w:szCs w:val="21"/>
                <w:highlight w:val="none"/>
              </w:rPr>
              <w:t>评标委员会推荐中标候选人的人数</w:t>
            </w:r>
          </w:p>
        </w:tc>
        <w:tc>
          <w:tcPr>
            <w:tcW w:w="4889" w:type="dxa"/>
            <w:tcBorders>
              <w:bottom w:val="single" w:color="auto" w:sz="4" w:space="0"/>
            </w:tcBorders>
            <w:vAlign w:val="center"/>
          </w:tcPr>
          <w:p w14:paraId="68B16715">
            <w:pPr>
              <w:spacing w:line="360" w:lineRule="atLeast"/>
              <w:rPr>
                <w:color w:val="auto"/>
                <w:spacing w:val="10"/>
                <w:szCs w:val="21"/>
                <w:highlight w:val="none"/>
                <w:bdr w:val="single" w:color="auto" w:sz="4" w:space="0"/>
              </w:rPr>
            </w:pPr>
            <w:bookmarkStart w:id="64" w:name="EBf749bca0a1ed4353a3808f83c9cae8e5"/>
            <w:bookmarkStart w:id="65" w:name="EB5308d066f1ff4059bfd731a25c0ec07f"/>
            <w:r>
              <w:rPr>
                <w:rFonts w:hint="eastAsia" w:ascii="宋体" w:hAnsi="宋体" w:eastAsia="宋体" w:cs="宋体"/>
                <w:color w:val="auto"/>
                <w:kern w:val="2"/>
                <w:sz w:val="21"/>
                <w:szCs w:val="22"/>
                <w:highlight w:val="none"/>
                <w:lang w:val="en-US" w:eastAsia="zh-CN" w:bidi="ar-SA"/>
              </w:rPr>
              <w:t>1～3</w:t>
            </w:r>
            <w:bookmarkEnd w:id="64"/>
            <w:r>
              <w:rPr>
                <w:rFonts w:hint="eastAsia"/>
                <w:color w:val="auto"/>
                <w:szCs w:val="21"/>
                <w:highlight w:val="none"/>
                <w:u w:val="single"/>
                <w:lang w:val="en-US" w:eastAsia="zh-CN"/>
              </w:rPr>
              <w:t>名</w:t>
            </w:r>
            <w:r>
              <w:rPr>
                <w:color w:val="auto"/>
                <w:szCs w:val="21"/>
                <w:highlight w:val="none"/>
                <w:u w:val="single"/>
              </w:rPr>
              <w:t xml:space="preserve"> </w:t>
            </w:r>
            <w:bookmarkEnd w:id="65"/>
          </w:p>
        </w:tc>
      </w:tr>
      <w:tr w14:paraId="10E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Borders>
              <w:top w:val="single" w:color="auto" w:sz="4" w:space="0"/>
              <w:left w:val="single" w:color="auto" w:sz="4" w:space="0"/>
              <w:bottom w:val="nil"/>
              <w:right w:val="single" w:color="auto" w:sz="4" w:space="0"/>
            </w:tcBorders>
            <w:vAlign w:val="center"/>
          </w:tcPr>
          <w:p w14:paraId="2579247D">
            <w:pPr>
              <w:spacing w:line="440" w:lineRule="atLeast"/>
              <w:jc w:val="center"/>
              <w:rPr>
                <w:color w:val="auto"/>
                <w:szCs w:val="21"/>
                <w:highlight w:val="none"/>
              </w:rPr>
            </w:pPr>
            <w:r>
              <w:rPr>
                <w:color w:val="auto"/>
                <w:szCs w:val="21"/>
                <w:highlight w:val="none"/>
              </w:rPr>
              <w:t>7.1</w:t>
            </w:r>
          </w:p>
        </w:tc>
        <w:tc>
          <w:tcPr>
            <w:tcW w:w="2879" w:type="dxa"/>
            <w:tcBorders>
              <w:top w:val="single" w:color="auto" w:sz="4" w:space="0"/>
              <w:left w:val="single" w:color="auto" w:sz="4" w:space="0"/>
              <w:bottom w:val="nil"/>
              <w:right w:val="single" w:color="auto" w:sz="4" w:space="0"/>
            </w:tcBorders>
            <w:vAlign w:val="center"/>
          </w:tcPr>
          <w:p w14:paraId="4299431D">
            <w:pPr>
              <w:spacing w:line="440" w:lineRule="atLeast"/>
              <w:jc w:val="center"/>
              <w:rPr>
                <w:color w:val="auto"/>
                <w:szCs w:val="21"/>
                <w:highlight w:val="none"/>
              </w:rPr>
            </w:pPr>
            <w:r>
              <w:rPr>
                <w:color w:val="auto"/>
                <w:szCs w:val="21"/>
                <w:highlight w:val="none"/>
              </w:rPr>
              <w:t>中标候选人公示媒介及期限</w:t>
            </w:r>
          </w:p>
        </w:tc>
        <w:tc>
          <w:tcPr>
            <w:tcW w:w="4889" w:type="dxa"/>
            <w:tcBorders>
              <w:top w:val="single" w:color="auto" w:sz="4" w:space="0"/>
              <w:left w:val="single" w:color="auto" w:sz="4" w:space="0"/>
              <w:bottom w:val="nil"/>
              <w:right w:val="single" w:color="auto" w:sz="4" w:space="0"/>
            </w:tcBorders>
            <w:vAlign w:val="center"/>
          </w:tcPr>
          <w:p w14:paraId="23CE7A58">
            <w:pPr>
              <w:spacing w:line="360" w:lineRule="atLeast"/>
              <w:rPr>
                <w:rFonts w:hint="eastAsia" w:ascii="宋体" w:hAnsi="宋体" w:eastAsia="宋体" w:cs="宋体"/>
                <w:color w:val="auto"/>
                <w:szCs w:val="21"/>
                <w:highlight w:val="none"/>
              </w:rPr>
            </w:pPr>
            <w:r>
              <w:rPr>
                <w:color w:val="auto"/>
                <w:szCs w:val="21"/>
                <w:highlight w:val="none"/>
              </w:rPr>
              <w:t>公示媒介：</w:t>
            </w:r>
            <w:r>
              <w:rPr>
                <w:rFonts w:hint="eastAsia" w:ascii="宋体" w:hAnsi="宋体" w:eastAsia="宋体" w:cs="宋体"/>
                <w:color w:val="auto"/>
                <w:szCs w:val="21"/>
                <w:highlight w:val="none"/>
                <w:u w:val="single"/>
              </w:rPr>
              <w:t>同招标公告发布媒介</w:t>
            </w:r>
          </w:p>
          <w:p w14:paraId="57472B73">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公示期限：</w:t>
            </w:r>
            <w:r>
              <w:rPr>
                <w:rFonts w:hint="eastAsia" w:ascii="宋体" w:hAnsi="宋体" w:eastAsia="宋体" w:cs="宋体"/>
                <w:color w:val="auto"/>
                <w:szCs w:val="21"/>
                <w:highlight w:val="none"/>
                <w:u w:val="single"/>
              </w:rPr>
              <w:t>不得少于3日（不含法定节假日）</w:t>
            </w:r>
          </w:p>
          <w:p w14:paraId="2FCC0878">
            <w:pPr>
              <w:spacing w:line="440" w:lineRule="atLeast"/>
              <w:rPr>
                <w:rFonts w:hint="eastAsia" w:eastAsia="宋体"/>
                <w:color w:val="auto"/>
                <w:szCs w:val="21"/>
                <w:highlight w:val="none"/>
                <w:lang w:eastAsia="zh-CN"/>
              </w:rPr>
            </w:pPr>
            <w:r>
              <w:rPr>
                <w:color w:val="auto"/>
                <w:szCs w:val="21"/>
                <w:highlight w:val="none"/>
              </w:rPr>
              <w:t>公示的其他内容：</w:t>
            </w:r>
            <w:r>
              <w:rPr>
                <w:rFonts w:hint="eastAsia" w:eastAsia="黑体"/>
                <w:color w:val="auto"/>
                <w:szCs w:val="21"/>
                <w:highlight w:val="none"/>
                <w:u w:val="single"/>
                <w:lang w:val="en-US" w:eastAsia="zh-CN"/>
              </w:rPr>
              <w:t>/</w:t>
            </w:r>
          </w:p>
        </w:tc>
      </w:tr>
      <w:tr w14:paraId="5E816C88">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0EFC90B5">
            <w:pPr>
              <w:spacing w:line="440" w:lineRule="atLeast"/>
              <w:jc w:val="center"/>
              <w:rPr>
                <w:color w:val="auto"/>
                <w:szCs w:val="21"/>
                <w:highlight w:val="none"/>
              </w:rPr>
            </w:pPr>
            <w:r>
              <w:rPr>
                <w:color w:val="auto"/>
                <w:szCs w:val="21"/>
                <w:highlight w:val="none"/>
              </w:rPr>
              <w:t>7.4</w:t>
            </w:r>
          </w:p>
        </w:tc>
        <w:tc>
          <w:tcPr>
            <w:tcW w:w="2879" w:type="dxa"/>
            <w:tcBorders>
              <w:top w:val="single" w:color="auto" w:sz="4" w:space="0"/>
              <w:left w:val="single" w:color="auto" w:sz="4" w:space="0"/>
              <w:bottom w:val="single" w:color="auto" w:sz="4" w:space="0"/>
              <w:right w:val="single" w:color="auto" w:sz="4" w:space="0"/>
            </w:tcBorders>
            <w:vAlign w:val="center"/>
          </w:tcPr>
          <w:p w14:paraId="667AB303">
            <w:pPr>
              <w:spacing w:line="440" w:lineRule="atLeast"/>
              <w:jc w:val="center"/>
              <w:rPr>
                <w:color w:val="auto"/>
                <w:szCs w:val="21"/>
                <w:highlight w:val="none"/>
              </w:rPr>
            </w:pPr>
            <w:r>
              <w:rPr>
                <w:color w:val="auto"/>
                <w:szCs w:val="21"/>
                <w:highlight w:val="none"/>
              </w:rPr>
              <w:t>是否授权评标委员会确定中标人</w:t>
            </w:r>
          </w:p>
        </w:tc>
        <w:tc>
          <w:tcPr>
            <w:tcW w:w="4889" w:type="dxa"/>
            <w:tcBorders>
              <w:top w:val="single" w:color="auto" w:sz="4" w:space="0"/>
              <w:left w:val="single" w:color="auto" w:sz="4" w:space="0"/>
              <w:bottom w:val="single" w:color="auto" w:sz="4" w:space="0"/>
              <w:right w:val="single" w:color="auto" w:sz="4" w:space="0"/>
            </w:tcBorders>
            <w:vAlign w:val="center"/>
          </w:tcPr>
          <w:p w14:paraId="42C0E289">
            <w:pPr>
              <w:spacing w:line="360" w:lineRule="atLeast"/>
              <w:rPr>
                <w:color w:val="auto"/>
                <w:szCs w:val="21"/>
                <w:highlight w:val="none"/>
              </w:rPr>
            </w:pPr>
            <w:r>
              <w:rPr>
                <w:color w:val="auto"/>
                <w:szCs w:val="21"/>
                <w:highlight w:val="none"/>
              </w:rPr>
              <w:t>□是</w:t>
            </w:r>
          </w:p>
          <w:p w14:paraId="618C3330">
            <w:pPr>
              <w:snapToGrid w:val="0"/>
              <w:spacing w:line="440" w:lineRule="atLeast"/>
              <w:rPr>
                <w:color w:val="auto"/>
                <w:szCs w:val="21"/>
                <w:highlight w:val="none"/>
              </w:rPr>
            </w:pPr>
            <w:r>
              <w:rPr>
                <w:rFonts w:hint="eastAsia"/>
                <w:color w:val="auto"/>
                <w:szCs w:val="21"/>
                <w:highlight w:val="none"/>
                <w:lang w:eastAsia="zh-CN"/>
              </w:rPr>
              <w:t>☑</w:t>
            </w:r>
            <w:r>
              <w:rPr>
                <w:color w:val="auto"/>
                <w:szCs w:val="21"/>
                <w:highlight w:val="none"/>
              </w:rPr>
              <w:t>否</w:t>
            </w:r>
          </w:p>
        </w:tc>
      </w:tr>
      <w:tr w14:paraId="7105F165">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229BAD5B">
            <w:pPr>
              <w:spacing w:line="440" w:lineRule="atLeast"/>
              <w:jc w:val="center"/>
              <w:rPr>
                <w:color w:val="auto"/>
                <w:szCs w:val="21"/>
                <w:highlight w:val="none"/>
              </w:rPr>
            </w:pPr>
            <w:r>
              <w:rPr>
                <w:color w:val="auto"/>
                <w:szCs w:val="21"/>
                <w:highlight w:val="none"/>
              </w:rPr>
              <w:t>7.6</w:t>
            </w:r>
          </w:p>
        </w:tc>
        <w:tc>
          <w:tcPr>
            <w:tcW w:w="2879" w:type="dxa"/>
            <w:tcBorders>
              <w:top w:val="single" w:color="auto" w:sz="4" w:space="0"/>
              <w:left w:val="single" w:color="auto" w:sz="4" w:space="0"/>
              <w:bottom w:val="single" w:color="auto" w:sz="4" w:space="0"/>
              <w:right w:val="single" w:color="auto" w:sz="4" w:space="0"/>
            </w:tcBorders>
            <w:vAlign w:val="center"/>
          </w:tcPr>
          <w:p w14:paraId="05F8824A">
            <w:pPr>
              <w:spacing w:line="440" w:lineRule="atLeast"/>
              <w:jc w:val="center"/>
              <w:rPr>
                <w:color w:val="auto"/>
                <w:szCs w:val="21"/>
                <w:highlight w:val="none"/>
              </w:rPr>
            </w:pPr>
            <w:r>
              <w:rPr>
                <w:color w:val="auto"/>
                <w:szCs w:val="21"/>
                <w:highlight w:val="none"/>
              </w:rPr>
              <w:t>中标结果公告媒介及期限</w:t>
            </w:r>
          </w:p>
        </w:tc>
        <w:tc>
          <w:tcPr>
            <w:tcW w:w="4889" w:type="dxa"/>
            <w:tcBorders>
              <w:top w:val="single" w:color="auto" w:sz="4" w:space="0"/>
              <w:left w:val="single" w:color="auto" w:sz="4" w:space="0"/>
              <w:bottom w:val="single" w:color="auto" w:sz="4" w:space="0"/>
              <w:right w:val="single" w:color="auto" w:sz="4" w:space="0"/>
            </w:tcBorders>
            <w:vAlign w:val="center"/>
          </w:tcPr>
          <w:p w14:paraId="7919BDDC">
            <w:pPr>
              <w:spacing w:line="360" w:lineRule="atLeast"/>
              <w:rPr>
                <w:rFonts w:hint="eastAsia" w:ascii="宋体" w:hAnsi="宋体" w:eastAsia="宋体" w:cs="宋体"/>
                <w:color w:val="auto"/>
                <w:szCs w:val="21"/>
                <w:highlight w:val="none"/>
              </w:rPr>
            </w:pPr>
            <w:r>
              <w:rPr>
                <w:color w:val="auto"/>
                <w:szCs w:val="21"/>
                <w:highlight w:val="none"/>
              </w:rPr>
              <w:t>公告媒介：</w:t>
            </w:r>
            <w:r>
              <w:rPr>
                <w:rFonts w:hint="eastAsia" w:ascii="宋体" w:hAnsi="宋体" w:eastAsia="宋体" w:cs="宋体"/>
                <w:color w:val="auto"/>
                <w:szCs w:val="21"/>
                <w:highlight w:val="none"/>
                <w:u w:val="single"/>
              </w:rPr>
              <w:t>同招标公告发布媒介</w:t>
            </w:r>
          </w:p>
          <w:p w14:paraId="1D86B410">
            <w:pPr>
              <w:spacing w:line="440" w:lineRule="atLeast"/>
              <w:rPr>
                <w:color w:val="auto"/>
                <w:szCs w:val="21"/>
                <w:highlight w:val="none"/>
              </w:rPr>
            </w:pPr>
            <w:r>
              <w:rPr>
                <w:rFonts w:hint="eastAsia" w:ascii="宋体" w:hAnsi="宋体" w:eastAsia="宋体" w:cs="宋体"/>
                <w:color w:val="auto"/>
                <w:szCs w:val="21"/>
                <w:highlight w:val="none"/>
              </w:rPr>
              <w:t>公告期限：</w:t>
            </w:r>
            <w:r>
              <w:rPr>
                <w:rFonts w:hint="eastAsia" w:ascii="宋体" w:hAnsi="宋体" w:eastAsia="宋体" w:cs="宋体"/>
                <w:color w:val="auto"/>
                <w:szCs w:val="21"/>
                <w:highlight w:val="none"/>
                <w:u w:val="single"/>
              </w:rPr>
              <w:t>不得少于3日（不含法定节假日）</w:t>
            </w:r>
          </w:p>
        </w:tc>
      </w:tr>
      <w:tr w14:paraId="3175F74E">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0E3EE206">
            <w:pPr>
              <w:spacing w:line="440" w:lineRule="atLeast"/>
              <w:jc w:val="center"/>
              <w:rPr>
                <w:color w:val="auto"/>
                <w:szCs w:val="21"/>
                <w:highlight w:val="none"/>
              </w:rPr>
            </w:pPr>
            <w:r>
              <w:rPr>
                <w:color w:val="auto"/>
                <w:szCs w:val="21"/>
                <w:highlight w:val="none"/>
              </w:rPr>
              <w:t>7.7.1</w:t>
            </w:r>
          </w:p>
        </w:tc>
        <w:tc>
          <w:tcPr>
            <w:tcW w:w="2879" w:type="dxa"/>
            <w:tcBorders>
              <w:top w:val="single" w:color="auto" w:sz="4" w:space="0"/>
              <w:left w:val="single" w:color="auto" w:sz="4" w:space="0"/>
              <w:bottom w:val="single" w:color="auto" w:sz="4" w:space="0"/>
              <w:right w:val="single" w:color="auto" w:sz="4" w:space="0"/>
            </w:tcBorders>
            <w:vAlign w:val="center"/>
          </w:tcPr>
          <w:p w14:paraId="5D5D3393">
            <w:pPr>
              <w:spacing w:line="440" w:lineRule="atLeast"/>
              <w:jc w:val="center"/>
              <w:rPr>
                <w:color w:val="auto"/>
                <w:szCs w:val="21"/>
                <w:highlight w:val="none"/>
              </w:rPr>
            </w:pPr>
            <w:r>
              <w:rPr>
                <w:color w:val="auto"/>
                <w:szCs w:val="21"/>
                <w:highlight w:val="none"/>
              </w:rPr>
              <w:t>履约保证金</w:t>
            </w:r>
          </w:p>
        </w:tc>
        <w:tc>
          <w:tcPr>
            <w:tcW w:w="4889" w:type="dxa"/>
            <w:tcBorders>
              <w:top w:val="single" w:color="auto" w:sz="4" w:space="0"/>
              <w:left w:val="single" w:color="auto" w:sz="4" w:space="0"/>
              <w:bottom w:val="single" w:color="auto" w:sz="4" w:space="0"/>
              <w:right w:val="single" w:color="auto" w:sz="4" w:space="0"/>
            </w:tcBorders>
            <w:vAlign w:val="center"/>
          </w:tcPr>
          <w:p w14:paraId="046F632D">
            <w:pPr>
              <w:pStyle w:val="18"/>
              <w:topLinePunct/>
              <w:spacing w:line="440" w:lineRule="atLeast"/>
              <w:rPr>
                <w:rFonts w:ascii="Times New Roman"/>
                <w:color w:val="auto"/>
                <w:sz w:val="21"/>
                <w:szCs w:val="21"/>
                <w:highlight w:val="none"/>
              </w:rPr>
            </w:pPr>
            <w:r>
              <w:rPr>
                <w:rFonts w:ascii="Times New Roman"/>
                <w:color w:val="auto"/>
                <w:sz w:val="21"/>
                <w:szCs w:val="21"/>
                <w:highlight w:val="none"/>
              </w:rPr>
              <w:t>是否要求中标人提交履约保证金：</w:t>
            </w:r>
          </w:p>
          <w:p w14:paraId="312E020B">
            <w:pPr>
              <w:pStyle w:val="18"/>
              <w:topLinePunct/>
              <w:spacing w:line="440" w:lineRule="atLeast"/>
              <w:rPr>
                <w:rFonts w:ascii="Times New Roman"/>
                <w:color w:val="auto"/>
                <w:sz w:val="21"/>
                <w:szCs w:val="21"/>
                <w:highlight w:val="none"/>
              </w:rPr>
            </w:pPr>
            <w:r>
              <w:rPr>
                <w:rFonts w:hint="eastAsia"/>
                <w:color w:val="auto"/>
                <w:szCs w:val="21"/>
                <w:highlight w:val="none"/>
                <w:lang w:eastAsia="zh-CN"/>
              </w:rPr>
              <w:t>☑</w:t>
            </w:r>
            <w:r>
              <w:rPr>
                <w:rFonts w:ascii="Times New Roman"/>
                <w:color w:val="auto"/>
                <w:sz w:val="21"/>
                <w:szCs w:val="21"/>
                <w:highlight w:val="none"/>
              </w:rPr>
              <w:t>要求，履约保证金的形式：</w:t>
            </w:r>
            <w:r>
              <w:rPr>
                <w:rFonts w:ascii="Times New Roman"/>
                <w:color w:val="auto"/>
                <w:sz w:val="21"/>
                <w:szCs w:val="21"/>
                <w:highlight w:val="none"/>
                <w:u w:val="single"/>
              </w:rPr>
              <w:t>银行保函或现金、支票形式</w:t>
            </w:r>
          </w:p>
          <w:p w14:paraId="64E9FAD9">
            <w:pPr>
              <w:spacing w:line="440" w:lineRule="atLeast"/>
              <w:ind w:firstLine="420" w:firstLineChars="200"/>
              <w:rPr>
                <w:color w:val="auto"/>
                <w:szCs w:val="21"/>
                <w:highlight w:val="none"/>
              </w:rPr>
            </w:pPr>
            <w:r>
              <w:rPr>
                <w:color w:val="auto"/>
                <w:szCs w:val="21"/>
                <w:highlight w:val="none"/>
              </w:rPr>
              <w:t>履约保证金的金额：</w:t>
            </w:r>
            <w:r>
              <w:rPr>
                <w:rFonts w:hint="eastAsia"/>
                <w:color w:val="auto"/>
                <w:szCs w:val="21"/>
                <w:highlight w:val="none"/>
                <w:u w:val="single"/>
                <w:lang w:val="en-US" w:eastAsia="zh-CN"/>
              </w:rPr>
              <w:t>10</w:t>
            </w:r>
            <w:r>
              <w:rPr>
                <w:color w:val="auto"/>
                <w:szCs w:val="21"/>
                <w:highlight w:val="none"/>
              </w:rPr>
              <w:t>％签约合同价</w:t>
            </w:r>
          </w:p>
          <w:p w14:paraId="24A68B86">
            <w:pPr>
              <w:spacing w:line="360" w:lineRule="atLeast"/>
              <w:ind w:firstLine="388" w:firstLineChars="200"/>
              <w:rPr>
                <w:rFonts w:hint="eastAsia" w:ascii="宋体" w:hAnsi="宋体" w:eastAsia="宋体" w:cs="宋体"/>
                <w:color w:val="auto"/>
                <w:szCs w:val="21"/>
                <w:highlight w:val="none"/>
              </w:rPr>
            </w:pPr>
            <w:r>
              <w:rPr>
                <w:color w:val="auto"/>
                <w:spacing w:val="-8"/>
                <w:szCs w:val="21"/>
                <w:highlight w:val="none"/>
              </w:rPr>
              <w:t>采用银行保函时，出具保函的银行级别</w:t>
            </w:r>
            <w:r>
              <w:rPr>
                <w:color w:val="auto"/>
                <w:szCs w:val="21"/>
                <w:highlight w:val="none"/>
              </w:rPr>
              <w:t>：</w:t>
            </w:r>
            <w:r>
              <w:rPr>
                <w:rFonts w:hint="eastAsia" w:ascii="宋体" w:hAnsi="宋体" w:eastAsia="宋体" w:cs="宋体"/>
                <w:color w:val="auto"/>
                <w:kern w:val="2"/>
                <w:sz w:val="21"/>
                <w:szCs w:val="21"/>
                <w:highlight w:val="none"/>
                <w:lang w:val="en-US" w:eastAsia="zh-CN" w:bidi="ar-SA"/>
              </w:rPr>
              <w:t>若采取部分或全部现金形式,投标人应将现金履约担保以银行转账、电汇、网银形式汇至招标人指定账号上，剩余部分采用银行保函或工程保证保险形式。履约保证金由中标人的基本银行账户出具。工程保证保险应由具有工程保证保险承保资格的保险公司开具保函或保单。</w:t>
            </w:r>
          </w:p>
          <w:p w14:paraId="245243CB">
            <w:pPr>
              <w:spacing w:line="440" w:lineRule="atLeast"/>
              <w:rPr>
                <w:color w:val="auto"/>
                <w:szCs w:val="21"/>
                <w:highlight w:val="none"/>
              </w:rPr>
            </w:pPr>
            <w:r>
              <w:rPr>
                <w:color w:val="auto"/>
                <w:szCs w:val="21"/>
                <w:highlight w:val="none"/>
              </w:rPr>
              <w:t>□不要求</w:t>
            </w:r>
          </w:p>
        </w:tc>
      </w:tr>
      <w:tr w14:paraId="381A0307">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22967619">
            <w:pPr>
              <w:spacing w:line="440" w:lineRule="atLeast"/>
              <w:jc w:val="center"/>
              <w:rPr>
                <w:color w:val="auto"/>
                <w:szCs w:val="21"/>
                <w:highlight w:val="none"/>
              </w:rPr>
            </w:pPr>
            <w:r>
              <w:rPr>
                <w:color w:val="auto"/>
                <w:szCs w:val="21"/>
                <w:highlight w:val="none"/>
              </w:rPr>
              <w:br w:type="page"/>
            </w:r>
            <w:r>
              <w:rPr>
                <w:color w:val="auto"/>
                <w:szCs w:val="21"/>
                <w:highlight w:val="none"/>
              </w:rPr>
              <w:t>8.5.1</w:t>
            </w:r>
          </w:p>
        </w:tc>
        <w:tc>
          <w:tcPr>
            <w:tcW w:w="2879" w:type="dxa"/>
            <w:tcBorders>
              <w:top w:val="single" w:color="auto" w:sz="4" w:space="0"/>
              <w:left w:val="single" w:color="auto" w:sz="4" w:space="0"/>
              <w:bottom w:val="single" w:color="auto" w:sz="4" w:space="0"/>
              <w:right w:val="single" w:color="auto" w:sz="4" w:space="0"/>
            </w:tcBorders>
            <w:vAlign w:val="center"/>
          </w:tcPr>
          <w:p w14:paraId="21135D4A">
            <w:pPr>
              <w:spacing w:line="440" w:lineRule="atLeast"/>
              <w:jc w:val="center"/>
              <w:rPr>
                <w:color w:val="auto"/>
                <w:szCs w:val="21"/>
                <w:highlight w:val="none"/>
              </w:rPr>
            </w:pPr>
            <w:r>
              <w:rPr>
                <w:color w:val="auto"/>
                <w:szCs w:val="21"/>
                <w:highlight w:val="none"/>
              </w:rPr>
              <w:t>监督部门</w:t>
            </w:r>
          </w:p>
        </w:tc>
        <w:tc>
          <w:tcPr>
            <w:tcW w:w="4889" w:type="dxa"/>
            <w:tcBorders>
              <w:top w:val="single" w:color="auto" w:sz="4" w:space="0"/>
              <w:left w:val="single" w:color="auto" w:sz="4" w:space="0"/>
              <w:bottom w:val="single" w:color="auto" w:sz="4" w:space="0"/>
              <w:right w:val="single" w:color="auto" w:sz="4" w:space="0"/>
            </w:tcBorders>
            <w:vAlign w:val="center"/>
          </w:tcPr>
          <w:p w14:paraId="41B6901F">
            <w:pPr>
              <w:widowControl/>
              <w:wordWrap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监督部门：湖南省新新张官高速公路建设开发有限公司 </w:t>
            </w:r>
          </w:p>
          <w:p w14:paraId="09C73EEB">
            <w:pPr>
              <w:widowControl/>
              <w:wordWrap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联系人：罗先生 </w:t>
            </w:r>
            <w:r>
              <w:rPr>
                <w:rFonts w:hint="eastAsia" w:ascii="宋体" w:hAnsi="宋体" w:eastAsia="宋体" w:cs="宋体"/>
                <w:color w:val="auto"/>
                <w:szCs w:val="21"/>
                <w:highlight w:val="none"/>
                <w:lang w:eastAsia="zh-CN"/>
              </w:rPr>
              <w:t>（此号码只接受投诉，不接受疑问咨询）</w:t>
            </w:r>
          </w:p>
          <w:p w14:paraId="1DBE0367">
            <w:pPr>
              <w:widowControl w:val="0"/>
              <w:spacing w:line="440" w:lineRule="atLeast"/>
              <w:jc w:val="left"/>
              <w:rPr>
                <w:rFonts w:eastAsia="楷体_GB2312"/>
                <w:color w:val="auto"/>
                <w:szCs w:val="21"/>
                <w:highlight w:val="none"/>
                <w:u w:val="single"/>
              </w:rPr>
            </w:pPr>
            <w:r>
              <w:rPr>
                <w:rFonts w:hint="eastAsia" w:ascii="宋体" w:hAnsi="宋体" w:eastAsia="宋体" w:cs="宋体"/>
                <w:color w:val="auto"/>
                <w:szCs w:val="21"/>
                <w:highlight w:val="none"/>
              </w:rPr>
              <w:t>联系电话：0731-89757289</w:t>
            </w:r>
          </w:p>
        </w:tc>
      </w:tr>
      <w:tr w14:paraId="5C78EFCC">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6A414DDE">
            <w:pPr>
              <w:spacing w:line="440" w:lineRule="atLeast"/>
              <w:jc w:val="center"/>
              <w:rPr>
                <w:color w:val="auto"/>
                <w:szCs w:val="21"/>
                <w:highlight w:val="none"/>
              </w:rPr>
            </w:pPr>
            <w:r>
              <w:rPr>
                <w:color w:val="auto"/>
                <w:szCs w:val="21"/>
                <w:highlight w:val="none"/>
              </w:rPr>
              <w:t>9</w:t>
            </w:r>
          </w:p>
        </w:tc>
        <w:tc>
          <w:tcPr>
            <w:tcW w:w="2879" w:type="dxa"/>
            <w:tcBorders>
              <w:top w:val="single" w:color="auto" w:sz="4" w:space="0"/>
              <w:left w:val="single" w:color="auto" w:sz="4" w:space="0"/>
              <w:bottom w:val="single" w:color="auto" w:sz="4" w:space="0"/>
              <w:right w:val="single" w:color="auto" w:sz="4" w:space="0"/>
            </w:tcBorders>
            <w:vAlign w:val="center"/>
          </w:tcPr>
          <w:p w14:paraId="456609D5">
            <w:pPr>
              <w:spacing w:line="440" w:lineRule="atLeast"/>
              <w:jc w:val="center"/>
              <w:rPr>
                <w:color w:val="auto"/>
                <w:szCs w:val="21"/>
                <w:highlight w:val="none"/>
              </w:rPr>
            </w:pPr>
            <w:r>
              <w:rPr>
                <w:color w:val="auto"/>
                <w:szCs w:val="21"/>
                <w:highlight w:val="none"/>
              </w:rPr>
              <w:t>是否采用电子招标投标</w:t>
            </w:r>
          </w:p>
        </w:tc>
        <w:tc>
          <w:tcPr>
            <w:tcW w:w="4889" w:type="dxa"/>
            <w:tcBorders>
              <w:top w:val="single" w:color="auto" w:sz="4" w:space="0"/>
              <w:left w:val="single" w:color="auto" w:sz="4" w:space="0"/>
              <w:bottom w:val="single" w:color="auto" w:sz="4" w:space="0"/>
              <w:right w:val="single" w:color="auto" w:sz="4" w:space="0"/>
            </w:tcBorders>
            <w:vAlign w:val="center"/>
          </w:tcPr>
          <w:p w14:paraId="237BA2BC">
            <w:pPr>
              <w:spacing w:line="440" w:lineRule="atLeast"/>
              <w:rPr>
                <w:color w:val="auto"/>
                <w:szCs w:val="21"/>
                <w:highlight w:val="none"/>
              </w:rPr>
            </w:pPr>
            <w:r>
              <w:rPr>
                <w:rFonts w:hint="eastAsia"/>
                <w:color w:val="auto"/>
                <w:szCs w:val="21"/>
                <w:highlight w:val="none"/>
              </w:rPr>
              <w:t>是</w:t>
            </w:r>
          </w:p>
        </w:tc>
      </w:tr>
      <w:tr w14:paraId="180EB909">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200476C2">
            <w:pPr>
              <w:widowControl w:val="0"/>
              <w:spacing w:line="440" w:lineRule="atLeast"/>
              <w:jc w:val="center"/>
              <w:rPr>
                <w:color w:val="auto"/>
                <w:szCs w:val="21"/>
                <w:highlight w:val="none"/>
              </w:rPr>
            </w:pPr>
            <w:r>
              <w:rPr>
                <w:rFonts w:hint="eastAsia" w:ascii="宋体" w:hAnsi="宋体" w:eastAsia="宋体" w:cs="宋体"/>
                <w:color w:val="auto"/>
                <w:kern w:val="2"/>
                <w:sz w:val="21"/>
                <w:szCs w:val="21"/>
                <w:highlight w:val="none"/>
                <w:lang w:val="en-US" w:eastAsia="zh-CN" w:bidi="ar-SA"/>
              </w:rPr>
              <w:t>9.4</w:t>
            </w:r>
          </w:p>
        </w:tc>
        <w:tc>
          <w:tcPr>
            <w:tcW w:w="2879" w:type="dxa"/>
            <w:tcBorders>
              <w:top w:val="single" w:color="auto" w:sz="4" w:space="0"/>
              <w:left w:val="single" w:color="auto" w:sz="4" w:space="0"/>
              <w:bottom w:val="single" w:color="auto" w:sz="4" w:space="0"/>
              <w:right w:val="single" w:color="auto" w:sz="4" w:space="0"/>
            </w:tcBorders>
            <w:vAlign w:val="center"/>
          </w:tcPr>
          <w:p w14:paraId="7F838274">
            <w:pPr>
              <w:widowControl w:val="0"/>
              <w:spacing w:line="440" w:lineRule="atLeast"/>
              <w:jc w:val="center"/>
              <w:rPr>
                <w:color w:val="auto"/>
                <w:szCs w:val="21"/>
                <w:highlight w:val="none"/>
              </w:rPr>
            </w:pPr>
            <w:r>
              <w:rPr>
                <w:rFonts w:hint="eastAsia" w:ascii="宋体" w:hAnsi="宋体" w:eastAsia="宋体" w:cs="宋体"/>
                <w:color w:val="auto"/>
                <w:kern w:val="2"/>
                <w:sz w:val="21"/>
                <w:szCs w:val="21"/>
                <w:highlight w:val="none"/>
                <w:lang w:val="en-US" w:eastAsia="zh-CN" w:bidi="ar-SA"/>
              </w:rPr>
              <w:t>招标代理服务费</w:t>
            </w:r>
          </w:p>
        </w:tc>
        <w:tc>
          <w:tcPr>
            <w:tcW w:w="4889" w:type="dxa"/>
            <w:tcBorders>
              <w:top w:val="single" w:color="auto" w:sz="4" w:space="0"/>
              <w:left w:val="single" w:color="auto" w:sz="4" w:space="0"/>
              <w:bottom w:val="single" w:color="auto" w:sz="4" w:space="0"/>
              <w:right w:val="single" w:color="auto" w:sz="4" w:space="0"/>
            </w:tcBorders>
            <w:vAlign w:val="center"/>
          </w:tcPr>
          <w:p w14:paraId="627E76A5">
            <w:pPr>
              <w:widowControl w:val="0"/>
              <w:spacing w:line="440" w:lineRule="atLeast"/>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□由招标人支付</w:t>
            </w:r>
          </w:p>
          <w:p w14:paraId="7E89F512">
            <w:pPr>
              <w:widowControl w:val="0"/>
              <w:spacing w:line="440" w:lineRule="atLeast"/>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☑由中标人支付</w:t>
            </w:r>
          </w:p>
          <w:p w14:paraId="65061AF1">
            <w:pPr>
              <w:widowControl w:val="0"/>
              <w:spacing w:line="4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招标代理费由中标人支付时，中标人在领取中标通知书前向招标代理机构直接支付。招标代理服务费具体金额或计算办法为：</w:t>
            </w:r>
            <w:r>
              <w:rPr>
                <w:rFonts w:hint="eastAsia" w:ascii="宋体" w:hAnsi="宋体" w:cs="宋体"/>
                <w:color w:val="auto"/>
                <w:kern w:val="2"/>
                <w:sz w:val="21"/>
                <w:szCs w:val="21"/>
                <w:highlight w:val="none"/>
                <w:u w:val="single"/>
                <w:lang w:val="en-US" w:eastAsia="zh-CN" w:bidi="ar-SA"/>
              </w:rPr>
              <w:t xml:space="preserve"> 18700元 </w:t>
            </w:r>
            <w:r>
              <w:rPr>
                <w:rFonts w:hint="eastAsia" w:ascii="宋体" w:hAnsi="宋体" w:eastAsia="宋体" w:cs="宋体"/>
                <w:color w:val="auto"/>
                <w:kern w:val="2"/>
                <w:sz w:val="21"/>
                <w:szCs w:val="21"/>
                <w:highlight w:val="none"/>
                <w:lang w:val="en-US" w:eastAsia="zh-CN" w:bidi="ar-SA"/>
              </w:rPr>
              <w:t>。招标代理服务费包含在其投标总报价中，不单独计列。</w:t>
            </w:r>
          </w:p>
          <w:p w14:paraId="15FEAB53">
            <w:pPr>
              <w:widowControl w:val="0"/>
              <w:spacing w:line="4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招标代理机构的开户银行及账号如下：                                  </w:t>
            </w:r>
          </w:p>
          <w:p w14:paraId="4092D530">
            <w:pPr>
              <w:widowControl w:val="0"/>
              <w:spacing w:line="4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账户名称：中科高盛咨询集团有限公司                                  </w:t>
            </w:r>
          </w:p>
          <w:p w14:paraId="299B3764">
            <w:pPr>
              <w:widowControl w:val="0"/>
              <w:spacing w:line="4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开户银行：长沙银行信诚支行（行号3135 5109 8011）                                  </w:t>
            </w:r>
          </w:p>
          <w:p w14:paraId="789747C5">
            <w:pPr>
              <w:widowControl w:val="0"/>
              <w:spacing w:line="4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账    号：8001 8938 3908 027                                  </w:t>
            </w:r>
          </w:p>
          <w:p w14:paraId="0E3970B6">
            <w:pPr>
              <w:widowControl w:val="0"/>
              <w:spacing w:line="4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    话：0731-84486</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 xml:space="preserve">33                                  </w:t>
            </w:r>
          </w:p>
          <w:p w14:paraId="15005D58">
            <w:pPr>
              <w:widowControl w:val="0"/>
              <w:spacing w:line="4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联系人：王女士</w:t>
            </w:r>
          </w:p>
        </w:tc>
      </w:tr>
      <w:tr w14:paraId="49C2238F">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26263143">
            <w:pPr>
              <w:widowControl w:val="0"/>
              <w:spacing w:line="440" w:lineRule="atLeast"/>
              <w:jc w:val="center"/>
              <w:rPr>
                <w:color w:val="auto"/>
                <w:szCs w:val="21"/>
                <w:highlight w:val="none"/>
              </w:rPr>
            </w:pPr>
            <w:r>
              <w:rPr>
                <w:rFonts w:hint="eastAsia" w:ascii="宋体" w:hAnsi="宋体" w:eastAsia="宋体" w:cs="宋体"/>
                <w:color w:val="auto"/>
                <w:kern w:val="2"/>
                <w:sz w:val="21"/>
                <w:szCs w:val="21"/>
                <w:highlight w:val="none"/>
                <w:lang w:val="en-US" w:eastAsia="zh-CN" w:bidi="ar-SA"/>
              </w:rPr>
              <w:t>9.5</w:t>
            </w:r>
          </w:p>
        </w:tc>
        <w:tc>
          <w:tcPr>
            <w:tcW w:w="2879" w:type="dxa"/>
            <w:tcBorders>
              <w:top w:val="single" w:color="auto" w:sz="4" w:space="0"/>
              <w:left w:val="single" w:color="auto" w:sz="4" w:space="0"/>
              <w:bottom w:val="single" w:color="auto" w:sz="4" w:space="0"/>
              <w:right w:val="single" w:color="auto" w:sz="4" w:space="0"/>
            </w:tcBorders>
            <w:vAlign w:val="center"/>
          </w:tcPr>
          <w:p w14:paraId="288EECE1">
            <w:pPr>
              <w:widowControl w:val="0"/>
              <w:spacing w:line="440" w:lineRule="atLeast"/>
              <w:jc w:val="center"/>
              <w:rPr>
                <w:color w:val="auto"/>
                <w:szCs w:val="21"/>
                <w:highlight w:val="none"/>
              </w:rPr>
            </w:pPr>
            <w:r>
              <w:rPr>
                <w:rFonts w:hint="eastAsia" w:ascii="宋体" w:hAnsi="宋体" w:eastAsia="宋体" w:cs="宋体"/>
                <w:color w:val="auto"/>
                <w:kern w:val="2"/>
                <w:sz w:val="21"/>
                <w:szCs w:val="21"/>
                <w:highlight w:val="none"/>
                <w:lang w:val="en-US" w:eastAsia="zh-CN" w:bidi="ar-SA"/>
              </w:rPr>
              <w:t>招标人是否协助评标委员会评审</w:t>
            </w:r>
          </w:p>
        </w:tc>
        <w:tc>
          <w:tcPr>
            <w:tcW w:w="4889" w:type="dxa"/>
            <w:tcBorders>
              <w:top w:val="single" w:color="auto" w:sz="4" w:space="0"/>
              <w:left w:val="single" w:color="auto" w:sz="4" w:space="0"/>
              <w:bottom w:val="single" w:color="auto" w:sz="4" w:space="0"/>
              <w:right w:val="single" w:color="auto" w:sz="4" w:space="0"/>
            </w:tcBorders>
            <w:vAlign w:val="center"/>
          </w:tcPr>
          <w:p w14:paraId="66F6A77D">
            <w:pPr>
              <w:widowControl w:val="0"/>
              <w:spacing w:line="440" w:lineRule="atLeast"/>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☑否</w:t>
            </w:r>
          </w:p>
          <w:p w14:paraId="3882B619">
            <w:pPr>
              <w:widowControl w:val="0"/>
              <w:spacing w:line="440" w:lineRule="atLeast"/>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w:t>
            </w:r>
          </w:p>
          <w:p w14:paraId="28CEEE56">
            <w:pPr>
              <w:widowControl w:val="0"/>
              <w:spacing w:line="440" w:lineRule="atLeast"/>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招标人协助评标委员会进行评审工作以招标文件规定的评审标准和方法为依据，主要内容包括：</w:t>
            </w:r>
          </w:p>
          <w:p w14:paraId="2F4957AB">
            <w:pPr>
              <w:widowControl w:val="0"/>
              <w:spacing w:line="440" w:lineRule="atLeast"/>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（1）对投标报价进行算术性校核；</w:t>
            </w:r>
          </w:p>
          <w:p w14:paraId="4B3C68B6">
            <w:pPr>
              <w:widowControl w:val="0"/>
              <w:spacing w:line="440" w:lineRule="atLeast"/>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（2）列出投标文件相对于招标文件的所有偏差，并进行归类汇总；</w:t>
            </w:r>
          </w:p>
          <w:p w14:paraId="6DF9DD03">
            <w:pPr>
              <w:widowControl w:val="0"/>
              <w:spacing w:line="440" w:lineRule="atLeast"/>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（3）查询相关网站，对投标人的资质、业绩和主要人员资历进行核实；</w:t>
            </w:r>
          </w:p>
          <w:p w14:paraId="6783ACA4">
            <w:pPr>
              <w:widowControl w:val="0"/>
              <w:spacing w:line="440"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（4）通过相关网站对各类资格证书等证件进行查询核实；</w:t>
            </w:r>
          </w:p>
          <w:p w14:paraId="0E7C9A0E">
            <w:pPr>
              <w:widowControl w:val="0"/>
              <w:spacing w:line="440" w:lineRule="atLeast"/>
              <w:jc w:val="both"/>
              <w:rPr>
                <w:rFonts w:hint="eastAsia"/>
                <w:color w:val="auto"/>
                <w:szCs w:val="21"/>
                <w:highlight w:val="none"/>
              </w:rPr>
            </w:pPr>
            <w:r>
              <w:rPr>
                <w:rFonts w:hint="eastAsia" w:ascii="宋体" w:hAnsi="宋体" w:eastAsia="宋体" w:cs="宋体"/>
                <w:color w:val="auto"/>
                <w:kern w:val="2"/>
                <w:sz w:val="21"/>
                <w:szCs w:val="21"/>
                <w:highlight w:val="none"/>
                <w:lang w:val="en-US" w:eastAsia="zh-CN" w:bidi="ar-SA"/>
              </w:rPr>
              <w:t>（5）对评审过程资料进行整理。</w:t>
            </w:r>
          </w:p>
        </w:tc>
      </w:tr>
      <w:tr w14:paraId="080BE6E5">
        <w:tblPrEx>
          <w:tblCellMar>
            <w:top w:w="0" w:type="dxa"/>
            <w:left w:w="108" w:type="dxa"/>
            <w:bottom w:w="0" w:type="dxa"/>
            <w:right w:w="108" w:type="dxa"/>
          </w:tblCellMar>
        </w:tblPrEx>
        <w:tc>
          <w:tcPr>
            <w:tcW w:w="8777" w:type="dxa"/>
            <w:gridSpan w:val="3"/>
            <w:tcBorders>
              <w:top w:val="single" w:color="auto" w:sz="4" w:space="0"/>
              <w:left w:val="single" w:color="auto" w:sz="4" w:space="0"/>
              <w:bottom w:val="single" w:color="auto" w:sz="4" w:space="0"/>
              <w:right w:val="single" w:color="auto" w:sz="4" w:space="0"/>
            </w:tcBorders>
            <w:vAlign w:val="center"/>
          </w:tcPr>
          <w:p w14:paraId="1E63C41B">
            <w:pPr>
              <w:spacing w:line="440" w:lineRule="atLeast"/>
              <w:rPr>
                <w:rFonts w:eastAsia="黑体"/>
                <w:color w:val="auto"/>
                <w:szCs w:val="21"/>
                <w:highlight w:val="none"/>
              </w:rPr>
            </w:pPr>
            <w:r>
              <w:rPr>
                <w:rFonts w:eastAsia="黑体"/>
                <w:color w:val="auto"/>
                <w:szCs w:val="21"/>
                <w:highlight w:val="none"/>
              </w:rPr>
              <w:t>需要补充的其他内容</w:t>
            </w:r>
          </w:p>
        </w:tc>
      </w:tr>
      <w:tr w14:paraId="2809EBDA">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vAlign w:val="center"/>
          </w:tcPr>
          <w:p w14:paraId="74851A66">
            <w:pPr>
              <w:spacing w:line="440" w:lineRule="atLeast"/>
              <w:jc w:val="center"/>
              <w:rPr>
                <w:color w:val="auto"/>
                <w:szCs w:val="21"/>
                <w:highlight w:val="none"/>
              </w:rPr>
            </w:pPr>
            <w:r>
              <w:rPr>
                <w:rFonts w:eastAsia="黑体"/>
                <w:color w:val="auto"/>
                <w:szCs w:val="21"/>
                <w:highlight w:val="none"/>
              </w:rPr>
              <w:t>10</w:t>
            </w:r>
          </w:p>
        </w:tc>
        <w:tc>
          <w:tcPr>
            <w:tcW w:w="7768" w:type="dxa"/>
            <w:gridSpan w:val="2"/>
            <w:tcBorders>
              <w:top w:val="single" w:color="auto" w:sz="4" w:space="0"/>
              <w:left w:val="single" w:color="auto" w:sz="4" w:space="0"/>
              <w:bottom w:val="single" w:color="auto" w:sz="4" w:space="0"/>
              <w:right w:val="single" w:color="auto" w:sz="4" w:space="0"/>
            </w:tcBorders>
            <w:vAlign w:val="center"/>
          </w:tcPr>
          <w:p w14:paraId="34F4ED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auto"/>
                <w:kern w:val="2"/>
                <w:sz w:val="21"/>
                <w:szCs w:val="21"/>
                <w:highlight w:val="none"/>
                <w:lang w:val="en-US" w:eastAsia="zh-CN" w:bidi="ar-SA"/>
              </w:rPr>
            </w:pPr>
            <w:bookmarkStart w:id="66" w:name="EB8f0461e418f1409e96dd4522dace208f"/>
            <w:r>
              <w:rPr>
                <w:rFonts w:hint="eastAsia" w:ascii="宋体" w:hAnsi="宋体" w:eastAsia="宋体" w:cs="宋体"/>
                <w:color w:val="auto"/>
                <w:kern w:val="2"/>
                <w:sz w:val="21"/>
                <w:szCs w:val="21"/>
                <w:highlight w:val="none"/>
                <w:lang w:val="en-US" w:eastAsia="zh-CN" w:bidi="ar-SA"/>
              </w:rPr>
              <w:t>3.5.2 第二段修改为：</w:t>
            </w:r>
          </w:p>
          <w:p w14:paraId="4040FF9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如投标人提供的合同协议书无法证实投标人满足招标文件规定的资格审查条件（业绩最低要求），还须提供服务成果证明文件关键页或委托人出具的证明材料等（证明材料应附联系人姓名及联系方式），否则将视为无效业绩。业绩计算以合同</w:t>
            </w:r>
            <w:r>
              <w:rPr>
                <w:rFonts w:hint="eastAsia" w:ascii="宋体" w:hAnsi="宋体" w:cs="宋体"/>
                <w:color w:val="auto"/>
                <w:kern w:val="2"/>
                <w:sz w:val="21"/>
                <w:szCs w:val="21"/>
                <w:highlight w:val="none"/>
                <w:lang w:val="en-US" w:eastAsia="zh-CN" w:bidi="ar-SA"/>
              </w:rPr>
              <w:t>完工</w:t>
            </w:r>
            <w:r>
              <w:rPr>
                <w:rFonts w:hint="eastAsia" w:ascii="宋体" w:hAnsi="宋体" w:eastAsia="宋体" w:cs="宋体"/>
                <w:color w:val="auto"/>
                <w:kern w:val="2"/>
                <w:sz w:val="21"/>
                <w:szCs w:val="21"/>
                <w:highlight w:val="none"/>
                <w:lang w:val="en-US" w:eastAsia="zh-CN" w:bidi="ar-SA"/>
              </w:rPr>
              <w:t>日期为准。</w:t>
            </w:r>
          </w:p>
          <w:p w14:paraId="6F73134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p>
          <w:p w14:paraId="57FFF3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7.1款修改为：</w:t>
            </w:r>
          </w:p>
          <w:p w14:paraId="6CB739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招标人在收到评审报告之日起 3 日内，按照投标人须知前附表规定的公示媒介和期限公示中标候选人，公示期不得少于 3 日，公示内容包括:(1)中标候选人排序、名称、投标报价；</w:t>
            </w:r>
          </w:p>
          <w:p w14:paraId="724567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(2)被否决投标的投标人名称、否决依据和原因；</w:t>
            </w:r>
          </w:p>
          <w:p w14:paraId="729CAE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(3)提出异议的渠道和方式；</w:t>
            </w:r>
          </w:p>
          <w:p w14:paraId="2113B0F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(4) 投标人须知前附表规定公示的其他内容。</w:t>
            </w:r>
          </w:p>
          <w:p w14:paraId="489AE3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增加9.5款内容：</w:t>
            </w:r>
          </w:p>
          <w:p w14:paraId="2BF47B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招标人可对中标人的相关证明材料原件进行核验或组织现场考察，以确认中标人的生产经营等实际状况与招标文件是否一致，以及是否存在其他可能影响中标人履约能力的情况。核查结果将作为招标人选择确定中标人资格的依据之一。</w:t>
            </w:r>
          </w:p>
          <w:p w14:paraId="50A9259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color w:val="auto"/>
                <w:szCs w:val="21"/>
                <w:highlight w:val="none"/>
              </w:rPr>
            </w:pPr>
            <w:r>
              <w:rPr>
                <w:rFonts w:hint="eastAsia" w:ascii="宋体" w:hAnsi="宋体" w:eastAsia="宋体" w:cs="宋体"/>
                <w:color w:val="auto"/>
                <w:kern w:val="2"/>
                <w:sz w:val="21"/>
                <w:szCs w:val="21"/>
                <w:highlight w:val="none"/>
                <w:lang w:val="en-US" w:eastAsia="zh-CN" w:bidi="ar-SA"/>
              </w:rPr>
              <w:t>（2）招标人有对招标文件进行核实和要求投标人进行澄清的权力，若招标人在资格审查时或必要的调查过程中发现投标人有弄虚作假行为，将取消其投标资格，并将其作为不良记录纳入合作方黑名单。</w:t>
            </w:r>
            <w:bookmarkEnd w:id="66"/>
          </w:p>
        </w:tc>
      </w:tr>
    </w:tbl>
    <w:p w14:paraId="19F736D7">
      <w:pPr>
        <w:spacing w:line="440" w:lineRule="atLeast"/>
        <w:jc w:val="center"/>
        <w:rPr>
          <w:rFonts w:eastAsia="黑体"/>
          <w:b/>
          <w:color w:val="auto"/>
          <w:sz w:val="18"/>
          <w:szCs w:val="18"/>
          <w:highlight w:val="none"/>
        </w:rPr>
      </w:pPr>
      <w:r>
        <w:rPr>
          <w:rStyle w:val="89"/>
          <w:rFonts w:ascii="Times New Roman" w:hAnsi="Times New Roman" w:eastAsia="黑体"/>
          <w:color w:val="auto"/>
          <w:sz w:val="42"/>
          <w:szCs w:val="42"/>
          <w:highlight w:val="none"/>
        </w:rPr>
        <w:br w:type="page"/>
      </w:r>
      <w:bookmarkEnd w:id="45"/>
    </w:p>
    <w:p w14:paraId="5E3F35BC">
      <w:pPr>
        <w:pStyle w:val="2"/>
        <w:spacing w:before="240" w:after="240" w:line="440" w:lineRule="atLeast"/>
        <w:jc w:val="center"/>
        <w:rPr>
          <w:color w:val="auto"/>
          <w:highlight w:val="none"/>
        </w:rPr>
      </w:pPr>
      <w:bookmarkStart w:id="67" w:name="_Toc510015669"/>
      <w:bookmarkStart w:id="68" w:name="_Toc234832863"/>
      <w:r>
        <w:rPr>
          <w:rFonts w:eastAsia="黑体"/>
          <w:color w:val="auto"/>
          <w:sz w:val="28"/>
          <w:szCs w:val="28"/>
          <w:highlight w:val="none"/>
        </w:rPr>
        <w:t>附录1  资格审查条件（资质最低要求）</w:t>
      </w:r>
      <w:bookmarkEnd w:id="67"/>
      <w:bookmarkEnd w:id="68"/>
    </w:p>
    <w:tbl>
      <w:tblPr>
        <w:tblStyle w:val="55"/>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17E2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vAlign w:val="center"/>
          </w:tcPr>
          <w:p w14:paraId="2F81420C">
            <w:pPr>
              <w:adjustRightInd w:val="0"/>
              <w:snapToGrid w:val="0"/>
              <w:spacing w:line="440" w:lineRule="atLeast"/>
              <w:jc w:val="center"/>
              <w:rPr>
                <w:color w:val="auto"/>
                <w:szCs w:val="21"/>
                <w:highlight w:val="none"/>
              </w:rPr>
            </w:pPr>
            <w:r>
              <w:rPr>
                <w:color w:val="auto"/>
                <w:szCs w:val="21"/>
                <w:highlight w:val="none"/>
              </w:rPr>
              <w:t>咨询企业资质等级要求</w:t>
            </w:r>
          </w:p>
        </w:tc>
      </w:tr>
      <w:tr w14:paraId="04E9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3" w:hRule="atLeast"/>
          <w:jc w:val="center"/>
        </w:trPr>
        <w:tc>
          <w:tcPr>
            <w:tcW w:w="8819" w:type="dxa"/>
            <w:vAlign w:val="center"/>
          </w:tcPr>
          <w:p w14:paraId="7DBCA182">
            <w:pPr>
              <w:widowControl/>
              <w:jc w:val="left"/>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应同时满足：</w:t>
            </w:r>
          </w:p>
          <w:p w14:paraId="4A30312E">
            <w:pPr>
              <w:pStyle w:val="658"/>
              <w:spacing w:line="440" w:lineRule="exact"/>
              <w:ind w:firstLine="420" w:firstLineChars="200"/>
              <w:rPr>
                <w:rStyle w:val="57"/>
                <w:rFonts w:hint="eastAsia" w:ascii="宋体" w:hAnsi="宋体" w:eastAsia="宋体" w:cs="宋体"/>
                <w:color w:val="auto"/>
                <w:sz w:val="21"/>
                <w:szCs w:val="21"/>
                <w:highlight w:val="none"/>
              </w:rPr>
            </w:pPr>
            <w:r>
              <w:rPr>
                <w:rStyle w:val="57"/>
                <w:rFonts w:hint="eastAsia" w:ascii="宋体" w:hAnsi="宋体" w:eastAsia="宋体" w:cs="宋体"/>
                <w:color w:val="auto"/>
                <w:sz w:val="21"/>
                <w:szCs w:val="21"/>
                <w:highlight w:val="none"/>
                <w:lang w:eastAsia="zh-CN"/>
              </w:rPr>
              <w:t>（</w:t>
            </w:r>
            <w:r>
              <w:rPr>
                <w:rStyle w:val="57"/>
                <w:rFonts w:hint="eastAsia" w:ascii="宋体" w:hAnsi="宋体" w:eastAsia="宋体" w:cs="宋体"/>
                <w:color w:val="auto"/>
                <w:sz w:val="21"/>
                <w:szCs w:val="21"/>
                <w:highlight w:val="none"/>
                <w:lang w:val="en-US" w:eastAsia="zh-CN"/>
              </w:rPr>
              <w:t>1</w:t>
            </w:r>
            <w:r>
              <w:rPr>
                <w:rStyle w:val="57"/>
                <w:rFonts w:hint="eastAsia" w:ascii="宋体" w:hAnsi="宋体" w:eastAsia="宋体" w:cs="宋体"/>
                <w:color w:val="auto"/>
                <w:sz w:val="21"/>
                <w:szCs w:val="21"/>
                <w:highlight w:val="none"/>
                <w:lang w:eastAsia="zh-CN"/>
              </w:rPr>
              <w:t>）</w:t>
            </w:r>
            <w:r>
              <w:rPr>
                <w:rStyle w:val="57"/>
                <w:rFonts w:hint="eastAsia" w:ascii="宋体" w:hAnsi="宋体" w:eastAsia="宋体" w:cs="宋体"/>
                <w:color w:val="auto"/>
                <w:sz w:val="21"/>
                <w:szCs w:val="21"/>
                <w:highlight w:val="none"/>
                <w:lang w:val="en-US" w:eastAsia="zh-CN"/>
              </w:rPr>
              <w:t>具备</w:t>
            </w:r>
            <w:r>
              <w:rPr>
                <w:rStyle w:val="57"/>
                <w:rFonts w:hint="eastAsia" w:ascii="宋体" w:hAnsi="宋体" w:eastAsia="宋体" w:cs="宋体"/>
                <w:color w:val="auto"/>
                <w:sz w:val="21"/>
                <w:szCs w:val="21"/>
                <w:highlight w:val="none"/>
              </w:rPr>
              <w:t>独立法人资格，持有工商行政管理部门核发的有效的营业执照（或事业单位法人证书,或社会团体法人登记证书）（投标人为企业的，还应具备组织机构代码证，按照“三证合一”或“五证合一”登记制度进行登记的，可仅提供营业执照副本；投标人为依法允许经营的事业单位的，应具有事业单位法人证书和组织机构代码证，下同）；</w:t>
            </w:r>
          </w:p>
          <w:p w14:paraId="6F5B269E">
            <w:pPr>
              <w:pStyle w:val="658"/>
              <w:numPr>
                <w:ilvl w:val="0"/>
                <w:numId w:val="0"/>
              </w:numPr>
              <w:spacing w:line="440" w:lineRule="exact"/>
              <w:ind w:firstLine="420" w:firstLineChars="200"/>
              <w:rPr>
                <w:rStyle w:val="57"/>
                <w:rFonts w:hint="eastAsia" w:ascii="宋体" w:hAnsi="宋体" w:eastAsia="宋体" w:cs="宋体"/>
                <w:color w:val="auto"/>
                <w:sz w:val="21"/>
                <w:szCs w:val="21"/>
                <w:highlight w:val="none"/>
              </w:rPr>
            </w:pPr>
            <w:r>
              <w:rPr>
                <w:rStyle w:val="57"/>
                <w:rFonts w:hint="eastAsia" w:ascii="宋体" w:hAnsi="宋体" w:eastAsia="宋体" w:cs="宋体"/>
                <w:color w:val="auto"/>
                <w:sz w:val="21"/>
                <w:szCs w:val="21"/>
                <w:highlight w:val="none"/>
                <w:lang w:eastAsia="zh-CN"/>
              </w:rPr>
              <w:t>（</w:t>
            </w:r>
            <w:r>
              <w:rPr>
                <w:rStyle w:val="57"/>
                <w:rFonts w:hint="eastAsia" w:ascii="宋体" w:hAnsi="宋体" w:eastAsia="宋体" w:cs="宋体"/>
                <w:color w:val="auto"/>
                <w:sz w:val="21"/>
                <w:szCs w:val="21"/>
                <w:highlight w:val="none"/>
                <w:lang w:val="en-US" w:eastAsia="zh-CN"/>
              </w:rPr>
              <w:t>2</w:t>
            </w:r>
            <w:r>
              <w:rPr>
                <w:rStyle w:val="57"/>
                <w:rFonts w:hint="eastAsia" w:ascii="宋体" w:hAnsi="宋体" w:eastAsia="宋体" w:cs="宋体"/>
                <w:color w:val="auto"/>
                <w:sz w:val="21"/>
                <w:szCs w:val="21"/>
                <w:highlight w:val="none"/>
                <w:lang w:eastAsia="zh-CN"/>
              </w:rPr>
              <w:t>）</w:t>
            </w:r>
            <w:r>
              <w:rPr>
                <w:rFonts w:hint="eastAsia" w:ascii="宋体" w:hAnsi="宋体" w:eastAsia="宋体" w:cs="宋体"/>
                <w:color w:val="auto"/>
                <w:kern w:val="0"/>
                <w:position w:val="0"/>
                <w:sz w:val="21"/>
                <w:szCs w:val="21"/>
                <w:highlight w:val="none"/>
              </w:rPr>
              <w:t>具有交通运输主管部门认定的《公路水运工程试验检测机构等级证书》公路工程综合甲级资质</w:t>
            </w:r>
            <w:r>
              <w:rPr>
                <w:rFonts w:hint="eastAsia" w:ascii="宋体" w:hAnsi="宋体" w:eastAsia="宋体" w:cs="宋体"/>
                <w:color w:val="auto"/>
                <w:kern w:val="0"/>
                <w:position w:val="0"/>
                <w:sz w:val="21"/>
                <w:szCs w:val="21"/>
                <w:highlight w:val="none"/>
                <w:lang w:eastAsia="zh-CN"/>
              </w:rPr>
              <w:t>或</w:t>
            </w:r>
            <w:r>
              <w:rPr>
                <w:rFonts w:hint="eastAsia" w:ascii="宋体" w:hAnsi="宋体" w:eastAsia="宋体" w:cs="宋体"/>
                <w:color w:val="auto"/>
                <w:kern w:val="0"/>
                <w:position w:val="0"/>
                <w:sz w:val="21"/>
                <w:szCs w:val="21"/>
                <w:highlight w:val="none"/>
              </w:rPr>
              <w:t>交通运输主管部门认定的《公路水运工程试验检测机构等级证书》公路工程桥梁隧道工程专项资质，且授予检测项目及参数中包含</w:t>
            </w:r>
            <w:r>
              <w:rPr>
                <w:rFonts w:hint="eastAsia" w:ascii="宋体" w:hAnsi="宋体" w:eastAsia="宋体" w:cs="宋体"/>
                <w:color w:val="auto"/>
                <w:kern w:val="0"/>
                <w:position w:val="0"/>
                <w:sz w:val="21"/>
                <w:szCs w:val="21"/>
                <w:highlight w:val="none"/>
                <w:lang w:val="en-US" w:eastAsia="zh-CN"/>
              </w:rPr>
              <w:t>相关</w:t>
            </w:r>
            <w:r>
              <w:rPr>
                <w:rFonts w:hint="eastAsia" w:ascii="宋体" w:hAnsi="宋体" w:eastAsia="宋体" w:cs="宋体"/>
                <w:color w:val="auto"/>
                <w:kern w:val="0"/>
                <w:position w:val="0"/>
                <w:sz w:val="21"/>
                <w:szCs w:val="21"/>
                <w:highlight w:val="none"/>
              </w:rPr>
              <w:t>检测</w:t>
            </w:r>
            <w:r>
              <w:rPr>
                <w:rFonts w:hint="eastAsia" w:ascii="宋体" w:hAnsi="宋体" w:eastAsia="宋体" w:cs="宋体"/>
                <w:color w:val="auto"/>
                <w:kern w:val="0"/>
                <w:position w:val="0"/>
                <w:sz w:val="21"/>
                <w:szCs w:val="21"/>
                <w:highlight w:val="none"/>
                <w:lang w:val="en-US" w:eastAsia="zh-CN"/>
              </w:rPr>
              <w:t>项目及相关参数</w:t>
            </w:r>
            <w:r>
              <w:rPr>
                <w:rStyle w:val="57"/>
                <w:rFonts w:hint="eastAsia" w:ascii="宋体" w:hAnsi="宋体" w:eastAsia="宋体" w:cs="宋体"/>
                <w:color w:val="auto"/>
                <w:sz w:val="21"/>
                <w:szCs w:val="21"/>
                <w:highlight w:val="none"/>
              </w:rPr>
              <w:t xml:space="preserve">； </w:t>
            </w:r>
          </w:p>
          <w:p w14:paraId="4189BA36">
            <w:pPr>
              <w:adjustRightInd w:val="0"/>
              <w:snapToGrid w:val="0"/>
              <w:spacing w:line="440" w:lineRule="atLeast"/>
              <w:jc w:val="both"/>
              <w:rPr>
                <w:rStyle w:val="57"/>
                <w:rFonts w:hint="eastAsia" w:ascii="宋体" w:hAnsi="宋体" w:eastAsia="宋体" w:cs="宋体"/>
                <w:color w:val="auto"/>
                <w:sz w:val="21"/>
                <w:szCs w:val="21"/>
                <w:highlight w:val="none"/>
                <w:lang w:eastAsia="zh-CN"/>
              </w:rPr>
            </w:pPr>
            <w:r>
              <w:rPr>
                <w:rStyle w:val="57"/>
                <w:rFonts w:hint="eastAsia" w:ascii="宋体" w:hAnsi="宋体" w:cs="宋体"/>
                <w:color w:val="auto"/>
                <w:sz w:val="21"/>
                <w:szCs w:val="21"/>
                <w:highlight w:val="none"/>
                <w:lang w:eastAsia="zh-CN"/>
              </w:rPr>
              <w:t>　　</w:t>
            </w:r>
            <w:r>
              <w:rPr>
                <w:rStyle w:val="57"/>
                <w:rFonts w:hint="eastAsia" w:ascii="宋体" w:hAnsi="宋体" w:eastAsia="宋体" w:cs="宋体"/>
                <w:color w:val="auto"/>
                <w:sz w:val="21"/>
                <w:szCs w:val="21"/>
                <w:highlight w:val="none"/>
                <w:lang w:eastAsia="zh-CN"/>
              </w:rPr>
              <w:t>（</w:t>
            </w:r>
            <w:r>
              <w:rPr>
                <w:rStyle w:val="57"/>
                <w:rFonts w:hint="eastAsia" w:ascii="宋体" w:hAnsi="宋体" w:eastAsia="宋体" w:cs="宋体"/>
                <w:color w:val="auto"/>
                <w:sz w:val="21"/>
                <w:szCs w:val="21"/>
                <w:highlight w:val="none"/>
                <w:lang w:val="en-US" w:eastAsia="zh-CN"/>
              </w:rPr>
              <w:t>3</w:t>
            </w:r>
            <w:r>
              <w:rPr>
                <w:rStyle w:val="57"/>
                <w:rFonts w:hint="eastAsia" w:ascii="宋体" w:hAnsi="宋体" w:eastAsia="宋体" w:cs="宋体"/>
                <w:color w:val="auto"/>
                <w:sz w:val="21"/>
                <w:szCs w:val="21"/>
                <w:highlight w:val="none"/>
                <w:lang w:eastAsia="zh-CN"/>
              </w:rPr>
              <w:t>）</w:t>
            </w:r>
            <w:r>
              <w:rPr>
                <w:rStyle w:val="57"/>
                <w:rFonts w:hint="eastAsia" w:ascii="宋体" w:hAnsi="宋体" w:eastAsia="宋体" w:cs="宋体"/>
                <w:color w:val="auto"/>
                <w:sz w:val="21"/>
                <w:szCs w:val="21"/>
                <w:highlight w:val="none"/>
              </w:rPr>
              <w:t>具有省级</w:t>
            </w:r>
            <w:r>
              <w:rPr>
                <w:rStyle w:val="57"/>
                <w:rFonts w:hint="eastAsia" w:ascii="宋体" w:hAnsi="宋体" w:eastAsia="宋体" w:cs="宋体"/>
                <w:color w:val="auto"/>
                <w:sz w:val="21"/>
                <w:szCs w:val="21"/>
                <w:highlight w:val="none"/>
                <w:lang w:val="en-US" w:eastAsia="zh-CN"/>
              </w:rPr>
              <w:t>及</w:t>
            </w:r>
            <w:r>
              <w:rPr>
                <w:rStyle w:val="57"/>
                <w:rFonts w:hint="eastAsia" w:ascii="宋体" w:hAnsi="宋体" w:eastAsia="宋体" w:cs="宋体"/>
                <w:color w:val="auto"/>
                <w:sz w:val="21"/>
                <w:szCs w:val="21"/>
                <w:highlight w:val="none"/>
              </w:rPr>
              <w:t>以上质量技术监督部门核准的CMA计量认证合格证书，CMA认证范围应</w:t>
            </w:r>
            <w:r>
              <w:rPr>
                <w:rStyle w:val="57"/>
                <w:rFonts w:hint="eastAsia" w:ascii="宋体" w:hAnsi="宋体" w:eastAsia="宋体" w:cs="宋体"/>
                <w:color w:val="auto"/>
                <w:sz w:val="21"/>
                <w:szCs w:val="21"/>
                <w:highlight w:val="none"/>
                <w:lang w:eastAsia="zh-CN"/>
              </w:rPr>
              <w:t>有</w:t>
            </w:r>
            <w:r>
              <w:rPr>
                <w:rStyle w:val="57"/>
                <w:rFonts w:hint="eastAsia" w:ascii="宋体" w:hAnsi="宋体" w:eastAsia="宋体" w:cs="宋体"/>
                <w:color w:val="auto"/>
                <w:sz w:val="21"/>
                <w:szCs w:val="21"/>
                <w:highlight w:val="none"/>
                <w:lang w:val="en-US" w:eastAsia="zh-CN"/>
              </w:rPr>
              <w:t>相关参数</w:t>
            </w:r>
            <w:r>
              <w:rPr>
                <w:rStyle w:val="57"/>
                <w:rFonts w:hint="eastAsia" w:ascii="宋体" w:hAnsi="宋体" w:eastAsia="宋体" w:cs="宋体"/>
                <w:color w:val="auto"/>
                <w:sz w:val="21"/>
                <w:szCs w:val="21"/>
                <w:highlight w:val="none"/>
              </w:rPr>
              <w:t>且在有效期内</w:t>
            </w:r>
            <w:r>
              <w:rPr>
                <w:rStyle w:val="57"/>
                <w:rFonts w:hint="eastAsia" w:ascii="宋体" w:hAnsi="宋体" w:cs="宋体"/>
                <w:color w:val="auto"/>
                <w:sz w:val="21"/>
                <w:szCs w:val="21"/>
                <w:highlight w:val="none"/>
                <w:lang w:eastAsia="zh-CN"/>
              </w:rPr>
              <w:t>。</w:t>
            </w:r>
          </w:p>
          <w:p w14:paraId="283419E0">
            <w:pPr>
              <w:adjustRightInd w:val="0"/>
              <w:snapToGrid w:val="0"/>
              <w:spacing w:line="440" w:lineRule="atLeast"/>
              <w:jc w:val="both"/>
              <w:rPr>
                <w:rFonts w:hint="eastAsia" w:ascii="宋体" w:hAnsi="宋体" w:cs="宋体"/>
                <w:color w:val="auto"/>
                <w:szCs w:val="21"/>
                <w:highlight w:val="none"/>
                <w:lang w:val="en-US" w:eastAsia="zh-CN"/>
              </w:rPr>
            </w:pPr>
          </w:p>
          <w:p w14:paraId="7E67A824">
            <w:pPr>
              <w:adjustRightInd w:val="0"/>
              <w:snapToGrid w:val="0"/>
              <w:spacing w:line="440" w:lineRule="atLeast"/>
              <w:jc w:val="both"/>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lang w:val="en-US" w:eastAsia="zh-CN"/>
              </w:rPr>
              <w:t>注：</w:t>
            </w:r>
            <w:r>
              <w:rPr>
                <w:rFonts w:hint="eastAsia" w:ascii="宋体" w:hAnsi="宋体" w:eastAsia="宋体" w:cs="宋体"/>
                <w:color w:val="auto"/>
                <w:szCs w:val="21"/>
                <w:highlight w:val="none"/>
                <w:lang w:val="en-US" w:eastAsia="zh-CN"/>
              </w:rPr>
              <w:t>投标人应根据招标文件第二章“投标人须知”第 3.5.1 项的要求在“投标人基本情况表”后附相关证明材料。</w:t>
            </w:r>
          </w:p>
          <w:p w14:paraId="7BC18C1C">
            <w:pPr>
              <w:topLinePunct/>
              <w:spacing w:line="440" w:lineRule="exact"/>
              <w:ind w:firstLine="420" w:firstLineChars="200"/>
              <w:jc w:val="left"/>
              <w:rPr>
                <w:color w:val="auto"/>
                <w:szCs w:val="21"/>
                <w:highlight w:val="none"/>
              </w:rPr>
            </w:pPr>
            <w:r>
              <w:rPr>
                <w:rFonts w:hint="eastAsia" w:ascii="黑体" w:hAnsi="黑体" w:eastAsia="黑体" w:cs="Times New Roman"/>
                <w:color w:val="auto"/>
                <w:szCs w:val="21"/>
                <w:highlight w:val="none"/>
                <w:lang w:val="en-US" w:eastAsia="zh-CN"/>
              </w:rPr>
              <w:t xml:space="preserve"> </w:t>
            </w:r>
          </w:p>
        </w:tc>
      </w:tr>
    </w:tbl>
    <w:p w14:paraId="27804178">
      <w:pPr>
        <w:rPr>
          <w:rFonts w:eastAsia="黑体"/>
          <w:color w:val="auto"/>
          <w:sz w:val="28"/>
          <w:szCs w:val="28"/>
          <w:highlight w:val="none"/>
        </w:rPr>
      </w:pPr>
      <w:bookmarkStart w:id="69" w:name="_Toc234832865"/>
      <w:bookmarkStart w:id="70" w:name="_Toc510015670"/>
      <w:r>
        <w:rPr>
          <w:rFonts w:eastAsia="黑体"/>
          <w:color w:val="auto"/>
          <w:sz w:val="28"/>
          <w:szCs w:val="28"/>
          <w:highlight w:val="none"/>
        </w:rPr>
        <w:br w:type="page"/>
      </w:r>
    </w:p>
    <w:p w14:paraId="66A5EBE6">
      <w:pPr>
        <w:pStyle w:val="2"/>
        <w:spacing w:before="240" w:after="240" w:line="440" w:lineRule="atLeast"/>
        <w:jc w:val="center"/>
        <w:rPr>
          <w:rFonts w:eastAsia="黑体"/>
          <w:color w:val="auto"/>
          <w:sz w:val="28"/>
          <w:szCs w:val="28"/>
          <w:highlight w:val="none"/>
        </w:rPr>
      </w:pPr>
      <w:r>
        <w:rPr>
          <w:rFonts w:eastAsia="黑体"/>
          <w:color w:val="auto"/>
          <w:sz w:val="28"/>
          <w:szCs w:val="28"/>
          <w:highlight w:val="none"/>
        </w:rPr>
        <w:t>附录2  资格审查条件（业绩最低要求）</w:t>
      </w:r>
      <w:bookmarkEnd w:id="69"/>
      <w:bookmarkEnd w:id="70"/>
    </w:p>
    <w:tbl>
      <w:tblPr>
        <w:tblStyle w:val="55"/>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00E5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vAlign w:val="center"/>
          </w:tcPr>
          <w:p w14:paraId="57301995">
            <w:pPr>
              <w:adjustRightInd w:val="0"/>
              <w:snapToGrid w:val="0"/>
              <w:spacing w:line="440" w:lineRule="atLeast"/>
              <w:jc w:val="center"/>
              <w:rPr>
                <w:color w:val="auto"/>
                <w:szCs w:val="21"/>
                <w:highlight w:val="none"/>
              </w:rPr>
            </w:pPr>
            <w:r>
              <w:rPr>
                <w:color w:val="auto"/>
                <w:szCs w:val="21"/>
                <w:highlight w:val="none"/>
              </w:rPr>
              <w:t>业 绩 要 求</w:t>
            </w:r>
          </w:p>
        </w:tc>
      </w:tr>
      <w:tr w14:paraId="2927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vAlign w:val="center"/>
          </w:tcPr>
          <w:p w14:paraId="55BD717D">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近5 年（指递交投标文件截止之日前一日回溯 5年</w:t>
            </w:r>
            <w:r>
              <w:rPr>
                <w:rStyle w:val="57"/>
                <w:rFonts w:hint="eastAsia" w:ascii="宋体" w:hAnsi="宋体" w:cs="宋体"/>
                <w:color w:val="auto"/>
                <w:sz w:val="21"/>
                <w:szCs w:val="21"/>
                <w:highlight w:val="none"/>
                <w:lang w:val="en-US" w:eastAsia="zh-CN"/>
              </w:rPr>
              <w:t>，以完工时间为准</w:t>
            </w:r>
            <w:r>
              <w:rPr>
                <w:rStyle w:val="57"/>
                <w:rFonts w:hint="eastAsia" w:ascii="宋体" w:hAnsi="宋体" w:eastAsia="宋体" w:cs="宋体"/>
                <w:color w:val="auto"/>
                <w:sz w:val="21"/>
                <w:szCs w:val="21"/>
                <w:highlight w:val="none"/>
                <w:lang w:val="en-US" w:eastAsia="zh-CN"/>
              </w:rPr>
              <w:t>）：完成过</w:t>
            </w:r>
            <w:r>
              <w:rPr>
                <w:rFonts w:ascii="宋体" w:hAnsi="宋体" w:cs="宋体"/>
                <w:color w:val="auto"/>
                <w:kern w:val="0"/>
                <w:highlight w:val="none"/>
              </w:rPr>
              <w:t>1</w:t>
            </w:r>
            <w:r>
              <w:rPr>
                <w:rFonts w:hint="eastAsia" w:ascii="宋体" w:hAnsi="宋体" w:cs="宋体"/>
                <w:color w:val="auto"/>
                <w:kern w:val="0"/>
                <w:highlight w:val="none"/>
              </w:rPr>
              <w:t>座主跨不低于</w:t>
            </w:r>
            <w:r>
              <w:rPr>
                <w:rFonts w:hint="eastAsia" w:ascii="宋体" w:hAnsi="宋体" w:cs="宋体"/>
                <w:color w:val="auto"/>
                <w:kern w:val="0"/>
                <w:highlight w:val="none"/>
                <w:lang w:val="en-US" w:eastAsia="zh-CN"/>
              </w:rPr>
              <w:t>90</w:t>
            </w:r>
            <w:r>
              <w:rPr>
                <w:rFonts w:hint="eastAsia" w:ascii="宋体" w:hAnsi="宋体" w:cs="宋体"/>
                <w:color w:val="auto"/>
                <w:kern w:val="0"/>
                <w:highlight w:val="none"/>
              </w:rPr>
              <w:t>米的连续</w:t>
            </w:r>
            <w:r>
              <w:rPr>
                <w:rFonts w:hint="eastAsia" w:ascii="宋体" w:hAnsi="宋体" w:cs="宋体"/>
                <w:color w:val="auto"/>
                <w:kern w:val="0"/>
                <w:highlight w:val="none"/>
                <w:lang w:eastAsia="zh-CN"/>
              </w:rPr>
              <w:t>钢</w:t>
            </w:r>
            <w:r>
              <w:rPr>
                <w:rFonts w:hint="eastAsia" w:ascii="宋体" w:hAnsi="宋体" w:cs="宋体"/>
                <w:color w:val="auto"/>
                <w:kern w:val="0"/>
                <w:highlight w:val="none"/>
              </w:rPr>
              <w:t>构桥梁荷载试验</w:t>
            </w:r>
            <w:r>
              <w:rPr>
                <w:rFonts w:hint="eastAsia" w:ascii="宋体" w:hAnsi="宋体" w:cs="宋体"/>
                <w:color w:val="auto"/>
                <w:kern w:val="0"/>
                <w:highlight w:val="none"/>
                <w:lang w:val="en-US" w:eastAsia="zh-CN"/>
              </w:rPr>
              <w:t xml:space="preserve"> </w:t>
            </w:r>
            <w:r>
              <w:rPr>
                <w:rStyle w:val="57"/>
                <w:rFonts w:hint="eastAsia" w:ascii="宋体" w:hAnsi="宋体" w:eastAsia="宋体" w:cs="宋体"/>
                <w:color w:val="auto"/>
                <w:sz w:val="21"/>
                <w:szCs w:val="21"/>
                <w:highlight w:val="none"/>
                <w:lang w:val="en-US" w:eastAsia="zh-CN"/>
              </w:rPr>
              <w:t xml:space="preserve">。 </w:t>
            </w:r>
            <w:r>
              <w:rPr>
                <w:rFonts w:hint="eastAsia" w:ascii="宋体" w:hAnsi="宋体" w:cs="宋体"/>
                <w:color w:val="auto"/>
                <w:kern w:val="0"/>
                <w:highlight w:val="none"/>
                <w:lang w:val="en-US" w:eastAsia="zh-CN"/>
              </w:rPr>
              <w:t xml:space="preserve"> </w:t>
            </w:r>
          </w:p>
          <w:p w14:paraId="09D9CC27">
            <w:pPr>
              <w:pStyle w:val="658"/>
              <w:spacing w:line="440" w:lineRule="exact"/>
              <w:rPr>
                <w:rStyle w:val="57"/>
                <w:rFonts w:hint="eastAsia" w:ascii="宋体" w:hAnsi="宋体" w:eastAsia="宋体" w:cs="宋体"/>
                <w:color w:val="auto"/>
                <w:sz w:val="21"/>
                <w:szCs w:val="21"/>
                <w:highlight w:val="none"/>
                <w:lang w:eastAsia="zh-CN"/>
              </w:rPr>
            </w:pPr>
            <w:r>
              <w:rPr>
                <w:rStyle w:val="57"/>
                <w:rFonts w:hint="eastAsia" w:ascii="宋体" w:hAnsi="宋体" w:eastAsia="宋体" w:cs="宋体"/>
                <w:color w:val="auto"/>
                <w:sz w:val="21"/>
                <w:szCs w:val="21"/>
                <w:highlight w:val="none"/>
                <w:lang w:eastAsia="zh-CN"/>
              </w:rPr>
              <w:t>注：</w:t>
            </w:r>
          </w:p>
          <w:p w14:paraId="630A7699">
            <w:pPr>
              <w:pStyle w:val="658"/>
              <w:numPr>
                <w:ilvl w:val="0"/>
                <w:numId w:val="1"/>
              </w:numPr>
              <w:spacing w:line="440" w:lineRule="exact"/>
              <w:rPr>
                <w:rStyle w:val="57"/>
                <w:rFonts w:hint="eastAsia" w:ascii="宋体" w:hAnsi="宋体" w:eastAsia="宋体" w:cs="宋体"/>
                <w:color w:val="auto"/>
                <w:sz w:val="21"/>
                <w:szCs w:val="21"/>
                <w:highlight w:val="none"/>
                <w:lang w:eastAsia="zh-CN"/>
              </w:rPr>
            </w:pPr>
            <w:r>
              <w:rPr>
                <w:rStyle w:val="57"/>
                <w:rFonts w:hint="eastAsia" w:ascii="宋体" w:hAnsi="宋体" w:eastAsia="宋体" w:cs="宋体"/>
                <w:color w:val="auto"/>
                <w:sz w:val="21"/>
                <w:szCs w:val="21"/>
                <w:highlight w:val="none"/>
                <w:lang w:eastAsia="zh-CN"/>
              </w:rPr>
              <w:t>投标人应根据招标文件第二章“投标人须知”第3.5.</w:t>
            </w:r>
            <w:r>
              <w:rPr>
                <w:rStyle w:val="57"/>
                <w:rFonts w:hint="eastAsia" w:ascii="宋体" w:hAnsi="宋体" w:eastAsia="宋体" w:cs="宋体"/>
                <w:color w:val="auto"/>
                <w:sz w:val="21"/>
                <w:szCs w:val="21"/>
                <w:highlight w:val="none"/>
                <w:lang w:val="en-US" w:eastAsia="zh-CN"/>
              </w:rPr>
              <w:t>2</w:t>
            </w:r>
            <w:r>
              <w:rPr>
                <w:rStyle w:val="57"/>
                <w:rFonts w:hint="eastAsia" w:ascii="宋体" w:hAnsi="宋体" w:eastAsia="宋体" w:cs="宋体"/>
                <w:color w:val="auto"/>
                <w:sz w:val="21"/>
                <w:szCs w:val="21"/>
                <w:highlight w:val="none"/>
                <w:lang w:eastAsia="zh-CN"/>
              </w:rPr>
              <w:t>项的要求在“近年完成的类似项目情况表”后附相关证明材料。</w:t>
            </w:r>
          </w:p>
          <w:p w14:paraId="24E16C18">
            <w:pPr>
              <w:pStyle w:val="658"/>
              <w:numPr>
                <w:ilvl w:val="0"/>
                <w:numId w:val="2"/>
              </w:numPr>
              <w:spacing w:line="440" w:lineRule="exact"/>
              <w:rPr>
                <w:rFonts w:hint="eastAsia"/>
                <w:color w:val="auto"/>
                <w:highlight w:val="none"/>
                <w:lang w:eastAsia="zh-CN"/>
              </w:rPr>
            </w:pPr>
          </w:p>
        </w:tc>
      </w:tr>
    </w:tbl>
    <w:p w14:paraId="36B2749C">
      <w:pPr>
        <w:adjustRightInd w:val="0"/>
        <w:snapToGrid w:val="0"/>
        <w:spacing w:line="440" w:lineRule="atLeast"/>
        <w:rPr>
          <w:rFonts w:eastAsia="隶书"/>
          <w:b/>
          <w:color w:val="auto"/>
          <w:sz w:val="32"/>
          <w:highlight w:val="none"/>
        </w:rPr>
      </w:pPr>
    </w:p>
    <w:p w14:paraId="097E9F07">
      <w:pPr>
        <w:adjustRightInd w:val="0"/>
        <w:snapToGrid w:val="0"/>
        <w:spacing w:line="440" w:lineRule="atLeast"/>
        <w:rPr>
          <w:rFonts w:eastAsia="隶书"/>
          <w:b/>
          <w:color w:val="auto"/>
          <w:sz w:val="32"/>
          <w:highlight w:val="none"/>
        </w:rPr>
      </w:pPr>
    </w:p>
    <w:p w14:paraId="46F21557">
      <w:pPr>
        <w:adjustRightInd w:val="0"/>
        <w:snapToGrid w:val="0"/>
        <w:spacing w:line="440" w:lineRule="atLeast"/>
        <w:rPr>
          <w:rFonts w:eastAsia="隶书"/>
          <w:b/>
          <w:color w:val="auto"/>
          <w:sz w:val="32"/>
          <w:highlight w:val="none"/>
        </w:rPr>
      </w:pPr>
    </w:p>
    <w:p w14:paraId="1B53A898">
      <w:pPr>
        <w:pStyle w:val="2"/>
        <w:spacing w:before="240" w:after="240" w:line="440" w:lineRule="atLeast"/>
        <w:jc w:val="center"/>
        <w:rPr>
          <w:rFonts w:eastAsia="黑体"/>
          <w:color w:val="auto"/>
          <w:sz w:val="28"/>
          <w:szCs w:val="28"/>
          <w:highlight w:val="none"/>
        </w:rPr>
      </w:pPr>
      <w:bookmarkStart w:id="71" w:name="_Toc234832866"/>
      <w:bookmarkStart w:id="72" w:name="_Toc510015671"/>
    </w:p>
    <w:p w14:paraId="3D99E4E4">
      <w:pPr>
        <w:pStyle w:val="2"/>
        <w:spacing w:before="240" w:after="240" w:line="440" w:lineRule="atLeast"/>
        <w:jc w:val="center"/>
        <w:rPr>
          <w:rFonts w:eastAsia="黑体"/>
          <w:color w:val="auto"/>
          <w:sz w:val="28"/>
          <w:szCs w:val="28"/>
          <w:highlight w:val="none"/>
        </w:rPr>
      </w:pPr>
    </w:p>
    <w:p w14:paraId="0A203161">
      <w:pPr>
        <w:pStyle w:val="2"/>
        <w:spacing w:before="240" w:after="240" w:line="440" w:lineRule="atLeast"/>
        <w:jc w:val="center"/>
        <w:rPr>
          <w:rFonts w:eastAsia="黑体"/>
          <w:color w:val="auto"/>
          <w:sz w:val="28"/>
          <w:szCs w:val="28"/>
          <w:highlight w:val="none"/>
        </w:rPr>
      </w:pPr>
    </w:p>
    <w:p w14:paraId="65D4D1A3">
      <w:pPr>
        <w:pStyle w:val="2"/>
        <w:spacing w:before="240" w:after="240" w:line="440" w:lineRule="atLeast"/>
        <w:jc w:val="center"/>
        <w:rPr>
          <w:rFonts w:eastAsia="黑体"/>
          <w:color w:val="auto"/>
          <w:sz w:val="28"/>
          <w:szCs w:val="28"/>
          <w:highlight w:val="none"/>
        </w:rPr>
      </w:pPr>
    </w:p>
    <w:p w14:paraId="2E203528">
      <w:pPr>
        <w:pStyle w:val="2"/>
        <w:spacing w:before="240" w:after="240" w:line="440" w:lineRule="atLeast"/>
        <w:jc w:val="center"/>
        <w:rPr>
          <w:rFonts w:eastAsia="黑体"/>
          <w:color w:val="auto"/>
          <w:sz w:val="28"/>
          <w:szCs w:val="28"/>
          <w:highlight w:val="none"/>
        </w:rPr>
      </w:pPr>
    </w:p>
    <w:p w14:paraId="1D5251E6">
      <w:pPr>
        <w:pStyle w:val="2"/>
        <w:spacing w:before="240" w:after="240" w:line="440" w:lineRule="atLeast"/>
        <w:jc w:val="center"/>
        <w:rPr>
          <w:rFonts w:eastAsia="黑体"/>
          <w:color w:val="auto"/>
          <w:sz w:val="28"/>
          <w:szCs w:val="28"/>
          <w:highlight w:val="none"/>
        </w:rPr>
      </w:pPr>
    </w:p>
    <w:p w14:paraId="78C64763">
      <w:pPr>
        <w:pStyle w:val="2"/>
        <w:spacing w:before="240" w:after="240" w:line="440" w:lineRule="atLeast"/>
        <w:jc w:val="center"/>
        <w:rPr>
          <w:rFonts w:eastAsia="黑体"/>
          <w:color w:val="auto"/>
          <w:sz w:val="28"/>
          <w:szCs w:val="28"/>
          <w:highlight w:val="none"/>
        </w:rPr>
      </w:pPr>
    </w:p>
    <w:p w14:paraId="4BD93F33">
      <w:pPr>
        <w:pStyle w:val="2"/>
        <w:spacing w:before="240" w:after="240" w:line="440" w:lineRule="atLeast"/>
        <w:jc w:val="center"/>
        <w:rPr>
          <w:rFonts w:eastAsia="黑体"/>
          <w:color w:val="auto"/>
          <w:sz w:val="28"/>
          <w:szCs w:val="28"/>
          <w:highlight w:val="none"/>
        </w:rPr>
      </w:pPr>
    </w:p>
    <w:p w14:paraId="6D03790B">
      <w:pPr>
        <w:rPr>
          <w:rFonts w:eastAsia="黑体"/>
          <w:color w:val="auto"/>
          <w:sz w:val="28"/>
          <w:szCs w:val="28"/>
          <w:highlight w:val="none"/>
        </w:rPr>
      </w:pPr>
      <w:r>
        <w:rPr>
          <w:rFonts w:eastAsia="黑体"/>
          <w:color w:val="auto"/>
          <w:sz w:val="28"/>
          <w:szCs w:val="28"/>
          <w:highlight w:val="none"/>
        </w:rPr>
        <w:br w:type="page"/>
      </w:r>
    </w:p>
    <w:p w14:paraId="15458821">
      <w:pPr>
        <w:pStyle w:val="2"/>
        <w:spacing w:before="240" w:after="240" w:line="440" w:lineRule="atLeast"/>
        <w:jc w:val="center"/>
        <w:rPr>
          <w:rFonts w:eastAsia="黑体"/>
          <w:color w:val="auto"/>
          <w:sz w:val="28"/>
          <w:szCs w:val="28"/>
          <w:highlight w:val="none"/>
        </w:rPr>
      </w:pPr>
      <w:r>
        <w:rPr>
          <w:rFonts w:eastAsia="黑体"/>
          <w:color w:val="auto"/>
          <w:sz w:val="28"/>
          <w:szCs w:val="28"/>
          <w:highlight w:val="none"/>
        </w:rPr>
        <w:t>附录3  资格审查条件（信誉最低要求）</w:t>
      </w:r>
      <w:bookmarkEnd w:id="71"/>
      <w:bookmarkEnd w:id="72"/>
    </w:p>
    <w:tbl>
      <w:tblPr>
        <w:tblStyle w:val="55"/>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47C5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8819" w:type="dxa"/>
            <w:vAlign w:val="center"/>
          </w:tcPr>
          <w:p w14:paraId="190AB291">
            <w:pPr>
              <w:adjustRightInd w:val="0"/>
              <w:snapToGrid w:val="0"/>
              <w:spacing w:line="440" w:lineRule="atLeast"/>
              <w:jc w:val="center"/>
              <w:rPr>
                <w:color w:val="auto"/>
                <w:szCs w:val="21"/>
                <w:highlight w:val="none"/>
              </w:rPr>
            </w:pPr>
            <w:r>
              <w:rPr>
                <w:color w:val="auto"/>
                <w:szCs w:val="21"/>
                <w:highlight w:val="none"/>
              </w:rPr>
              <w:t>信 誉 要 求</w:t>
            </w:r>
          </w:p>
        </w:tc>
      </w:tr>
      <w:tr w14:paraId="6A7C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3" w:hRule="atLeast"/>
          <w:jc w:val="center"/>
        </w:trPr>
        <w:tc>
          <w:tcPr>
            <w:tcW w:w="8819" w:type="dxa"/>
            <w:vAlign w:val="center"/>
          </w:tcPr>
          <w:p w14:paraId="7D0D19F6">
            <w:pPr>
              <w:pStyle w:val="658"/>
              <w:spacing w:line="440" w:lineRule="exact"/>
              <w:rPr>
                <w:rStyle w:val="57"/>
                <w:rFonts w:hint="eastAsia" w:ascii="宋体" w:hAnsi="宋体" w:eastAsia="宋体" w:cs="宋体"/>
                <w:color w:val="auto"/>
                <w:sz w:val="21"/>
                <w:szCs w:val="21"/>
                <w:highlight w:val="none"/>
                <w:lang w:val="en-US" w:eastAsia="zh-CN"/>
              </w:rPr>
            </w:pPr>
            <w:bookmarkStart w:id="73" w:name="EBb10399debc994edbbf9795424c1a132c"/>
            <w:r>
              <w:rPr>
                <w:rStyle w:val="57"/>
                <w:rFonts w:hint="eastAsia" w:ascii="宋体" w:hAnsi="宋体" w:eastAsia="宋体" w:cs="宋体"/>
                <w:color w:val="auto"/>
                <w:sz w:val="21"/>
                <w:szCs w:val="21"/>
                <w:highlight w:val="none"/>
                <w:lang w:val="en-US" w:eastAsia="zh-CN"/>
              </w:rPr>
              <w:t>投标人不得存在</w:t>
            </w:r>
            <w:r>
              <w:rPr>
                <w:rStyle w:val="57"/>
                <w:rFonts w:hint="eastAsia" w:ascii="宋体" w:hAnsi="宋体" w:cs="宋体"/>
                <w:color w:val="auto"/>
                <w:sz w:val="21"/>
                <w:szCs w:val="21"/>
                <w:highlight w:val="none"/>
                <w:lang w:val="en-US" w:eastAsia="zh-CN"/>
              </w:rPr>
              <w:t>招标</w:t>
            </w:r>
            <w:r>
              <w:rPr>
                <w:rStyle w:val="57"/>
                <w:rFonts w:hint="eastAsia" w:ascii="宋体" w:hAnsi="宋体" w:eastAsia="宋体" w:cs="宋体"/>
                <w:color w:val="auto"/>
                <w:sz w:val="21"/>
                <w:szCs w:val="21"/>
                <w:highlight w:val="none"/>
                <w:lang w:val="en-US" w:eastAsia="zh-CN"/>
              </w:rPr>
              <w:t>文件第二章“投标人须知”第1.4.3、1.4.4项所列情形之一且不得存在以下情形：</w:t>
            </w:r>
          </w:p>
          <w:bookmarkEnd w:id="73"/>
          <w:p w14:paraId="1F1B3C54">
            <w:pPr>
              <w:pStyle w:val="658"/>
              <w:spacing w:line="440" w:lineRule="exact"/>
              <w:rPr>
                <w:rStyle w:val="57"/>
                <w:rFonts w:hint="eastAsia" w:ascii="宋体" w:hAnsi="宋体" w:eastAsia="宋体" w:cs="宋体"/>
                <w:color w:val="auto"/>
                <w:sz w:val="21"/>
                <w:szCs w:val="21"/>
                <w:highlight w:val="none"/>
                <w:lang w:val="en-US" w:eastAsia="zh-CN"/>
              </w:rPr>
            </w:pPr>
            <w:bookmarkStart w:id="74" w:name="EBd1d0c8674e2e4eada9c5d342dba781cb"/>
            <w:r>
              <w:rPr>
                <w:rStyle w:val="57"/>
                <w:rFonts w:hint="eastAsia" w:ascii="宋体" w:hAnsi="宋体" w:eastAsia="宋体" w:cs="宋体"/>
                <w:color w:val="auto"/>
                <w:sz w:val="21"/>
                <w:szCs w:val="21"/>
                <w:highlight w:val="none"/>
                <w:lang w:val="en-US" w:eastAsia="zh-CN"/>
              </w:rPr>
              <w:t>1. 被湖南省交通运输厅评为最近第一年度 D 级、连续三年（最近第三年、最近第二年和最近第一年）评为C 级及以下信用等级的。</w:t>
            </w:r>
          </w:p>
          <w:p w14:paraId="1ABA797A">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2.在全国企业信用信息公示系统（http://www.gsxt.gov.cn）中被列入严重违法失信企业名单的或在“信用中国”网站（www.creditchina.gov.cn）中被列入失信被执行人名单的。</w:t>
            </w:r>
          </w:p>
          <w:p w14:paraId="7A2C3E91">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注：</w:t>
            </w:r>
          </w:p>
          <w:p w14:paraId="59116AFC">
            <w:pPr>
              <w:pStyle w:val="658"/>
              <w:spacing w:line="440" w:lineRule="exact"/>
              <w:rPr>
                <w:color w:val="auto"/>
                <w:szCs w:val="21"/>
                <w:highlight w:val="none"/>
              </w:rPr>
            </w:pPr>
            <w:r>
              <w:rPr>
                <w:rStyle w:val="57"/>
                <w:rFonts w:hint="eastAsia" w:ascii="宋体" w:hAnsi="宋体" w:eastAsia="宋体" w:cs="宋体"/>
                <w:color w:val="auto"/>
                <w:sz w:val="21"/>
                <w:szCs w:val="21"/>
                <w:highlight w:val="none"/>
                <w:lang w:val="en-US" w:eastAsia="zh-CN"/>
              </w:rPr>
              <w:t>投标人应根据</w:t>
            </w:r>
            <w:r>
              <w:rPr>
                <w:rStyle w:val="57"/>
                <w:rFonts w:hint="eastAsia" w:ascii="宋体" w:hAnsi="宋体" w:cs="宋体"/>
                <w:color w:val="auto"/>
                <w:sz w:val="21"/>
                <w:szCs w:val="21"/>
                <w:highlight w:val="none"/>
                <w:lang w:val="en-US" w:eastAsia="zh-CN"/>
              </w:rPr>
              <w:t>招标</w:t>
            </w:r>
            <w:r>
              <w:rPr>
                <w:rStyle w:val="57"/>
                <w:rFonts w:hint="eastAsia" w:ascii="宋体" w:hAnsi="宋体" w:eastAsia="宋体" w:cs="宋体"/>
                <w:color w:val="auto"/>
                <w:sz w:val="21"/>
                <w:szCs w:val="21"/>
                <w:highlight w:val="none"/>
                <w:lang w:val="en-US" w:eastAsia="zh-CN"/>
              </w:rPr>
              <w:t>文件第二章“投标人须知”第3.5.3项的要求在“投标人的信誉情况表”后附相关证明材料。</w:t>
            </w:r>
            <w:bookmarkEnd w:id="74"/>
          </w:p>
        </w:tc>
      </w:tr>
    </w:tbl>
    <w:p w14:paraId="0118B4FD">
      <w:pPr>
        <w:rPr>
          <w:rFonts w:eastAsia="黑体"/>
          <w:b/>
          <w:color w:val="auto"/>
          <w:sz w:val="24"/>
          <w:highlight w:val="none"/>
        </w:rPr>
      </w:pPr>
      <w:r>
        <w:rPr>
          <w:rFonts w:eastAsia="黑体"/>
          <w:b/>
          <w:color w:val="auto"/>
          <w:sz w:val="24"/>
          <w:highlight w:val="none"/>
        </w:rPr>
        <w:br w:type="page"/>
      </w:r>
    </w:p>
    <w:p w14:paraId="732EF169">
      <w:pPr>
        <w:pStyle w:val="2"/>
        <w:spacing w:before="240" w:after="240" w:line="440" w:lineRule="atLeast"/>
        <w:jc w:val="center"/>
        <w:rPr>
          <w:b/>
          <w:iCs/>
          <w:color w:val="auto"/>
          <w:szCs w:val="21"/>
          <w:highlight w:val="none"/>
        </w:rPr>
      </w:pPr>
      <w:bookmarkStart w:id="75" w:name="_Toc234832867"/>
      <w:bookmarkStart w:id="76" w:name="_Toc510015672"/>
      <w:r>
        <w:rPr>
          <w:rFonts w:eastAsia="黑体"/>
          <w:color w:val="auto"/>
          <w:sz w:val="28"/>
          <w:szCs w:val="28"/>
          <w:highlight w:val="none"/>
        </w:rPr>
        <w:t>附录4  资格审查条件（项目负责人最低要求）</w:t>
      </w:r>
      <w:bookmarkEnd w:id="75"/>
      <w:bookmarkEnd w:id="76"/>
    </w:p>
    <w:tbl>
      <w:tblPr>
        <w:tblStyle w:val="55"/>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213"/>
        <w:gridCol w:w="5424"/>
      </w:tblGrid>
      <w:tr w14:paraId="1F27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40" w:type="dxa"/>
            <w:vAlign w:val="center"/>
          </w:tcPr>
          <w:p w14:paraId="67DC724C">
            <w:pPr>
              <w:adjustRightInd w:val="0"/>
              <w:snapToGrid w:val="0"/>
              <w:spacing w:line="300" w:lineRule="auto"/>
              <w:jc w:val="center"/>
              <w:rPr>
                <w:color w:val="auto"/>
                <w:szCs w:val="21"/>
                <w:highlight w:val="none"/>
              </w:rPr>
            </w:pPr>
            <w:r>
              <w:rPr>
                <w:color w:val="auto"/>
                <w:szCs w:val="21"/>
                <w:highlight w:val="none"/>
              </w:rPr>
              <w:t>人  员</w:t>
            </w:r>
          </w:p>
        </w:tc>
        <w:tc>
          <w:tcPr>
            <w:tcW w:w="1213" w:type="dxa"/>
            <w:vAlign w:val="center"/>
          </w:tcPr>
          <w:p w14:paraId="5842BFBC">
            <w:pPr>
              <w:adjustRightInd w:val="0"/>
              <w:snapToGrid w:val="0"/>
              <w:spacing w:line="300" w:lineRule="auto"/>
              <w:jc w:val="center"/>
              <w:rPr>
                <w:color w:val="auto"/>
                <w:szCs w:val="21"/>
                <w:highlight w:val="none"/>
              </w:rPr>
            </w:pPr>
            <w:r>
              <w:rPr>
                <w:color w:val="auto"/>
                <w:szCs w:val="21"/>
                <w:highlight w:val="none"/>
              </w:rPr>
              <w:t>数  量</w:t>
            </w:r>
          </w:p>
        </w:tc>
        <w:tc>
          <w:tcPr>
            <w:tcW w:w="5424" w:type="dxa"/>
            <w:vAlign w:val="center"/>
          </w:tcPr>
          <w:p w14:paraId="7C63ADB1">
            <w:pPr>
              <w:adjustRightInd w:val="0"/>
              <w:snapToGrid w:val="0"/>
              <w:spacing w:line="300" w:lineRule="auto"/>
              <w:jc w:val="center"/>
              <w:rPr>
                <w:color w:val="auto"/>
                <w:szCs w:val="21"/>
                <w:highlight w:val="none"/>
              </w:rPr>
            </w:pPr>
            <w:r>
              <w:rPr>
                <w:color w:val="auto"/>
                <w:szCs w:val="21"/>
                <w:highlight w:val="none"/>
              </w:rPr>
              <w:t>资 格 要 求</w:t>
            </w:r>
          </w:p>
        </w:tc>
      </w:tr>
      <w:tr w14:paraId="2E1E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5" w:hRule="atLeast"/>
          <w:jc w:val="center"/>
        </w:trPr>
        <w:tc>
          <w:tcPr>
            <w:tcW w:w="2140" w:type="dxa"/>
            <w:vAlign w:val="center"/>
          </w:tcPr>
          <w:p w14:paraId="1F536D59">
            <w:pPr>
              <w:spacing w:line="300" w:lineRule="auto"/>
              <w:jc w:val="center"/>
              <w:rPr>
                <w:color w:val="auto"/>
                <w:szCs w:val="21"/>
                <w:highlight w:val="none"/>
              </w:rPr>
            </w:pPr>
            <w:r>
              <w:rPr>
                <w:color w:val="auto"/>
                <w:szCs w:val="21"/>
                <w:highlight w:val="none"/>
              </w:rPr>
              <w:t>项目负责人</w:t>
            </w:r>
          </w:p>
        </w:tc>
        <w:tc>
          <w:tcPr>
            <w:tcW w:w="1213" w:type="dxa"/>
            <w:vAlign w:val="center"/>
          </w:tcPr>
          <w:p w14:paraId="01679C0B">
            <w:pPr>
              <w:adjustRightInd w:val="0"/>
              <w:snapToGrid w:val="0"/>
              <w:spacing w:line="300" w:lineRule="auto"/>
              <w:jc w:val="center"/>
              <w:rPr>
                <w:rFonts w:hint="eastAsia" w:eastAsia="宋体"/>
                <w:color w:val="auto"/>
                <w:szCs w:val="21"/>
                <w:highlight w:val="none"/>
                <w:lang w:val="en-US" w:eastAsia="zh-CN"/>
              </w:rPr>
            </w:pPr>
            <w:r>
              <w:rPr>
                <w:rFonts w:hint="eastAsia"/>
                <w:color w:val="auto"/>
                <w:szCs w:val="21"/>
                <w:highlight w:val="none"/>
                <w:lang w:val="en-US" w:eastAsia="zh-CN"/>
              </w:rPr>
              <w:t>1</w:t>
            </w:r>
          </w:p>
        </w:tc>
        <w:tc>
          <w:tcPr>
            <w:tcW w:w="5424" w:type="dxa"/>
            <w:vAlign w:val="center"/>
          </w:tcPr>
          <w:p w14:paraId="66EF8E2D">
            <w:pPr>
              <w:pStyle w:val="658"/>
              <w:spacing w:line="440" w:lineRule="exact"/>
              <w:rPr>
                <w:rStyle w:val="57"/>
                <w:rFonts w:hint="eastAsia" w:ascii="宋体" w:hAnsi="宋体" w:eastAsia="宋体" w:cs="宋体"/>
                <w:color w:val="auto"/>
                <w:sz w:val="21"/>
                <w:szCs w:val="21"/>
                <w:highlight w:val="none"/>
                <w:lang w:val="en-US" w:eastAsia="zh-CN"/>
              </w:rPr>
            </w:pPr>
            <w:bookmarkStart w:id="77" w:name="EB9a6470c35e3a470f957788a5ce823d0d"/>
            <w:r>
              <w:rPr>
                <w:rStyle w:val="57"/>
                <w:rFonts w:hint="eastAsia" w:ascii="宋体" w:hAnsi="宋体" w:eastAsia="宋体" w:cs="宋体"/>
                <w:color w:val="auto"/>
                <w:sz w:val="21"/>
                <w:szCs w:val="21"/>
                <w:highlight w:val="none"/>
                <w:lang w:val="en-US" w:eastAsia="zh-CN"/>
              </w:rPr>
              <w:t>1、</w:t>
            </w:r>
            <w:r>
              <w:rPr>
                <w:rFonts w:hint="eastAsia" w:ascii="宋体" w:hAnsi="宋体" w:cs="宋体"/>
                <w:color w:val="auto"/>
                <w:kern w:val="0"/>
                <w:highlight w:val="none"/>
              </w:rPr>
              <w:t>道路与桥梁相关专业高级</w:t>
            </w:r>
            <w:r>
              <w:rPr>
                <w:rStyle w:val="57"/>
                <w:rFonts w:hint="eastAsia" w:ascii="宋体" w:hAnsi="宋体" w:eastAsia="宋体" w:cs="宋体"/>
                <w:color w:val="auto"/>
                <w:sz w:val="21"/>
                <w:szCs w:val="21"/>
                <w:highlight w:val="none"/>
                <w:lang w:val="en-US" w:eastAsia="zh-CN"/>
              </w:rPr>
              <w:t>及以上</w:t>
            </w:r>
            <w:r>
              <w:rPr>
                <w:rStyle w:val="57"/>
                <w:rFonts w:hint="eastAsia" w:ascii="宋体" w:hAnsi="宋体" w:cs="宋体"/>
                <w:color w:val="auto"/>
                <w:sz w:val="21"/>
                <w:szCs w:val="21"/>
                <w:highlight w:val="none"/>
                <w:lang w:val="en-US" w:eastAsia="zh-CN"/>
              </w:rPr>
              <w:t>技术</w:t>
            </w:r>
            <w:r>
              <w:rPr>
                <w:rStyle w:val="57"/>
                <w:rFonts w:hint="eastAsia" w:ascii="宋体" w:hAnsi="宋体" w:eastAsia="宋体" w:cs="宋体"/>
                <w:color w:val="auto"/>
                <w:sz w:val="21"/>
                <w:szCs w:val="21"/>
                <w:highlight w:val="none"/>
                <w:lang w:val="en-US" w:eastAsia="zh-CN"/>
              </w:rPr>
              <w:t>职称；</w:t>
            </w:r>
          </w:p>
          <w:p w14:paraId="5ACE1B70">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2、持有</w:t>
            </w:r>
            <w:r>
              <w:rPr>
                <w:rFonts w:hint="eastAsia" w:ascii="宋体" w:hAnsi="宋体" w:cs="宋体"/>
                <w:color w:val="auto"/>
                <w:kern w:val="0"/>
                <w:highlight w:val="none"/>
              </w:rPr>
              <w:t>交通行政主管颁发的试验检测工程师证书（桥梁专业或桥隧专业）</w:t>
            </w:r>
            <w:r>
              <w:rPr>
                <w:rFonts w:hint="eastAsia" w:ascii="宋体" w:hAnsi="宋体" w:cs="宋体"/>
                <w:color w:val="auto"/>
                <w:kern w:val="0"/>
                <w:highlight w:val="none"/>
                <w:lang w:eastAsia="zh-CN"/>
              </w:rPr>
              <w:t>，</w:t>
            </w:r>
            <w:r>
              <w:rPr>
                <w:rStyle w:val="57"/>
                <w:rFonts w:hint="eastAsia" w:ascii="宋体" w:hAnsi="宋体" w:eastAsia="宋体" w:cs="宋体"/>
                <w:color w:val="auto"/>
                <w:sz w:val="21"/>
                <w:szCs w:val="21"/>
                <w:highlight w:val="none"/>
                <w:lang w:val="en-US" w:eastAsia="zh-CN"/>
              </w:rPr>
              <w:t>且注册单位名称必须与投标人名称一致（提供网页截图）；</w:t>
            </w:r>
          </w:p>
          <w:p w14:paraId="688EFF78">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3、最近</w:t>
            </w:r>
            <w:r>
              <w:rPr>
                <w:rStyle w:val="57"/>
                <w:rFonts w:hint="eastAsia" w:ascii="宋体" w:hAnsi="宋体" w:cs="宋体"/>
                <w:color w:val="auto"/>
                <w:sz w:val="21"/>
                <w:szCs w:val="21"/>
                <w:highlight w:val="none"/>
                <w:lang w:val="en-US" w:eastAsia="zh-CN"/>
              </w:rPr>
              <w:t>5</w:t>
            </w:r>
            <w:r>
              <w:rPr>
                <w:rStyle w:val="57"/>
                <w:rFonts w:hint="eastAsia" w:ascii="宋体" w:hAnsi="宋体" w:eastAsia="宋体" w:cs="宋体"/>
                <w:color w:val="auto"/>
                <w:sz w:val="21"/>
                <w:szCs w:val="21"/>
                <w:highlight w:val="none"/>
                <w:lang w:val="en-US" w:eastAsia="zh-CN"/>
              </w:rPr>
              <w:t>年（指递交投标文件截止之日前一日回溯</w:t>
            </w:r>
            <w:r>
              <w:rPr>
                <w:rStyle w:val="57"/>
                <w:rFonts w:hint="eastAsia" w:ascii="宋体" w:hAnsi="宋体" w:cs="宋体"/>
                <w:color w:val="auto"/>
                <w:sz w:val="21"/>
                <w:szCs w:val="21"/>
                <w:highlight w:val="none"/>
                <w:lang w:val="en-US" w:eastAsia="zh-CN"/>
              </w:rPr>
              <w:t>5</w:t>
            </w:r>
            <w:r>
              <w:rPr>
                <w:rStyle w:val="57"/>
                <w:rFonts w:hint="eastAsia" w:ascii="宋体" w:hAnsi="宋体" w:eastAsia="宋体" w:cs="宋体"/>
                <w:color w:val="auto"/>
                <w:sz w:val="21"/>
                <w:szCs w:val="21"/>
                <w:highlight w:val="none"/>
                <w:lang w:val="en-US" w:eastAsia="zh-CN"/>
              </w:rPr>
              <w:t>年）至少担任过1个新建、改（扩）建或大修项目高速公路的试验检测服务项目的项目负责人或技术负责人职务。</w:t>
            </w:r>
            <w:bookmarkEnd w:id="77"/>
          </w:p>
          <w:p w14:paraId="0FCF0F3B">
            <w:pPr>
              <w:pStyle w:val="658"/>
              <w:spacing w:line="440" w:lineRule="exact"/>
              <w:rPr>
                <w:rStyle w:val="57"/>
                <w:rFonts w:hint="eastAsia" w:ascii="宋体" w:hAnsi="宋体" w:eastAsia="宋体" w:cs="宋体"/>
                <w:color w:val="auto"/>
                <w:sz w:val="21"/>
                <w:szCs w:val="21"/>
                <w:highlight w:val="none"/>
                <w:lang w:val="en-US" w:eastAsia="zh-CN"/>
              </w:rPr>
            </w:pPr>
            <w:bookmarkStart w:id="78" w:name="EB9b352a301903481ab631b4337d1859b7"/>
          </w:p>
          <w:p w14:paraId="5EBC18A1">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注：</w:t>
            </w:r>
          </w:p>
          <w:p w14:paraId="557BEBBC">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1.投标人应根据</w:t>
            </w:r>
            <w:r>
              <w:rPr>
                <w:rStyle w:val="57"/>
                <w:rFonts w:hint="eastAsia" w:ascii="宋体" w:hAnsi="宋体" w:cs="宋体"/>
                <w:color w:val="auto"/>
                <w:sz w:val="21"/>
                <w:szCs w:val="21"/>
                <w:highlight w:val="none"/>
                <w:lang w:val="en-US" w:eastAsia="zh-CN"/>
              </w:rPr>
              <w:t>招标</w:t>
            </w:r>
            <w:r>
              <w:rPr>
                <w:rStyle w:val="57"/>
                <w:rFonts w:hint="eastAsia" w:ascii="宋体" w:hAnsi="宋体" w:eastAsia="宋体" w:cs="宋体"/>
                <w:color w:val="auto"/>
                <w:sz w:val="21"/>
                <w:szCs w:val="21"/>
                <w:highlight w:val="none"/>
                <w:lang w:val="en-US" w:eastAsia="zh-CN"/>
              </w:rPr>
              <w:t>文件第二章“投标人须知”第3.5.4项的要求在“拟委任的项目负责人资历表”后附相关证明材料；</w:t>
            </w:r>
          </w:p>
          <w:p w14:paraId="5218C10D">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2.投标人须按投标文件中填报的项目负责人进场，否则招标人将取消投标人的中标资格。</w:t>
            </w:r>
            <w:bookmarkEnd w:id="78"/>
          </w:p>
          <w:p w14:paraId="024C48BF">
            <w:pPr>
              <w:pStyle w:val="658"/>
              <w:spacing w:line="440" w:lineRule="exact"/>
              <w:rPr>
                <w:rFonts w:hint="default"/>
                <w:color w:val="auto"/>
                <w:highlight w:val="none"/>
                <w:lang w:val="en-US" w:eastAsia="zh-CN"/>
              </w:rPr>
            </w:pPr>
            <w:r>
              <w:rPr>
                <w:rStyle w:val="57"/>
                <w:rFonts w:hint="eastAsia" w:ascii="宋体" w:hAnsi="宋体" w:eastAsia="宋体" w:cs="宋体"/>
                <w:color w:val="auto"/>
                <w:sz w:val="21"/>
                <w:szCs w:val="21"/>
                <w:highlight w:val="none"/>
                <w:lang w:val="en-US" w:eastAsia="zh-CN"/>
              </w:rPr>
              <w:t>３.无在岗项目 (指目前未在其他项目上任职，或虽在其他项目上任职但本项目中标后能够从该项目撤离)</w:t>
            </w:r>
          </w:p>
        </w:tc>
      </w:tr>
    </w:tbl>
    <w:p w14:paraId="36362D0C">
      <w:pPr>
        <w:adjustRightInd w:val="0"/>
        <w:snapToGrid w:val="0"/>
        <w:spacing w:line="440" w:lineRule="atLeast"/>
        <w:ind w:right="-512" w:rightChars="-244" w:firstLine="422" w:firstLineChars="200"/>
        <w:rPr>
          <w:b/>
          <w:iCs/>
          <w:color w:val="auto"/>
          <w:szCs w:val="21"/>
          <w:highlight w:val="none"/>
        </w:rPr>
      </w:pPr>
    </w:p>
    <w:p w14:paraId="40D9E9B2">
      <w:pPr>
        <w:widowControl/>
        <w:jc w:val="left"/>
        <w:rPr>
          <w:b/>
          <w:iCs/>
          <w:color w:val="auto"/>
          <w:szCs w:val="21"/>
          <w:highlight w:val="none"/>
        </w:rPr>
      </w:pPr>
      <w:r>
        <w:rPr>
          <w:b/>
          <w:iCs/>
          <w:color w:val="auto"/>
          <w:szCs w:val="21"/>
          <w:highlight w:val="none"/>
        </w:rPr>
        <w:br w:type="page"/>
      </w:r>
    </w:p>
    <w:p w14:paraId="28CFE9B5">
      <w:pPr>
        <w:pStyle w:val="2"/>
        <w:spacing w:before="240" w:after="240" w:line="440" w:lineRule="atLeast"/>
        <w:jc w:val="center"/>
        <w:rPr>
          <w:rFonts w:eastAsia="黑体"/>
          <w:color w:val="auto"/>
          <w:sz w:val="28"/>
          <w:szCs w:val="28"/>
          <w:highlight w:val="none"/>
        </w:rPr>
      </w:pPr>
      <w:bookmarkStart w:id="79" w:name="_Toc510015673"/>
      <w:bookmarkStart w:id="80" w:name="_Toc234832868"/>
      <w:r>
        <w:rPr>
          <w:rFonts w:eastAsia="黑体"/>
          <w:color w:val="auto"/>
          <w:sz w:val="28"/>
          <w:szCs w:val="28"/>
          <w:highlight w:val="none"/>
        </w:rPr>
        <w:t>附录5  资格审查条件（其他主要咨询人员最低要求）</w:t>
      </w:r>
      <w:bookmarkEnd w:id="79"/>
      <w:bookmarkEnd w:id="80"/>
    </w:p>
    <w:tbl>
      <w:tblPr>
        <w:tblStyle w:val="55"/>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213"/>
        <w:gridCol w:w="5424"/>
      </w:tblGrid>
      <w:tr w14:paraId="4CF2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40" w:type="dxa"/>
            <w:vAlign w:val="center"/>
          </w:tcPr>
          <w:p w14:paraId="248F4579">
            <w:pPr>
              <w:adjustRightInd w:val="0"/>
              <w:snapToGrid w:val="0"/>
              <w:spacing w:line="300" w:lineRule="auto"/>
              <w:jc w:val="center"/>
              <w:rPr>
                <w:color w:val="auto"/>
                <w:szCs w:val="21"/>
                <w:highlight w:val="none"/>
              </w:rPr>
            </w:pPr>
            <w:r>
              <w:rPr>
                <w:color w:val="auto"/>
                <w:szCs w:val="21"/>
                <w:highlight w:val="none"/>
              </w:rPr>
              <w:t>人  员</w:t>
            </w:r>
          </w:p>
        </w:tc>
        <w:tc>
          <w:tcPr>
            <w:tcW w:w="1213" w:type="dxa"/>
            <w:vAlign w:val="center"/>
          </w:tcPr>
          <w:p w14:paraId="66751435">
            <w:pPr>
              <w:adjustRightInd w:val="0"/>
              <w:snapToGrid w:val="0"/>
              <w:spacing w:line="300" w:lineRule="auto"/>
              <w:jc w:val="center"/>
              <w:rPr>
                <w:color w:val="auto"/>
                <w:szCs w:val="21"/>
                <w:highlight w:val="none"/>
              </w:rPr>
            </w:pPr>
            <w:r>
              <w:rPr>
                <w:color w:val="auto"/>
                <w:szCs w:val="21"/>
                <w:highlight w:val="none"/>
              </w:rPr>
              <w:t>数  量</w:t>
            </w:r>
          </w:p>
        </w:tc>
        <w:tc>
          <w:tcPr>
            <w:tcW w:w="5424" w:type="dxa"/>
            <w:vAlign w:val="center"/>
          </w:tcPr>
          <w:p w14:paraId="7D51D896">
            <w:pPr>
              <w:adjustRightInd w:val="0"/>
              <w:snapToGrid w:val="0"/>
              <w:spacing w:line="300" w:lineRule="auto"/>
              <w:jc w:val="center"/>
              <w:rPr>
                <w:color w:val="auto"/>
                <w:szCs w:val="21"/>
                <w:highlight w:val="none"/>
              </w:rPr>
            </w:pPr>
            <w:r>
              <w:rPr>
                <w:color w:val="auto"/>
                <w:szCs w:val="21"/>
                <w:highlight w:val="none"/>
              </w:rPr>
              <w:t>资 格 要 求</w:t>
            </w:r>
          </w:p>
        </w:tc>
      </w:tr>
      <w:tr w14:paraId="00D2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5" w:hRule="atLeast"/>
          <w:jc w:val="center"/>
        </w:trPr>
        <w:tc>
          <w:tcPr>
            <w:tcW w:w="2140" w:type="dxa"/>
            <w:vAlign w:val="center"/>
          </w:tcPr>
          <w:p w14:paraId="1857DAB0">
            <w:pPr>
              <w:spacing w:line="300" w:lineRule="auto"/>
              <w:jc w:val="center"/>
              <w:rPr>
                <w:color w:val="auto"/>
                <w:szCs w:val="21"/>
                <w:highlight w:val="none"/>
              </w:rPr>
            </w:pPr>
            <w:r>
              <w:rPr>
                <w:rFonts w:hint="eastAsia"/>
                <w:color w:val="auto"/>
                <w:szCs w:val="21"/>
                <w:highlight w:val="none"/>
                <w:lang w:eastAsia="zh-CN"/>
              </w:rPr>
              <w:t>技术负责</w:t>
            </w:r>
            <w:r>
              <w:rPr>
                <w:color w:val="auto"/>
                <w:szCs w:val="21"/>
                <w:highlight w:val="none"/>
              </w:rPr>
              <w:t>人</w:t>
            </w:r>
          </w:p>
        </w:tc>
        <w:tc>
          <w:tcPr>
            <w:tcW w:w="1213" w:type="dxa"/>
            <w:vAlign w:val="center"/>
          </w:tcPr>
          <w:p w14:paraId="48AB8AAE">
            <w:pPr>
              <w:adjustRightInd w:val="0"/>
              <w:snapToGrid w:val="0"/>
              <w:spacing w:line="300" w:lineRule="auto"/>
              <w:jc w:val="center"/>
              <w:rPr>
                <w:rFonts w:hint="eastAsia" w:eastAsia="宋体"/>
                <w:color w:val="auto"/>
                <w:szCs w:val="21"/>
                <w:highlight w:val="none"/>
                <w:lang w:val="en-US" w:eastAsia="zh-CN"/>
              </w:rPr>
            </w:pPr>
            <w:r>
              <w:rPr>
                <w:rFonts w:hint="eastAsia"/>
                <w:color w:val="auto"/>
                <w:szCs w:val="21"/>
                <w:highlight w:val="none"/>
                <w:lang w:val="en-US" w:eastAsia="zh-CN"/>
              </w:rPr>
              <w:t>1</w:t>
            </w:r>
          </w:p>
        </w:tc>
        <w:tc>
          <w:tcPr>
            <w:tcW w:w="5424" w:type="dxa"/>
            <w:vAlign w:val="center"/>
          </w:tcPr>
          <w:p w14:paraId="14A19562">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1、公路工程相关专业工程师及以上职称；</w:t>
            </w:r>
          </w:p>
          <w:p w14:paraId="23F2A0FA">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2、持有交通运输部质量监督机构颁发的试验检测工程师证书（检测专业包含桥梁）且注册单位名称必须与投标人名称一致</w:t>
            </w:r>
            <w:r>
              <w:rPr>
                <w:rStyle w:val="57"/>
                <w:rFonts w:hint="eastAsia" w:ascii="宋体" w:hAnsi="宋体" w:cs="宋体"/>
                <w:color w:val="auto"/>
                <w:sz w:val="21"/>
                <w:szCs w:val="21"/>
                <w:highlight w:val="none"/>
                <w:lang w:val="en-US" w:eastAsia="zh-CN"/>
              </w:rPr>
              <w:t>（提供网页截图）</w:t>
            </w:r>
            <w:r>
              <w:rPr>
                <w:rStyle w:val="57"/>
                <w:rFonts w:hint="eastAsia" w:ascii="宋体" w:hAnsi="宋体" w:eastAsia="宋体" w:cs="宋体"/>
                <w:color w:val="auto"/>
                <w:sz w:val="21"/>
                <w:szCs w:val="21"/>
                <w:highlight w:val="none"/>
                <w:lang w:val="en-US" w:eastAsia="zh-CN"/>
              </w:rPr>
              <w:t>；</w:t>
            </w:r>
          </w:p>
          <w:p w14:paraId="30FB1FC5">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3、最近</w:t>
            </w:r>
            <w:r>
              <w:rPr>
                <w:rStyle w:val="57"/>
                <w:rFonts w:hint="eastAsia" w:ascii="宋体" w:hAnsi="宋体" w:cs="宋体"/>
                <w:color w:val="auto"/>
                <w:sz w:val="21"/>
                <w:szCs w:val="21"/>
                <w:highlight w:val="none"/>
                <w:lang w:val="en-US" w:eastAsia="zh-CN"/>
              </w:rPr>
              <w:t>5</w:t>
            </w:r>
            <w:r>
              <w:rPr>
                <w:rStyle w:val="57"/>
                <w:rFonts w:hint="eastAsia" w:ascii="宋体" w:hAnsi="宋体" w:eastAsia="宋体" w:cs="宋体"/>
                <w:color w:val="auto"/>
                <w:sz w:val="21"/>
                <w:szCs w:val="21"/>
                <w:highlight w:val="none"/>
                <w:lang w:val="en-US" w:eastAsia="zh-CN"/>
              </w:rPr>
              <w:t>年（指递交投标文件截止之日前一日回溯</w:t>
            </w:r>
            <w:r>
              <w:rPr>
                <w:rStyle w:val="57"/>
                <w:rFonts w:hint="eastAsia" w:ascii="宋体" w:hAnsi="宋体" w:cs="宋体"/>
                <w:color w:val="auto"/>
                <w:sz w:val="21"/>
                <w:szCs w:val="21"/>
                <w:highlight w:val="none"/>
                <w:lang w:val="en-US" w:eastAsia="zh-CN"/>
              </w:rPr>
              <w:t>5</w:t>
            </w:r>
            <w:r>
              <w:rPr>
                <w:rStyle w:val="57"/>
                <w:rFonts w:hint="eastAsia" w:ascii="宋体" w:hAnsi="宋体" w:eastAsia="宋体" w:cs="宋体"/>
                <w:color w:val="auto"/>
                <w:sz w:val="21"/>
                <w:szCs w:val="21"/>
                <w:highlight w:val="none"/>
                <w:lang w:val="en-US" w:eastAsia="zh-CN"/>
              </w:rPr>
              <w:t>年）至少担任过1个新建、改（扩）建或大修项目高速公路的试验检测服务项目的项目负责人或技术负责人职务。</w:t>
            </w:r>
          </w:p>
          <w:p w14:paraId="1876F4FA">
            <w:pPr>
              <w:pStyle w:val="658"/>
              <w:spacing w:line="440" w:lineRule="exact"/>
              <w:rPr>
                <w:rStyle w:val="57"/>
                <w:rFonts w:hint="eastAsia" w:ascii="宋体" w:hAnsi="宋体" w:eastAsia="宋体" w:cs="宋体"/>
                <w:color w:val="auto"/>
                <w:sz w:val="21"/>
                <w:szCs w:val="21"/>
                <w:highlight w:val="none"/>
                <w:lang w:val="en-US" w:eastAsia="zh-CN"/>
              </w:rPr>
            </w:pPr>
          </w:p>
          <w:p w14:paraId="1EA8D792">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注：</w:t>
            </w:r>
          </w:p>
          <w:p w14:paraId="0B29BC59">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1.投标人应根据</w:t>
            </w:r>
            <w:r>
              <w:rPr>
                <w:rStyle w:val="57"/>
                <w:rFonts w:hint="eastAsia" w:ascii="宋体" w:hAnsi="宋体" w:cs="宋体"/>
                <w:color w:val="auto"/>
                <w:sz w:val="21"/>
                <w:szCs w:val="21"/>
                <w:highlight w:val="none"/>
                <w:lang w:val="en-US" w:eastAsia="zh-CN"/>
              </w:rPr>
              <w:t>招标</w:t>
            </w:r>
            <w:r>
              <w:rPr>
                <w:rStyle w:val="57"/>
                <w:rFonts w:hint="eastAsia" w:ascii="宋体" w:hAnsi="宋体" w:eastAsia="宋体" w:cs="宋体"/>
                <w:color w:val="auto"/>
                <w:sz w:val="21"/>
                <w:szCs w:val="21"/>
                <w:highlight w:val="none"/>
                <w:lang w:val="en-US" w:eastAsia="zh-CN"/>
              </w:rPr>
              <w:t>文件第二章“投标人须知”第3.5.5项的要求在“拟委任的其他主要咨询人员资历表”后附相关证明材料；</w:t>
            </w:r>
          </w:p>
          <w:p w14:paraId="7850520E">
            <w:pPr>
              <w:pStyle w:val="658"/>
              <w:spacing w:line="440" w:lineRule="exact"/>
              <w:rPr>
                <w:rStyle w:val="57"/>
                <w:rFonts w:hint="eastAsia" w:ascii="宋体" w:hAnsi="宋体" w:eastAsia="宋体" w:cs="宋体"/>
                <w:color w:val="auto"/>
                <w:sz w:val="21"/>
                <w:szCs w:val="21"/>
                <w:highlight w:val="none"/>
                <w:lang w:val="en-US" w:eastAsia="zh-CN"/>
              </w:rPr>
            </w:pPr>
            <w:r>
              <w:rPr>
                <w:rStyle w:val="57"/>
                <w:rFonts w:hint="eastAsia" w:ascii="宋体" w:hAnsi="宋体" w:eastAsia="宋体" w:cs="宋体"/>
                <w:color w:val="auto"/>
                <w:sz w:val="21"/>
                <w:szCs w:val="21"/>
                <w:highlight w:val="none"/>
                <w:lang w:val="en-US" w:eastAsia="zh-CN"/>
              </w:rPr>
              <w:t>2.投标人须按投标文件中填报的</w:t>
            </w:r>
            <w:r>
              <w:rPr>
                <w:rFonts w:hint="eastAsia"/>
                <w:color w:val="auto"/>
                <w:szCs w:val="21"/>
                <w:highlight w:val="none"/>
                <w:lang w:eastAsia="zh-CN"/>
              </w:rPr>
              <w:t>技术负责</w:t>
            </w:r>
            <w:r>
              <w:rPr>
                <w:color w:val="auto"/>
                <w:szCs w:val="21"/>
                <w:highlight w:val="none"/>
              </w:rPr>
              <w:t>人</w:t>
            </w:r>
            <w:r>
              <w:rPr>
                <w:rStyle w:val="57"/>
                <w:rFonts w:hint="eastAsia" w:ascii="宋体" w:hAnsi="宋体" w:eastAsia="宋体" w:cs="宋体"/>
                <w:color w:val="auto"/>
                <w:sz w:val="21"/>
                <w:szCs w:val="21"/>
                <w:highlight w:val="none"/>
                <w:lang w:val="en-US" w:eastAsia="zh-CN"/>
              </w:rPr>
              <w:t>进场，否则招标人将取消投标人的中标资格。</w:t>
            </w:r>
          </w:p>
          <w:p w14:paraId="2A232B40">
            <w:pPr>
              <w:pStyle w:val="658"/>
              <w:spacing w:line="440" w:lineRule="exact"/>
              <w:rPr>
                <w:rFonts w:hint="default"/>
                <w:color w:val="auto"/>
                <w:highlight w:val="none"/>
                <w:lang w:val="en-US" w:eastAsia="zh-CN"/>
              </w:rPr>
            </w:pPr>
            <w:r>
              <w:rPr>
                <w:rStyle w:val="57"/>
                <w:rFonts w:hint="eastAsia" w:ascii="宋体" w:hAnsi="宋体" w:eastAsia="宋体" w:cs="宋体"/>
                <w:color w:val="auto"/>
                <w:sz w:val="21"/>
                <w:szCs w:val="21"/>
                <w:highlight w:val="none"/>
                <w:lang w:val="en-US" w:eastAsia="zh-CN"/>
              </w:rPr>
              <w:t>３.无在岗项目 (指目前未在其他项目上任职，或虽在其他项目上任职但本项目中标后能够从该项目撤离)</w:t>
            </w:r>
          </w:p>
        </w:tc>
      </w:tr>
    </w:tbl>
    <w:p w14:paraId="0FA734B1">
      <w:pPr>
        <w:rPr>
          <w:rFonts w:eastAsia="黑体"/>
          <w:color w:val="auto"/>
          <w:sz w:val="28"/>
          <w:szCs w:val="28"/>
          <w:highlight w:val="none"/>
        </w:rPr>
      </w:pPr>
    </w:p>
    <w:p w14:paraId="1309E339">
      <w:pPr>
        <w:pStyle w:val="34"/>
        <w:rPr>
          <w:rFonts w:eastAsia="黑体"/>
          <w:color w:val="auto"/>
          <w:sz w:val="28"/>
          <w:szCs w:val="28"/>
          <w:highlight w:val="none"/>
        </w:rPr>
      </w:pPr>
    </w:p>
    <w:p w14:paraId="49C433AF">
      <w:pPr>
        <w:rPr>
          <w:rFonts w:eastAsia="黑体"/>
          <w:color w:val="auto"/>
          <w:sz w:val="28"/>
          <w:szCs w:val="28"/>
          <w:highlight w:val="none"/>
        </w:rPr>
      </w:pPr>
    </w:p>
    <w:p w14:paraId="54B45132">
      <w:pPr>
        <w:pStyle w:val="34"/>
        <w:rPr>
          <w:color w:val="auto"/>
          <w:highlight w:val="none"/>
        </w:rPr>
      </w:pPr>
    </w:p>
    <w:p w14:paraId="2FDDD5DE">
      <w:pPr>
        <w:spacing w:line="440" w:lineRule="atLeast"/>
        <w:ind w:firstLine="480" w:firstLineChars="200"/>
        <w:rPr>
          <w:color w:val="auto"/>
          <w:sz w:val="24"/>
          <w:highlight w:val="none"/>
        </w:rPr>
      </w:pPr>
    </w:p>
    <w:p w14:paraId="4B7BE636">
      <w:pPr>
        <w:pStyle w:val="2"/>
        <w:spacing w:before="240" w:after="240" w:line="440" w:lineRule="atLeast"/>
        <w:rPr>
          <w:rFonts w:eastAsia="黑体"/>
          <w:b w:val="0"/>
          <w:color w:val="auto"/>
          <w:sz w:val="28"/>
          <w:szCs w:val="28"/>
          <w:highlight w:val="none"/>
        </w:rPr>
      </w:pPr>
      <w:r>
        <w:rPr>
          <w:color w:val="auto"/>
          <w:sz w:val="24"/>
          <w:highlight w:val="none"/>
        </w:rPr>
        <w:br w:type="page"/>
      </w:r>
      <w:bookmarkStart w:id="81" w:name="_Toc510015674"/>
      <w:bookmarkStart w:id="82" w:name="_Toc503235741"/>
      <w:bookmarkStart w:id="83" w:name="_Toc234832870"/>
      <w:r>
        <w:rPr>
          <w:rFonts w:eastAsia="黑体"/>
          <w:b w:val="0"/>
          <w:color w:val="auto"/>
          <w:sz w:val="28"/>
          <w:szCs w:val="28"/>
          <w:highlight w:val="none"/>
        </w:rPr>
        <w:t>1. 总则</w:t>
      </w:r>
      <w:bookmarkEnd w:id="81"/>
      <w:bookmarkEnd w:id="82"/>
    </w:p>
    <w:p w14:paraId="3D656AD4">
      <w:pPr>
        <w:pStyle w:val="2"/>
        <w:spacing w:before="240" w:after="240" w:line="440" w:lineRule="atLeast"/>
        <w:rPr>
          <w:rFonts w:eastAsia="黑体"/>
          <w:b w:val="0"/>
          <w:color w:val="auto"/>
          <w:sz w:val="24"/>
          <w:szCs w:val="24"/>
          <w:highlight w:val="none"/>
        </w:rPr>
      </w:pPr>
      <w:bookmarkStart w:id="84" w:name="_Toc503235742"/>
      <w:bookmarkStart w:id="85" w:name="_Toc510015675"/>
      <w:r>
        <w:rPr>
          <w:rFonts w:eastAsia="黑体"/>
          <w:b w:val="0"/>
          <w:color w:val="auto"/>
          <w:sz w:val="24"/>
          <w:szCs w:val="24"/>
          <w:highlight w:val="none"/>
        </w:rPr>
        <w:t>1.1 项目概况</w:t>
      </w:r>
      <w:bookmarkEnd w:id="84"/>
      <w:bookmarkEnd w:id="85"/>
    </w:p>
    <w:p w14:paraId="3505CB7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根据《中华人民共和国招标投标法》《中华人民共和国招标投标法实施条例》《公路工程建设项目招标投标管理办法》等有关法律、法规和规章的规定，本招项目已具备招标条件，现对本标段咨询服务进行招标。</w:t>
      </w:r>
    </w:p>
    <w:p w14:paraId="3A683133">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本招标项目招标人：见投标人须知前附表。</w:t>
      </w:r>
    </w:p>
    <w:p w14:paraId="67E7C84B">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本标段招标代理机构：见投标人须知前附表。</w:t>
      </w:r>
    </w:p>
    <w:p w14:paraId="3CE5F94D">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本招标项目名称：见投标人须知前附表。</w:t>
      </w:r>
    </w:p>
    <w:p w14:paraId="66B98EB5">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本标段建设地点：见投标人须知前附表。</w:t>
      </w:r>
    </w:p>
    <w:p w14:paraId="6E1AFAC2">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1.1.6 本标段建设规模：见投标人须知前附表。</w:t>
      </w:r>
    </w:p>
    <w:p w14:paraId="1810FC7E">
      <w:pPr>
        <w:spacing w:line="440" w:lineRule="atLeast"/>
        <w:ind w:firstLine="480" w:firstLineChars="200"/>
        <w:rPr>
          <w:color w:val="auto"/>
          <w:sz w:val="24"/>
          <w:highlight w:val="none"/>
        </w:rPr>
      </w:pPr>
      <w:r>
        <w:rPr>
          <w:rFonts w:hint="eastAsia" w:ascii="宋体" w:hAnsi="宋体" w:eastAsia="宋体" w:cs="宋体"/>
          <w:color w:val="auto"/>
          <w:sz w:val="24"/>
          <w:highlight w:val="none"/>
        </w:rPr>
        <w:t>1.1.7 招标项目施工预计开工日期和建设</w:t>
      </w:r>
      <w:r>
        <w:rPr>
          <w:color w:val="auto"/>
          <w:sz w:val="24"/>
          <w:highlight w:val="none"/>
        </w:rPr>
        <w:t>周期：见投标人须知前附表。</w:t>
      </w:r>
    </w:p>
    <w:p w14:paraId="6909D1F3">
      <w:pPr>
        <w:pStyle w:val="2"/>
        <w:spacing w:before="240" w:after="240" w:line="440" w:lineRule="atLeast"/>
        <w:rPr>
          <w:rFonts w:eastAsia="黑体"/>
          <w:b w:val="0"/>
          <w:color w:val="auto"/>
          <w:sz w:val="24"/>
          <w:szCs w:val="24"/>
          <w:highlight w:val="none"/>
        </w:rPr>
      </w:pPr>
      <w:bookmarkStart w:id="86" w:name="_Toc510015676"/>
      <w:bookmarkStart w:id="87" w:name="_Toc503235743"/>
      <w:r>
        <w:rPr>
          <w:rFonts w:eastAsia="黑体"/>
          <w:b w:val="0"/>
          <w:color w:val="auto"/>
          <w:sz w:val="24"/>
          <w:szCs w:val="24"/>
          <w:highlight w:val="none"/>
        </w:rPr>
        <w:t>1.2 招标项目的资金来源和落实情况</w:t>
      </w:r>
      <w:bookmarkEnd w:id="86"/>
      <w:bookmarkEnd w:id="87"/>
      <w:r>
        <w:rPr>
          <w:rFonts w:eastAsia="黑体"/>
          <w:b w:val="0"/>
          <w:color w:val="auto"/>
          <w:sz w:val="24"/>
          <w:szCs w:val="24"/>
          <w:highlight w:val="none"/>
        </w:rPr>
        <w:t xml:space="preserve"> </w:t>
      </w:r>
    </w:p>
    <w:p w14:paraId="2556350A">
      <w:pPr>
        <w:spacing w:line="440" w:lineRule="atLeast"/>
        <w:ind w:firstLine="480" w:firstLineChars="200"/>
        <w:rPr>
          <w:color w:val="auto"/>
          <w:sz w:val="24"/>
          <w:highlight w:val="none"/>
        </w:rPr>
      </w:pPr>
      <w:r>
        <w:rPr>
          <w:color w:val="auto"/>
          <w:sz w:val="24"/>
          <w:highlight w:val="none"/>
        </w:rPr>
        <w:t>1.2.1 资金来源及比例：见投标人须知前附表。</w:t>
      </w:r>
    </w:p>
    <w:p w14:paraId="4B2E4B0B">
      <w:pPr>
        <w:spacing w:line="440" w:lineRule="atLeast"/>
        <w:ind w:firstLine="480" w:firstLineChars="200"/>
        <w:rPr>
          <w:color w:val="auto"/>
          <w:sz w:val="24"/>
          <w:highlight w:val="none"/>
        </w:rPr>
      </w:pPr>
      <w:r>
        <w:rPr>
          <w:color w:val="auto"/>
          <w:sz w:val="24"/>
          <w:highlight w:val="none"/>
        </w:rPr>
        <w:t>1.2.2 资金落实情况：见投标人须知前附表。</w:t>
      </w:r>
    </w:p>
    <w:p w14:paraId="0F57A519">
      <w:pPr>
        <w:pStyle w:val="2"/>
        <w:spacing w:before="240" w:after="240" w:line="440" w:lineRule="atLeast"/>
        <w:rPr>
          <w:rFonts w:eastAsia="黑体"/>
          <w:b w:val="0"/>
          <w:color w:val="auto"/>
          <w:sz w:val="24"/>
          <w:szCs w:val="24"/>
          <w:highlight w:val="none"/>
        </w:rPr>
      </w:pPr>
      <w:bookmarkStart w:id="88" w:name="_Toc503235744"/>
      <w:bookmarkStart w:id="89" w:name="_Toc510015677"/>
      <w:r>
        <w:rPr>
          <w:rFonts w:eastAsia="黑体"/>
          <w:b w:val="0"/>
          <w:color w:val="auto"/>
          <w:sz w:val="24"/>
          <w:szCs w:val="24"/>
          <w:highlight w:val="none"/>
        </w:rPr>
        <w:t>1.3 招标范围、咨询服务期限、质量要求、安全目标</w:t>
      </w:r>
      <w:bookmarkEnd w:id="88"/>
      <w:bookmarkEnd w:id="89"/>
    </w:p>
    <w:p w14:paraId="1EC374E2">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 招标范围：见投标人须知前附表。</w:t>
      </w:r>
    </w:p>
    <w:p w14:paraId="154717A5">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 本标段的咨询服务期限：见投标人须知前附表。</w:t>
      </w:r>
    </w:p>
    <w:p w14:paraId="47DBE672">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 本标段的质量要求：见投标人须知前附表。</w:t>
      </w:r>
    </w:p>
    <w:p w14:paraId="5D54FB81">
      <w:pPr>
        <w:spacing w:line="440" w:lineRule="atLeast"/>
        <w:ind w:firstLine="480" w:firstLineChars="200"/>
        <w:rPr>
          <w:rFonts w:eastAsia="隶书"/>
          <w:color w:val="auto"/>
          <w:sz w:val="24"/>
          <w:highlight w:val="none"/>
        </w:rPr>
      </w:pPr>
      <w:r>
        <w:rPr>
          <w:rFonts w:hint="eastAsia" w:ascii="宋体" w:hAnsi="宋体" w:eastAsia="宋体" w:cs="宋体"/>
          <w:color w:val="auto"/>
          <w:sz w:val="24"/>
          <w:highlight w:val="none"/>
        </w:rPr>
        <w:t>1.3.4 本标段的安全目标：见投标人须知前附表</w:t>
      </w:r>
      <w:r>
        <w:rPr>
          <w:rFonts w:eastAsia="隶书"/>
          <w:color w:val="auto"/>
          <w:sz w:val="24"/>
          <w:highlight w:val="none"/>
        </w:rPr>
        <w:t>。</w:t>
      </w:r>
    </w:p>
    <w:p w14:paraId="119ACA1E">
      <w:pPr>
        <w:pStyle w:val="2"/>
        <w:spacing w:before="240" w:after="240" w:line="440" w:lineRule="atLeast"/>
        <w:rPr>
          <w:rFonts w:eastAsia="黑体"/>
          <w:b w:val="0"/>
          <w:color w:val="auto"/>
          <w:sz w:val="24"/>
          <w:szCs w:val="24"/>
          <w:highlight w:val="none"/>
        </w:rPr>
      </w:pPr>
      <w:bookmarkStart w:id="90" w:name="_Toc503235745"/>
      <w:bookmarkStart w:id="91" w:name="_Toc510015678"/>
      <w:r>
        <w:rPr>
          <w:rFonts w:eastAsia="黑体"/>
          <w:b w:val="0"/>
          <w:color w:val="auto"/>
          <w:sz w:val="24"/>
          <w:szCs w:val="24"/>
          <w:highlight w:val="none"/>
        </w:rPr>
        <w:t>1.4 投标人资格要求（适用于已进行资格预审的）</w:t>
      </w:r>
      <w:bookmarkEnd w:id="90"/>
      <w:bookmarkEnd w:id="91"/>
    </w:p>
    <w:p w14:paraId="329A3187">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投标人应是收到招标人发出投标邀请书的单位。</w:t>
      </w:r>
    </w:p>
    <w:p w14:paraId="713ADA69">
      <w:pPr>
        <w:pStyle w:val="2"/>
        <w:spacing w:before="240" w:after="240" w:line="440" w:lineRule="atLeast"/>
        <w:rPr>
          <w:rFonts w:eastAsia="黑体"/>
          <w:b w:val="0"/>
          <w:color w:val="auto"/>
          <w:sz w:val="24"/>
          <w:szCs w:val="24"/>
          <w:highlight w:val="none"/>
        </w:rPr>
      </w:pPr>
      <w:bookmarkStart w:id="92" w:name="_Toc503235746"/>
      <w:bookmarkStart w:id="93" w:name="_Toc510015679"/>
      <w:r>
        <w:rPr>
          <w:rFonts w:eastAsia="黑体"/>
          <w:b w:val="0"/>
          <w:color w:val="auto"/>
          <w:sz w:val="24"/>
          <w:szCs w:val="24"/>
          <w:highlight w:val="none"/>
        </w:rPr>
        <w:t>1.4 投标人资格要求（适用于未进行资格预审的）</w:t>
      </w:r>
      <w:bookmarkEnd w:id="92"/>
      <w:bookmarkEnd w:id="93"/>
    </w:p>
    <w:p w14:paraId="5715B2EA">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投标人应具备承担本标段咨询服务的资质条件、能力和信誉。</w:t>
      </w:r>
    </w:p>
    <w:p w14:paraId="3BAFA25F">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（1）资质要求：见投标人须知前附表； </w:t>
      </w:r>
    </w:p>
    <w:p w14:paraId="3A39E289">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（2）业绩要求：见投标人须知前附表；</w:t>
      </w:r>
    </w:p>
    <w:p w14:paraId="5EA5DC7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（3）信誉要求：见投标人须知前附表；</w:t>
      </w:r>
    </w:p>
    <w:p w14:paraId="57F55AE2">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（4）项目负责人资格：见投标人须知前附表；</w:t>
      </w:r>
    </w:p>
    <w:p w14:paraId="3B7A56B2">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（5）其他要求：见投标人须知前附表。</w:t>
      </w:r>
    </w:p>
    <w:p w14:paraId="63BC5433">
      <w:pPr>
        <w:spacing w:line="440" w:lineRule="atLeast"/>
        <w:ind w:firstLine="480" w:firstLineChars="200"/>
        <w:rPr>
          <w:color w:val="auto"/>
          <w:sz w:val="24"/>
          <w:highlight w:val="none"/>
        </w:rPr>
      </w:pPr>
      <w:r>
        <w:rPr>
          <w:color w:val="auto"/>
          <w:sz w:val="24"/>
          <w:highlight w:val="none"/>
        </w:rPr>
        <w:t>需要提交的相关证明材料见本章第3.5款的规定。</w:t>
      </w:r>
    </w:p>
    <w:p w14:paraId="0051C33A">
      <w:pPr>
        <w:spacing w:line="440" w:lineRule="atLeast"/>
        <w:ind w:firstLine="480" w:firstLineChars="200"/>
        <w:rPr>
          <w:color w:val="auto"/>
          <w:sz w:val="24"/>
          <w:highlight w:val="none"/>
        </w:rPr>
      </w:pPr>
      <w:r>
        <w:rPr>
          <w:color w:val="auto"/>
          <w:sz w:val="24"/>
          <w:highlight w:val="none"/>
        </w:rPr>
        <w:t xml:space="preserve">1.4.2 投标人须知前附表规定接受联合体投标的，联合体除应符合本章第1.4.1项和投标人须知前附表的要求外，还应遵守以下规定： </w:t>
      </w:r>
    </w:p>
    <w:p w14:paraId="6C3A2C3C">
      <w:pPr>
        <w:spacing w:line="440" w:lineRule="atLeast"/>
        <w:ind w:firstLine="480" w:firstLineChars="200"/>
        <w:rPr>
          <w:color w:val="auto"/>
          <w:sz w:val="24"/>
          <w:highlight w:val="none"/>
        </w:rPr>
      </w:pPr>
      <w:r>
        <w:rPr>
          <w:color w:val="auto"/>
          <w:sz w:val="24"/>
          <w:highlight w:val="none"/>
        </w:rPr>
        <w:t>（1）联合体各方应按招标文件提供的格式签订联合体协议书，明确联合体牵头人和各方权利义务，并承诺就中标项目向招标人承担连带责任；</w:t>
      </w:r>
    </w:p>
    <w:p w14:paraId="64D6025E">
      <w:pPr>
        <w:spacing w:line="440" w:lineRule="atLeast"/>
        <w:ind w:firstLine="480" w:firstLineChars="200"/>
        <w:rPr>
          <w:color w:val="auto"/>
          <w:sz w:val="24"/>
          <w:highlight w:val="none"/>
        </w:rPr>
      </w:pPr>
      <w:r>
        <w:rPr>
          <w:color w:val="auto"/>
          <w:sz w:val="24"/>
          <w:highlight w:val="none"/>
        </w:rPr>
        <w:t>（2）由同一专业的单位组成的联合体，按照资质等级较低的单位确定资质等级；</w:t>
      </w:r>
    </w:p>
    <w:p w14:paraId="4122BB6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（3）联合体各方不得再以自己名义单独或参加其他联合体在同一标段中投标；</w:t>
      </w:r>
    </w:p>
    <w:p w14:paraId="72205DE3">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51EBD7A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（5）尽管委任了联合体牵头人，但联合体各成员在投标、签订合同与履行合同过程中，仍负有连带的和各自的法律责任。</w:t>
      </w:r>
    </w:p>
    <w:p w14:paraId="4A91992F">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 投标人（包括联合体各成员）不得与本标段相关单位存在下列关联情形：</w:t>
      </w:r>
    </w:p>
    <w:p w14:paraId="7683F59B">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（1）为招标人不具有独立法人资格的附属机构（单位）；</w:t>
      </w:r>
    </w:p>
    <w:p w14:paraId="09CD594D">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（2）与招标人存在利害关系且可能影响招标公正性；</w:t>
      </w:r>
    </w:p>
    <w:p w14:paraId="7D5EBA11">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（3）与本标段的其他投标人同为一个单位负责人；</w:t>
      </w:r>
    </w:p>
    <w:p w14:paraId="05DAAFD5">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（4）与本标段的其他投标人存在控股、管理关系；</w:t>
      </w:r>
    </w:p>
    <w:p w14:paraId="71B84E79">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（5）为本标段的代建人； </w:t>
      </w:r>
    </w:p>
    <w:p w14:paraId="2857B11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（6）为本标段的招标代理机构；</w:t>
      </w:r>
    </w:p>
    <w:p w14:paraId="45CF5D0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（7）与本标段的代建人或招标代理机构同为一个法定代表人；</w:t>
      </w:r>
    </w:p>
    <w:p w14:paraId="57DB8F5E">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（8）与本标段的代建人或招标代理机构存在控股或参股关系；</w:t>
      </w:r>
    </w:p>
    <w:p w14:paraId="08D7E7A9">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（9）法律法规或投标人须知前附表规定的其他情形。</w:t>
      </w:r>
    </w:p>
    <w:p w14:paraId="7321DA0F">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1.4.4 投标人（包括联合体各成员）不得存在下列不良状况或不良信用记录：</w:t>
      </w:r>
    </w:p>
    <w:p w14:paraId="6C4374EC">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（1）被省级及以上交通运输主管部门取消招标项目所在地的投标资格且处于有效期内；</w:t>
      </w:r>
    </w:p>
    <w:p w14:paraId="7C6DCD5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（2）被责令停业，暂扣或吊销执照，或吊销资质证书；</w:t>
      </w:r>
    </w:p>
    <w:p w14:paraId="7DBFD451">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（3）进入清算程序，或被宣告破产，或其他丧失履约能力的情形；</w:t>
      </w:r>
    </w:p>
    <w:p w14:paraId="6CCBAE04">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（4）在国家企业信用信息公示系统（http://www.gsxt.gov.cn/）中被列入严重违法失信企业名单；</w:t>
      </w:r>
    </w:p>
    <w:p w14:paraId="7D42E681">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（5）在“信用中国”网站（http://www.creditchina.gov.cn/）中被列入失信被执行人名单；</w:t>
      </w:r>
    </w:p>
    <w:p w14:paraId="699B0461">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（6）投标人或其法定代表人、拟委任的项目负责人在近三年内有行贿犯罪行为的（行贿犯罪行为的认定以检察机关职务犯罪预防部门出具的查询结果为准）；</w:t>
      </w:r>
    </w:p>
    <w:p w14:paraId="4951D4D5">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（7）法律法规或投标人须知前附表规定的其他情形。</w:t>
      </w:r>
    </w:p>
    <w:p w14:paraId="6537CF78">
      <w:pPr>
        <w:pStyle w:val="2"/>
        <w:spacing w:before="240" w:after="240" w:line="440" w:lineRule="atLeast"/>
        <w:rPr>
          <w:rFonts w:eastAsia="黑体"/>
          <w:b w:val="0"/>
          <w:color w:val="auto"/>
          <w:sz w:val="24"/>
          <w:szCs w:val="24"/>
          <w:highlight w:val="none"/>
        </w:rPr>
      </w:pPr>
      <w:bookmarkStart w:id="94" w:name="_Toc503235747"/>
      <w:bookmarkStart w:id="95" w:name="_Toc510015680"/>
      <w:r>
        <w:rPr>
          <w:rFonts w:eastAsia="黑体"/>
          <w:b w:val="0"/>
          <w:color w:val="auto"/>
          <w:sz w:val="24"/>
          <w:szCs w:val="24"/>
          <w:highlight w:val="none"/>
        </w:rPr>
        <w:t>1.5 费用承担</w:t>
      </w:r>
      <w:bookmarkEnd w:id="94"/>
      <w:bookmarkEnd w:id="95"/>
    </w:p>
    <w:p w14:paraId="30403DBB">
      <w:pPr>
        <w:spacing w:line="440" w:lineRule="atLeast"/>
        <w:ind w:firstLine="480" w:firstLineChars="200"/>
        <w:rPr>
          <w:color w:val="auto"/>
          <w:sz w:val="24"/>
          <w:highlight w:val="none"/>
        </w:rPr>
      </w:pPr>
      <w:r>
        <w:rPr>
          <w:color w:val="auto"/>
          <w:sz w:val="24"/>
          <w:highlight w:val="none"/>
        </w:rPr>
        <w:t>投标人准备和参加投标活动发生的费用自理。</w:t>
      </w:r>
    </w:p>
    <w:p w14:paraId="1F0EC272">
      <w:pPr>
        <w:pStyle w:val="2"/>
        <w:spacing w:before="240" w:after="240" w:line="440" w:lineRule="atLeast"/>
        <w:rPr>
          <w:rFonts w:eastAsia="黑体"/>
          <w:b w:val="0"/>
          <w:color w:val="auto"/>
          <w:sz w:val="24"/>
          <w:szCs w:val="24"/>
          <w:highlight w:val="none"/>
        </w:rPr>
      </w:pPr>
      <w:bookmarkStart w:id="96" w:name="_Toc510015681"/>
      <w:bookmarkStart w:id="97" w:name="_Toc503235748"/>
      <w:r>
        <w:rPr>
          <w:rFonts w:eastAsia="黑体"/>
          <w:b w:val="0"/>
          <w:color w:val="auto"/>
          <w:sz w:val="24"/>
          <w:szCs w:val="24"/>
          <w:highlight w:val="none"/>
        </w:rPr>
        <w:t>1.6 保密</w:t>
      </w:r>
      <w:bookmarkEnd w:id="96"/>
      <w:bookmarkEnd w:id="97"/>
    </w:p>
    <w:p w14:paraId="518BAED0">
      <w:pPr>
        <w:spacing w:line="440" w:lineRule="atLeast"/>
        <w:ind w:firstLine="480" w:firstLineChars="200"/>
        <w:rPr>
          <w:color w:val="auto"/>
          <w:sz w:val="24"/>
          <w:highlight w:val="none"/>
        </w:rPr>
      </w:pPr>
      <w:r>
        <w:rPr>
          <w:color w:val="auto"/>
          <w:sz w:val="24"/>
          <w:highlight w:val="none"/>
        </w:rPr>
        <w:t>参与招标投标活动的各方应对招标文件和投标文件中的商业和技术等秘密保密，否则应承担相应的法律责任。</w:t>
      </w:r>
    </w:p>
    <w:p w14:paraId="2D5E8B7C">
      <w:pPr>
        <w:pStyle w:val="2"/>
        <w:spacing w:before="240" w:after="240" w:line="440" w:lineRule="atLeast"/>
        <w:rPr>
          <w:rFonts w:eastAsia="黑体"/>
          <w:b w:val="0"/>
          <w:color w:val="auto"/>
          <w:sz w:val="24"/>
          <w:szCs w:val="24"/>
          <w:highlight w:val="none"/>
        </w:rPr>
      </w:pPr>
      <w:bookmarkStart w:id="98" w:name="_Toc503235749"/>
      <w:bookmarkStart w:id="99" w:name="_Toc510015682"/>
      <w:r>
        <w:rPr>
          <w:rFonts w:eastAsia="黑体"/>
          <w:b w:val="0"/>
          <w:color w:val="auto"/>
          <w:sz w:val="24"/>
          <w:szCs w:val="24"/>
          <w:highlight w:val="none"/>
        </w:rPr>
        <w:t>1.7 语言文字</w:t>
      </w:r>
      <w:bookmarkEnd w:id="98"/>
      <w:bookmarkEnd w:id="99"/>
    </w:p>
    <w:p w14:paraId="561B3FC4">
      <w:pPr>
        <w:spacing w:line="440" w:lineRule="atLeast"/>
        <w:ind w:firstLine="480" w:firstLineChars="200"/>
        <w:rPr>
          <w:b/>
          <w:bCs/>
          <w:color w:val="auto"/>
          <w:sz w:val="24"/>
          <w:highlight w:val="none"/>
        </w:rPr>
      </w:pPr>
      <w:r>
        <w:rPr>
          <w:color w:val="auto"/>
          <w:sz w:val="24"/>
          <w:highlight w:val="none"/>
        </w:rPr>
        <w:t>招标投标文件使用的语言文字为中文。专用术语使用外文的，应附有中文注释。</w:t>
      </w:r>
    </w:p>
    <w:p w14:paraId="0126CE89">
      <w:pPr>
        <w:pStyle w:val="2"/>
        <w:spacing w:before="240" w:after="240" w:line="440" w:lineRule="atLeast"/>
        <w:rPr>
          <w:rFonts w:eastAsia="黑体"/>
          <w:b w:val="0"/>
          <w:color w:val="auto"/>
          <w:sz w:val="24"/>
          <w:szCs w:val="24"/>
          <w:highlight w:val="none"/>
        </w:rPr>
      </w:pPr>
      <w:bookmarkStart w:id="100" w:name="_Toc510015683"/>
      <w:bookmarkStart w:id="101" w:name="_Toc503235750"/>
      <w:r>
        <w:rPr>
          <w:rFonts w:eastAsia="黑体"/>
          <w:b w:val="0"/>
          <w:color w:val="auto"/>
          <w:sz w:val="24"/>
          <w:szCs w:val="24"/>
          <w:highlight w:val="none"/>
        </w:rPr>
        <w:t>1.8 计量单位</w:t>
      </w:r>
      <w:bookmarkEnd w:id="100"/>
      <w:bookmarkEnd w:id="101"/>
    </w:p>
    <w:p w14:paraId="4A3A71B8">
      <w:pPr>
        <w:spacing w:line="440" w:lineRule="atLeast"/>
        <w:ind w:firstLine="480" w:firstLineChars="200"/>
        <w:rPr>
          <w:color w:val="auto"/>
          <w:sz w:val="24"/>
          <w:highlight w:val="none"/>
        </w:rPr>
      </w:pPr>
      <w:r>
        <w:rPr>
          <w:color w:val="auto"/>
          <w:sz w:val="24"/>
          <w:highlight w:val="none"/>
        </w:rPr>
        <w:t>所有计量均采用中华人民共和国法定计量单位。</w:t>
      </w:r>
    </w:p>
    <w:p w14:paraId="3993C6DF">
      <w:pPr>
        <w:pStyle w:val="2"/>
        <w:spacing w:before="240" w:after="240" w:line="440" w:lineRule="atLeast"/>
        <w:rPr>
          <w:rFonts w:eastAsia="黑体"/>
          <w:b w:val="0"/>
          <w:color w:val="auto"/>
          <w:sz w:val="24"/>
          <w:szCs w:val="24"/>
          <w:highlight w:val="none"/>
        </w:rPr>
      </w:pPr>
      <w:bookmarkStart w:id="102" w:name="_Toc510015684"/>
      <w:bookmarkStart w:id="103" w:name="_Toc503235751"/>
      <w:r>
        <w:rPr>
          <w:rFonts w:eastAsia="黑体"/>
          <w:b w:val="0"/>
          <w:color w:val="auto"/>
          <w:sz w:val="24"/>
          <w:szCs w:val="24"/>
          <w:highlight w:val="none"/>
        </w:rPr>
        <w:t>1.9 踏勘现场</w:t>
      </w:r>
      <w:bookmarkEnd w:id="102"/>
      <w:bookmarkEnd w:id="103"/>
    </w:p>
    <w:p w14:paraId="78B8D137">
      <w:pPr>
        <w:spacing w:line="440" w:lineRule="atLeast"/>
        <w:ind w:firstLine="480" w:firstLineChars="200"/>
        <w:rPr>
          <w:color w:val="auto"/>
          <w:sz w:val="24"/>
          <w:highlight w:val="none"/>
        </w:rPr>
      </w:pPr>
      <w:r>
        <w:rPr>
          <w:rFonts w:hint="eastAsia" w:ascii="宋体" w:hAnsi="宋体" w:eastAsia="宋体" w:cs="宋体"/>
          <w:color w:val="auto"/>
          <w:sz w:val="24"/>
          <w:highlight w:val="none"/>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3EDEC5D8">
      <w:pPr>
        <w:spacing w:line="440" w:lineRule="atLeast"/>
        <w:ind w:firstLine="480" w:firstLineChars="200"/>
        <w:rPr>
          <w:color w:val="auto"/>
          <w:sz w:val="24"/>
          <w:highlight w:val="none"/>
        </w:rPr>
      </w:pPr>
      <w:r>
        <w:rPr>
          <w:color w:val="auto"/>
          <w:sz w:val="24"/>
          <w:highlight w:val="none"/>
        </w:rPr>
        <w:t>1.9.2 投标人踏勘现场发生的费用自理。</w:t>
      </w:r>
    </w:p>
    <w:p w14:paraId="5E2A26ED">
      <w:pPr>
        <w:spacing w:line="440" w:lineRule="atLeast"/>
        <w:ind w:firstLine="480" w:firstLineChars="200"/>
        <w:rPr>
          <w:color w:val="auto"/>
          <w:sz w:val="24"/>
          <w:highlight w:val="none"/>
        </w:rPr>
      </w:pPr>
      <w:r>
        <w:rPr>
          <w:color w:val="auto"/>
          <w:sz w:val="24"/>
          <w:highlight w:val="none"/>
        </w:rPr>
        <w:t>1.9.3 除招标人的原因外，投标人自行负责在踏勘现场中所发生的人员伤亡和财产损失。</w:t>
      </w:r>
    </w:p>
    <w:p w14:paraId="3ADE8168">
      <w:pPr>
        <w:spacing w:line="440" w:lineRule="atLeast"/>
        <w:ind w:firstLine="480" w:firstLineChars="200"/>
        <w:rPr>
          <w:color w:val="auto"/>
          <w:sz w:val="24"/>
          <w:highlight w:val="none"/>
        </w:rPr>
      </w:pPr>
      <w:r>
        <w:rPr>
          <w:color w:val="auto"/>
          <w:sz w:val="24"/>
          <w:highlight w:val="none"/>
        </w:rPr>
        <w:t>1.9.4 招标人在踏勘现场中介绍的工程场地和相关的周边环境情况，供投标人在编制投标文件时参考，招标人不对投标人据此作出的判断和决策负责。</w:t>
      </w:r>
    </w:p>
    <w:p w14:paraId="511733CD">
      <w:pPr>
        <w:pStyle w:val="2"/>
        <w:spacing w:before="240" w:after="240" w:line="440" w:lineRule="atLeast"/>
        <w:rPr>
          <w:rFonts w:eastAsia="黑体"/>
          <w:b w:val="0"/>
          <w:color w:val="auto"/>
          <w:sz w:val="24"/>
          <w:szCs w:val="24"/>
          <w:highlight w:val="none"/>
        </w:rPr>
      </w:pPr>
      <w:bookmarkStart w:id="104" w:name="_Toc503235752"/>
      <w:bookmarkStart w:id="105" w:name="_Toc510015685"/>
      <w:r>
        <w:rPr>
          <w:rFonts w:eastAsia="黑体"/>
          <w:b w:val="0"/>
          <w:color w:val="auto"/>
          <w:sz w:val="24"/>
          <w:szCs w:val="24"/>
          <w:highlight w:val="none"/>
        </w:rPr>
        <w:t>1.10 投标预备会</w:t>
      </w:r>
      <w:bookmarkEnd w:id="104"/>
      <w:bookmarkEnd w:id="105"/>
    </w:p>
    <w:p w14:paraId="73297576">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1.10.1 第一章“招标公告”或“投标邀请书”规定召开投标预备会的，招标人按规定的时间和地点召开投标预备会，澄清投标人提出的问题。</w:t>
      </w:r>
    </w:p>
    <w:p w14:paraId="3DAAC64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1.10.2 投标人应按投标人须知前附表规定的时间和形式将提出的问题送达招标人，以便招标人在会议期间澄清。</w:t>
      </w:r>
    </w:p>
    <w:p w14:paraId="121440AD">
      <w:pPr>
        <w:spacing w:line="440" w:lineRule="atLeast"/>
        <w:ind w:firstLine="480" w:firstLineChars="200"/>
        <w:rPr>
          <w:color w:val="auto"/>
          <w:sz w:val="24"/>
          <w:highlight w:val="none"/>
        </w:rPr>
      </w:pPr>
      <w:r>
        <w:rPr>
          <w:rFonts w:hint="eastAsia" w:ascii="宋体" w:hAnsi="宋体" w:eastAsia="宋体" w:cs="宋体"/>
          <w:color w:val="auto"/>
          <w:sz w:val="24"/>
          <w:highlight w:val="none"/>
        </w:rPr>
        <w:t>1.10.3 投标预备会后，招标人将对投标人所提问题的澄清，以本章第2.2款规定的形式通知所有购买招标文件的投标人。该澄</w:t>
      </w:r>
      <w:r>
        <w:rPr>
          <w:color w:val="auto"/>
          <w:sz w:val="24"/>
          <w:highlight w:val="none"/>
        </w:rPr>
        <w:t>清内容为招标文件的组成部分。</w:t>
      </w:r>
    </w:p>
    <w:p w14:paraId="6A6580C2">
      <w:pPr>
        <w:pStyle w:val="2"/>
        <w:spacing w:before="240" w:after="240" w:line="440" w:lineRule="atLeast"/>
        <w:rPr>
          <w:rFonts w:eastAsia="黑体"/>
          <w:b w:val="0"/>
          <w:color w:val="auto"/>
          <w:sz w:val="24"/>
          <w:szCs w:val="24"/>
          <w:highlight w:val="none"/>
        </w:rPr>
      </w:pPr>
      <w:bookmarkStart w:id="106" w:name="_Toc510015686"/>
      <w:bookmarkStart w:id="107" w:name="_Toc503235753"/>
      <w:r>
        <w:rPr>
          <w:rFonts w:eastAsia="黑体"/>
          <w:b w:val="0"/>
          <w:color w:val="auto"/>
          <w:sz w:val="24"/>
          <w:szCs w:val="24"/>
          <w:highlight w:val="none"/>
        </w:rPr>
        <w:t>1.11 分包</w:t>
      </w:r>
      <w:bookmarkEnd w:id="106"/>
      <w:bookmarkEnd w:id="107"/>
    </w:p>
    <w:p w14:paraId="013A0A47">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1.11.1 投标人拟在中标后将中标项目的非主体、非关键性咨询服务工作进行分包的，应符合以下规定：</w:t>
      </w:r>
    </w:p>
    <w:p w14:paraId="7EC9355C">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（1）分包内容要求：招标人允许分包或不允许分包的工程（如有）应在投标人须知前附表中载明。</w:t>
      </w:r>
    </w:p>
    <w:p w14:paraId="7F2993EE">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（2）接受分包的第三人资格要求：分包人的资格能力应与其分包工程的标准和规模相适应，且具备投标人须知前附表中规定的资格条件。</w:t>
      </w:r>
    </w:p>
    <w:p w14:paraId="35CAF10E">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（3）其他要求：投标人如有分包计划，应按第七章“投标文件格式”的要求填写“拟分包项目情况表”，明确拟分包的工程及规模，且投标人中标后的分包应满足合同条款第4.3款的相关要求。</w:t>
      </w:r>
    </w:p>
    <w:p w14:paraId="4F90B7D9">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 中标人不得向他人转让中标项目，接受分包的人不得再次分包。中标人应就分包项目向招标人负责，接受分包的人就分包项目承担连带责任。</w:t>
      </w:r>
    </w:p>
    <w:p w14:paraId="20855322">
      <w:pPr>
        <w:pStyle w:val="2"/>
        <w:spacing w:before="240" w:after="240" w:line="440" w:lineRule="atLeast"/>
        <w:rPr>
          <w:rFonts w:eastAsia="黑体"/>
          <w:b w:val="0"/>
          <w:color w:val="auto"/>
          <w:sz w:val="24"/>
          <w:szCs w:val="24"/>
          <w:highlight w:val="none"/>
        </w:rPr>
      </w:pPr>
      <w:bookmarkStart w:id="108" w:name="_Toc503235754"/>
      <w:bookmarkStart w:id="109" w:name="_Toc510015687"/>
      <w:r>
        <w:rPr>
          <w:rFonts w:eastAsia="黑体"/>
          <w:b w:val="0"/>
          <w:color w:val="auto"/>
          <w:sz w:val="24"/>
          <w:szCs w:val="24"/>
          <w:highlight w:val="none"/>
        </w:rPr>
        <w:t>1.12 响应和偏差</w:t>
      </w:r>
      <w:bookmarkEnd w:id="108"/>
      <w:bookmarkEnd w:id="109"/>
    </w:p>
    <w:p w14:paraId="75A64DAD">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1.12.1 投标文件偏离招标文件某些要求，视为投标文件存在偏差。偏差包括重大偏差和细微偏差。</w:t>
      </w:r>
    </w:p>
    <w:p w14:paraId="4EDA8F5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1.12.2 投标文件应对招标文件的实质性要求和条件作出满足性或更有利于招标人的响应，否则，视为投标文件存在重大偏差，投标人的投标将被否决。</w:t>
      </w:r>
    </w:p>
    <w:p w14:paraId="715AA772">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投标文件存在第三章“评标办法”中所列任一否决投标情形的，均属于存在重大偏差。</w:t>
      </w:r>
    </w:p>
    <w:p w14:paraId="0B67E275">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1.12.3 投标文件中的下列偏差为细微偏差：</w:t>
      </w:r>
    </w:p>
    <w:p w14:paraId="0E4E9A3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（1）在按照第三章“评标办法”的规定对投标价进行算术性错误修正后，最终投标报价未超过最高投标限价（如有）的情况下，出现第三章“评标办法”规定的算术性错误；</w:t>
      </w:r>
    </w:p>
    <w:p w14:paraId="4B70B26B">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（2）技术建议书不够完善；</w:t>
      </w:r>
    </w:p>
    <w:p w14:paraId="7C0E3B9C">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（3）投标文件页码不连续、采用活页夹装订、个别文字有遗漏错误等不影响投标文件实质性内容的偏差（仅当采用纸质投标文件评标时）。</w:t>
      </w:r>
    </w:p>
    <w:p w14:paraId="33A61BBC">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1.12.4 评标委员会对投标文件中的细微偏差按如下规定处理：</w:t>
      </w:r>
    </w:p>
    <w:p w14:paraId="38266F6A">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（1）对于本章第1.12.3项（1）目所述的细微偏差，按照第三章“评标办法”的规定予以修正并要求投标人进行澄清；</w:t>
      </w:r>
    </w:p>
    <w:p w14:paraId="0EEAC11D">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（2）对于本章第1.12.3项（2）、（3）目所述的细微偏差，可在相关评分因素的评分中酌情扣分。</w:t>
      </w:r>
    </w:p>
    <w:p w14:paraId="727546DF">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1.12.5 投标人应根据招标文件的要求提供技术建议书等内容以对招标文件作出响应。</w:t>
      </w:r>
    </w:p>
    <w:p w14:paraId="67C735ED">
      <w:pPr>
        <w:pStyle w:val="2"/>
        <w:spacing w:before="360" w:after="240" w:line="440" w:lineRule="atLeast"/>
        <w:rPr>
          <w:rFonts w:eastAsia="黑体"/>
          <w:b w:val="0"/>
          <w:color w:val="auto"/>
          <w:sz w:val="28"/>
          <w:szCs w:val="28"/>
          <w:highlight w:val="none"/>
        </w:rPr>
      </w:pPr>
      <w:bookmarkStart w:id="110" w:name="_Toc510015688"/>
      <w:bookmarkStart w:id="111" w:name="_Toc503235755"/>
      <w:r>
        <w:rPr>
          <w:rFonts w:eastAsia="黑体"/>
          <w:b w:val="0"/>
          <w:color w:val="auto"/>
          <w:sz w:val="28"/>
          <w:szCs w:val="28"/>
          <w:highlight w:val="none"/>
        </w:rPr>
        <w:t>2. 招标文件</w:t>
      </w:r>
      <w:bookmarkEnd w:id="110"/>
      <w:bookmarkEnd w:id="111"/>
    </w:p>
    <w:p w14:paraId="356348C1">
      <w:pPr>
        <w:pStyle w:val="2"/>
        <w:spacing w:before="240" w:after="240" w:line="440" w:lineRule="atLeast"/>
        <w:rPr>
          <w:rFonts w:eastAsia="黑体"/>
          <w:b w:val="0"/>
          <w:color w:val="auto"/>
          <w:sz w:val="24"/>
          <w:szCs w:val="24"/>
          <w:highlight w:val="none"/>
        </w:rPr>
      </w:pPr>
      <w:bookmarkStart w:id="112" w:name="_Toc503235756"/>
      <w:bookmarkStart w:id="113" w:name="_Toc510015689"/>
      <w:r>
        <w:rPr>
          <w:rFonts w:eastAsia="黑体"/>
          <w:b w:val="0"/>
          <w:color w:val="auto"/>
          <w:sz w:val="24"/>
          <w:szCs w:val="24"/>
          <w:highlight w:val="none"/>
        </w:rPr>
        <w:t>2.1 招标文件的组成</w:t>
      </w:r>
      <w:bookmarkEnd w:id="112"/>
      <w:bookmarkEnd w:id="113"/>
    </w:p>
    <w:p w14:paraId="35B7FC59">
      <w:pPr>
        <w:spacing w:line="440" w:lineRule="atLeast"/>
        <w:ind w:firstLine="480" w:firstLineChars="200"/>
        <w:rPr>
          <w:color w:val="auto"/>
          <w:sz w:val="24"/>
          <w:highlight w:val="none"/>
        </w:rPr>
      </w:pPr>
      <w:r>
        <w:rPr>
          <w:color w:val="auto"/>
          <w:sz w:val="24"/>
          <w:highlight w:val="none"/>
        </w:rPr>
        <w:t>本招标文件包括：</w:t>
      </w:r>
    </w:p>
    <w:p w14:paraId="4A9372D9">
      <w:pPr>
        <w:spacing w:line="440" w:lineRule="atLeast"/>
        <w:ind w:firstLine="480" w:firstLineChars="200"/>
        <w:rPr>
          <w:color w:val="auto"/>
          <w:sz w:val="24"/>
          <w:highlight w:val="none"/>
        </w:rPr>
      </w:pPr>
      <w:r>
        <w:rPr>
          <w:color w:val="auto"/>
          <w:sz w:val="24"/>
          <w:highlight w:val="none"/>
        </w:rPr>
        <w:t>（1）招标公告（或投标邀请书）；</w:t>
      </w:r>
    </w:p>
    <w:p w14:paraId="2603D93A">
      <w:pPr>
        <w:spacing w:line="440" w:lineRule="atLeast"/>
        <w:ind w:firstLine="480" w:firstLineChars="200"/>
        <w:rPr>
          <w:color w:val="auto"/>
          <w:sz w:val="24"/>
          <w:highlight w:val="none"/>
        </w:rPr>
      </w:pPr>
      <w:r>
        <w:rPr>
          <w:color w:val="auto"/>
          <w:sz w:val="24"/>
          <w:highlight w:val="none"/>
        </w:rPr>
        <w:t>（2）投标人须知；</w:t>
      </w:r>
    </w:p>
    <w:p w14:paraId="42C6504D">
      <w:pPr>
        <w:spacing w:line="440" w:lineRule="atLeast"/>
        <w:ind w:firstLine="480" w:firstLineChars="200"/>
        <w:rPr>
          <w:color w:val="auto"/>
          <w:sz w:val="24"/>
          <w:highlight w:val="none"/>
        </w:rPr>
      </w:pPr>
      <w:r>
        <w:rPr>
          <w:color w:val="auto"/>
          <w:sz w:val="24"/>
          <w:highlight w:val="none"/>
        </w:rPr>
        <w:t>（3）评标办法；</w:t>
      </w:r>
    </w:p>
    <w:p w14:paraId="69FC6B67">
      <w:pPr>
        <w:spacing w:line="440" w:lineRule="atLeast"/>
        <w:ind w:firstLine="480" w:firstLineChars="200"/>
        <w:rPr>
          <w:color w:val="auto"/>
          <w:sz w:val="24"/>
          <w:highlight w:val="none"/>
        </w:rPr>
      </w:pPr>
      <w:r>
        <w:rPr>
          <w:color w:val="auto"/>
          <w:sz w:val="24"/>
          <w:highlight w:val="none"/>
        </w:rPr>
        <w:t>（4）合同条款及格式；</w:t>
      </w:r>
    </w:p>
    <w:p w14:paraId="57ABFEB3">
      <w:pPr>
        <w:spacing w:line="440" w:lineRule="atLeast"/>
        <w:ind w:firstLine="480" w:firstLineChars="200"/>
        <w:rPr>
          <w:color w:val="auto"/>
          <w:sz w:val="24"/>
          <w:highlight w:val="none"/>
        </w:rPr>
      </w:pPr>
      <w:r>
        <w:rPr>
          <w:color w:val="auto"/>
          <w:sz w:val="24"/>
          <w:highlight w:val="none"/>
        </w:rPr>
        <w:t>（5）委托人要求；</w:t>
      </w:r>
    </w:p>
    <w:p w14:paraId="5C0D2950">
      <w:pPr>
        <w:spacing w:line="440" w:lineRule="atLeast"/>
        <w:ind w:firstLine="480" w:firstLineChars="200"/>
        <w:rPr>
          <w:rFonts w:eastAsia="隶书"/>
          <w:color w:val="auto"/>
          <w:sz w:val="24"/>
          <w:highlight w:val="none"/>
        </w:rPr>
      </w:pPr>
      <w:r>
        <w:rPr>
          <w:rFonts w:ascii="Times New Roman" w:hAnsi="Times New Roman" w:eastAsia="宋体" w:cs="Times New Roman"/>
          <w:color w:val="auto"/>
          <w:sz w:val="24"/>
          <w:highlight w:val="none"/>
        </w:rPr>
        <w:t>（6）图纸和资料；</w:t>
      </w:r>
    </w:p>
    <w:p w14:paraId="11C05230">
      <w:pPr>
        <w:spacing w:line="440" w:lineRule="atLeast"/>
        <w:ind w:firstLine="480" w:firstLineChars="200"/>
        <w:rPr>
          <w:color w:val="auto"/>
          <w:sz w:val="24"/>
          <w:highlight w:val="none"/>
        </w:rPr>
      </w:pPr>
      <w:r>
        <w:rPr>
          <w:color w:val="auto"/>
          <w:sz w:val="24"/>
          <w:highlight w:val="none"/>
        </w:rPr>
        <w:t>（7）投标文件格式；</w:t>
      </w:r>
    </w:p>
    <w:p w14:paraId="21A7AE4C">
      <w:pPr>
        <w:spacing w:line="440" w:lineRule="atLeast"/>
        <w:ind w:firstLine="480" w:firstLineChars="200"/>
        <w:rPr>
          <w:color w:val="auto"/>
          <w:sz w:val="24"/>
          <w:highlight w:val="none"/>
        </w:rPr>
      </w:pPr>
      <w:r>
        <w:rPr>
          <w:color w:val="auto"/>
          <w:sz w:val="24"/>
          <w:highlight w:val="none"/>
        </w:rPr>
        <w:t>（8）投标人须知前附表规定的其他资料。</w:t>
      </w:r>
    </w:p>
    <w:p w14:paraId="6E444E7C">
      <w:pPr>
        <w:spacing w:line="440" w:lineRule="atLeast"/>
        <w:ind w:firstLine="480" w:firstLineChars="200"/>
        <w:rPr>
          <w:color w:val="auto"/>
          <w:sz w:val="24"/>
          <w:highlight w:val="none"/>
        </w:rPr>
      </w:pPr>
      <w:r>
        <w:rPr>
          <w:color w:val="auto"/>
          <w:sz w:val="24"/>
          <w:highlight w:val="none"/>
        </w:rPr>
        <w:t>根据本章第1.10款、第2.2款和第2.3款对招标文件所作的澄清、修改，构成招标文件的组成部分。</w:t>
      </w:r>
    </w:p>
    <w:p w14:paraId="2765343B">
      <w:pPr>
        <w:spacing w:line="440" w:lineRule="atLeast"/>
        <w:ind w:firstLine="480" w:firstLineChars="200"/>
        <w:rPr>
          <w:rFonts w:eastAsia="隶书"/>
          <w:color w:val="auto"/>
          <w:sz w:val="24"/>
          <w:highlight w:val="none"/>
        </w:rPr>
      </w:pPr>
      <w:r>
        <w:rPr>
          <w:rFonts w:hint="eastAsia" w:ascii="宋体" w:hAnsi="宋体" w:eastAsia="宋体" w:cs="宋体"/>
          <w:color w:val="auto"/>
          <w:sz w:val="24"/>
          <w:highlight w:val="none"/>
        </w:rPr>
        <w:t>当招标文件、招标文件的澄清或修改等在同一内容的表述上不一致时，以最后发出的书面文件为准。</w:t>
      </w:r>
    </w:p>
    <w:p w14:paraId="7D09B74C">
      <w:pPr>
        <w:pStyle w:val="2"/>
        <w:spacing w:before="240" w:after="240" w:line="440" w:lineRule="atLeast"/>
        <w:rPr>
          <w:rFonts w:eastAsia="黑体"/>
          <w:b w:val="0"/>
          <w:color w:val="auto"/>
          <w:sz w:val="24"/>
          <w:szCs w:val="24"/>
          <w:highlight w:val="none"/>
        </w:rPr>
      </w:pPr>
      <w:bookmarkStart w:id="114" w:name="_Toc510015690"/>
      <w:bookmarkStart w:id="115" w:name="_Toc503235757"/>
      <w:r>
        <w:rPr>
          <w:rFonts w:eastAsia="黑体"/>
          <w:b w:val="0"/>
          <w:color w:val="auto"/>
          <w:sz w:val="24"/>
          <w:szCs w:val="24"/>
          <w:highlight w:val="none"/>
        </w:rPr>
        <w:t>2.2 招标文件的澄清</w:t>
      </w:r>
      <w:bookmarkEnd w:id="114"/>
      <w:bookmarkEnd w:id="115"/>
    </w:p>
    <w:p w14:paraId="14E4A41C">
      <w:pPr>
        <w:spacing w:line="440" w:lineRule="atLeast"/>
        <w:ind w:firstLine="480" w:firstLineChars="200"/>
        <w:rPr>
          <w:color w:val="auto"/>
          <w:sz w:val="24"/>
          <w:highlight w:val="none"/>
        </w:rPr>
      </w:pPr>
      <w:r>
        <w:rPr>
          <w:color w:val="auto"/>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C041B90">
      <w:pPr>
        <w:spacing w:line="440" w:lineRule="atLeast"/>
        <w:ind w:firstLine="480" w:firstLineChars="200"/>
        <w:rPr>
          <w:color w:val="auto"/>
          <w:sz w:val="24"/>
          <w:highlight w:val="none"/>
        </w:rPr>
      </w:pPr>
      <w:r>
        <w:rPr>
          <w:color w:val="auto"/>
          <w:sz w:val="24"/>
          <w:highlight w:val="none"/>
        </w:rPr>
        <w:t>2.2.2 招标文件的澄清以投标人须知前附表规定的形式发给所有购买招标文件的投标人，但不指明澄清问题的来源。澄清发出的时间距</w:t>
      </w:r>
      <w:r>
        <w:rPr>
          <w:rFonts w:hint="eastAsia"/>
          <w:color w:val="auto"/>
          <w:sz w:val="24"/>
          <w:highlight w:val="none"/>
        </w:rPr>
        <w:t>第一章“招标公告”或“投标邀请书”</w:t>
      </w:r>
      <w:r>
        <w:rPr>
          <w:color w:val="auto"/>
          <w:sz w:val="24"/>
          <w:highlight w:val="none"/>
        </w:rPr>
        <w:t>规定的投标截止时间不足15日，且澄清内容可能影响投标文件编制的，将相应延长投标截止时间。</w:t>
      </w:r>
    </w:p>
    <w:p w14:paraId="020933D3">
      <w:pPr>
        <w:spacing w:line="440" w:lineRule="atLeast"/>
        <w:ind w:firstLine="480" w:firstLineChars="200"/>
        <w:rPr>
          <w:color w:val="auto"/>
          <w:sz w:val="24"/>
          <w:highlight w:val="none"/>
        </w:rPr>
      </w:pPr>
      <w:r>
        <w:rPr>
          <w:color w:val="auto"/>
          <w:sz w:val="24"/>
          <w:highlight w:val="none"/>
        </w:rPr>
        <w:t>2.2.3 投标人在收到澄清后，应按投标人须知前附表规定的时间和形式通知招标人，确认已收到该澄清。</w:t>
      </w:r>
    </w:p>
    <w:p w14:paraId="50ADCFF5">
      <w:pPr>
        <w:spacing w:line="440" w:lineRule="atLeast"/>
        <w:ind w:firstLine="480" w:firstLineChars="200"/>
        <w:rPr>
          <w:color w:val="auto"/>
          <w:sz w:val="24"/>
          <w:highlight w:val="none"/>
        </w:rPr>
      </w:pPr>
      <w:r>
        <w:rPr>
          <w:color w:val="auto"/>
          <w:sz w:val="24"/>
          <w:highlight w:val="none"/>
        </w:rPr>
        <w:t>2.2.4 除非招标人认为确有必要答复，否则，招标人有权拒绝回复投标人在本章第2.2.1项规定的时间后提出的任何澄清要求。</w:t>
      </w:r>
    </w:p>
    <w:p w14:paraId="009E84C0">
      <w:pPr>
        <w:pStyle w:val="2"/>
        <w:spacing w:before="240" w:after="240" w:line="440" w:lineRule="atLeast"/>
        <w:rPr>
          <w:rFonts w:eastAsia="黑体"/>
          <w:b w:val="0"/>
          <w:color w:val="auto"/>
          <w:sz w:val="24"/>
          <w:szCs w:val="24"/>
          <w:highlight w:val="none"/>
        </w:rPr>
      </w:pPr>
      <w:bookmarkStart w:id="116" w:name="_Toc510015691"/>
      <w:bookmarkStart w:id="117" w:name="_Toc503235758"/>
      <w:r>
        <w:rPr>
          <w:rFonts w:eastAsia="黑体"/>
          <w:b w:val="0"/>
          <w:color w:val="auto"/>
          <w:sz w:val="24"/>
          <w:szCs w:val="24"/>
          <w:highlight w:val="none"/>
        </w:rPr>
        <w:t>2.3 招标文件的修改</w:t>
      </w:r>
      <w:bookmarkEnd w:id="116"/>
      <w:bookmarkEnd w:id="117"/>
    </w:p>
    <w:p w14:paraId="2A48702D">
      <w:pPr>
        <w:spacing w:line="440" w:lineRule="atLeast"/>
        <w:ind w:firstLine="480" w:firstLineChars="200"/>
        <w:rPr>
          <w:color w:val="auto"/>
          <w:sz w:val="24"/>
          <w:highlight w:val="none"/>
        </w:rPr>
      </w:pPr>
      <w:r>
        <w:rPr>
          <w:color w:val="auto"/>
          <w:sz w:val="24"/>
          <w:highlight w:val="none"/>
        </w:rPr>
        <w:t>2.3.1 招标人以投标人须知前附表规定的形式修改招标文件，并通知所有已购买招标文件的投标人。修改招标文件的时间距</w:t>
      </w:r>
      <w:r>
        <w:rPr>
          <w:rFonts w:hint="eastAsia"/>
          <w:color w:val="auto"/>
          <w:sz w:val="24"/>
          <w:highlight w:val="none"/>
        </w:rPr>
        <w:t>第一章“招标公告”或“投标邀请书”规定</w:t>
      </w:r>
      <w:r>
        <w:rPr>
          <w:color w:val="auto"/>
          <w:sz w:val="24"/>
          <w:highlight w:val="none"/>
        </w:rPr>
        <w:t>的投标截止时间不足15日，且修改内容可能影响投标文件编制的，将相应延长投标截止时间。</w:t>
      </w:r>
    </w:p>
    <w:p w14:paraId="28B1CB08">
      <w:pPr>
        <w:spacing w:line="440" w:lineRule="atLeast"/>
        <w:ind w:firstLine="480" w:firstLineChars="200"/>
        <w:rPr>
          <w:color w:val="auto"/>
          <w:sz w:val="24"/>
          <w:highlight w:val="none"/>
        </w:rPr>
      </w:pPr>
      <w:r>
        <w:rPr>
          <w:color w:val="auto"/>
          <w:sz w:val="24"/>
          <w:highlight w:val="none"/>
        </w:rPr>
        <w:t>2.3.2 投标人收到修改内容后，应按投标人须知前附表规定的时间和形式通知招标人，确认已收到该修改。</w:t>
      </w:r>
    </w:p>
    <w:p w14:paraId="5FB360BF">
      <w:pPr>
        <w:pStyle w:val="2"/>
        <w:spacing w:before="240" w:after="240" w:line="440" w:lineRule="atLeast"/>
        <w:rPr>
          <w:rFonts w:eastAsia="黑体"/>
          <w:b w:val="0"/>
          <w:color w:val="auto"/>
          <w:sz w:val="24"/>
          <w:szCs w:val="24"/>
          <w:highlight w:val="none"/>
        </w:rPr>
      </w:pPr>
      <w:bookmarkStart w:id="118" w:name="_Toc503235759"/>
      <w:bookmarkStart w:id="119" w:name="_Toc510015692"/>
      <w:r>
        <w:rPr>
          <w:rFonts w:eastAsia="黑体"/>
          <w:b w:val="0"/>
          <w:color w:val="auto"/>
          <w:sz w:val="24"/>
          <w:szCs w:val="24"/>
          <w:highlight w:val="none"/>
        </w:rPr>
        <w:t>2.4 招标文件的异议</w:t>
      </w:r>
      <w:bookmarkEnd w:id="118"/>
      <w:bookmarkEnd w:id="119"/>
    </w:p>
    <w:p w14:paraId="580AE150">
      <w:pPr>
        <w:spacing w:line="440" w:lineRule="atLeast"/>
        <w:ind w:firstLine="480" w:firstLineChars="200"/>
        <w:rPr>
          <w:color w:val="auto"/>
          <w:sz w:val="24"/>
          <w:highlight w:val="none"/>
        </w:rPr>
      </w:pPr>
      <w:r>
        <w:rPr>
          <w:color w:val="auto"/>
          <w:sz w:val="24"/>
          <w:highlight w:val="none"/>
        </w:rPr>
        <w:t>投标人或其他利害关系人对招标文件有异议的，应在投标截止时间10日前以书面形式提出。招标人将在收到异议之日起3日内作出答复；作出答复前，将暂停招标投标活动。</w:t>
      </w:r>
    </w:p>
    <w:p w14:paraId="6D1043B1">
      <w:pPr>
        <w:pStyle w:val="2"/>
        <w:spacing w:before="360" w:after="240" w:line="440" w:lineRule="atLeast"/>
        <w:rPr>
          <w:rFonts w:eastAsia="黑体"/>
          <w:b w:val="0"/>
          <w:color w:val="auto"/>
          <w:sz w:val="28"/>
          <w:szCs w:val="28"/>
          <w:highlight w:val="none"/>
        </w:rPr>
      </w:pPr>
      <w:bookmarkStart w:id="120" w:name="_Toc510015693"/>
      <w:bookmarkStart w:id="121" w:name="_Toc503235760"/>
      <w:r>
        <w:rPr>
          <w:rFonts w:eastAsia="黑体"/>
          <w:b w:val="0"/>
          <w:color w:val="auto"/>
          <w:sz w:val="28"/>
          <w:szCs w:val="28"/>
          <w:highlight w:val="none"/>
        </w:rPr>
        <w:t>3. 投标文件</w:t>
      </w:r>
      <w:bookmarkEnd w:id="120"/>
      <w:bookmarkEnd w:id="121"/>
    </w:p>
    <w:p w14:paraId="1A00176A">
      <w:pPr>
        <w:pStyle w:val="2"/>
        <w:spacing w:before="240" w:after="240" w:line="440" w:lineRule="atLeast"/>
        <w:rPr>
          <w:rFonts w:eastAsia="黑体"/>
          <w:b w:val="0"/>
          <w:color w:val="auto"/>
          <w:sz w:val="24"/>
          <w:szCs w:val="24"/>
          <w:highlight w:val="none"/>
        </w:rPr>
      </w:pPr>
      <w:bookmarkStart w:id="122" w:name="_Toc503235761"/>
      <w:bookmarkStart w:id="123" w:name="_Toc510015694"/>
      <w:r>
        <w:rPr>
          <w:rFonts w:eastAsia="黑体"/>
          <w:b w:val="0"/>
          <w:color w:val="auto"/>
          <w:sz w:val="24"/>
          <w:szCs w:val="24"/>
          <w:highlight w:val="none"/>
        </w:rPr>
        <w:t>3.1 投标文件的组成</w:t>
      </w:r>
      <w:bookmarkEnd w:id="122"/>
      <w:bookmarkEnd w:id="123"/>
    </w:p>
    <w:p w14:paraId="362CC1A5">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 投标文件应采用双信封形式，包括下列内容：</w:t>
      </w:r>
    </w:p>
    <w:p w14:paraId="340CF3A7">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第一个信封（商务及技术文件）：</w:t>
      </w:r>
    </w:p>
    <w:p w14:paraId="4E5F111A">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w:t>
      </w:r>
    </w:p>
    <w:p w14:paraId="50699C54">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（2）联合体协议书；</w:t>
      </w:r>
    </w:p>
    <w:p w14:paraId="49FE8B39">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（3）投标保证金； </w:t>
      </w:r>
    </w:p>
    <w:p w14:paraId="5906534E">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（4）拟分包项目情况表； </w:t>
      </w:r>
    </w:p>
    <w:p w14:paraId="07C4A76A">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（5）资格审查资料；</w:t>
      </w:r>
    </w:p>
    <w:p w14:paraId="31F907AF">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（6）技术建议书；</w:t>
      </w:r>
    </w:p>
    <w:p w14:paraId="12105ECF">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（7）投标人须知前附表规定的其他资料。</w:t>
      </w:r>
    </w:p>
    <w:p w14:paraId="1BA91B8C">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第二个信封（报价文件）：</w:t>
      </w:r>
    </w:p>
    <w:p w14:paraId="64D14E61">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w:t>
      </w:r>
    </w:p>
    <w:p w14:paraId="51CC14BA">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（2）咨询服务费用清单。</w:t>
      </w:r>
    </w:p>
    <w:p w14:paraId="04216287">
      <w:pPr>
        <w:spacing w:line="440" w:lineRule="atLeast"/>
        <w:ind w:firstLine="480" w:firstLineChars="200"/>
        <w:rPr>
          <w:rFonts w:eastAsia="隶书"/>
          <w:color w:val="auto"/>
          <w:sz w:val="24"/>
          <w:highlight w:val="none"/>
        </w:rPr>
      </w:pPr>
      <w:r>
        <w:rPr>
          <w:rFonts w:hint="eastAsia" w:ascii="宋体" w:hAnsi="宋体" w:eastAsia="宋体" w:cs="宋体"/>
          <w:color w:val="auto"/>
          <w:sz w:val="24"/>
          <w:highlight w:val="none"/>
        </w:rPr>
        <w:t>（3）投标人须知前附表规定的其他资料。</w:t>
      </w:r>
    </w:p>
    <w:p w14:paraId="26C20F7A">
      <w:pPr>
        <w:spacing w:line="440" w:lineRule="atLeast"/>
        <w:ind w:firstLine="480" w:firstLineChars="200"/>
        <w:rPr>
          <w:color w:val="auto"/>
          <w:sz w:val="24"/>
          <w:highlight w:val="none"/>
        </w:rPr>
      </w:pPr>
      <w:r>
        <w:rPr>
          <w:color w:val="auto"/>
          <w:sz w:val="24"/>
          <w:highlight w:val="none"/>
        </w:rPr>
        <w:t>投标人在评标过程中作出的符合法律法规和招标文件规定的澄清确认，构成投标文件的组成部分。</w:t>
      </w:r>
    </w:p>
    <w:p w14:paraId="5B6EE659">
      <w:pPr>
        <w:spacing w:line="440" w:lineRule="atLeast"/>
        <w:ind w:firstLine="480" w:firstLineChars="200"/>
        <w:rPr>
          <w:color w:val="auto"/>
          <w:sz w:val="24"/>
          <w:highlight w:val="none"/>
        </w:rPr>
      </w:pPr>
      <w:r>
        <w:rPr>
          <w:color w:val="auto"/>
          <w:sz w:val="24"/>
          <w:highlight w:val="none"/>
        </w:rPr>
        <w:t>3.1.2 投标人须知前附表规定不接受联合体投标的，或投标人没有组成联合体的，投标文件不包括本章第3.1.1（2）目所指的联合体协议书。</w:t>
      </w:r>
    </w:p>
    <w:p w14:paraId="31D1F3F4">
      <w:pPr>
        <w:spacing w:line="440" w:lineRule="atLeast"/>
        <w:ind w:firstLine="480" w:firstLineChars="200"/>
        <w:rPr>
          <w:color w:val="auto"/>
          <w:sz w:val="24"/>
          <w:highlight w:val="none"/>
        </w:rPr>
      </w:pPr>
      <w:r>
        <w:rPr>
          <w:color w:val="auto"/>
          <w:sz w:val="24"/>
          <w:highlight w:val="none"/>
        </w:rPr>
        <w:t>3.1.3 投标人须知前附表未要求提交投标保证金的，投标文件不包括本章第3.1.1（3）目所指的投标保证金。</w:t>
      </w:r>
    </w:p>
    <w:p w14:paraId="227F9221">
      <w:pPr>
        <w:pStyle w:val="2"/>
        <w:spacing w:before="240" w:after="240" w:line="440" w:lineRule="atLeast"/>
        <w:rPr>
          <w:rFonts w:eastAsia="黑体"/>
          <w:b w:val="0"/>
          <w:color w:val="auto"/>
          <w:sz w:val="24"/>
          <w:szCs w:val="24"/>
          <w:highlight w:val="none"/>
        </w:rPr>
      </w:pPr>
      <w:bookmarkStart w:id="124" w:name="_Toc510015695"/>
      <w:bookmarkStart w:id="125" w:name="_Toc503235762"/>
      <w:r>
        <w:rPr>
          <w:rFonts w:eastAsia="黑体"/>
          <w:b w:val="0"/>
          <w:color w:val="auto"/>
          <w:sz w:val="24"/>
          <w:szCs w:val="24"/>
          <w:highlight w:val="none"/>
        </w:rPr>
        <w:t>3.2 投标报价</w:t>
      </w:r>
      <w:bookmarkEnd w:id="124"/>
      <w:bookmarkEnd w:id="125"/>
      <w:r>
        <w:rPr>
          <w:rFonts w:eastAsia="黑体"/>
          <w:b w:val="0"/>
          <w:color w:val="auto"/>
          <w:sz w:val="24"/>
          <w:szCs w:val="24"/>
          <w:highlight w:val="none"/>
        </w:rPr>
        <w:t xml:space="preserve"> </w:t>
      </w:r>
    </w:p>
    <w:p w14:paraId="651C9C15">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 投标报价应包括国家规定的增值税税金，除投标人须知前附表另有规定外，增值税税金按一般计税方法计算。投标人应按第七章“投标文件格式”的要求在投标函中进行报价并填写咨询服务费用清单相应表格。</w:t>
      </w:r>
    </w:p>
    <w:p w14:paraId="2A11B50C">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 投标人应充分了解本项目的总体情况以及影响投标报价的其他要素，按照招标文件规定的咨询服务工作内容和计划工作量，自行测算咨询服务费用。投标报价应涵盖投标人完成咨询工作所需的全部费用。</w:t>
      </w:r>
    </w:p>
    <w:p w14:paraId="09DC6A07">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投标人应按照“投标文件格式”中“咨询服务费用清单”的要求填报咨询服务费。投标人未填报的部分，在工程实施时委托人将不予支付，并认为该部分费用已包含在报价中。</w:t>
      </w:r>
    </w:p>
    <w:p w14:paraId="10993904">
      <w:pPr>
        <w:spacing w:line="440" w:lineRule="atLeast"/>
        <w:ind w:firstLine="480" w:firstLineChars="200"/>
        <w:rPr>
          <w:color w:val="auto"/>
          <w:sz w:val="24"/>
          <w:highlight w:val="none"/>
        </w:rPr>
      </w:pPr>
      <w:r>
        <w:rPr>
          <w:color w:val="auto"/>
          <w:sz w:val="24"/>
          <w:highlight w:val="none"/>
        </w:rPr>
        <w:t>3.2.3</w:t>
      </w:r>
      <w:bookmarkStart w:id="126" w:name="_Toc384308224"/>
      <w:bookmarkEnd w:id="126"/>
      <w:bookmarkStart w:id="127" w:name="_Toc369531530"/>
      <w:bookmarkEnd w:id="127"/>
      <w:bookmarkStart w:id="128" w:name="_Toc152045543"/>
      <w:bookmarkEnd w:id="128"/>
      <w:bookmarkStart w:id="129" w:name="_Toc247527568"/>
      <w:bookmarkEnd w:id="129"/>
      <w:bookmarkStart w:id="130" w:name="_Toc300834964"/>
      <w:bookmarkEnd w:id="130"/>
      <w:bookmarkStart w:id="131" w:name="_Toc352691487"/>
      <w:bookmarkEnd w:id="131"/>
      <w:bookmarkStart w:id="132" w:name="_Toc144974511"/>
      <w:bookmarkEnd w:id="132"/>
      <w:bookmarkStart w:id="133" w:name="_Toc247513967"/>
      <w:bookmarkEnd w:id="133"/>
      <w:bookmarkStart w:id="134" w:name="_Toc361508599"/>
      <w:bookmarkEnd w:id="134"/>
      <w:bookmarkStart w:id="135" w:name="_Toc152042319"/>
      <w:bookmarkEnd w:id="135"/>
      <w:bookmarkStart w:id="136" w:name="_Toc15242"/>
      <w:bookmarkEnd w:id="136"/>
      <w:r>
        <w:rPr>
          <w:color w:val="auto"/>
          <w:sz w:val="24"/>
          <w:highlight w:val="none"/>
        </w:rPr>
        <w:t xml:space="preserve"> 本项目的报价方式见投标人须知前附表。投标人在投标截止时间前修改投标函中的投标报价总额，应同时修改投标文件“</w:t>
      </w:r>
      <w:r>
        <w:rPr>
          <w:rFonts w:eastAsia="隶书"/>
          <w:color w:val="auto"/>
          <w:sz w:val="24"/>
          <w:highlight w:val="none"/>
        </w:rPr>
        <w:t>咨询服务费用清单</w:t>
      </w:r>
      <w:r>
        <w:rPr>
          <w:color w:val="auto"/>
          <w:sz w:val="24"/>
          <w:highlight w:val="none"/>
        </w:rPr>
        <w:t>”中的相应报价。此修改须符合本章第4.3款的有关要求。</w:t>
      </w:r>
    </w:p>
    <w:p w14:paraId="7E1C317D">
      <w:pPr>
        <w:spacing w:line="440" w:lineRule="atLeast"/>
        <w:ind w:firstLine="480" w:firstLineChars="200"/>
        <w:rPr>
          <w:color w:val="auto"/>
          <w:sz w:val="24"/>
          <w:highlight w:val="none"/>
        </w:rPr>
      </w:pPr>
      <w:r>
        <w:rPr>
          <w:color w:val="auto"/>
          <w:sz w:val="24"/>
          <w:highlight w:val="none"/>
        </w:rPr>
        <w:t>3.2.4 招标人设有最高投标限价的，投标人的投标报价不得超过最高投标限价，最高投标限价在投标</w:t>
      </w:r>
      <w:bookmarkStart w:id="137" w:name="_Toc152045544"/>
      <w:bookmarkStart w:id="138" w:name="_Toc300834965"/>
      <w:bookmarkStart w:id="139" w:name="_Toc247513968"/>
      <w:bookmarkStart w:id="140" w:name="_Toc247527569"/>
      <w:bookmarkStart w:id="141" w:name="_Toc152042320"/>
      <w:bookmarkStart w:id="142" w:name="_Toc361508600"/>
      <w:bookmarkStart w:id="143" w:name="_Toc384308225"/>
      <w:bookmarkStart w:id="144" w:name="_Toc10429"/>
      <w:bookmarkStart w:id="145" w:name="_Toc369531531"/>
      <w:bookmarkStart w:id="146" w:name="_Toc144974512"/>
      <w:bookmarkStart w:id="147" w:name="_Toc352691488"/>
      <w:r>
        <w:rPr>
          <w:color w:val="auto"/>
          <w:sz w:val="24"/>
          <w:highlight w:val="none"/>
        </w:rPr>
        <w:t>人须知前附表中载明。</w:t>
      </w:r>
      <w:bookmarkEnd w:id="137"/>
      <w:bookmarkEnd w:id="138"/>
      <w:bookmarkEnd w:id="139"/>
      <w:bookmarkEnd w:id="140"/>
      <w:bookmarkEnd w:id="141"/>
      <w:bookmarkEnd w:id="142"/>
      <w:bookmarkEnd w:id="143"/>
      <w:bookmarkEnd w:id="144"/>
      <w:bookmarkEnd w:id="145"/>
      <w:bookmarkEnd w:id="146"/>
      <w:bookmarkEnd w:id="147"/>
    </w:p>
    <w:p w14:paraId="1F97CD7F">
      <w:pPr>
        <w:spacing w:line="440" w:lineRule="atLeast"/>
        <w:ind w:firstLine="480" w:firstLineChars="200"/>
        <w:rPr>
          <w:color w:val="auto"/>
          <w:sz w:val="24"/>
          <w:highlight w:val="none"/>
        </w:rPr>
      </w:pPr>
      <w:r>
        <w:rPr>
          <w:color w:val="auto"/>
          <w:sz w:val="24"/>
          <w:highlight w:val="none"/>
        </w:rPr>
        <w:t>3.2.5 投标报价的其他要求见投标人须知前附表。</w:t>
      </w:r>
    </w:p>
    <w:p w14:paraId="5B8F8491">
      <w:pPr>
        <w:pStyle w:val="2"/>
        <w:spacing w:before="240" w:after="240" w:line="440" w:lineRule="atLeast"/>
        <w:rPr>
          <w:rFonts w:eastAsia="黑体"/>
          <w:b w:val="0"/>
          <w:color w:val="auto"/>
          <w:sz w:val="24"/>
          <w:szCs w:val="24"/>
          <w:highlight w:val="none"/>
        </w:rPr>
      </w:pPr>
      <w:bookmarkStart w:id="148" w:name="_Toc503235763"/>
      <w:bookmarkStart w:id="149" w:name="_Toc510015696"/>
      <w:r>
        <w:rPr>
          <w:rFonts w:eastAsia="黑体"/>
          <w:b w:val="0"/>
          <w:color w:val="auto"/>
          <w:sz w:val="24"/>
          <w:szCs w:val="24"/>
          <w:highlight w:val="none"/>
        </w:rPr>
        <w:t>3.3 投标有效期</w:t>
      </w:r>
      <w:bookmarkEnd w:id="148"/>
      <w:bookmarkEnd w:id="149"/>
    </w:p>
    <w:p w14:paraId="5B136A1C">
      <w:pPr>
        <w:spacing w:line="440" w:lineRule="atLeast"/>
        <w:ind w:firstLine="480" w:firstLineChars="200"/>
        <w:rPr>
          <w:color w:val="auto"/>
          <w:sz w:val="24"/>
          <w:highlight w:val="none"/>
        </w:rPr>
      </w:pPr>
      <w:r>
        <w:rPr>
          <w:color w:val="auto"/>
          <w:sz w:val="24"/>
          <w:highlight w:val="none"/>
        </w:rPr>
        <w:t>3.3.1 除投标人须知前附表另有规定外，投标有效期为90日。</w:t>
      </w:r>
    </w:p>
    <w:p w14:paraId="51DBB354">
      <w:pPr>
        <w:spacing w:line="440" w:lineRule="atLeast"/>
        <w:ind w:firstLine="480" w:firstLineChars="200"/>
        <w:rPr>
          <w:color w:val="auto"/>
          <w:sz w:val="24"/>
          <w:highlight w:val="none"/>
        </w:rPr>
      </w:pPr>
      <w:r>
        <w:rPr>
          <w:color w:val="auto"/>
          <w:sz w:val="24"/>
          <w:highlight w:val="none"/>
        </w:rPr>
        <w:t>3.3.2 在投标有效期内，投标人撤销投标文件的，应承担招标文件和法律规定的责任。</w:t>
      </w:r>
    </w:p>
    <w:p w14:paraId="0EC91648">
      <w:pPr>
        <w:spacing w:line="440" w:lineRule="atLeast"/>
        <w:ind w:firstLine="480" w:firstLineChars="200"/>
        <w:rPr>
          <w:rFonts w:hint="eastAsia" w:ascii="宋体" w:hAnsi="宋体" w:eastAsia="宋体" w:cs="宋体"/>
          <w:color w:val="auto"/>
          <w:sz w:val="24"/>
          <w:highlight w:val="none"/>
        </w:rPr>
      </w:pPr>
      <w:r>
        <w:rPr>
          <w:color w:val="auto"/>
          <w:sz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w:t>
      </w:r>
      <w:r>
        <w:rPr>
          <w:rFonts w:hint="eastAsia" w:ascii="宋体" w:hAnsi="宋体" w:eastAsia="宋体" w:cs="宋体"/>
          <w:color w:val="auto"/>
          <w:sz w:val="24"/>
          <w:highlight w:val="none"/>
        </w:rPr>
        <w:t>银行同期活期存款利息。</w:t>
      </w:r>
    </w:p>
    <w:p w14:paraId="5C496F7F">
      <w:pPr>
        <w:pStyle w:val="2"/>
        <w:spacing w:before="240" w:after="240" w:line="440" w:lineRule="atLeast"/>
        <w:rPr>
          <w:rFonts w:eastAsia="黑体"/>
          <w:b w:val="0"/>
          <w:color w:val="auto"/>
          <w:sz w:val="24"/>
          <w:szCs w:val="24"/>
          <w:highlight w:val="none"/>
        </w:rPr>
      </w:pPr>
      <w:bookmarkStart w:id="150" w:name="_Toc510015697"/>
      <w:bookmarkStart w:id="151" w:name="_Toc503235764"/>
      <w:r>
        <w:rPr>
          <w:rFonts w:eastAsia="黑体"/>
          <w:b w:val="0"/>
          <w:color w:val="auto"/>
          <w:sz w:val="24"/>
          <w:szCs w:val="24"/>
          <w:highlight w:val="none"/>
        </w:rPr>
        <w:t>3.4 投标保证金</w:t>
      </w:r>
      <w:bookmarkEnd w:id="150"/>
      <w:bookmarkEnd w:id="151"/>
    </w:p>
    <w:p w14:paraId="5ABD141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 投标人在递交投标文件的同时，应按投标人须知前附表规定的金额</w:t>
      </w:r>
      <w:r>
        <w:rPr>
          <w:rFonts w:hint="eastAsia" w:ascii="宋体" w:hAnsi="宋体" w:eastAsia="宋体" w:cs="宋体"/>
          <w:color w:val="auto"/>
          <w:sz w:val="24"/>
          <w:highlight w:val="none"/>
          <w:vertAlign w:val="superscript"/>
        </w:rPr>
        <w:footnoteReference w:id="0"/>
      </w:r>
      <w:r>
        <w:rPr>
          <w:rFonts w:hint="eastAsia" w:ascii="宋体" w:hAnsi="宋体" w:eastAsia="宋体" w:cs="宋体"/>
          <w:color w:val="auto"/>
          <w:sz w:val="24"/>
          <w:highlight w:val="none"/>
        </w:rPr>
        <w:t>和第七章“投标文件格式”规定的投标保证金格式递交投标保证金，并作为其投标文件的组成部分。联合体投标的，其投标保证金由牵头人递交，并应符合投标人须知前附表的规定。</w:t>
      </w:r>
    </w:p>
    <w:p w14:paraId="73CEE266">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投标保证金应采用现金、支票、银行保函或招标人在投标人须知前附表规定的其他形式。</w:t>
      </w:r>
    </w:p>
    <w:p w14:paraId="51094B59">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29417DDF">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（2）若采用银行保函，则应由符合投标人须知前附表规定级别的银行开具，并采用招标文件提供的格式。银行保函复印件装订在投标文件内，原件应在递交投标文件截止时间之前单独密封递交给招标人。</w:t>
      </w:r>
    </w:p>
    <w:p w14:paraId="2E01954B">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无论采取何种形式的投标保证金，投标保证金有效期均应与投标有效期一致。招标人如果按本章第3.3.3项的规定延长了投标有效期，则投标保证金的有效期也相应延长。</w:t>
      </w:r>
    </w:p>
    <w:p w14:paraId="403B1655">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3.4.2 投标人不按本章第3.4.1项要求提交投标保证金的，评标委员会将否决其投标。</w:t>
      </w:r>
    </w:p>
    <w:p w14:paraId="5996F7F5">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310C0DAD">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利息计算原则见投标人须知前附表。</w:t>
      </w:r>
    </w:p>
    <w:p w14:paraId="7EF64BC5">
      <w:pPr>
        <w:spacing w:line="440" w:lineRule="atLeast"/>
        <w:ind w:firstLine="480" w:firstLineChars="200"/>
        <w:rPr>
          <w:color w:val="auto"/>
          <w:sz w:val="24"/>
          <w:highlight w:val="none"/>
        </w:rPr>
      </w:pPr>
      <w:r>
        <w:rPr>
          <w:color w:val="auto"/>
          <w:sz w:val="24"/>
          <w:highlight w:val="none"/>
        </w:rPr>
        <w:t>3.4.4 有下列情形之一的，投标保证金将不予退还：</w:t>
      </w:r>
    </w:p>
    <w:p w14:paraId="722D3F0B">
      <w:pPr>
        <w:spacing w:line="440" w:lineRule="atLeast"/>
        <w:ind w:firstLine="480" w:firstLineChars="200"/>
        <w:rPr>
          <w:color w:val="auto"/>
          <w:sz w:val="24"/>
          <w:highlight w:val="none"/>
        </w:rPr>
      </w:pPr>
      <w:r>
        <w:rPr>
          <w:color w:val="auto"/>
          <w:sz w:val="24"/>
          <w:highlight w:val="none"/>
        </w:rPr>
        <w:t>（1）投标人在投标有效期内撤销投标文件；</w:t>
      </w:r>
    </w:p>
    <w:p w14:paraId="7D36CE82">
      <w:pPr>
        <w:spacing w:line="440" w:lineRule="atLeast"/>
        <w:ind w:firstLine="480" w:firstLineChars="200"/>
        <w:rPr>
          <w:color w:val="auto"/>
          <w:sz w:val="24"/>
          <w:highlight w:val="none"/>
        </w:rPr>
      </w:pPr>
      <w:r>
        <w:rPr>
          <w:color w:val="auto"/>
          <w:sz w:val="24"/>
          <w:highlight w:val="none"/>
        </w:rPr>
        <w:t>（2）中标人在收到中标通知书后，无正当理由不与招标人订立合同，在签订合同时向招标人提出附加条件，或不按照招标文件要求提交履约保证金；</w:t>
      </w:r>
    </w:p>
    <w:p w14:paraId="71D8D542">
      <w:pPr>
        <w:spacing w:line="440" w:lineRule="atLeast"/>
        <w:ind w:firstLine="480" w:firstLineChars="200"/>
        <w:rPr>
          <w:color w:val="auto"/>
          <w:sz w:val="24"/>
          <w:highlight w:val="none"/>
        </w:rPr>
      </w:pPr>
      <w:r>
        <w:rPr>
          <w:color w:val="auto"/>
          <w:sz w:val="24"/>
          <w:highlight w:val="none"/>
        </w:rPr>
        <w:t>（3）发生投标人须知前附表规定的其他可以不予退还投标保证金的情形。</w:t>
      </w:r>
    </w:p>
    <w:p w14:paraId="6B0BB71B">
      <w:pPr>
        <w:pStyle w:val="2"/>
        <w:spacing w:before="240" w:after="240" w:line="440" w:lineRule="atLeast"/>
        <w:rPr>
          <w:rFonts w:eastAsia="黑体"/>
          <w:b w:val="0"/>
          <w:color w:val="auto"/>
          <w:sz w:val="24"/>
          <w:szCs w:val="24"/>
          <w:highlight w:val="none"/>
        </w:rPr>
      </w:pPr>
      <w:bookmarkStart w:id="152" w:name="_Toc503235765"/>
      <w:bookmarkStart w:id="153" w:name="_Toc510015698"/>
      <w:r>
        <w:rPr>
          <w:rFonts w:eastAsia="黑体"/>
          <w:b w:val="0"/>
          <w:color w:val="auto"/>
          <w:sz w:val="24"/>
          <w:szCs w:val="24"/>
          <w:highlight w:val="none"/>
        </w:rPr>
        <w:t>3.5 资格审查资料（适用于已进行资格预审的）</w:t>
      </w:r>
      <w:bookmarkEnd w:id="152"/>
      <w:bookmarkEnd w:id="153"/>
    </w:p>
    <w:p w14:paraId="6FACB64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 投标人在递交投标文件前，发生可能影响其投标资格的新情况的，应在投标文件中更新或补充其在申请资格预审时提供的资料，以证实其各项资格条件仍能继续满足资格预审文件的要求。</w:t>
      </w:r>
    </w:p>
    <w:p w14:paraId="510C4FC3">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3.5.2 如果投标人在投标阶段发生合并、分立、破产等重大变化，或发生重大安全或质量事故，或由于其他任何情况，导致投标人不再具备资格预审文件规定的各项资格条件或其投标影响招标公正性时，投标人必须在其投标文件中对上述情况进行如实说明，否则，招标人一经查实，将视为投标人弄虚作假，其投标将被否决。</w:t>
      </w:r>
    </w:p>
    <w:p w14:paraId="18E57B75">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3.5.3 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为不良记录纳入公路建设市场信用信息管理系统。</w:t>
      </w:r>
    </w:p>
    <w:p w14:paraId="1818B2D5">
      <w:pPr>
        <w:pStyle w:val="2"/>
        <w:spacing w:before="240" w:after="240" w:line="440" w:lineRule="atLeast"/>
        <w:rPr>
          <w:rFonts w:eastAsia="黑体"/>
          <w:b w:val="0"/>
          <w:color w:val="auto"/>
          <w:sz w:val="24"/>
          <w:szCs w:val="24"/>
          <w:highlight w:val="none"/>
        </w:rPr>
      </w:pPr>
      <w:bookmarkStart w:id="154" w:name="_Toc510015699"/>
      <w:bookmarkStart w:id="155" w:name="_Toc503235766"/>
      <w:r>
        <w:rPr>
          <w:rFonts w:eastAsia="黑体"/>
          <w:b w:val="0"/>
          <w:color w:val="auto"/>
          <w:sz w:val="24"/>
          <w:szCs w:val="24"/>
          <w:highlight w:val="none"/>
        </w:rPr>
        <w:t>3.5 资格审查资料（适用于未进行资格预审的）</w:t>
      </w:r>
      <w:bookmarkEnd w:id="154"/>
      <w:bookmarkEnd w:id="155"/>
    </w:p>
    <w:p w14:paraId="065A0DA9">
      <w:pPr>
        <w:spacing w:line="440" w:lineRule="atLeast"/>
        <w:ind w:firstLine="480" w:firstLineChars="200"/>
        <w:rPr>
          <w:color w:val="auto"/>
          <w:sz w:val="24"/>
          <w:highlight w:val="none"/>
        </w:rPr>
      </w:pPr>
      <w:r>
        <w:rPr>
          <w:color w:val="auto"/>
          <w:sz w:val="24"/>
          <w:highlight w:val="none"/>
        </w:rPr>
        <w:t>除投标人须知前附表另有规定外，投标人应按下列规定提供资格审查资料，以证明其满足本章第1.4款规定的</w:t>
      </w:r>
      <w:r>
        <w:rPr>
          <w:rFonts w:hint="eastAsia" w:ascii="宋体" w:hAnsi="宋体" w:eastAsia="宋体" w:cs="宋体"/>
          <w:color w:val="auto"/>
          <w:sz w:val="24"/>
          <w:highlight w:val="none"/>
        </w:rPr>
        <w:t>资质、业绩、信誉等要求。</w:t>
      </w:r>
    </w:p>
    <w:p w14:paraId="53C4144F">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 “投标人基本情况表”应附企业法人营业执照副本和组织机构代码证副本（按照“三证合一”或“五证合一”登记制度进行登记的，可仅提供营业执照副本，下同）、资质证书副本（如需要）、</w:t>
      </w:r>
      <w:r>
        <w:rPr>
          <w:rFonts w:hint="eastAsia" w:ascii="宋体" w:hAnsi="宋体" w:eastAsia="宋体" w:cs="宋体"/>
          <w:color w:val="auto"/>
          <w:sz w:val="24"/>
          <w:highlight w:val="none"/>
        </w:rPr>
        <w:t>基本账户开户许可证明材料的复印件</w:t>
      </w:r>
      <w:r>
        <w:rPr>
          <w:rFonts w:hint="eastAsia" w:ascii="宋体" w:hAnsi="宋体" w:eastAsia="宋体" w:cs="宋体"/>
          <w:color w:val="auto"/>
          <w:sz w:val="24"/>
          <w:highlight w:val="none"/>
          <w:vertAlign w:val="superscript"/>
        </w:rPr>
        <w:footnoteReference w:id="1"/>
      </w:r>
      <w:r>
        <w:rPr>
          <w:rFonts w:hint="eastAsia" w:ascii="宋体" w:hAnsi="宋体" w:eastAsia="宋体" w:cs="宋体"/>
          <w:color w:val="auto"/>
          <w:sz w:val="24"/>
          <w:highlight w:val="none"/>
        </w:rPr>
        <w:t>，以及投标人在国家企业信用信息公示系统中基础信息（体现股东及出资详细信息）的网页截图或由法定的社会验资机构出具的验资报告或注册地工商部门出具的股东出资情况证明复印件。</w:t>
      </w:r>
    </w:p>
    <w:p w14:paraId="488A37C6">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法人营业执照副本和组织机构代码证副本、资质证书副本（如需要）的复印件应提供全本（证书封面、封底、空白页除外），应包括投标人名称、投标人其他相关信息、颁发机构名称、投标人信息变更情况等关键页在内。</w:t>
      </w:r>
    </w:p>
    <w:p w14:paraId="33A92664">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3.5.2 “近年完成的类似项目”应附合同协议书的复印件，具体时间要求见投标人须知前附表。</w:t>
      </w:r>
    </w:p>
    <w:p w14:paraId="339AB80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如投标人提供的类似项目信息无法证实投标人满足招标文件规定的资格审查条件（业绩最低要求），则该项目业绩不予认定。</w:t>
      </w:r>
    </w:p>
    <w:p w14:paraId="0868EF5B">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3.5.3 “投标人的信誉情况表”应附投标人在国家企业信用信息公示系统中未被列入严重违法失信企业名单、在“信用中国”网站中未被列入失信被执行人名单的网页截图复印件，以及由项目所在地或投标人住所地检察机关职务犯罪预防部门出具的近三年内投标人及其法定代表人、拟委任的项目负责人均无行贿犯罪行为的查询记录证明原件。</w:t>
      </w:r>
    </w:p>
    <w:p w14:paraId="724CE279">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3.5.4 “拟委任的项目负责人资历表”应附项目负责人的身份证、职称资格证书和资格审查条件所要求的其他相关证书（如注册造价工程师证书、注册结构工程师等）的复印件，以及投标人所属社保机构出具的拟委任的项目负责人的社保缴费证明或其他能够证明拟委任的项目负责人参加社保的有效证明材料复印件。</w:t>
      </w:r>
    </w:p>
    <w:p w14:paraId="4178294B">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如投标人提供的项目负责人相关业绩信息无法证实投标人满足招标文件规定的资格审查条件（项目负责人最低要求），则该业绩不予认定。</w:t>
      </w:r>
    </w:p>
    <w:p w14:paraId="6FAD6234">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3.5.5 “拟委任的其他主要咨询人员汇总表”（如有）应填报满足投标人须知前附表附录5规定的其他主要咨询人员的相关信息。“拟委任的其他主要咨询人员资历表”（如有）中相关人员应附身份证、职称资格证书和资格审查条件所要求的其他相关证书（如注册造价工程师证书、注册结构工程师等）的复印件，相关业绩证明材料复印件，以及投标人所属社保机构出具的社保缴费证明或其他能够证明其参加社保的有效证明材料复印件。</w:t>
      </w:r>
    </w:p>
    <w:p w14:paraId="6F7B081F">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3.5.6 投标人须知前附表规定接受联合体投标的，本章第3.5.1项至第3.5.5项规定的表格和资料应包括联合体各方相关情况。</w:t>
      </w:r>
    </w:p>
    <w:p w14:paraId="0BB2E9A6">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3.5.7 除合同条款约定的特殊情形外，投标人在投标文件中填报的项目负责人不允许更换。</w:t>
      </w:r>
    </w:p>
    <w:p w14:paraId="6D361DF6">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3.5.8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为不良记录纳入公路建设市场信用信息管理系统。</w:t>
      </w:r>
    </w:p>
    <w:p w14:paraId="491FC1BE">
      <w:pPr>
        <w:pStyle w:val="2"/>
        <w:spacing w:before="240" w:after="240" w:line="440" w:lineRule="atLeast"/>
        <w:rPr>
          <w:rFonts w:eastAsia="黑体"/>
          <w:b w:val="0"/>
          <w:color w:val="auto"/>
          <w:sz w:val="24"/>
          <w:szCs w:val="24"/>
          <w:highlight w:val="none"/>
        </w:rPr>
      </w:pPr>
      <w:bookmarkStart w:id="156" w:name="_Toc503235767"/>
      <w:bookmarkStart w:id="157" w:name="_Toc510015700"/>
      <w:r>
        <w:rPr>
          <w:rFonts w:eastAsia="黑体"/>
          <w:b w:val="0"/>
          <w:color w:val="auto"/>
          <w:sz w:val="24"/>
          <w:szCs w:val="24"/>
          <w:highlight w:val="none"/>
        </w:rPr>
        <w:t>3.6 备选投标方案</w:t>
      </w:r>
      <w:bookmarkEnd w:id="156"/>
      <w:bookmarkEnd w:id="157"/>
    </w:p>
    <w:p w14:paraId="3D2AC1A4">
      <w:pPr>
        <w:spacing w:line="440" w:lineRule="atLeast"/>
        <w:ind w:firstLine="480" w:firstLineChars="200"/>
        <w:rPr>
          <w:color w:val="auto"/>
          <w:sz w:val="24"/>
          <w:highlight w:val="none"/>
        </w:rPr>
      </w:pPr>
      <w:r>
        <w:rPr>
          <w:color w:val="auto"/>
          <w:sz w:val="24"/>
          <w:highlight w:val="none"/>
        </w:rPr>
        <w:t>3.6.1 除投标人须知前附表规定允许外，投标人不得递交备选投标方案，否则其投标将被否决。</w:t>
      </w:r>
    </w:p>
    <w:p w14:paraId="7D3F08D5">
      <w:pPr>
        <w:spacing w:line="440" w:lineRule="atLeast"/>
        <w:ind w:firstLine="480" w:firstLineChars="200"/>
        <w:rPr>
          <w:color w:val="auto"/>
          <w:sz w:val="24"/>
          <w:highlight w:val="none"/>
        </w:rPr>
      </w:pPr>
      <w:r>
        <w:rPr>
          <w:color w:val="auto"/>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1B744E6">
      <w:pPr>
        <w:spacing w:line="440" w:lineRule="atLeast"/>
        <w:ind w:firstLine="480" w:firstLineChars="200"/>
        <w:rPr>
          <w:color w:val="auto"/>
          <w:sz w:val="24"/>
          <w:highlight w:val="none"/>
        </w:rPr>
      </w:pPr>
      <w:r>
        <w:rPr>
          <w:color w:val="auto"/>
          <w:sz w:val="24"/>
          <w:highlight w:val="none"/>
        </w:rPr>
        <w:t>3.6.3 投标人提供两个或两个以上投标报价，或在投标文件中提供一个报价，但同时提供两个或两个以上</w:t>
      </w:r>
      <w:bookmarkStart w:id="158" w:name="_Toc247513974"/>
      <w:bookmarkStart w:id="159" w:name="_Toc144974518"/>
      <w:bookmarkStart w:id="160" w:name="_Toc247527575"/>
      <w:bookmarkStart w:id="161" w:name="_Toc369531538"/>
      <w:bookmarkStart w:id="162" w:name="_Toc152045550"/>
      <w:bookmarkStart w:id="163" w:name="_Toc352691495"/>
      <w:bookmarkStart w:id="164" w:name="_Toc300834971"/>
      <w:bookmarkStart w:id="165" w:name="_Toc29902"/>
      <w:bookmarkStart w:id="166" w:name="_Toc361508607"/>
      <w:bookmarkStart w:id="167" w:name="_Toc152042326"/>
      <w:bookmarkStart w:id="168" w:name="_Toc384308232"/>
      <w:r>
        <w:rPr>
          <w:color w:val="auto"/>
          <w:sz w:val="24"/>
          <w:highlight w:val="none"/>
        </w:rPr>
        <w:t>技术建议书的</w:t>
      </w:r>
      <w:bookmarkEnd w:id="158"/>
      <w:bookmarkEnd w:id="159"/>
      <w:bookmarkEnd w:id="160"/>
      <w:bookmarkEnd w:id="161"/>
      <w:bookmarkEnd w:id="162"/>
      <w:bookmarkEnd w:id="163"/>
      <w:bookmarkEnd w:id="164"/>
      <w:bookmarkEnd w:id="165"/>
      <w:bookmarkEnd w:id="166"/>
      <w:bookmarkEnd w:id="167"/>
      <w:bookmarkEnd w:id="168"/>
      <w:r>
        <w:rPr>
          <w:color w:val="auto"/>
          <w:sz w:val="24"/>
          <w:highlight w:val="none"/>
        </w:rPr>
        <w:t>，视为提供备选方案。</w:t>
      </w:r>
    </w:p>
    <w:p w14:paraId="5AF76AD9">
      <w:pPr>
        <w:pStyle w:val="2"/>
        <w:spacing w:before="240" w:after="240" w:line="440" w:lineRule="atLeast"/>
        <w:rPr>
          <w:rFonts w:eastAsia="黑体"/>
          <w:b w:val="0"/>
          <w:color w:val="auto"/>
          <w:sz w:val="24"/>
          <w:szCs w:val="24"/>
          <w:highlight w:val="none"/>
        </w:rPr>
      </w:pPr>
      <w:bookmarkStart w:id="169" w:name="_Toc510015701"/>
      <w:bookmarkStart w:id="170" w:name="_Toc503235768"/>
      <w:r>
        <w:rPr>
          <w:rFonts w:eastAsia="黑体"/>
          <w:b w:val="0"/>
          <w:color w:val="auto"/>
          <w:sz w:val="24"/>
          <w:szCs w:val="24"/>
          <w:highlight w:val="none"/>
        </w:rPr>
        <w:t>3.7 投标文件的编制</w:t>
      </w:r>
      <w:bookmarkEnd w:id="169"/>
      <w:bookmarkEnd w:id="170"/>
    </w:p>
    <w:p w14:paraId="43A5020E">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 投标文件应按第七章“投标文件格式”进行编写，如有必要，可以增加附页，作为投标文件的组成部分。</w:t>
      </w:r>
    </w:p>
    <w:p w14:paraId="30671031">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 投标文件应对招标文件有关咨询服务期限、投标有效期、质量要求、安全目标、委托人要求、招标范围等实质性内容作出响应。</w:t>
      </w:r>
    </w:p>
    <w:p w14:paraId="4106846A">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3.7.3 投标文件的制作应满足以下规定：</w:t>
      </w:r>
    </w:p>
    <w:p w14:paraId="02B01A31">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（1）投标文件由投标人使用“电子交易平台”自带的“投标文件制作工具”制作生成。</w:t>
      </w:r>
    </w:p>
    <w:p w14:paraId="1007F989">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（2）投标人在编制投标文件时应建立分级目录，并按照标签提示导入相关内容。</w:t>
      </w:r>
    </w:p>
    <w:p w14:paraId="0C1EAADF">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（3）投标文件中证明资料的“复印件”均为“原件的扫描件”，应从“电子交易平台”会员诚信库中选择并进行超链接，未标示“复印件”的证明资料均应直接制作生成。</w:t>
      </w:r>
    </w:p>
    <w:p w14:paraId="14FFF5BB">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（4）第七章“投标文件格式”中要求盖单位章和（或）签字的地方，投标人均应使用CA 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5F84F22B">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（5）投标文件制作完成后，投标人应使用CA 数字证书对投标文件进行文件加密，形成加密的投标文件。</w:t>
      </w:r>
    </w:p>
    <w:p w14:paraId="25A27330">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（6）投标文件制作的具体方法详见“投标文件制作工具”中的帮助文档。</w:t>
      </w:r>
    </w:p>
    <w:p w14:paraId="7B6E1A1F">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3.7.4 因投标人自身原因而导致投标文件无法导入“电子交易平台”电子开标、评标系统，该投标视为无效投标，投标人自行承担由此导致的全部责任。</w:t>
      </w:r>
    </w:p>
    <w:p w14:paraId="183632DA">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3.7.5 纸质投标文件份数见投标人须知前附表。纸质投标文件应装订成册（A4纸幅），并逐页标注连续页码。纸质投标文件不得采用活页夹装订，否则，招标人对由于纸质投标文件装订松散而造成的丢失或其他后果不承担任何责任。装订的其他要求见投标人须知前附表。</w:t>
      </w:r>
    </w:p>
    <w:p w14:paraId="22D4AB33">
      <w:pPr>
        <w:pStyle w:val="2"/>
        <w:spacing w:before="360" w:after="240" w:line="440" w:lineRule="atLeast"/>
        <w:rPr>
          <w:rFonts w:eastAsia="黑体"/>
          <w:b w:val="0"/>
          <w:color w:val="auto"/>
          <w:sz w:val="28"/>
          <w:szCs w:val="28"/>
          <w:highlight w:val="none"/>
        </w:rPr>
      </w:pPr>
      <w:bookmarkStart w:id="171" w:name="_Toc503235769"/>
      <w:bookmarkStart w:id="172" w:name="_Toc510015702"/>
      <w:r>
        <w:rPr>
          <w:rFonts w:eastAsia="黑体"/>
          <w:b w:val="0"/>
          <w:color w:val="auto"/>
          <w:sz w:val="28"/>
          <w:szCs w:val="28"/>
          <w:highlight w:val="none"/>
        </w:rPr>
        <w:t>4. 投标</w:t>
      </w:r>
      <w:bookmarkEnd w:id="171"/>
      <w:bookmarkEnd w:id="172"/>
      <w:r>
        <w:rPr>
          <w:rFonts w:eastAsia="黑体"/>
          <w:b w:val="0"/>
          <w:color w:val="auto"/>
          <w:sz w:val="28"/>
          <w:szCs w:val="28"/>
          <w:highlight w:val="none"/>
        </w:rPr>
        <w:tab/>
      </w:r>
    </w:p>
    <w:p w14:paraId="4770EEB9">
      <w:pPr>
        <w:pStyle w:val="2"/>
        <w:spacing w:before="240" w:after="240" w:line="240" w:lineRule="atLeast"/>
        <w:rPr>
          <w:rFonts w:ascii="黑体" w:eastAsia="黑体"/>
          <w:b w:val="0"/>
          <w:color w:val="auto"/>
          <w:sz w:val="24"/>
          <w:szCs w:val="24"/>
          <w:highlight w:val="none"/>
        </w:rPr>
      </w:pPr>
      <w:bookmarkStart w:id="173" w:name="_Toc501257528"/>
      <w:bookmarkStart w:id="174" w:name="_Toc503235770"/>
      <w:bookmarkStart w:id="175" w:name="_Toc510015703"/>
      <w:r>
        <w:rPr>
          <w:rFonts w:ascii="黑体" w:eastAsia="黑体"/>
          <w:b w:val="0"/>
          <w:color w:val="auto"/>
          <w:sz w:val="24"/>
          <w:szCs w:val="24"/>
          <w:highlight w:val="none"/>
        </w:rPr>
        <w:t xml:space="preserve">4.1 </w:t>
      </w:r>
      <w:r>
        <w:rPr>
          <w:rFonts w:hint="eastAsia" w:ascii="黑体" w:eastAsia="黑体"/>
          <w:b w:val="0"/>
          <w:color w:val="auto"/>
          <w:sz w:val="24"/>
          <w:szCs w:val="24"/>
          <w:highlight w:val="none"/>
        </w:rPr>
        <w:t>电子投标文件的</w:t>
      </w:r>
      <w:bookmarkEnd w:id="173"/>
      <w:r>
        <w:rPr>
          <w:rFonts w:hint="eastAsia" w:ascii="黑体" w:eastAsia="黑体"/>
          <w:b w:val="0"/>
          <w:color w:val="auto"/>
          <w:sz w:val="24"/>
          <w:szCs w:val="24"/>
          <w:highlight w:val="none"/>
        </w:rPr>
        <w:t>加密</w:t>
      </w:r>
    </w:p>
    <w:p w14:paraId="5EDAB3CA">
      <w:pPr>
        <w:spacing w:line="400" w:lineRule="atLeast"/>
        <w:ind w:firstLine="480" w:firstLineChars="200"/>
        <w:rPr>
          <w:rFonts w:eastAsia="黑体"/>
          <w:b/>
          <w:color w:val="auto"/>
          <w:sz w:val="24"/>
          <w:highlight w:val="none"/>
        </w:rPr>
      </w:pPr>
      <w:r>
        <w:rPr>
          <w:rFonts w:hint="eastAsia"/>
          <w:color w:val="auto"/>
          <w:sz w:val="24"/>
          <w:highlight w:val="none"/>
        </w:rPr>
        <w:t>电子投标文件应按照本章第</w:t>
      </w:r>
      <w:r>
        <w:rPr>
          <w:color w:val="auto"/>
          <w:sz w:val="24"/>
          <w:highlight w:val="none"/>
        </w:rPr>
        <w:t>3.7.3</w:t>
      </w:r>
      <w:r>
        <w:rPr>
          <w:rFonts w:hint="eastAsia"/>
          <w:color w:val="auto"/>
          <w:sz w:val="24"/>
          <w:highlight w:val="none"/>
        </w:rPr>
        <w:t>项要求制作并加密，未按要求加密的投标文件，招标人（“电子交易平台”）将拒绝接收并提示。</w:t>
      </w:r>
    </w:p>
    <w:p w14:paraId="38F7B832">
      <w:pPr>
        <w:pStyle w:val="2"/>
        <w:spacing w:before="240" w:after="240" w:line="440" w:lineRule="atLeast"/>
        <w:rPr>
          <w:rFonts w:eastAsia="黑体"/>
          <w:b w:val="0"/>
          <w:color w:val="auto"/>
          <w:sz w:val="24"/>
          <w:szCs w:val="24"/>
          <w:highlight w:val="none"/>
        </w:rPr>
      </w:pPr>
      <w:r>
        <w:rPr>
          <w:rFonts w:eastAsia="黑体"/>
          <w:b w:val="0"/>
          <w:color w:val="auto"/>
          <w:sz w:val="24"/>
          <w:szCs w:val="24"/>
          <w:highlight w:val="none"/>
        </w:rPr>
        <w:t xml:space="preserve">4.2 </w:t>
      </w:r>
      <w:r>
        <w:rPr>
          <w:rFonts w:hint="eastAsia" w:eastAsia="黑体"/>
          <w:b w:val="0"/>
          <w:color w:val="auto"/>
          <w:sz w:val="24"/>
          <w:szCs w:val="24"/>
          <w:highlight w:val="none"/>
        </w:rPr>
        <w:t>纸质</w:t>
      </w:r>
      <w:r>
        <w:rPr>
          <w:rFonts w:eastAsia="黑体"/>
          <w:b w:val="0"/>
          <w:color w:val="auto"/>
          <w:sz w:val="24"/>
          <w:szCs w:val="24"/>
          <w:highlight w:val="none"/>
        </w:rPr>
        <w:t>投标文件的密封和标识</w:t>
      </w:r>
      <w:bookmarkEnd w:id="174"/>
      <w:bookmarkEnd w:id="175"/>
    </w:p>
    <w:p w14:paraId="219D431C">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 投标文件应采用双信封形式密封。投标文件第一个信封（商务及技术文件）以及第二个信封（报价文件）应单独密封包装。商务及技术文件应统一密封在一个封套中。报价文件以及投标文件电子版文件（如需要）应统一密封在另一个封套中。封套应加贴封条，并在封套的封口处加盖投标人单位章或由投标人的法定代表人或其委托代理人签字。</w:t>
      </w:r>
    </w:p>
    <w:p w14:paraId="28815A0B">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采用银行保函形式提交投标保证金的，银行保函原件应密封在单独的封套中。</w:t>
      </w:r>
    </w:p>
    <w:p w14:paraId="0023E0B2">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4.2.2 纸质投标文件第一个信封（商务及技术文件）、第二个信封（报价文件）以及银行保函封套上应写明的内容见投标人须知前附表。</w:t>
      </w:r>
    </w:p>
    <w:p w14:paraId="32872F70">
      <w:pPr>
        <w:spacing w:line="440" w:lineRule="atLeast"/>
        <w:ind w:firstLine="480" w:firstLineChars="200"/>
        <w:rPr>
          <w:color w:val="auto"/>
          <w:sz w:val="24"/>
          <w:highlight w:val="none"/>
        </w:rPr>
      </w:pPr>
      <w:r>
        <w:rPr>
          <w:color w:val="auto"/>
          <w:sz w:val="24"/>
          <w:highlight w:val="none"/>
        </w:rPr>
        <w:t>4.2.3 未按本章第4.2.1项要求密封的投标文件，招标人将予以拒收。</w:t>
      </w:r>
    </w:p>
    <w:p w14:paraId="1BA2B137">
      <w:pPr>
        <w:pStyle w:val="2"/>
        <w:spacing w:before="240" w:after="240" w:line="240" w:lineRule="atLeast"/>
        <w:rPr>
          <w:color w:val="auto"/>
          <w:sz w:val="24"/>
          <w:highlight w:val="none"/>
        </w:rPr>
      </w:pPr>
      <w:bookmarkStart w:id="176" w:name="_Toc501257529"/>
      <w:bookmarkStart w:id="177" w:name="_Toc510015704"/>
      <w:bookmarkStart w:id="178" w:name="_Toc503235771"/>
      <w:r>
        <w:rPr>
          <w:rFonts w:eastAsia="黑体"/>
          <w:b w:val="0"/>
          <w:color w:val="auto"/>
          <w:sz w:val="24"/>
          <w:szCs w:val="24"/>
          <w:highlight w:val="none"/>
        </w:rPr>
        <w:t xml:space="preserve">4.3 </w:t>
      </w:r>
      <w:r>
        <w:rPr>
          <w:rFonts w:hint="eastAsia" w:ascii="黑体" w:eastAsia="黑体"/>
          <w:b w:val="0"/>
          <w:color w:val="auto"/>
          <w:sz w:val="24"/>
          <w:szCs w:val="24"/>
          <w:highlight w:val="none"/>
        </w:rPr>
        <w:t>电子投标文件的递交</w:t>
      </w:r>
      <w:bookmarkEnd w:id="176"/>
    </w:p>
    <w:p w14:paraId="6A0FEF8E">
      <w:pPr>
        <w:spacing w:line="400" w:lineRule="atLeast"/>
        <w:ind w:firstLine="480" w:firstLineChars="200"/>
        <w:rPr>
          <w:rFonts w:hint="eastAsia" w:ascii="宋体" w:hAnsi="宋体" w:eastAsia="宋体" w:cs="宋体"/>
          <w:color w:val="auto"/>
          <w:sz w:val="24"/>
          <w:highlight w:val="none"/>
        </w:rPr>
      </w:pPr>
      <w:bookmarkStart w:id="179" w:name="_Hlk13218215"/>
      <w:r>
        <w:rPr>
          <w:rFonts w:hint="eastAsia" w:ascii="宋体" w:hAnsi="宋体" w:eastAsia="宋体" w:cs="宋体"/>
          <w:color w:val="auto"/>
          <w:sz w:val="24"/>
          <w:highlight w:val="none"/>
        </w:rPr>
        <w:t>4.3.1 投标人应在第一章“招标公告”或“投标邀请书”规定的投标截止时间前，通过互联网使用CA数字证书登录“电子交易平台”，将加密的投标文件上传，并保存上传成功后系统自动生成的电子签收凭证，递交时间即为电子签收凭证时间。投标人应充分考虑上传文件时的不可预见因素，未在投标截止时间前完成上传的，视为逾期送达，招标人（“电子交易平台”）将拒绝接收。</w:t>
      </w:r>
    </w:p>
    <w:p w14:paraId="3CA2779F">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4.3.2 根据本章第4.1款的规定，投标人递交的投标文件，只要出现应当拒收的情形，其投标文件将予以拒收。</w:t>
      </w:r>
      <w:bookmarkEnd w:id="179"/>
    </w:p>
    <w:p w14:paraId="08FD67E8">
      <w:pPr>
        <w:pStyle w:val="2"/>
        <w:spacing w:before="240" w:after="240" w:line="440" w:lineRule="atLeast"/>
        <w:rPr>
          <w:rFonts w:eastAsia="黑体"/>
          <w:b w:val="0"/>
          <w:color w:val="auto"/>
          <w:sz w:val="24"/>
          <w:szCs w:val="24"/>
          <w:highlight w:val="none"/>
        </w:rPr>
      </w:pPr>
      <w:r>
        <w:rPr>
          <w:rFonts w:eastAsia="黑体"/>
          <w:b w:val="0"/>
          <w:color w:val="auto"/>
          <w:sz w:val="24"/>
          <w:szCs w:val="24"/>
          <w:highlight w:val="none"/>
        </w:rPr>
        <w:t>4.4</w:t>
      </w:r>
      <w:r>
        <w:rPr>
          <w:rFonts w:eastAsia="黑体"/>
          <w:b w:val="0"/>
          <w:color w:val="auto"/>
          <w:sz w:val="24"/>
          <w:szCs w:val="24"/>
          <w:highlight w:val="none"/>
        </w:rPr>
        <w:tab/>
      </w:r>
      <w:r>
        <w:rPr>
          <w:rFonts w:eastAsia="黑体"/>
          <w:b w:val="0"/>
          <w:color w:val="auto"/>
          <w:sz w:val="24"/>
          <w:szCs w:val="24"/>
          <w:highlight w:val="none"/>
        </w:rPr>
        <w:t xml:space="preserve"> 投标文件的递交</w:t>
      </w:r>
      <w:bookmarkEnd w:id="177"/>
      <w:bookmarkEnd w:id="178"/>
    </w:p>
    <w:p w14:paraId="68568ABB">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4.4.1 投标人应在第一章“招标公告”或“投标邀请书”规定的投标截止时间前递交投标文件。</w:t>
      </w:r>
    </w:p>
    <w:p w14:paraId="60DB250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4.4.2 投标人递交投标文件的地点：见第一章“招标公告”或“投标邀请书”。</w:t>
      </w:r>
    </w:p>
    <w:p w14:paraId="3FF41934">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4.4.3 除投标人须知前附表另有规定外，投标人所递交的纸质投标文件不予退还。投标人少于3个的，纸质投标文件当场退还给投标人。</w:t>
      </w:r>
    </w:p>
    <w:p w14:paraId="73184345">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4.4.4 招标人收到投标文件后，向投标人出具签收凭证。</w:t>
      </w:r>
    </w:p>
    <w:p w14:paraId="31D9308B">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4.4.5 逾期送达的或未送达指定地点的纸质投标文件，招标人将予以拒收。</w:t>
      </w:r>
    </w:p>
    <w:p w14:paraId="54CC53EC">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4.4.6 采用“现场递交”方式递交的纸质投标文件为采用“网上递交”方式递交的投标文件在加密电子投标文件上传失败、开标解密失败或解密后无法正常读取或者导入电子开标评标系统时的补救方案；未采用“现场递交”方式递交纸质投标文件的，视为放弃因电子投标文件上传、解密失败或解密后无法正常读取或者导入电子开标评标系统时进行补救的权利。</w:t>
      </w:r>
    </w:p>
    <w:p w14:paraId="4FE557D3">
      <w:pPr>
        <w:pStyle w:val="2"/>
        <w:spacing w:before="240" w:after="240" w:line="440" w:lineRule="atLeast"/>
        <w:rPr>
          <w:rFonts w:eastAsia="黑体"/>
          <w:b w:val="0"/>
          <w:color w:val="auto"/>
          <w:sz w:val="24"/>
          <w:szCs w:val="24"/>
          <w:highlight w:val="none"/>
        </w:rPr>
      </w:pPr>
      <w:bookmarkStart w:id="180" w:name="_Toc510015705"/>
      <w:bookmarkStart w:id="181" w:name="_Toc503235772"/>
      <w:r>
        <w:rPr>
          <w:rFonts w:eastAsia="黑体"/>
          <w:b w:val="0"/>
          <w:color w:val="auto"/>
          <w:sz w:val="24"/>
          <w:szCs w:val="24"/>
          <w:highlight w:val="none"/>
        </w:rPr>
        <w:t>4.5 投标文件的修改与撤回</w:t>
      </w:r>
      <w:bookmarkEnd w:id="180"/>
      <w:bookmarkEnd w:id="181"/>
    </w:p>
    <w:p w14:paraId="533B20A2">
      <w:pPr>
        <w:spacing w:line="440" w:lineRule="atLeast"/>
        <w:ind w:firstLine="480" w:firstLineChars="200"/>
        <w:rPr>
          <w:color w:val="auto"/>
          <w:sz w:val="24"/>
          <w:highlight w:val="none"/>
        </w:rPr>
      </w:pPr>
      <w:r>
        <w:rPr>
          <w:color w:val="auto"/>
          <w:sz w:val="24"/>
          <w:highlight w:val="none"/>
        </w:rPr>
        <w:t>4.5.1 在</w:t>
      </w:r>
      <w:r>
        <w:rPr>
          <w:rFonts w:hint="eastAsia"/>
          <w:color w:val="auto"/>
          <w:sz w:val="24"/>
          <w:highlight w:val="none"/>
        </w:rPr>
        <w:t>第一章“招标公告”或“投标邀请书”规定的投标截止时间</w:t>
      </w:r>
      <w:r>
        <w:rPr>
          <w:color w:val="auto"/>
          <w:sz w:val="24"/>
          <w:highlight w:val="none"/>
        </w:rPr>
        <w:t>前，投标人可以修改或撤回已递交的投标文件，但应以书面形式通知招标人。</w:t>
      </w:r>
    </w:p>
    <w:p w14:paraId="1247AFA4">
      <w:pPr>
        <w:spacing w:line="440" w:lineRule="atLeast"/>
        <w:ind w:firstLine="480" w:firstLineChars="200"/>
        <w:rPr>
          <w:color w:val="auto"/>
          <w:sz w:val="24"/>
          <w:highlight w:val="none"/>
        </w:rPr>
      </w:pPr>
      <w:r>
        <w:rPr>
          <w:color w:val="auto"/>
          <w:sz w:val="24"/>
          <w:highlight w:val="none"/>
        </w:rPr>
        <w:t>4.5.2 投标人修改或撤回已递交投标文件的书面通知应按照本章第3.7.3项的要求签字或盖章。招标人收到书面通知后，向投标人出具签收凭证。</w:t>
      </w:r>
    </w:p>
    <w:p w14:paraId="4766187C">
      <w:pPr>
        <w:spacing w:line="440" w:lineRule="atLeast"/>
        <w:ind w:firstLine="480" w:firstLineChars="200"/>
        <w:rPr>
          <w:color w:val="auto"/>
          <w:sz w:val="24"/>
          <w:highlight w:val="none"/>
        </w:rPr>
      </w:pPr>
      <w:r>
        <w:rPr>
          <w:color w:val="auto"/>
          <w:sz w:val="24"/>
          <w:highlight w:val="none"/>
        </w:rPr>
        <w:t>4.5.3 投标人撤回投标文件的，招标人自收到投标人书面撤回通知之日起5日内退还已收取的投标保证金。</w:t>
      </w:r>
    </w:p>
    <w:p w14:paraId="245486C3">
      <w:pPr>
        <w:spacing w:line="400" w:lineRule="atLeast"/>
        <w:ind w:firstLine="480" w:firstLineChars="200"/>
        <w:rPr>
          <w:color w:val="auto"/>
          <w:sz w:val="24"/>
          <w:highlight w:val="none"/>
        </w:rPr>
      </w:pPr>
      <w:r>
        <w:rPr>
          <w:color w:val="auto"/>
          <w:sz w:val="24"/>
          <w:highlight w:val="none"/>
        </w:rPr>
        <w:t>4.5.4 修改的内容为投标文件的组成部分。修改的</w:t>
      </w:r>
      <w:r>
        <w:rPr>
          <w:rFonts w:hint="eastAsia"/>
          <w:color w:val="auto"/>
          <w:sz w:val="24"/>
          <w:highlight w:val="none"/>
        </w:rPr>
        <w:t>纸质</w:t>
      </w:r>
      <w:r>
        <w:rPr>
          <w:color w:val="auto"/>
          <w:sz w:val="24"/>
          <w:highlight w:val="none"/>
        </w:rPr>
        <w:t>投标文件应按照本章第3条、第4条的规定进行编制、密封、标记和递交，并标明“修改”字样。</w:t>
      </w:r>
      <w:r>
        <w:rPr>
          <w:rFonts w:hint="eastAsia"/>
          <w:color w:val="auto"/>
          <w:sz w:val="24"/>
          <w:highlight w:val="none"/>
        </w:rPr>
        <w:t>对采用网上递交的投标文件，以投标截止时间前最后完成上传的文件为准。</w:t>
      </w:r>
    </w:p>
    <w:p w14:paraId="22F92B69">
      <w:pPr>
        <w:pStyle w:val="2"/>
        <w:spacing w:before="360" w:after="240" w:line="440" w:lineRule="atLeast"/>
        <w:rPr>
          <w:rFonts w:eastAsia="黑体"/>
          <w:b w:val="0"/>
          <w:color w:val="auto"/>
          <w:sz w:val="28"/>
          <w:szCs w:val="28"/>
          <w:highlight w:val="none"/>
        </w:rPr>
      </w:pPr>
      <w:bookmarkStart w:id="182" w:name="_Toc510015706"/>
      <w:bookmarkStart w:id="183" w:name="_Toc503235773"/>
      <w:r>
        <w:rPr>
          <w:rFonts w:eastAsia="黑体"/>
          <w:b w:val="0"/>
          <w:color w:val="auto"/>
          <w:sz w:val="28"/>
          <w:szCs w:val="28"/>
          <w:highlight w:val="none"/>
        </w:rPr>
        <w:t>5. 开标</w:t>
      </w:r>
      <w:bookmarkEnd w:id="182"/>
      <w:bookmarkEnd w:id="183"/>
    </w:p>
    <w:p w14:paraId="3866DB5C">
      <w:pPr>
        <w:pStyle w:val="2"/>
        <w:spacing w:before="240" w:after="240" w:line="440" w:lineRule="atLeast"/>
        <w:rPr>
          <w:rFonts w:eastAsia="黑体"/>
          <w:b w:val="0"/>
          <w:color w:val="auto"/>
          <w:sz w:val="24"/>
          <w:szCs w:val="24"/>
          <w:highlight w:val="none"/>
        </w:rPr>
      </w:pPr>
      <w:bookmarkStart w:id="184" w:name="_Toc510015707"/>
      <w:bookmarkStart w:id="185" w:name="_Toc503235774"/>
      <w:r>
        <w:rPr>
          <w:rFonts w:eastAsia="黑体"/>
          <w:b w:val="0"/>
          <w:color w:val="auto"/>
          <w:sz w:val="24"/>
          <w:szCs w:val="24"/>
          <w:highlight w:val="none"/>
        </w:rPr>
        <w:t>5.1 开标时间和地点</w:t>
      </w:r>
      <w:bookmarkEnd w:id="184"/>
      <w:bookmarkEnd w:id="185"/>
    </w:p>
    <w:p w14:paraId="2B6B10E9">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招标人在本章第4.2.1项规定的投标截止时间（开标时间）和投标人须知前附表规定的地点对收到的投标文件公开开标，并邀请所有投标人的法定代表人或其委托代理人准时参加。</w:t>
      </w:r>
    </w:p>
    <w:p w14:paraId="3B7FA13D">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投标人若未派法定代表人或委托代理人出席开标活动，视为该投标人默认开标结果。</w:t>
      </w:r>
    </w:p>
    <w:p w14:paraId="2DEFBF5A">
      <w:pPr>
        <w:pStyle w:val="2"/>
        <w:spacing w:before="240" w:after="240" w:line="440" w:lineRule="atLeast"/>
        <w:rPr>
          <w:rFonts w:eastAsia="黑体"/>
          <w:b w:val="0"/>
          <w:color w:val="auto"/>
          <w:sz w:val="24"/>
          <w:szCs w:val="24"/>
          <w:highlight w:val="none"/>
        </w:rPr>
      </w:pPr>
      <w:bookmarkStart w:id="186" w:name="_Toc510015708"/>
      <w:bookmarkStart w:id="187" w:name="_Toc503235775"/>
      <w:r>
        <w:rPr>
          <w:rFonts w:eastAsia="黑体"/>
          <w:b w:val="0"/>
          <w:color w:val="auto"/>
          <w:sz w:val="24"/>
          <w:szCs w:val="24"/>
          <w:highlight w:val="none"/>
        </w:rPr>
        <w:t>5.2 开标程序</w:t>
      </w:r>
      <w:bookmarkEnd w:id="186"/>
      <w:bookmarkEnd w:id="187"/>
    </w:p>
    <w:p w14:paraId="4C26303D">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5.2.1主持人按下列程序进行开标：</w:t>
      </w:r>
    </w:p>
    <w:p w14:paraId="7E073C8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（1）宣布开标纪律；</w:t>
      </w:r>
    </w:p>
    <w:p w14:paraId="10BDB8C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（2）公布在</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截止时间前递交</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人名称和数量；</w:t>
      </w:r>
    </w:p>
    <w:p w14:paraId="2292FB91">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（3）宣布有关人员姓名；</w:t>
      </w:r>
    </w:p>
    <w:p w14:paraId="44EF43D6">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文件解密。</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人应在宣布开始解密时间后30分钟内对所递交的</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文件进行解密，未在规定的时间内进行解密的视为无效</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w:t>
      </w:r>
    </w:p>
    <w:p w14:paraId="314B8C2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（5）导入并读取所有解密成功的</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w:t>
      </w:r>
    </w:p>
    <w:p w14:paraId="444F1ADD">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（6）公布</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人名称、标段名称、</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保证金的递交情况、</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报价及以下内容：</w:t>
      </w:r>
    </w:p>
    <w:p w14:paraId="5E73925C">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a. </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函所列标段与</w:t>
      </w:r>
      <w:r>
        <w:rPr>
          <w:rFonts w:hint="eastAsia" w:ascii="宋体" w:hAnsi="宋体" w:cs="宋体"/>
          <w:color w:val="auto"/>
          <w:sz w:val="24"/>
          <w:highlight w:val="none"/>
          <w:lang w:eastAsia="zh-CN"/>
        </w:rPr>
        <w:t>招标</w:t>
      </w:r>
      <w:r>
        <w:rPr>
          <w:rFonts w:hint="eastAsia" w:ascii="宋体" w:hAnsi="宋体" w:eastAsia="宋体" w:cs="宋体"/>
          <w:color w:val="auto"/>
          <w:sz w:val="24"/>
          <w:highlight w:val="none"/>
        </w:rPr>
        <w:t>标段不一致；</w:t>
      </w:r>
    </w:p>
    <w:p w14:paraId="767EDDC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 未在规定的时间内解密</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人名称；</w:t>
      </w:r>
    </w:p>
    <w:p w14:paraId="61A3F427">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 不同</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人的</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文件编制识别码一致。</w:t>
      </w:r>
    </w:p>
    <w:p w14:paraId="380D2272">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（7）抽取评审基准价系数（如有）；</w:t>
      </w:r>
    </w:p>
    <w:p w14:paraId="606EA2AB">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（8）计算并宣布评审基准价（如有）；</w:t>
      </w:r>
    </w:p>
    <w:p w14:paraId="14DA6233">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人确认开标结果；</w:t>
      </w:r>
    </w:p>
    <w:p w14:paraId="7959BC13">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cs="宋体"/>
          <w:color w:val="auto"/>
          <w:sz w:val="24"/>
          <w:highlight w:val="none"/>
          <w:lang w:eastAsia="zh-CN"/>
        </w:rPr>
        <w:t>招标</w:t>
      </w:r>
      <w:r>
        <w:rPr>
          <w:rFonts w:hint="eastAsia" w:ascii="宋体" w:hAnsi="宋体" w:eastAsia="宋体" w:cs="宋体"/>
          <w:color w:val="auto"/>
          <w:sz w:val="24"/>
          <w:highlight w:val="none"/>
        </w:rPr>
        <w:t>人确认开标结果；</w:t>
      </w:r>
    </w:p>
    <w:p w14:paraId="0B0DCE6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（11）生成开标记录表，开标结束。</w:t>
      </w:r>
    </w:p>
    <w:p w14:paraId="23B32C56">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5.2.2若采用综合评</w:t>
      </w:r>
      <w:r>
        <w:rPr>
          <w:rFonts w:hint="eastAsia" w:ascii="宋体" w:hAnsi="宋体" w:cs="宋体"/>
          <w:color w:val="auto"/>
          <w:sz w:val="24"/>
          <w:highlight w:val="none"/>
          <w:lang w:eastAsia="zh-CN"/>
        </w:rPr>
        <w:t>估</w:t>
      </w:r>
      <w:r>
        <w:rPr>
          <w:rFonts w:hint="eastAsia" w:ascii="宋体" w:hAnsi="宋体" w:eastAsia="宋体" w:cs="宋体"/>
          <w:color w:val="auto"/>
          <w:sz w:val="24"/>
          <w:highlight w:val="none"/>
        </w:rPr>
        <w:t>法，在开标现场，</w:t>
      </w:r>
      <w:r>
        <w:rPr>
          <w:rFonts w:hint="eastAsia" w:ascii="宋体" w:hAnsi="宋体" w:cs="宋体"/>
          <w:color w:val="auto"/>
          <w:sz w:val="24"/>
          <w:highlight w:val="none"/>
          <w:lang w:eastAsia="zh-CN"/>
        </w:rPr>
        <w:t>招标</w:t>
      </w:r>
      <w:r>
        <w:rPr>
          <w:rFonts w:hint="eastAsia" w:ascii="宋体" w:hAnsi="宋体" w:eastAsia="宋体" w:cs="宋体"/>
          <w:color w:val="auto"/>
          <w:sz w:val="24"/>
          <w:highlight w:val="none"/>
        </w:rPr>
        <w:t>人将按第三章“评审办法”规定的原则计算并宣布评审基准价。若</w:t>
      </w:r>
      <w:r>
        <w:rPr>
          <w:rFonts w:hint="eastAsia" w:ascii="宋体" w:hAnsi="宋体" w:cs="宋体"/>
          <w:color w:val="auto"/>
          <w:sz w:val="24"/>
          <w:highlight w:val="none"/>
          <w:lang w:eastAsia="zh-CN"/>
        </w:rPr>
        <w:t>招标</w:t>
      </w:r>
      <w:r>
        <w:rPr>
          <w:rFonts w:hint="eastAsia" w:ascii="宋体" w:hAnsi="宋体" w:eastAsia="宋体" w:cs="宋体"/>
          <w:color w:val="auto"/>
          <w:sz w:val="24"/>
          <w:highlight w:val="none"/>
        </w:rPr>
        <w:t>人发现</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报价超出</w:t>
      </w:r>
      <w:r>
        <w:rPr>
          <w:rFonts w:hint="eastAsia" w:ascii="宋体" w:hAnsi="宋体" w:cs="宋体"/>
          <w:color w:val="auto"/>
          <w:sz w:val="24"/>
          <w:highlight w:val="none"/>
          <w:lang w:eastAsia="zh-CN"/>
        </w:rPr>
        <w:t>招标</w:t>
      </w:r>
      <w:r>
        <w:rPr>
          <w:rFonts w:hint="eastAsia" w:ascii="宋体" w:hAnsi="宋体" w:eastAsia="宋体" w:cs="宋体"/>
          <w:color w:val="auto"/>
          <w:sz w:val="24"/>
          <w:highlight w:val="none"/>
        </w:rPr>
        <w:t>人公布的最高</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限价，其</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报价将不参加评审基准价的计算；如果</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人认为某一标段的评审基准价计算有误，有权在开标现场提出，经</w:t>
      </w:r>
      <w:r>
        <w:rPr>
          <w:rFonts w:hint="eastAsia" w:ascii="宋体" w:hAnsi="宋体" w:cs="宋体"/>
          <w:color w:val="auto"/>
          <w:sz w:val="24"/>
          <w:highlight w:val="none"/>
          <w:lang w:eastAsia="zh-CN"/>
        </w:rPr>
        <w:t>招标</w:t>
      </w:r>
      <w:r>
        <w:rPr>
          <w:rFonts w:hint="eastAsia" w:ascii="宋体" w:hAnsi="宋体" w:eastAsia="宋体" w:cs="宋体"/>
          <w:color w:val="auto"/>
          <w:sz w:val="24"/>
          <w:highlight w:val="none"/>
        </w:rPr>
        <w:t>人当场核实确认之后，可重新宣布评审基准价。开标现场宣布的评审基准价除计算有误经评审委员会修正外，在整个评审期间保持不变，不随任何因素发生变化。</w:t>
      </w:r>
    </w:p>
    <w:p w14:paraId="54A6B68A">
      <w:pPr>
        <w:pStyle w:val="2"/>
        <w:spacing w:before="240" w:after="240" w:line="440" w:lineRule="atLeast"/>
        <w:rPr>
          <w:rFonts w:eastAsia="黑体"/>
          <w:b w:val="0"/>
          <w:color w:val="auto"/>
          <w:sz w:val="24"/>
          <w:szCs w:val="24"/>
          <w:highlight w:val="none"/>
        </w:rPr>
      </w:pPr>
      <w:bookmarkStart w:id="188" w:name="_Toc503235776"/>
      <w:bookmarkStart w:id="189" w:name="_Toc510015709"/>
      <w:r>
        <w:rPr>
          <w:rFonts w:eastAsia="黑体"/>
          <w:b w:val="0"/>
          <w:color w:val="auto"/>
          <w:sz w:val="24"/>
          <w:szCs w:val="24"/>
          <w:highlight w:val="none"/>
        </w:rPr>
        <w:t>5.4</w:t>
      </w:r>
      <w:r>
        <w:rPr>
          <w:rFonts w:eastAsia="黑体"/>
          <w:b w:val="0"/>
          <w:color w:val="auto"/>
          <w:sz w:val="24"/>
          <w:szCs w:val="24"/>
          <w:highlight w:val="none"/>
        </w:rPr>
        <w:tab/>
      </w:r>
      <w:r>
        <w:rPr>
          <w:rFonts w:eastAsia="黑体"/>
          <w:b w:val="0"/>
          <w:color w:val="auto"/>
          <w:sz w:val="24"/>
          <w:szCs w:val="24"/>
          <w:highlight w:val="none"/>
        </w:rPr>
        <w:t xml:space="preserve"> 开标异议</w:t>
      </w:r>
      <w:bookmarkEnd w:id="188"/>
      <w:bookmarkEnd w:id="189"/>
    </w:p>
    <w:p w14:paraId="1A470D99">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投标人对开标有异议的，应在开标现场提出，招标人当场作出答复，并制作记录，有异议的投标人代表、招标人代表、记录人等有关人员在记录上签字确认。</w:t>
      </w:r>
    </w:p>
    <w:p w14:paraId="567EA67F">
      <w:pPr>
        <w:pStyle w:val="2"/>
        <w:spacing w:before="360" w:after="240" w:line="440" w:lineRule="atLeast"/>
        <w:rPr>
          <w:rFonts w:eastAsia="黑体"/>
          <w:b w:val="0"/>
          <w:color w:val="auto"/>
          <w:sz w:val="28"/>
          <w:szCs w:val="28"/>
          <w:highlight w:val="none"/>
        </w:rPr>
      </w:pPr>
      <w:bookmarkStart w:id="190" w:name="_Toc510015710"/>
      <w:bookmarkStart w:id="191" w:name="_Toc503235777"/>
      <w:r>
        <w:rPr>
          <w:rFonts w:eastAsia="黑体"/>
          <w:b w:val="0"/>
          <w:color w:val="auto"/>
          <w:sz w:val="28"/>
          <w:szCs w:val="28"/>
          <w:highlight w:val="none"/>
        </w:rPr>
        <w:t>6. 评标</w:t>
      </w:r>
      <w:bookmarkEnd w:id="190"/>
      <w:bookmarkEnd w:id="191"/>
    </w:p>
    <w:p w14:paraId="6853DDC7">
      <w:pPr>
        <w:pStyle w:val="2"/>
        <w:spacing w:before="240" w:after="240" w:line="440" w:lineRule="atLeast"/>
        <w:rPr>
          <w:rFonts w:eastAsia="黑体"/>
          <w:b w:val="0"/>
          <w:color w:val="auto"/>
          <w:sz w:val="24"/>
          <w:szCs w:val="24"/>
          <w:highlight w:val="none"/>
        </w:rPr>
      </w:pPr>
      <w:bookmarkStart w:id="192" w:name="_Toc510015711"/>
      <w:bookmarkStart w:id="193" w:name="_Toc503235778"/>
      <w:r>
        <w:rPr>
          <w:rFonts w:eastAsia="黑体"/>
          <w:b w:val="0"/>
          <w:color w:val="auto"/>
          <w:sz w:val="24"/>
          <w:szCs w:val="24"/>
          <w:highlight w:val="none"/>
        </w:rPr>
        <w:t>6.1</w:t>
      </w:r>
      <w:r>
        <w:rPr>
          <w:rFonts w:eastAsia="黑体"/>
          <w:b w:val="0"/>
          <w:color w:val="auto"/>
          <w:sz w:val="24"/>
          <w:szCs w:val="24"/>
          <w:highlight w:val="none"/>
        </w:rPr>
        <w:tab/>
      </w:r>
      <w:r>
        <w:rPr>
          <w:rFonts w:eastAsia="黑体"/>
          <w:b w:val="0"/>
          <w:color w:val="auto"/>
          <w:sz w:val="24"/>
          <w:szCs w:val="24"/>
          <w:highlight w:val="none"/>
        </w:rPr>
        <w:t xml:space="preserve"> 评标委员会</w:t>
      </w:r>
      <w:bookmarkEnd w:id="192"/>
      <w:bookmarkEnd w:id="193"/>
    </w:p>
    <w:p w14:paraId="57DB9319">
      <w:pPr>
        <w:spacing w:line="440" w:lineRule="atLeast"/>
        <w:ind w:firstLine="480" w:firstLineChars="200"/>
        <w:rPr>
          <w:color w:val="auto"/>
          <w:sz w:val="24"/>
          <w:highlight w:val="none"/>
        </w:rPr>
      </w:pPr>
      <w:r>
        <w:rPr>
          <w:color w:val="auto"/>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5763FB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6.1.2 评标委员会成员有下列情形之一的，应主动提出回避：</w:t>
      </w:r>
    </w:p>
    <w:p w14:paraId="63CE4478">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（1）为负责招标项目监督管理的交通运输主管部门的工作人员；</w:t>
      </w:r>
    </w:p>
    <w:p w14:paraId="132C9DB7">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（2）与投标人法定代表人或其委托代理人有近亲属关系；</w:t>
      </w:r>
    </w:p>
    <w:p w14:paraId="12433749">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（3）为投标人的工作人员或退休人员；</w:t>
      </w:r>
    </w:p>
    <w:p w14:paraId="57FB81DD">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（4）与投标人有其他利害关系，可能影响评标活动公正性；</w:t>
      </w:r>
    </w:p>
    <w:p w14:paraId="6521F842">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（5）在与招标投标有关的活动中有过违法违规行为、曾受过行政处罚或刑事处罚。</w:t>
      </w:r>
    </w:p>
    <w:p w14:paraId="586B17DB">
      <w:pPr>
        <w:spacing w:line="440" w:lineRule="atLeast"/>
        <w:ind w:firstLine="480" w:firstLineChars="200"/>
        <w:rPr>
          <w:color w:val="auto"/>
          <w:sz w:val="24"/>
          <w:highlight w:val="none"/>
        </w:rPr>
      </w:pPr>
      <w:r>
        <w:rPr>
          <w:color w:val="auto"/>
          <w:sz w:val="24"/>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345001BC">
      <w:pPr>
        <w:pStyle w:val="2"/>
        <w:spacing w:before="240" w:after="240" w:line="440" w:lineRule="atLeast"/>
        <w:rPr>
          <w:rFonts w:eastAsia="黑体"/>
          <w:b w:val="0"/>
          <w:color w:val="auto"/>
          <w:sz w:val="24"/>
          <w:szCs w:val="24"/>
          <w:highlight w:val="none"/>
        </w:rPr>
      </w:pPr>
      <w:bookmarkStart w:id="194" w:name="_Toc503235779"/>
      <w:bookmarkStart w:id="195" w:name="_Toc510015712"/>
      <w:r>
        <w:rPr>
          <w:rFonts w:eastAsia="黑体"/>
          <w:b w:val="0"/>
          <w:color w:val="auto"/>
          <w:sz w:val="24"/>
          <w:szCs w:val="24"/>
          <w:highlight w:val="none"/>
        </w:rPr>
        <w:t>6.2 评标原则</w:t>
      </w:r>
      <w:bookmarkEnd w:id="194"/>
      <w:bookmarkEnd w:id="195"/>
    </w:p>
    <w:p w14:paraId="603EFBE7">
      <w:pPr>
        <w:spacing w:line="440" w:lineRule="atLeast"/>
        <w:ind w:firstLine="480" w:firstLineChars="200"/>
        <w:rPr>
          <w:color w:val="auto"/>
          <w:sz w:val="24"/>
          <w:highlight w:val="none"/>
        </w:rPr>
      </w:pPr>
      <w:r>
        <w:rPr>
          <w:color w:val="auto"/>
          <w:sz w:val="24"/>
          <w:highlight w:val="none"/>
        </w:rPr>
        <w:t>评标活动遵循公平、公正、科学和择优的原则。</w:t>
      </w:r>
    </w:p>
    <w:p w14:paraId="74534C8C">
      <w:pPr>
        <w:pStyle w:val="2"/>
        <w:spacing w:before="240" w:after="240" w:line="440" w:lineRule="atLeast"/>
        <w:rPr>
          <w:rFonts w:eastAsia="黑体"/>
          <w:b w:val="0"/>
          <w:color w:val="auto"/>
          <w:sz w:val="24"/>
          <w:szCs w:val="24"/>
          <w:highlight w:val="none"/>
        </w:rPr>
      </w:pPr>
      <w:bookmarkStart w:id="196" w:name="_Toc510015713"/>
      <w:bookmarkStart w:id="197" w:name="_Toc503235780"/>
      <w:r>
        <w:rPr>
          <w:rFonts w:eastAsia="黑体"/>
          <w:b w:val="0"/>
          <w:color w:val="auto"/>
          <w:sz w:val="24"/>
          <w:szCs w:val="24"/>
          <w:highlight w:val="none"/>
        </w:rPr>
        <w:t>6.3 评标</w:t>
      </w:r>
      <w:bookmarkEnd w:id="196"/>
      <w:bookmarkEnd w:id="197"/>
    </w:p>
    <w:p w14:paraId="52665D50">
      <w:pPr>
        <w:spacing w:line="440" w:lineRule="atLeast"/>
        <w:ind w:firstLine="480" w:firstLineChars="200"/>
        <w:rPr>
          <w:color w:val="auto"/>
          <w:sz w:val="24"/>
          <w:highlight w:val="none"/>
        </w:rPr>
      </w:pPr>
      <w:r>
        <w:rPr>
          <w:color w:val="auto"/>
          <w:sz w:val="24"/>
          <w:highlight w:val="none"/>
        </w:rPr>
        <w:t>6.3.1 评标委员会按照第三章“评标办法”规定的方法、评审因素、标准和程序对投标文件进行评审。第三章“评标办法”没有规定的方法、评审因素和标准，不作为评标依据。</w:t>
      </w:r>
    </w:p>
    <w:p w14:paraId="5F3FF635">
      <w:pPr>
        <w:spacing w:line="440" w:lineRule="atLeast"/>
        <w:ind w:firstLine="480" w:firstLineChars="200"/>
        <w:rPr>
          <w:color w:val="auto"/>
          <w:sz w:val="24"/>
          <w:highlight w:val="none"/>
        </w:rPr>
      </w:pPr>
      <w:r>
        <w:rPr>
          <w:color w:val="auto"/>
          <w:sz w:val="24"/>
          <w:highlight w:val="none"/>
        </w:rPr>
        <w:t>6.3.2 评标完成后，评标委员会应向招标人提交书面评标报告和中标候选人名单。评标委员会推荐中标</w:t>
      </w:r>
      <w:bookmarkStart w:id="198" w:name="_Toc247513982"/>
      <w:bookmarkStart w:id="199" w:name="_Toc144974526"/>
      <w:bookmarkStart w:id="200" w:name="_Toc247527583"/>
      <w:bookmarkStart w:id="201" w:name="_Toc12259"/>
      <w:bookmarkStart w:id="202" w:name="_Toc300834979"/>
      <w:bookmarkStart w:id="203" w:name="_Toc352691502"/>
      <w:bookmarkStart w:id="204" w:name="_Toc152042334"/>
      <w:bookmarkStart w:id="205" w:name="_Toc152045558"/>
      <w:bookmarkStart w:id="206" w:name="_Toc369531546"/>
      <w:bookmarkStart w:id="207" w:name="_Toc384308240"/>
      <w:bookmarkStart w:id="208" w:name="_Toc361508615"/>
      <w:r>
        <w:rPr>
          <w:color w:val="auto"/>
          <w:sz w:val="24"/>
          <w:highlight w:val="none"/>
        </w:rPr>
        <w:t>候选人的人数见投标人须知前附</w:t>
      </w:r>
      <w:bookmarkEnd w:id="198"/>
      <w:bookmarkEnd w:id="199"/>
      <w:bookmarkEnd w:id="200"/>
      <w:bookmarkEnd w:id="201"/>
      <w:bookmarkEnd w:id="202"/>
      <w:bookmarkEnd w:id="203"/>
      <w:bookmarkEnd w:id="204"/>
      <w:bookmarkEnd w:id="205"/>
      <w:bookmarkEnd w:id="206"/>
      <w:bookmarkEnd w:id="207"/>
      <w:bookmarkEnd w:id="208"/>
      <w:r>
        <w:rPr>
          <w:color w:val="auto"/>
          <w:sz w:val="24"/>
          <w:highlight w:val="none"/>
        </w:rPr>
        <w:t>表。</w:t>
      </w:r>
    </w:p>
    <w:p w14:paraId="19D02883">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6.3.3 评标补救措施</w:t>
      </w:r>
    </w:p>
    <w:p w14:paraId="2A7A1102">
      <w:pPr>
        <w:spacing w:line="400" w:lineRule="atLeast"/>
        <w:ind w:firstLine="480" w:firstLineChars="200"/>
        <w:rPr>
          <w:color w:val="auto"/>
          <w:sz w:val="24"/>
          <w:highlight w:val="none"/>
        </w:rPr>
      </w:pPr>
      <w:r>
        <w:rPr>
          <w:rFonts w:hint="eastAsia" w:ascii="宋体" w:hAnsi="宋体" w:eastAsia="宋体" w:cs="宋体"/>
          <w:color w:val="auto"/>
          <w:sz w:val="24"/>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134B903A">
      <w:pPr>
        <w:pStyle w:val="2"/>
        <w:spacing w:before="360" w:after="240" w:line="440" w:lineRule="atLeast"/>
        <w:rPr>
          <w:rFonts w:eastAsia="黑体"/>
          <w:b w:val="0"/>
          <w:color w:val="auto"/>
          <w:sz w:val="28"/>
          <w:szCs w:val="28"/>
          <w:highlight w:val="none"/>
        </w:rPr>
      </w:pPr>
      <w:bookmarkStart w:id="209" w:name="_Toc510015714"/>
      <w:bookmarkStart w:id="210" w:name="_Toc503235781"/>
      <w:r>
        <w:rPr>
          <w:rFonts w:eastAsia="黑体"/>
          <w:b w:val="0"/>
          <w:color w:val="auto"/>
          <w:sz w:val="28"/>
          <w:szCs w:val="28"/>
          <w:highlight w:val="none"/>
        </w:rPr>
        <w:t>7. 合同授予</w:t>
      </w:r>
      <w:bookmarkEnd w:id="209"/>
      <w:bookmarkEnd w:id="210"/>
    </w:p>
    <w:p w14:paraId="6EA7CBF5">
      <w:pPr>
        <w:pStyle w:val="2"/>
        <w:spacing w:before="240" w:after="240" w:line="440" w:lineRule="atLeast"/>
        <w:rPr>
          <w:rFonts w:eastAsia="黑体"/>
          <w:b w:val="0"/>
          <w:color w:val="auto"/>
          <w:sz w:val="24"/>
          <w:szCs w:val="24"/>
          <w:highlight w:val="none"/>
        </w:rPr>
      </w:pPr>
      <w:bookmarkStart w:id="211" w:name="_Toc503235782"/>
      <w:bookmarkStart w:id="212" w:name="_Toc510015715"/>
      <w:r>
        <w:rPr>
          <w:rFonts w:eastAsia="黑体"/>
          <w:b w:val="0"/>
          <w:color w:val="auto"/>
          <w:sz w:val="24"/>
          <w:szCs w:val="24"/>
          <w:highlight w:val="none"/>
        </w:rPr>
        <w:t>7.1 中标候选人公示</w:t>
      </w:r>
      <w:bookmarkEnd w:id="211"/>
      <w:bookmarkEnd w:id="212"/>
    </w:p>
    <w:p w14:paraId="3BA859BE">
      <w:pPr>
        <w:spacing w:line="440" w:lineRule="atLeast"/>
        <w:ind w:firstLine="480" w:firstLineChars="200"/>
        <w:rPr>
          <w:rFonts w:hint="eastAsia" w:ascii="宋体" w:hAnsi="宋体" w:eastAsia="宋体" w:cs="宋体"/>
          <w:color w:val="auto"/>
          <w:sz w:val="24"/>
          <w:highlight w:val="none"/>
        </w:rPr>
      </w:pPr>
      <w:r>
        <w:rPr>
          <w:color w:val="auto"/>
          <w:sz w:val="24"/>
          <w:highlight w:val="none"/>
        </w:rPr>
        <w:t>招标人在收到评标报告之日起3日内，按照投标人须知前附表规定的公示媒介和期限公示中标候选人，公示期不得少于3日，</w:t>
      </w:r>
      <w:r>
        <w:rPr>
          <w:rFonts w:hint="eastAsia" w:ascii="宋体" w:hAnsi="宋体" w:eastAsia="宋体" w:cs="宋体"/>
          <w:color w:val="auto"/>
          <w:sz w:val="24"/>
          <w:highlight w:val="none"/>
        </w:rPr>
        <w:t>公示内容包括：</w:t>
      </w:r>
    </w:p>
    <w:p w14:paraId="7A67C411">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（1）中标候选人排序、名称、投标报价，对咨询质量要求、安全目标和咨询服务期限的</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情况；</w:t>
      </w:r>
    </w:p>
    <w:p w14:paraId="628410A2">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（2）中标候选人在投标文件中承诺的项目负责人姓名、个人业绩、相关证书名称和编号；</w:t>
      </w:r>
    </w:p>
    <w:p w14:paraId="14D2402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（3）中标候选人在投标文件中填报的项目业绩；</w:t>
      </w:r>
    </w:p>
    <w:p w14:paraId="4783F28E">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（4）被否决投标的投标人名称、否决依据和原因；</w:t>
      </w:r>
    </w:p>
    <w:p w14:paraId="607D3371">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（5）提出异议的渠道和方式；</w:t>
      </w:r>
    </w:p>
    <w:p w14:paraId="051E32C4">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（6）投标人须知前附表规定公示的其他内容。</w:t>
      </w:r>
    </w:p>
    <w:p w14:paraId="2CE3E147">
      <w:pPr>
        <w:pStyle w:val="2"/>
        <w:spacing w:before="240" w:after="240" w:line="440" w:lineRule="atLeast"/>
        <w:rPr>
          <w:rFonts w:eastAsia="黑体"/>
          <w:b w:val="0"/>
          <w:color w:val="auto"/>
          <w:sz w:val="24"/>
          <w:szCs w:val="24"/>
          <w:highlight w:val="none"/>
        </w:rPr>
      </w:pPr>
      <w:bookmarkStart w:id="213" w:name="_Toc503235783"/>
      <w:bookmarkStart w:id="214" w:name="_Toc510015716"/>
      <w:r>
        <w:rPr>
          <w:rFonts w:eastAsia="黑体"/>
          <w:b w:val="0"/>
          <w:color w:val="auto"/>
          <w:sz w:val="24"/>
          <w:szCs w:val="24"/>
          <w:highlight w:val="none"/>
        </w:rPr>
        <w:t>7.2 评标结果异议</w:t>
      </w:r>
      <w:bookmarkEnd w:id="213"/>
      <w:bookmarkEnd w:id="214"/>
    </w:p>
    <w:p w14:paraId="15A93A32">
      <w:pPr>
        <w:spacing w:line="440" w:lineRule="atLeast"/>
        <w:ind w:firstLine="480" w:firstLineChars="200"/>
        <w:rPr>
          <w:rFonts w:hint="eastAsia" w:ascii="宋体" w:hAnsi="宋体" w:eastAsia="宋体" w:cs="宋体"/>
          <w:color w:val="auto"/>
          <w:sz w:val="24"/>
          <w:highlight w:val="none"/>
        </w:rPr>
      </w:pPr>
      <w:r>
        <w:rPr>
          <w:color w:val="auto"/>
          <w:sz w:val="24"/>
          <w:highlight w:val="none"/>
        </w:rPr>
        <w:t>投标人或其他利害关系人对依法必须进行招标的项目的评标结果有异议的，应在中标候选人公示期间提出。招标人将在收到异议之日起3日内作出答复；作出答复前，将暂停招标投标活动。</w:t>
      </w:r>
      <w:r>
        <w:rPr>
          <w:rFonts w:hint="eastAsia" w:ascii="宋体" w:hAnsi="宋体" w:eastAsia="宋体" w:cs="宋体"/>
          <w:color w:val="auto"/>
          <w:sz w:val="24"/>
          <w:highlight w:val="none"/>
        </w:rPr>
        <w:t>提出异议与作出答复均应通过“电子交易平台”在“异议与答复”菜单以书面形式进行。</w:t>
      </w:r>
    </w:p>
    <w:p w14:paraId="758D84DE">
      <w:pPr>
        <w:pStyle w:val="2"/>
        <w:spacing w:before="240" w:after="240" w:line="440" w:lineRule="atLeast"/>
        <w:rPr>
          <w:rFonts w:eastAsia="黑体"/>
          <w:b w:val="0"/>
          <w:color w:val="auto"/>
          <w:sz w:val="24"/>
          <w:szCs w:val="24"/>
          <w:highlight w:val="none"/>
        </w:rPr>
      </w:pPr>
      <w:bookmarkStart w:id="215" w:name="_Toc510015717"/>
      <w:bookmarkStart w:id="216" w:name="_Toc503235784"/>
      <w:r>
        <w:rPr>
          <w:rFonts w:eastAsia="黑体"/>
          <w:b w:val="0"/>
          <w:color w:val="auto"/>
          <w:sz w:val="24"/>
          <w:szCs w:val="24"/>
          <w:highlight w:val="none"/>
        </w:rPr>
        <w:t>7.3 中标候选人履约能力审查</w:t>
      </w:r>
      <w:bookmarkEnd w:id="215"/>
      <w:bookmarkEnd w:id="216"/>
    </w:p>
    <w:p w14:paraId="773F1691">
      <w:pPr>
        <w:spacing w:line="440" w:lineRule="atLeast"/>
        <w:ind w:firstLine="480" w:firstLineChars="200"/>
        <w:rPr>
          <w:color w:val="auto"/>
          <w:sz w:val="24"/>
          <w:highlight w:val="none"/>
        </w:rPr>
      </w:pPr>
      <w:r>
        <w:rPr>
          <w:color w:val="auto"/>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2553369">
      <w:pPr>
        <w:pStyle w:val="2"/>
        <w:spacing w:before="240" w:after="240" w:line="440" w:lineRule="atLeast"/>
        <w:rPr>
          <w:rFonts w:eastAsia="黑体"/>
          <w:b w:val="0"/>
          <w:color w:val="auto"/>
          <w:sz w:val="24"/>
          <w:szCs w:val="24"/>
          <w:highlight w:val="none"/>
        </w:rPr>
      </w:pPr>
      <w:bookmarkStart w:id="217" w:name="_Toc510015718"/>
      <w:bookmarkStart w:id="218" w:name="_Toc503235785"/>
      <w:r>
        <w:rPr>
          <w:rFonts w:eastAsia="黑体"/>
          <w:b w:val="0"/>
          <w:color w:val="auto"/>
          <w:sz w:val="24"/>
          <w:szCs w:val="24"/>
          <w:highlight w:val="none"/>
        </w:rPr>
        <w:t>7.4 定标</w:t>
      </w:r>
      <w:bookmarkEnd w:id="217"/>
      <w:bookmarkEnd w:id="218"/>
    </w:p>
    <w:p w14:paraId="27F878C7">
      <w:pPr>
        <w:spacing w:line="440" w:lineRule="atLeast"/>
        <w:ind w:firstLine="480" w:firstLineChars="200"/>
        <w:rPr>
          <w:color w:val="auto"/>
          <w:sz w:val="24"/>
          <w:highlight w:val="none"/>
        </w:rPr>
      </w:pPr>
      <w:r>
        <w:rPr>
          <w:color w:val="auto"/>
          <w:sz w:val="24"/>
          <w:highlight w:val="none"/>
        </w:rPr>
        <w:t>按照投标人须知前附表的规定，招标人或招标人授权的评标委员会依法确定中标人。</w:t>
      </w:r>
    </w:p>
    <w:p w14:paraId="009D9CE1">
      <w:pPr>
        <w:pStyle w:val="2"/>
        <w:spacing w:before="240" w:after="240" w:line="440" w:lineRule="atLeast"/>
        <w:rPr>
          <w:rFonts w:eastAsia="黑体"/>
          <w:b w:val="0"/>
          <w:color w:val="auto"/>
          <w:sz w:val="24"/>
          <w:szCs w:val="24"/>
          <w:highlight w:val="none"/>
        </w:rPr>
      </w:pPr>
      <w:bookmarkStart w:id="219" w:name="_Toc510015719"/>
      <w:bookmarkStart w:id="220" w:name="_Toc503235786"/>
      <w:r>
        <w:rPr>
          <w:rFonts w:eastAsia="黑体"/>
          <w:b w:val="0"/>
          <w:color w:val="auto"/>
          <w:sz w:val="24"/>
          <w:szCs w:val="24"/>
          <w:highlight w:val="none"/>
        </w:rPr>
        <w:t>7.5 中标通知</w:t>
      </w:r>
      <w:bookmarkEnd w:id="219"/>
      <w:bookmarkEnd w:id="220"/>
    </w:p>
    <w:p w14:paraId="4356F988">
      <w:pPr>
        <w:spacing w:line="440" w:lineRule="atLeast"/>
        <w:ind w:firstLine="480" w:firstLineChars="200"/>
        <w:rPr>
          <w:color w:val="auto"/>
          <w:sz w:val="24"/>
          <w:highlight w:val="none"/>
        </w:rPr>
      </w:pPr>
      <w:r>
        <w:rPr>
          <w:color w:val="auto"/>
          <w:sz w:val="24"/>
          <w:highlight w:val="none"/>
        </w:rPr>
        <w:t>在本章第3.3款规定的投标有效期内，招标人</w:t>
      </w:r>
      <w:r>
        <w:rPr>
          <w:rFonts w:hint="eastAsia" w:ascii="宋体" w:hAnsi="宋体" w:eastAsia="宋体" w:cs="宋体"/>
          <w:color w:val="auto"/>
          <w:sz w:val="24"/>
          <w:highlight w:val="none"/>
        </w:rPr>
        <w:t>以投标人须知前附表规定的形式向</w:t>
      </w:r>
      <w:r>
        <w:rPr>
          <w:color w:val="auto"/>
          <w:sz w:val="24"/>
          <w:highlight w:val="none"/>
        </w:rPr>
        <w:t>中标人发出中标通知书，同时将中标结果通知未中标的投标人。</w:t>
      </w:r>
    </w:p>
    <w:p w14:paraId="2D8889C9">
      <w:pPr>
        <w:pStyle w:val="2"/>
        <w:spacing w:before="240" w:after="240" w:line="440" w:lineRule="atLeast"/>
        <w:rPr>
          <w:rFonts w:eastAsia="黑体"/>
          <w:b w:val="0"/>
          <w:color w:val="auto"/>
          <w:sz w:val="24"/>
          <w:szCs w:val="24"/>
          <w:highlight w:val="none"/>
        </w:rPr>
      </w:pPr>
      <w:bookmarkStart w:id="221" w:name="_Toc510015720"/>
      <w:bookmarkStart w:id="222" w:name="_Toc503235787"/>
      <w:bookmarkStart w:id="223" w:name="_Toc501257108"/>
      <w:r>
        <w:rPr>
          <w:rFonts w:eastAsia="黑体"/>
          <w:b w:val="0"/>
          <w:color w:val="auto"/>
          <w:sz w:val="24"/>
          <w:szCs w:val="24"/>
          <w:highlight w:val="none"/>
        </w:rPr>
        <w:t>7.6 中标结果公告</w:t>
      </w:r>
      <w:bookmarkEnd w:id="221"/>
      <w:bookmarkEnd w:id="222"/>
      <w:bookmarkEnd w:id="223"/>
    </w:p>
    <w:p w14:paraId="28A5BE9F">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招标人在确定中标人之日起3日内，按照投标人须知前附表规定的公告媒介和期限公告中标结果，公告期不得少于3日。公告内容包括中标人名称、中标价。</w:t>
      </w:r>
    </w:p>
    <w:p w14:paraId="38E60A9D">
      <w:pPr>
        <w:pStyle w:val="2"/>
        <w:spacing w:before="240" w:after="240" w:line="440" w:lineRule="atLeast"/>
        <w:rPr>
          <w:rFonts w:eastAsia="黑体"/>
          <w:b w:val="0"/>
          <w:color w:val="auto"/>
          <w:sz w:val="24"/>
          <w:szCs w:val="24"/>
          <w:highlight w:val="none"/>
        </w:rPr>
      </w:pPr>
      <w:bookmarkStart w:id="224" w:name="_Toc510015721"/>
      <w:bookmarkStart w:id="225" w:name="_Toc503235789"/>
      <w:r>
        <w:rPr>
          <w:rFonts w:eastAsia="黑体"/>
          <w:b w:val="0"/>
          <w:color w:val="auto"/>
          <w:sz w:val="24"/>
          <w:szCs w:val="24"/>
          <w:highlight w:val="none"/>
        </w:rPr>
        <w:t>7.7 履约保证金</w:t>
      </w:r>
      <w:bookmarkEnd w:id="224"/>
      <w:bookmarkEnd w:id="225"/>
    </w:p>
    <w:p w14:paraId="13766547">
      <w:pPr>
        <w:spacing w:line="440" w:lineRule="atLeast"/>
        <w:ind w:firstLine="480" w:firstLineChars="200"/>
        <w:rPr>
          <w:color w:val="auto"/>
          <w:sz w:val="24"/>
          <w:highlight w:val="none"/>
        </w:rPr>
      </w:pPr>
      <w:r>
        <w:rPr>
          <w:color w:val="auto"/>
          <w:sz w:val="24"/>
          <w:highlight w:val="none"/>
        </w:rPr>
        <w:t>7.7.1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w:t>
      </w:r>
      <w:r>
        <w:rPr>
          <w:rFonts w:eastAsia="隶书"/>
          <w:color w:val="auto"/>
          <w:sz w:val="24"/>
          <w:highlight w:val="none"/>
        </w:rPr>
        <w:t>签约合同价</w:t>
      </w:r>
      <w:r>
        <w:rPr>
          <w:color w:val="auto"/>
          <w:sz w:val="24"/>
          <w:highlight w:val="none"/>
        </w:rPr>
        <w:t>的10%。联合体中标的，其履约保证金以联合体各方或联合体中牵头人的名义提交。</w:t>
      </w:r>
    </w:p>
    <w:p w14:paraId="38E5B2DB">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采用银行保函时，应由符合投标人须知前附表规定级别的银行开具，所需的费用由中标人承担，中标人应保证银行保函有效。</w:t>
      </w:r>
    </w:p>
    <w:p w14:paraId="191BB0DB">
      <w:pPr>
        <w:spacing w:line="440" w:lineRule="atLeast"/>
        <w:ind w:firstLine="480" w:firstLineChars="200"/>
        <w:rPr>
          <w:color w:val="auto"/>
          <w:sz w:val="24"/>
          <w:highlight w:val="none"/>
        </w:rPr>
      </w:pPr>
      <w:r>
        <w:rPr>
          <w:color w:val="auto"/>
          <w:sz w:val="24"/>
          <w:highlight w:val="none"/>
        </w:rPr>
        <w:t>7.7.2 中标人不能按本章第7.7.1项要求提交履约保证金的，视为放弃中标，其投标保证金不予退还，给招标人造成的损失超过投标保证金数额的，中标人还应对超过部分予以赔偿。</w:t>
      </w:r>
    </w:p>
    <w:p w14:paraId="4D2D06C3">
      <w:pPr>
        <w:pStyle w:val="2"/>
        <w:spacing w:before="240" w:after="240" w:line="440" w:lineRule="atLeast"/>
        <w:rPr>
          <w:rFonts w:eastAsia="黑体"/>
          <w:b w:val="0"/>
          <w:color w:val="auto"/>
          <w:sz w:val="24"/>
          <w:szCs w:val="24"/>
          <w:highlight w:val="none"/>
        </w:rPr>
      </w:pPr>
      <w:bookmarkStart w:id="226" w:name="_Toc503235790"/>
      <w:bookmarkStart w:id="227" w:name="_Toc510015722"/>
      <w:r>
        <w:rPr>
          <w:rFonts w:eastAsia="黑体"/>
          <w:b w:val="0"/>
          <w:color w:val="auto"/>
          <w:sz w:val="24"/>
          <w:szCs w:val="24"/>
          <w:highlight w:val="none"/>
        </w:rPr>
        <w:t>7.8 签订合同</w:t>
      </w:r>
      <w:bookmarkEnd w:id="226"/>
      <w:bookmarkEnd w:id="227"/>
    </w:p>
    <w:p w14:paraId="339191D9">
      <w:pPr>
        <w:spacing w:line="440" w:lineRule="atLeast"/>
        <w:ind w:firstLine="480" w:firstLineChars="200"/>
        <w:rPr>
          <w:color w:val="auto"/>
          <w:sz w:val="24"/>
          <w:highlight w:val="none"/>
        </w:rPr>
      </w:pPr>
      <w:r>
        <w:rPr>
          <w:color w:val="auto"/>
          <w:sz w:val="24"/>
          <w:highlight w:val="none"/>
        </w:rPr>
        <w:t xml:space="preserve">7.8.1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14:paraId="60D2BD92">
      <w:pPr>
        <w:spacing w:line="440" w:lineRule="atLeast"/>
        <w:ind w:firstLine="480" w:firstLineChars="200"/>
        <w:rPr>
          <w:color w:val="auto"/>
          <w:sz w:val="24"/>
          <w:highlight w:val="none"/>
        </w:rPr>
      </w:pPr>
      <w:r>
        <w:rPr>
          <w:color w:val="auto"/>
          <w:sz w:val="24"/>
          <w:highlight w:val="none"/>
        </w:rPr>
        <w:t>7.8.2 发出中标通知书后，招标人无正当理由拒签合同，或在签订合同时向中标人提出附加条件的，招标人向中标人退还投标保证金；给中标人造成损失的，还应赔偿损失。</w:t>
      </w:r>
    </w:p>
    <w:p w14:paraId="2772E6ED">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7.8.3 签约合同价的确定原则如下：</w:t>
      </w:r>
    </w:p>
    <w:p w14:paraId="2E40EB04">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（1）按照评标办法规定对投标报价进行修正后，若修正后的最终投标报价小于开标时的投标函大写金额报价，则签订合同时以修正后的最终投标报价为准；</w:t>
      </w:r>
    </w:p>
    <w:p w14:paraId="77314A83">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14:paraId="04565ABE">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7.8.4 联合体中标的，联合体各方应共同与招标人签订合同，就中标项目向招标人承担连带责任。</w:t>
      </w:r>
    </w:p>
    <w:p w14:paraId="01AF9A3D">
      <w:pPr>
        <w:spacing w:line="440" w:lineRule="atLeast"/>
        <w:ind w:firstLine="480" w:firstLineChars="200"/>
        <w:rPr>
          <w:rFonts w:eastAsia="隶书"/>
          <w:color w:val="auto"/>
          <w:sz w:val="24"/>
          <w:highlight w:val="none"/>
        </w:rPr>
      </w:pPr>
      <w:r>
        <w:rPr>
          <w:rFonts w:hint="eastAsia" w:ascii="宋体" w:hAnsi="宋体" w:eastAsia="宋体" w:cs="宋体"/>
          <w:color w:val="auto"/>
          <w:sz w:val="24"/>
          <w:highlight w:val="none"/>
        </w:rPr>
        <w:t>7.8.5 招标人和中标人在签订合同协议书的同时，须按照本招标文件规定的格式和要求签订廉政合同，明确双方在廉政建设方面的权利和义务以及应承担的违约责任。</w:t>
      </w:r>
    </w:p>
    <w:p w14:paraId="053F3113">
      <w:pPr>
        <w:pStyle w:val="2"/>
        <w:spacing w:before="360" w:after="240" w:line="440" w:lineRule="atLeast"/>
        <w:rPr>
          <w:rFonts w:eastAsia="黑体"/>
          <w:b w:val="0"/>
          <w:color w:val="auto"/>
          <w:sz w:val="28"/>
          <w:szCs w:val="28"/>
          <w:highlight w:val="none"/>
        </w:rPr>
      </w:pPr>
      <w:bookmarkStart w:id="228" w:name="_Toc503235791"/>
      <w:bookmarkStart w:id="229" w:name="_Toc510015723"/>
      <w:r>
        <w:rPr>
          <w:rFonts w:eastAsia="黑体"/>
          <w:b w:val="0"/>
          <w:color w:val="auto"/>
          <w:sz w:val="28"/>
          <w:szCs w:val="28"/>
          <w:highlight w:val="none"/>
        </w:rPr>
        <w:t>8. 纪律和监督</w:t>
      </w:r>
      <w:bookmarkEnd w:id="228"/>
      <w:bookmarkEnd w:id="229"/>
    </w:p>
    <w:p w14:paraId="3834C85B">
      <w:pPr>
        <w:pStyle w:val="2"/>
        <w:spacing w:before="240" w:after="240" w:line="440" w:lineRule="atLeast"/>
        <w:rPr>
          <w:rFonts w:eastAsia="黑体"/>
          <w:b w:val="0"/>
          <w:color w:val="auto"/>
          <w:sz w:val="24"/>
          <w:szCs w:val="24"/>
          <w:highlight w:val="none"/>
        </w:rPr>
      </w:pPr>
      <w:bookmarkStart w:id="230" w:name="_Toc503235792"/>
      <w:bookmarkStart w:id="231" w:name="_Toc510015724"/>
      <w:r>
        <w:rPr>
          <w:rFonts w:eastAsia="黑体"/>
          <w:b w:val="0"/>
          <w:color w:val="auto"/>
          <w:sz w:val="24"/>
          <w:szCs w:val="24"/>
          <w:highlight w:val="none"/>
        </w:rPr>
        <w:t>8.1 对招标人的纪律要求</w:t>
      </w:r>
      <w:bookmarkEnd w:id="230"/>
      <w:bookmarkEnd w:id="231"/>
    </w:p>
    <w:p w14:paraId="1E2A6718">
      <w:pPr>
        <w:spacing w:line="440" w:lineRule="atLeast"/>
        <w:ind w:firstLine="480" w:firstLineChars="200"/>
        <w:rPr>
          <w:color w:val="auto"/>
          <w:sz w:val="24"/>
          <w:highlight w:val="none"/>
        </w:rPr>
      </w:pPr>
      <w:r>
        <w:rPr>
          <w:color w:val="auto"/>
          <w:sz w:val="24"/>
          <w:highlight w:val="none"/>
        </w:rPr>
        <w:t>招标人不得泄露招标投标活动中应保密的情况和资料，不得与投标人串通损害国家利益、社会公共利益或他人合法权益。</w:t>
      </w:r>
    </w:p>
    <w:p w14:paraId="5FB0E6F3">
      <w:pPr>
        <w:pStyle w:val="2"/>
        <w:spacing w:before="240" w:after="240" w:line="440" w:lineRule="atLeast"/>
        <w:rPr>
          <w:rFonts w:eastAsia="黑体"/>
          <w:b w:val="0"/>
          <w:color w:val="auto"/>
          <w:sz w:val="24"/>
          <w:szCs w:val="24"/>
          <w:highlight w:val="none"/>
        </w:rPr>
      </w:pPr>
      <w:bookmarkStart w:id="232" w:name="_Toc503235793"/>
      <w:bookmarkStart w:id="233" w:name="_Toc510015725"/>
      <w:r>
        <w:rPr>
          <w:rFonts w:eastAsia="黑体"/>
          <w:b w:val="0"/>
          <w:color w:val="auto"/>
          <w:sz w:val="24"/>
          <w:szCs w:val="24"/>
          <w:highlight w:val="none"/>
        </w:rPr>
        <w:t>8.2 对投标人的纪律要求</w:t>
      </w:r>
      <w:bookmarkEnd w:id="232"/>
      <w:bookmarkEnd w:id="233"/>
    </w:p>
    <w:p w14:paraId="706AC7DF">
      <w:pPr>
        <w:spacing w:line="440" w:lineRule="atLeast"/>
        <w:ind w:firstLine="480" w:firstLineChars="200"/>
        <w:rPr>
          <w:color w:val="auto"/>
          <w:sz w:val="24"/>
          <w:highlight w:val="none"/>
        </w:rPr>
      </w:pPr>
      <w:r>
        <w:rPr>
          <w:color w:val="auto"/>
          <w:sz w:val="24"/>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0EDB8C6C">
      <w:pPr>
        <w:pStyle w:val="2"/>
        <w:spacing w:before="240" w:after="240" w:line="440" w:lineRule="atLeast"/>
        <w:rPr>
          <w:rFonts w:eastAsia="黑体"/>
          <w:b w:val="0"/>
          <w:color w:val="auto"/>
          <w:sz w:val="24"/>
          <w:szCs w:val="24"/>
          <w:highlight w:val="none"/>
        </w:rPr>
      </w:pPr>
      <w:bookmarkStart w:id="234" w:name="_Toc503235794"/>
      <w:bookmarkStart w:id="235" w:name="_Toc510015726"/>
      <w:r>
        <w:rPr>
          <w:rFonts w:eastAsia="黑体"/>
          <w:b w:val="0"/>
          <w:color w:val="auto"/>
          <w:sz w:val="24"/>
          <w:szCs w:val="24"/>
          <w:highlight w:val="none"/>
        </w:rPr>
        <w:t>8.3 对评标委员会成员的纪律要求</w:t>
      </w:r>
      <w:bookmarkEnd w:id="234"/>
      <w:bookmarkEnd w:id="235"/>
    </w:p>
    <w:p w14:paraId="05DCA279">
      <w:pPr>
        <w:spacing w:line="440" w:lineRule="atLeast"/>
        <w:ind w:firstLine="480" w:firstLineChars="200"/>
        <w:rPr>
          <w:color w:val="auto"/>
          <w:sz w:val="24"/>
          <w:highlight w:val="none"/>
        </w:rPr>
      </w:pPr>
      <w:r>
        <w:rPr>
          <w:color w:val="auto"/>
          <w:sz w:val="24"/>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75DEAF4D">
      <w:pPr>
        <w:pStyle w:val="2"/>
        <w:spacing w:before="240" w:after="240" w:line="440" w:lineRule="atLeast"/>
        <w:rPr>
          <w:rFonts w:eastAsia="黑体"/>
          <w:b w:val="0"/>
          <w:color w:val="auto"/>
          <w:sz w:val="24"/>
          <w:szCs w:val="24"/>
          <w:highlight w:val="none"/>
        </w:rPr>
      </w:pPr>
      <w:bookmarkStart w:id="236" w:name="_Toc510015727"/>
      <w:bookmarkStart w:id="237" w:name="_Toc503235795"/>
      <w:r>
        <w:rPr>
          <w:rFonts w:eastAsia="黑体"/>
          <w:b w:val="0"/>
          <w:color w:val="auto"/>
          <w:sz w:val="24"/>
          <w:szCs w:val="24"/>
          <w:highlight w:val="none"/>
        </w:rPr>
        <w:t>8.4 对与评标活动有关的工作人员的纪律要求</w:t>
      </w:r>
      <w:bookmarkEnd w:id="236"/>
      <w:bookmarkEnd w:id="237"/>
    </w:p>
    <w:p w14:paraId="7BDFFA70">
      <w:pPr>
        <w:spacing w:line="440" w:lineRule="atLeast"/>
        <w:ind w:firstLine="480" w:firstLineChars="200"/>
        <w:rPr>
          <w:color w:val="auto"/>
          <w:sz w:val="24"/>
          <w:highlight w:val="none"/>
        </w:rPr>
      </w:pPr>
      <w:r>
        <w:rPr>
          <w:color w:val="auto"/>
          <w:sz w:val="24"/>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39E4E823">
      <w:pPr>
        <w:pStyle w:val="2"/>
        <w:spacing w:before="240" w:after="240" w:line="440" w:lineRule="atLeast"/>
        <w:rPr>
          <w:rFonts w:eastAsia="黑体"/>
          <w:b w:val="0"/>
          <w:color w:val="auto"/>
          <w:sz w:val="24"/>
          <w:szCs w:val="24"/>
          <w:highlight w:val="none"/>
        </w:rPr>
      </w:pPr>
      <w:bookmarkStart w:id="238" w:name="_Toc503235796"/>
      <w:bookmarkStart w:id="239" w:name="_Toc510015728"/>
      <w:r>
        <w:rPr>
          <w:rFonts w:eastAsia="黑体"/>
          <w:b w:val="0"/>
          <w:color w:val="auto"/>
          <w:sz w:val="24"/>
          <w:szCs w:val="24"/>
          <w:highlight w:val="none"/>
        </w:rPr>
        <w:t>8.5 投诉</w:t>
      </w:r>
      <w:bookmarkEnd w:id="238"/>
      <w:bookmarkEnd w:id="239"/>
    </w:p>
    <w:p w14:paraId="59B6BE80">
      <w:pPr>
        <w:spacing w:line="440" w:lineRule="atLeast"/>
        <w:ind w:firstLine="480" w:firstLineChars="200"/>
        <w:rPr>
          <w:color w:val="auto"/>
          <w:sz w:val="24"/>
          <w:highlight w:val="none"/>
        </w:rPr>
      </w:pPr>
      <w:r>
        <w:rPr>
          <w:color w:val="auto"/>
          <w:sz w:val="24"/>
          <w:highlight w:val="none"/>
        </w:rPr>
        <w:t>8.5.1 投标人或其他利害关系人认为招标投标活动不符合法律、行政法规规定的，可以自知道或应当知道之日起10日内向有关行政监督部门投诉。投诉应有明确的请求和必要的证明材料。</w:t>
      </w:r>
    </w:p>
    <w:p w14:paraId="63FB3962">
      <w:pPr>
        <w:spacing w:line="440" w:lineRule="atLeast"/>
        <w:ind w:firstLine="480" w:firstLineChars="200"/>
        <w:rPr>
          <w:rFonts w:eastAsia="隶书"/>
          <w:color w:val="auto"/>
          <w:sz w:val="24"/>
          <w:highlight w:val="none"/>
        </w:rPr>
      </w:pPr>
      <w:r>
        <w:rPr>
          <w:rFonts w:hint="eastAsia" w:ascii="宋体" w:hAnsi="宋体" w:eastAsia="宋体" w:cs="宋体"/>
          <w:color w:val="auto"/>
          <w:sz w:val="24"/>
          <w:highlight w:val="none"/>
        </w:rPr>
        <w:t>监督部门的联系方式见投标人须知前附表。</w:t>
      </w:r>
    </w:p>
    <w:p w14:paraId="68002A9C">
      <w:pPr>
        <w:spacing w:line="440" w:lineRule="atLeast"/>
        <w:ind w:firstLine="480" w:firstLineChars="200"/>
        <w:rPr>
          <w:color w:val="auto"/>
          <w:sz w:val="24"/>
          <w:highlight w:val="none"/>
        </w:rPr>
      </w:pPr>
      <w:r>
        <w:rPr>
          <w:color w:val="auto"/>
          <w:sz w:val="24"/>
          <w:highlight w:val="none"/>
        </w:rPr>
        <w:t>8.5.2 投标人或其他利害关系人对招标文件、开标和评标结果提出投诉的，应按照本章第2.4款、第5.3款和第7.2款的规定先向招标人提出异议。异议答复期间</w:t>
      </w:r>
      <w:bookmarkStart w:id="240" w:name="_Toc152045570"/>
      <w:bookmarkStart w:id="241" w:name="_Toc369531561"/>
      <w:bookmarkStart w:id="242" w:name="_Toc361508630"/>
      <w:bookmarkStart w:id="243" w:name="_Toc152042346"/>
      <w:bookmarkStart w:id="244" w:name="_Toc247513994"/>
      <w:bookmarkStart w:id="245" w:name="_Toc144974538"/>
      <w:bookmarkStart w:id="246" w:name="_Toc12776"/>
      <w:bookmarkStart w:id="247" w:name="_Toc384308255"/>
      <w:bookmarkStart w:id="248" w:name="_Toc247527595"/>
      <w:bookmarkStart w:id="249" w:name="_Toc300834993"/>
      <w:bookmarkStart w:id="250" w:name="_Toc352691517"/>
      <w:r>
        <w:rPr>
          <w:color w:val="auto"/>
          <w:sz w:val="24"/>
          <w:highlight w:val="none"/>
        </w:rPr>
        <w:t>不计算在第8.5.</w:t>
      </w:r>
      <w:bookmarkEnd w:id="240"/>
      <w:bookmarkEnd w:id="241"/>
      <w:bookmarkEnd w:id="242"/>
      <w:bookmarkEnd w:id="243"/>
      <w:bookmarkEnd w:id="244"/>
      <w:bookmarkEnd w:id="245"/>
      <w:bookmarkEnd w:id="246"/>
      <w:bookmarkEnd w:id="247"/>
      <w:bookmarkEnd w:id="248"/>
      <w:bookmarkEnd w:id="249"/>
      <w:bookmarkEnd w:id="250"/>
      <w:r>
        <w:rPr>
          <w:color w:val="auto"/>
          <w:sz w:val="24"/>
          <w:highlight w:val="none"/>
        </w:rPr>
        <w:t>1项规定的期限内。</w:t>
      </w:r>
    </w:p>
    <w:p w14:paraId="50FFE3C4">
      <w:pPr>
        <w:pStyle w:val="2"/>
        <w:spacing w:before="360" w:after="240" w:line="440" w:lineRule="atLeast"/>
        <w:rPr>
          <w:rFonts w:eastAsia="黑体"/>
          <w:b w:val="0"/>
          <w:color w:val="auto"/>
          <w:sz w:val="28"/>
          <w:szCs w:val="28"/>
          <w:highlight w:val="none"/>
        </w:rPr>
      </w:pPr>
      <w:bookmarkStart w:id="251" w:name="_Toc510015729"/>
      <w:bookmarkStart w:id="252" w:name="_Toc503235797"/>
      <w:r>
        <w:rPr>
          <w:rFonts w:eastAsia="黑体"/>
          <w:b w:val="0"/>
          <w:color w:val="auto"/>
          <w:sz w:val="28"/>
          <w:szCs w:val="28"/>
          <w:highlight w:val="none"/>
        </w:rPr>
        <w:t>9. 是否采用电子招标投标</w:t>
      </w:r>
      <w:bookmarkEnd w:id="251"/>
      <w:bookmarkEnd w:id="252"/>
    </w:p>
    <w:p w14:paraId="345BCB84">
      <w:pPr>
        <w:spacing w:line="440" w:lineRule="atLeast"/>
        <w:ind w:firstLine="480" w:firstLineChars="200"/>
        <w:rPr>
          <w:color w:val="auto"/>
          <w:sz w:val="24"/>
          <w:highlight w:val="none"/>
        </w:rPr>
      </w:pPr>
      <w:r>
        <w:rPr>
          <w:color w:val="auto"/>
          <w:sz w:val="24"/>
          <w:highlight w:val="none"/>
        </w:rPr>
        <w:t>本招标项目是否采用电子招标投标方式，见投标人须知前附表。</w:t>
      </w:r>
    </w:p>
    <w:p w14:paraId="603E25FE">
      <w:pPr>
        <w:pStyle w:val="2"/>
        <w:spacing w:before="360" w:after="240" w:line="440" w:lineRule="atLeast"/>
        <w:rPr>
          <w:rFonts w:eastAsia="黑体"/>
          <w:b w:val="0"/>
          <w:color w:val="auto"/>
          <w:sz w:val="28"/>
          <w:szCs w:val="28"/>
          <w:highlight w:val="none"/>
        </w:rPr>
      </w:pPr>
      <w:bookmarkStart w:id="253" w:name="_Toc503235798"/>
      <w:bookmarkStart w:id="254" w:name="_Toc510015730"/>
      <w:r>
        <w:rPr>
          <w:rFonts w:eastAsia="黑体"/>
          <w:b w:val="0"/>
          <w:color w:val="auto"/>
          <w:sz w:val="28"/>
          <w:szCs w:val="28"/>
          <w:highlight w:val="none"/>
        </w:rPr>
        <w:t>10. 需要补充的其他内容</w:t>
      </w:r>
      <w:bookmarkEnd w:id="253"/>
      <w:bookmarkEnd w:id="254"/>
    </w:p>
    <w:p w14:paraId="0A6BA8D7">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 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14:paraId="33B5AF6E">
      <w:pPr>
        <w:spacing w:line="440" w:lineRule="atLeast"/>
        <w:ind w:firstLine="480" w:firstLineChars="200"/>
        <w:rPr>
          <w:color w:val="auto"/>
          <w:sz w:val="24"/>
          <w:highlight w:val="none"/>
        </w:rPr>
      </w:pPr>
    </w:p>
    <w:p w14:paraId="0C69F7BD">
      <w:pPr>
        <w:spacing w:line="440" w:lineRule="atLeast"/>
        <w:ind w:firstLine="480" w:firstLineChars="200"/>
        <w:rPr>
          <w:color w:val="auto"/>
          <w:sz w:val="24"/>
          <w:highlight w:val="none"/>
        </w:rPr>
      </w:pPr>
      <w:r>
        <w:rPr>
          <w:color w:val="auto"/>
          <w:sz w:val="24"/>
          <w:highlight w:val="none"/>
        </w:rPr>
        <w:t>需要补充的其他内容：见投标人须知前附表。</w:t>
      </w:r>
    </w:p>
    <w:p w14:paraId="5E043BF6">
      <w:pPr>
        <w:spacing w:line="440" w:lineRule="atLeast"/>
        <w:ind w:firstLine="480" w:firstLineChars="200"/>
        <w:rPr>
          <w:rFonts w:eastAsia="隶书"/>
          <w:color w:val="auto"/>
          <w:sz w:val="24"/>
          <w:highlight w:val="none"/>
        </w:rPr>
      </w:pPr>
    </w:p>
    <w:p w14:paraId="7151EF27">
      <w:pPr>
        <w:spacing w:line="440" w:lineRule="atLeast"/>
        <w:ind w:firstLine="480" w:firstLineChars="200"/>
        <w:rPr>
          <w:rFonts w:eastAsia="隶书"/>
          <w:color w:val="auto"/>
          <w:sz w:val="24"/>
          <w:highlight w:val="none"/>
        </w:rPr>
      </w:pPr>
    </w:p>
    <w:p w14:paraId="2916812E">
      <w:pPr>
        <w:pStyle w:val="2"/>
        <w:spacing w:before="0" w:after="0" w:line="440" w:lineRule="atLeast"/>
        <w:rPr>
          <w:rFonts w:eastAsia="黑体"/>
          <w:b w:val="0"/>
          <w:color w:val="auto"/>
          <w:sz w:val="24"/>
          <w:szCs w:val="24"/>
          <w:highlight w:val="none"/>
        </w:rPr>
      </w:pPr>
      <w:r>
        <w:rPr>
          <w:rFonts w:eastAsia="隶书"/>
          <w:color w:val="auto"/>
          <w:sz w:val="24"/>
          <w:highlight w:val="none"/>
        </w:rPr>
        <w:br w:type="page"/>
      </w:r>
      <w:bookmarkStart w:id="255" w:name="_Toc503235799"/>
      <w:bookmarkStart w:id="256" w:name="_Toc510015731"/>
      <w:r>
        <w:rPr>
          <w:rFonts w:eastAsia="黑体"/>
          <w:b w:val="0"/>
          <w:color w:val="auto"/>
          <w:sz w:val="24"/>
          <w:szCs w:val="24"/>
          <w:highlight w:val="none"/>
        </w:rPr>
        <w:t>附件一 开标记录表</w:t>
      </w:r>
      <w:bookmarkEnd w:id="255"/>
      <w:r>
        <w:rPr>
          <w:b w:val="0"/>
          <w:color w:val="auto"/>
          <w:sz w:val="24"/>
          <w:szCs w:val="24"/>
          <w:highlight w:val="none"/>
          <w:vertAlign w:val="superscript"/>
        </w:rPr>
        <w:footnoteReference w:id="2"/>
      </w:r>
      <w:bookmarkEnd w:id="256"/>
    </w:p>
    <w:p w14:paraId="68BCD6DA">
      <w:pPr>
        <w:spacing w:before="120" w:beforeLines="50" w:line="440" w:lineRule="atLeas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r>
        <w:rPr>
          <w:rFonts w:eastAsia="黑体"/>
          <w:color w:val="auto"/>
          <w:sz w:val="28"/>
          <w:szCs w:val="28"/>
          <w:highlight w:val="none"/>
          <w:u w:val="single"/>
        </w:rPr>
        <w:t xml:space="preserve">    </w:t>
      </w:r>
      <w:r>
        <w:rPr>
          <w:rFonts w:eastAsia="黑体"/>
          <w:color w:val="auto"/>
          <w:sz w:val="28"/>
          <w:szCs w:val="28"/>
          <w:highlight w:val="none"/>
        </w:rPr>
        <w:t>标段咨询服务开标记录表</w:t>
      </w:r>
    </w:p>
    <w:p w14:paraId="018CD2F1">
      <w:pPr>
        <w:spacing w:line="440" w:lineRule="atLeast"/>
        <w:jc w:val="right"/>
        <w:rPr>
          <w:color w:val="auto"/>
          <w:sz w:val="24"/>
          <w:highlight w:val="none"/>
        </w:rPr>
      </w:pPr>
      <w:r>
        <w:rPr>
          <w:color w:val="auto"/>
          <w:sz w:val="24"/>
          <w:highlight w:val="none"/>
        </w:rPr>
        <w:t>开标时间：</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r>
        <w:rPr>
          <w:color w:val="auto"/>
          <w:sz w:val="24"/>
          <w:highlight w:val="none"/>
          <w:u w:val="single"/>
        </w:rPr>
        <w:t xml:space="preserve">   </w:t>
      </w:r>
      <w:r>
        <w:rPr>
          <w:color w:val="auto"/>
          <w:sz w:val="24"/>
          <w:highlight w:val="none"/>
        </w:rPr>
        <w:t>时</w:t>
      </w:r>
      <w:r>
        <w:rPr>
          <w:color w:val="auto"/>
          <w:sz w:val="24"/>
          <w:highlight w:val="none"/>
          <w:u w:val="single"/>
        </w:rPr>
        <w:t xml:space="preserve">   </w:t>
      </w:r>
      <w:r>
        <w:rPr>
          <w:color w:val="auto"/>
          <w:sz w:val="24"/>
          <w:highlight w:val="none"/>
        </w:rPr>
        <w:t>分</w:t>
      </w:r>
    </w:p>
    <w:tbl>
      <w:tblPr>
        <w:tblStyle w:val="5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14"/>
        <w:gridCol w:w="1071"/>
        <w:gridCol w:w="1071"/>
        <w:gridCol w:w="2093"/>
        <w:gridCol w:w="1276"/>
        <w:gridCol w:w="1559"/>
      </w:tblGrid>
      <w:tr w14:paraId="2036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96" w:type="dxa"/>
            <w:shd w:val="clear" w:color="auto" w:fill="auto"/>
            <w:vAlign w:val="center"/>
          </w:tcPr>
          <w:p w14:paraId="271D6968">
            <w:pPr>
              <w:spacing w:line="440" w:lineRule="atLeast"/>
              <w:ind w:left="-105" w:leftChars="-50" w:right="-105" w:rightChars="-50"/>
              <w:jc w:val="center"/>
              <w:rPr>
                <w:color w:val="auto"/>
                <w:szCs w:val="21"/>
                <w:highlight w:val="none"/>
              </w:rPr>
            </w:pPr>
            <w:r>
              <w:rPr>
                <w:color w:val="auto"/>
                <w:szCs w:val="21"/>
                <w:highlight w:val="none"/>
              </w:rPr>
              <w:t>序号</w:t>
            </w:r>
          </w:p>
        </w:tc>
        <w:tc>
          <w:tcPr>
            <w:tcW w:w="1414" w:type="dxa"/>
            <w:shd w:val="clear" w:color="auto" w:fill="auto"/>
            <w:vAlign w:val="center"/>
          </w:tcPr>
          <w:p w14:paraId="78B184E3">
            <w:pPr>
              <w:spacing w:line="440" w:lineRule="atLeast"/>
              <w:ind w:left="-105" w:leftChars="-50" w:right="-105" w:rightChars="-50"/>
              <w:jc w:val="center"/>
              <w:rPr>
                <w:color w:val="auto"/>
                <w:szCs w:val="21"/>
                <w:highlight w:val="none"/>
              </w:rPr>
            </w:pPr>
            <w:r>
              <w:rPr>
                <w:color w:val="auto"/>
                <w:szCs w:val="21"/>
                <w:highlight w:val="none"/>
              </w:rPr>
              <w:t>投标人</w:t>
            </w:r>
          </w:p>
        </w:tc>
        <w:tc>
          <w:tcPr>
            <w:tcW w:w="1071" w:type="dxa"/>
            <w:shd w:val="clear" w:color="auto" w:fill="auto"/>
            <w:vAlign w:val="center"/>
          </w:tcPr>
          <w:p w14:paraId="6268165B">
            <w:pPr>
              <w:spacing w:line="440" w:lineRule="atLeast"/>
              <w:ind w:left="-105" w:leftChars="-50" w:right="-105" w:rightChars="-50"/>
              <w:jc w:val="center"/>
              <w:rPr>
                <w:color w:val="auto"/>
                <w:szCs w:val="21"/>
                <w:highlight w:val="none"/>
              </w:rPr>
            </w:pPr>
            <w:r>
              <w:rPr>
                <w:color w:val="auto"/>
                <w:szCs w:val="21"/>
                <w:highlight w:val="none"/>
              </w:rPr>
              <w:t>密封情况</w:t>
            </w:r>
          </w:p>
        </w:tc>
        <w:tc>
          <w:tcPr>
            <w:tcW w:w="1071" w:type="dxa"/>
            <w:shd w:val="clear" w:color="auto" w:fill="auto"/>
            <w:vAlign w:val="center"/>
          </w:tcPr>
          <w:p w14:paraId="135A0A49">
            <w:pPr>
              <w:spacing w:line="440" w:lineRule="atLeast"/>
              <w:ind w:left="-105" w:leftChars="-50" w:right="-105" w:rightChars="-50"/>
              <w:jc w:val="center"/>
              <w:rPr>
                <w:color w:val="auto"/>
                <w:szCs w:val="21"/>
                <w:highlight w:val="none"/>
              </w:rPr>
            </w:pPr>
            <w:r>
              <w:rPr>
                <w:color w:val="auto"/>
                <w:szCs w:val="21"/>
                <w:highlight w:val="none"/>
              </w:rPr>
              <w:t>投标保证金递交情况</w:t>
            </w:r>
          </w:p>
        </w:tc>
        <w:tc>
          <w:tcPr>
            <w:tcW w:w="2093" w:type="dxa"/>
            <w:shd w:val="clear" w:color="auto" w:fill="auto"/>
            <w:vAlign w:val="center"/>
          </w:tcPr>
          <w:p w14:paraId="5C5EC344">
            <w:pPr>
              <w:spacing w:line="440" w:lineRule="atLeast"/>
              <w:ind w:left="-105" w:leftChars="-50" w:right="-105" w:rightChars="-50"/>
              <w:jc w:val="center"/>
              <w:rPr>
                <w:color w:val="auto"/>
                <w:szCs w:val="21"/>
                <w:highlight w:val="none"/>
              </w:rPr>
            </w:pPr>
            <w:r>
              <w:rPr>
                <w:color w:val="auto"/>
                <w:szCs w:val="21"/>
                <w:highlight w:val="none"/>
              </w:rPr>
              <w:t>咨询服务期限</w:t>
            </w:r>
          </w:p>
        </w:tc>
        <w:tc>
          <w:tcPr>
            <w:tcW w:w="1276" w:type="dxa"/>
            <w:shd w:val="clear" w:color="auto" w:fill="auto"/>
            <w:vAlign w:val="center"/>
          </w:tcPr>
          <w:p w14:paraId="4E359099">
            <w:pPr>
              <w:spacing w:line="440" w:lineRule="atLeast"/>
              <w:ind w:left="-105" w:leftChars="-50" w:right="-105" w:rightChars="-50"/>
              <w:jc w:val="center"/>
              <w:rPr>
                <w:color w:val="auto"/>
                <w:szCs w:val="21"/>
                <w:highlight w:val="none"/>
              </w:rPr>
            </w:pPr>
            <w:r>
              <w:rPr>
                <w:color w:val="auto"/>
                <w:szCs w:val="21"/>
                <w:highlight w:val="none"/>
              </w:rPr>
              <w:t>备注</w:t>
            </w:r>
          </w:p>
        </w:tc>
        <w:tc>
          <w:tcPr>
            <w:tcW w:w="1559" w:type="dxa"/>
            <w:shd w:val="clear" w:color="auto" w:fill="auto"/>
            <w:vAlign w:val="center"/>
          </w:tcPr>
          <w:p w14:paraId="020D09BE">
            <w:pPr>
              <w:spacing w:line="440" w:lineRule="atLeast"/>
              <w:ind w:left="-105" w:leftChars="-50" w:right="-105" w:rightChars="-50"/>
              <w:jc w:val="center"/>
              <w:rPr>
                <w:color w:val="auto"/>
                <w:szCs w:val="21"/>
                <w:highlight w:val="none"/>
              </w:rPr>
            </w:pPr>
            <w:r>
              <w:rPr>
                <w:color w:val="auto"/>
                <w:szCs w:val="21"/>
                <w:highlight w:val="none"/>
              </w:rPr>
              <w:t>投标人代表签名</w:t>
            </w:r>
          </w:p>
        </w:tc>
      </w:tr>
      <w:tr w14:paraId="1D38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1426F9CC">
            <w:pPr>
              <w:spacing w:before="120" w:beforeLines="50" w:line="440" w:lineRule="atLeast"/>
              <w:jc w:val="right"/>
              <w:rPr>
                <w:color w:val="auto"/>
                <w:sz w:val="24"/>
                <w:highlight w:val="none"/>
              </w:rPr>
            </w:pPr>
          </w:p>
        </w:tc>
        <w:tc>
          <w:tcPr>
            <w:tcW w:w="1414" w:type="dxa"/>
            <w:shd w:val="clear" w:color="auto" w:fill="auto"/>
          </w:tcPr>
          <w:p w14:paraId="2D6F219E">
            <w:pPr>
              <w:spacing w:before="120" w:beforeLines="50" w:line="440" w:lineRule="atLeast"/>
              <w:jc w:val="right"/>
              <w:rPr>
                <w:color w:val="auto"/>
                <w:sz w:val="24"/>
                <w:highlight w:val="none"/>
              </w:rPr>
            </w:pPr>
          </w:p>
        </w:tc>
        <w:tc>
          <w:tcPr>
            <w:tcW w:w="1071" w:type="dxa"/>
            <w:shd w:val="clear" w:color="auto" w:fill="auto"/>
          </w:tcPr>
          <w:p w14:paraId="11B243F7">
            <w:pPr>
              <w:spacing w:before="120" w:beforeLines="50" w:line="440" w:lineRule="atLeast"/>
              <w:jc w:val="right"/>
              <w:rPr>
                <w:color w:val="auto"/>
                <w:sz w:val="24"/>
                <w:highlight w:val="none"/>
              </w:rPr>
            </w:pPr>
          </w:p>
        </w:tc>
        <w:tc>
          <w:tcPr>
            <w:tcW w:w="1071" w:type="dxa"/>
            <w:shd w:val="clear" w:color="auto" w:fill="auto"/>
          </w:tcPr>
          <w:p w14:paraId="58D07C2D">
            <w:pPr>
              <w:spacing w:before="120" w:beforeLines="50" w:line="440" w:lineRule="atLeast"/>
              <w:jc w:val="right"/>
              <w:rPr>
                <w:color w:val="auto"/>
                <w:sz w:val="24"/>
                <w:highlight w:val="none"/>
              </w:rPr>
            </w:pPr>
          </w:p>
        </w:tc>
        <w:tc>
          <w:tcPr>
            <w:tcW w:w="2093" w:type="dxa"/>
            <w:shd w:val="clear" w:color="auto" w:fill="auto"/>
          </w:tcPr>
          <w:p w14:paraId="5FD66AF2">
            <w:pPr>
              <w:spacing w:before="120" w:beforeLines="50" w:line="440" w:lineRule="atLeast"/>
              <w:jc w:val="right"/>
              <w:rPr>
                <w:color w:val="auto"/>
                <w:sz w:val="24"/>
                <w:highlight w:val="none"/>
              </w:rPr>
            </w:pPr>
          </w:p>
        </w:tc>
        <w:tc>
          <w:tcPr>
            <w:tcW w:w="1276" w:type="dxa"/>
            <w:shd w:val="clear" w:color="auto" w:fill="auto"/>
          </w:tcPr>
          <w:p w14:paraId="10CDC773">
            <w:pPr>
              <w:spacing w:before="120" w:beforeLines="50" w:line="440" w:lineRule="atLeast"/>
              <w:jc w:val="right"/>
              <w:rPr>
                <w:color w:val="auto"/>
                <w:sz w:val="24"/>
                <w:highlight w:val="none"/>
              </w:rPr>
            </w:pPr>
          </w:p>
        </w:tc>
        <w:tc>
          <w:tcPr>
            <w:tcW w:w="1559" w:type="dxa"/>
            <w:shd w:val="clear" w:color="auto" w:fill="auto"/>
          </w:tcPr>
          <w:p w14:paraId="4B94F89E">
            <w:pPr>
              <w:spacing w:before="120" w:beforeLines="50" w:line="440" w:lineRule="atLeast"/>
              <w:jc w:val="right"/>
              <w:rPr>
                <w:color w:val="auto"/>
                <w:sz w:val="24"/>
                <w:highlight w:val="none"/>
              </w:rPr>
            </w:pPr>
          </w:p>
        </w:tc>
      </w:tr>
      <w:tr w14:paraId="6485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0FBF7108">
            <w:pPr>
              <w:spacing w:before="120" w:beforeLines="50" w:line="440" w:lineRule="atLeast"/>
              <w:jc w:val="right"/>
              <w:rPr>
                <w:color w:val="auto"/>
                <w:sz w:val="24"/>
                <w:highlight w:val="none"/>
              </w:rPr>
            </w:pPr>
          </w:p>
        </w:tc>
        <w:tc>
          <w:tcPr>
            <w:tcW w:w="1414" w:type="dxa"/>
            <w:shd w:val="clear" w:color="auto" w:fill="auto"/>
          </w:tcPr>
          <w:p w14:paraId="7333F184">
            <w:pPr>
              <w:spacing w:before="120" w:beforeLines="50" w:line="440" w:lineRule="atLeast"/>
              <w:jc w:val="right"/>
              <w:rPr>
                <w:color w:val="auto"/>
                <w:sz w:val="24"/>
                <w:highlight w:val="none"/>
              </w:rPr>
            </w:pPr>
          </w:p>
        </w:tc>
        <w:tc>
          <w:tcPr>
            <w:tcW w:w="1071" w:type="dxa"/>
            <w:shd w:val="clear" w:color="auto" w:fill="auto"/>
          </w:tcPr>
          <w:p w14:paraId="63CE90A5">
            <w:pPr>
              <w:spacing w:before="120" w:beforeLines="50" w:line="440" w:lineRule="atLeast"/>
              <w:jc w:val="right"/>
              <w:rPr>
                <w:color w:val="auto"/>
                <w:sz w:val="24"/>
                <w:highlight w:val="none"/>
              </w:rPr>
            </w:pPr>
          </w:p>
        </w:tc>
        <w:tc>
          <w:tcPr>
            <w:tcW w:w="1071" w:type="dxa"/>
            <w:shd w:val="clear" w:color="auto" w:fill="auto"/>
          </w:tcPr>
          <w:p w14:paraId="5ED7D787">
            <w:pPr>
              <w:spacing w:before="120" w:beforeLines="50" w:line="440" w:lineRule="atLeast"/>
              <w:jc w:val="right"/>
              <w:rPr>
                <w:color w:val="auto"/>
                <w:sz w:val="24"/>
                <w:highlight w:val="none"/>
              </w:rPr>
            </w:pPr>
          </w:p>
        </w:tc>
        <w:tc>
          <w:tcPr>
            <w:tcW w:w="2093" w:type="dxa"/>
            <w:shd w:val="clear" w:color="auto" w:fill="auto"/>
          </w:tcPr>
          <w:p w14:paraId="52D5A7FA">
            <w:pPr>
              <w:spacing w:before="120" w:beforeLines="50" w:line="440" w:lineRule="atLeast"/>
              <w:jc w:val="right"/>
              <w:rPr>
                <w:color w:val="auto"/>
                <w:sz w:val="24"/>
                <w:highlight w:val="none"/>
              </w:rPr>
            </w:pPr>
          </w:p>
        </w:tc>
        <w:tc>
          <w:tcPr>
            <w:tcW w:w="1276" w:type="dxa"/>
            <w:shd w:val="clear" w:color="auto" w:fill="auto"/>
          </w:tcPr>
          <w:p w14:paraId="70C20F9C">
            <w:pPr>
              <w:spacing w:before="120" w:beforeLines="50" w:line="440" w:lineRule="atLeast"/>
              <w:jc w:val="right"/>
              <w:rPr>
                <w:color w:val="auto"/>
                <w:sz w:val="24"/>
                <w:highlight w:val="none"/>
              </w:rPr>
            </w:pPr>
          </w:p>
        </w:tc>
        <w:tc>
          <w:tcPr>
            <w:tcW w:w="1559" w:type="dxa"/>
            <w:shd w:val="clear" w:color="auto" w:fill="auto"/>
          </w:tcPr>
          <w:p w14:paraId="648783B5">
            <w:pPr>
              <w:spacing w:before="120" w:beforeLines="50" w:line="440" w:lineRule="atLeast"/>
              <w:jc w:val="right"/>
              <w:rPr>
                <w:color w:val="auto"/>
                <w:sz w:val="24"/>
                <w:highlight w:val="none"/>
              </w:rPr>
            </w:pPr>
          </w:p>
        </w:tc>
      </w:tr>
      <w:tr w14:paraId="5ECB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41A1DEC9">
            <w:pPr>
              <w:spacing w:before="120" w:beforeLines="50" w:line="440" w:lineRule="atLeast"/>
              <w:jc w:val="right"/>
              <w:rPr>
                <w:color w:val="auto"/>
                <w:sz w:val="24"/>
                <w:highlight w:val="none"/>
              </w:rPr>
            </w:pPr>
          </w:p>
        </w:tc>
        <w:tc>
          <w:tcPr>
            <w:tcW w:w="1414" w:type="dxa"/>
            <w:shd w:val="clear" w:color="auto" w:fill="auto"/>
          </w:tcPr>
          <w:p w14:paraId="41A7F6AE">
            <w:pPr>
              <w:spacing w:before="120" w:beforeLines="50" w:line="440" w:lineRule="atLeast"/>
              <w:jc w:val="right"/>
              <w:rPr>
                <w:color w:val="auto"/>
                <w:sz w:val="24"/>
                <w:highlight w:val="none"/>
              </w:rPr>
            </w:pPr>
          </w:p>
        </w:tc>
        <w:tc>
          <w:tcPr>
            <w:tcW w:w="1071" w:type="dxa"/>
            <w:shd w:val="clear" w:color="auto" w:fill="auto"/>
          </w:tcPr>
          <w:p w14:paraId="0E2CAFDC">
            <w:pPr>
              <w:spacing w:before="120" w:beforeLines="50" w:line="440" w:lineRule="atLeast"/>
              <w:jc w:val="right"/>
              <w:rPr>
                <w:color w:val="auto"/>
                <w:sz w:val="24"/>
                <w:highlight w:val="none"/>
              </w:rPr>
            </w:pPr>
          </w:p>
        </w:tc>
        <w:tc>
          <w:tcPr>
            <w:tcW w:w="1071" w:type="dxa"/>
            <w:shd w:val="clear" w:color="auto" w:fill="auto"/>
          </w:tcPr>
          <w:p w14:paraId="780D1DAC">
            <w:pPr>
              <w:spacing w:before="120" w:beforeLines="50" w:line="440" w:lineRule="atLeast"/>
              <w:jc w:val="right"/>
              <w:rPr>
                <w:color w:val="auto"/>
                <w:sz w:val="24"/>
                <w:highlight w:val="none"/>
              </w:rPr>
            </w:pPr>
          </w:p>
        </w:tc>
        <w:tc>
          <w:tcPr>
            <w:tcW w:w="2093" w:type="dxa"/>
            <w:shd w:val="clear" w:color="auto" w:fill="auto"/>
          </w:tcPr>
          <w:p w14:paraId="268E6BCD">
            <w:pPr>
              <w:spacing w:before="120" w:beforeLines="50" w:line="440" w:lineRule="atLeast"/>
              <w:jc w:val="right"/>
              <w:rPr>
                <w:color w:val="auto"/>
                <w:sz w:val="24"/>
                <w:highlight w:val="none"/>
              </w:rPr>
            </w:pPr>
          </w:p>
        </w:tc>
        <w:tc>
          <w:tcPr>
            <w:tcW w:w="1276" w:type="dxa"/>
            <w:shd w:val="clear" w:color="auto" w:fill="auto"/>
          </w:tcPr>
          <w:p w14:paraId="15B55AC7">
            <w:pPr>
              <w:spacing w:before="120" w:beforeLines="50" w:line="440" w:lineRule="atLeast"/>
              <w:jc w:val="right"/>
              <w:rPr>
                <w:color w:val="auto"/>
                <w:sz w:val="24"/>
                <w:highlight w:val="none"/>
              </w:rPr>
            </w:pPr>
          </w:p>
        </w:tc>
        <w:tc>
          <w:tcPr>
            <w:tcW w:w="1559" w:type="dxa"/>
            <w:shd w:val="clear" w:color="auto" w:fill="auto"/>
          </w:tcPr>
          <w:p w14:paraId="09CB8A4E">
            <w:pPr>
              <w:spacing w:before="120" w:beforeLines="50" w:line="440" w:lineRule="atLeast"/>
              <w:jc w:val="right"/>
              <w:rPr>
                <w:color w:val="auto"/>
                <w:sz w:val="24"/>
                <w:highlight w:val="none"/>
              </w:rPr>
            </w:pPr>
          </w:p>
        </w:tc>
      </w:tr>
      <w:tr w14:paraId="570D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6959CFF6">
            <w:pPr>
              <w:spacing w:before="120" w:beforeLines="50" w:line="440" w:lineRule="atLeast"/>
              <w:jc w:val="right"/>
              <w:rPr>
                <w:color w:val="auto"/>
                <w:sz w:val="24"/>
                <w:highlight w:val="none"/>
              </w:rPr>
            </w:pPr>
          </w:p>
        </w:tc>
        <w:tc>
          <w:tcPr>
            <w:tcW w:w="1414" w:type="dxa"/>
            <w:shd w:val="clear" w:color="auto" w:fill="auto"/>
          </w:tcPr>
          <w:p w14:paraId="2221E9D7">
            <w:pPr>
              <w:spacing w:before="120" w:beforeLines="50" w:line="440" w:lineRule="atLeast"/>
              <w:jc w:val="right"/>
              <w:rPr>
                <w:color w:val="auto"/>
                <w:sz w:val="24"/>
                <w:highlight w:val="none"/>
              </w:rPr>
            </w:pPr>
          </w:p>
        </w:tc>
        <w:tc>
          <w:tcPr>
            <w:tcW w:w="1071" w:type="dxa"/>
            <w:shd w:val="clear" w:color="auto" w:fill="auto"/>
          </w:tcPr>
          <w:p w14:paraId="55D04923">
            <w:pPr>
              <w:spacing w:before="120" w:beforeLines="50" w:line="440" w:lineRule="atLeast"/>
              <w:jc w:val="right"/>
              <w:rPr>
                <w:color w:val="auto"/>
                <w:sz w:val="24"/>
                <w:highlight w:val="none"/>
              </w:rPr>
            </w:pPr>
          </w:p>
        </w:tc>
        <w:tc>
          <w:tcPr>
            <w:tcW w:w="1071" w:type="dxa"/>
            <w:shd w:val="clear" w:color="auto" w:fill="auto"/>
          </w:tcPr>
          <w:p w14:paraId="444457BD">
            <w:pPr>
              <w:spacing w:before="120" w:beforeLines="50" w:line="440" w:lineRule="atLeast"/>
              <w:jc w:val="right"/>
              <w:rPr>
                <w:color w:val="auto"/>
                <w:sz w:val="24"/>
                <w:highlight w:val="none"/>
              </w:rPr>
            </w:pPr>
          </w:p>
        </w:tc>
        <w:tc>
          <w:tcPr>
            <w:tcW w:w="2093" w:type="dxa"/>
            <w:shd w:val="clear" w:color="auto" w:fill="auto"/>
          </w:tcPr>
          <w:p w14:paraId="33539C82">
            <w:pPr>
              <w:spacing w:before="120" w:beforeLines="50" w:line="440" w:lineRule="atLeast"/>
              <w:jc w:val="right"/>
              <w:rPr>
                <w:color w:val="auto"/>
                <w:sz w:val="24"/>
                <w:highlight w:val="none"/>
              </w:rPr>
            </w:pPr>
          </w:p>
        </w:tc>
        <w:tc>
          <w:tcPr>
            <w:tcW w:w="1276" w:type="dxa"/>
            <w:shd w:val="clear" w:color="auto" w:fill="auto"/>
          </w:tcPr>
          <w:p w14:paraId="48A99A61">
            <w:pPr>
              <w:spacing w:before="120" w:beforeLines="50" w:line="440" w:lineRule="atLeast"/>
              <w:jc w:val="right"/>
              <w:rPr>
                <w:color w:val="auto"/>
                <w:sz w:val="24"/>
                <w:highlight w:val="none"/>
              </w:rPr>
            </w:pPr>
          </w:p>
        </w:tc>
        <w:tc>
          <w:tcPr>
            <w:tcW w:w="1559" w:type="dxa"/>
            <w:shd w:val="clear" w:color="auto" w:fill="auto"/>
          </w:tcPr>
          <w:p w14:paraId="5BF4FC54">
            <w:pPr>
              <w:spacing w:before="120" w:beforeLines="50" w:line="440" w:lineRule="atLeast"/>
              <w:jc w:val="right"/>
              <w:rPr>
                <w:color w:val="auto"/>
                <w:sz w:val="24"/>
                <w:highlight w:val="none"/>
              </w:rPr>
            </w:pPr>
          </w:p>
        </w:tc>
      </w:tr>
      <w:tr w14:paraId="3D26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3E4EBD2F">
            <w:pPr>
              <w:spacing w:before="120" w:beforeLines="50" w:line="440" w:lineRule="atLeast"/>
              <w:jc w:val="right"/>
              <w:rPr>
                <w:color w:val="auto"/>
                <w:sz w:val="24"/>
                <w:highlight w:val="none"/>
              </w:rPr>
            </w:pPr>
          </w:p>
        </w:tc>
        <w:tc>
          <w:tcPr>
            <w:tcW w:w="1414" w:type="dxa"/>
            <w:shd w:val="clear" w:color="auto" w:fill="auto"/>
          </w:tcPr>
          <w:p w14:paraId="34F73C73">
            <w:pPr>
              <w:spacing w:before="120" w:beforeLines="50" w:line="440" w:lineRule="atLeast"/>
              <w:jc w:val="right"/>
              <w:rPr>
                <w:color w:val="auto"/>
                <w:sz w:val="24"/>
                <w:highlight w:val="none"/>
              </w:rPr>
            </w:pPr>
          </w:p>
        </w:tc>
        <w:tc>
          <w:tcPr>
            <w:tcW w:w="1071" w:type="dxa"/>
            <w:shd w:val="clear" w:color="auto" w:fill="auto"/>
          </w:tcPr>
          <w:p w14:paraId="3851031D">
            <w:pPr>
              <w:spacing w:before="120" w:beforeLines="50" w:line="440" w:lineRule="atLeast"/>
              <w:jc w:val="right"/>
              <w:rPr>
                <w:color w:val="auto"/>
                <w:sz w:val="24"/>
                <w:highlight w:val="none"/>
              </w:rPr>
            </w:pPr>
          </w:p>
        </w:tc>
        <w:tc>
          <w:tcPr>
            <w:tcW w:w="1071" w:type="dxa"/>
            <w:shd w:val="clear" w:color="auto" w:fill="auto"/>
          </w:tcPr>
          <w:p w14:paraId="35CC5C93">
            <w:pPr>
              <w:spacing w:before="120" w:beforeLines="50" w:line="440" w:lineRule="atLeast"/>
              <w:jc w:val="right"/>
              <w:rPr>
                <w:color w:val="auto"/>
                <w:sz w:val="24"/>
                <w:highlight w:val="none"/>
              </w:rPr>
            </w:pPr>
          </w:p>
        </w:tc>
        <w:tc>
          <w:tcPr>
            <w:tcW w:w="2093" w:type="dxa"/>
            <w:shd w:val="clear" w:color="auto" w:fill="auto"/>
          </w:tcPr>
          <w:p w14:paraId="7CA2830F">
            <w:pPr>
              <w:spacing w:before="120" w:beforeLines="50" w:line="440" w:lineRule="atLeast"/>
              <w:jc w:val="right"/>
              <w:rPr>
                <w:color w:val="auto"/>
                <w:sz w:val="24"/>
                <w:highlight w:val="none"/>
              </w:rPr>
            </w:pPr>
          </w:p>
        </w:tc>
        <w:tc>
          <w:tcPr>
            <w:tcW w:w="1276" w:type="dxa"/>
            <w:shd w:val="clear" w:color="auto" w:fill="auto"/>
          </w:tcPr>
          <w:p w14:paraId="1BAFB043">
            <w:pPr>
              <w:spacing w:before="120" w:beforeLines="50" w:line="440" w:lineRule="atLeast"/>
              <w:jc w:val="right"/>
              <w:rPr>
                <w:color w:val="auto"/>
                <w:sz w:val="24"/>
                <w:highlight w:val="none"/>
              </w:rPr>
            </w:pPr>
          </w:p>
        </w:tc>
        <w:tc>
          <w:tcPr>
            <w:tcW w:w="1559" w:type="dxa"/>
            <w:shd w:val="clear" w:color="auto" w:fill="auto"/>
          </w:tcPr>
          <w:p w14:paraId="62A277E8">
            <w:pPr>
              <w:spacing w:before="120" w:beforeLines="50" w:line="440" w:lineRule="atLeast"/>
              <w:jc w:val="right"/>
              <w:rPr>
                <w:color w:val="auto"/>
                <w:sz w:val="24"/>
                <w:highlight w:val="none"/>
              </w:rPr>
            </w:pPr>
          </w:p>
        </w:tc>
      </w:tr>
      <w:tr w14:paraId="44CA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2362F80C">
            <w:pPr>
              <w:spacing w:before="120" w:beforeLines="50" w:line="440" w:lineRule="atLeast"/>
              <w:jc w:val="right"/>
              <w:rPr>
                <w:color w:val="auto"/>
                <w:sz w:val="24"/>
                <w:highlight w:val="none"/>
              </w:rPr>
            </w:pPr>
          </w:p>
        </w:tc>
        <w:tc>
          <w:tcPr>
            <w:tcW w:w="1414" w:type="dxa"/>
            <w:shd w:val="clear" w:color="auto" w:fill="auto"/>
          </w:tcPr>
          <w:p w14:paraId="62A85F45">
            <w:pPr>
              <w:spacing w:before="120" w:beforeLines="50" w:line="440" w:lineRule="atLeast"/>
              <w:jc w:val="right"/>
              <w:rPr>
                <w:color w:val="auto"/>
                <w:sz w:val="24"/>
                <w:highlight w:val="none"/>
              </w:rPr>
            </w:pPr>
          </w:p>
        </w:tc>
        <w:tc>
          <w:tcPr>
            <w:tcW w:w="1071" w:type="dxa"/>
            <w:shd w:val="clear" w:color="auto" w:fill="auto"/>
          </w:tcPr>
          <w:p w14:paraId="7E119824">
            <w:pPr>
              <w:spacing w:before="120" w:beforeLines="50" w:line="440" w:lineRule="atLeast"/>
              <w:jc w:val="right"/>
              <w:rPr>
                <w:color w:val="auto"/>
                <w:sz w:val="24"/>
                <w:highlight w:val="none"/>
              </w:rPr>
            </w:pPr>
          </w:p>
        </w:tc>
        <w:tc>
          <w:tcPr>
            <w:tcW w:w="1071" w:type="dxa"/>
            <w:shd w:val="clear" w:color="auto" w:fill="auto"/>
          </w:tcPr>
          <w:p w14:paraId="5E558D57">
            <w:pPr>
              <w:spacing w:before="120" w:beforeLines="50" w:line="440" w:lineRule="atLeast"/>
              <w:jc w:val="right"/>
              <w:rPr>
                <w:color w:val="auto"/>
                <w:sz w:val="24"/>
                <w:highlight w:val="none"/>
              </w:rPr>
            </w:pPr>
          </w:p>
        </w:tc>
        <w:tc>
          <w:tcPr>
            <w:tcW w:w="2093" w:type="dxa"/>
            <w:shd w:val="clear" w:color="auto" w:fill="auto"/>
          </w:tcPr>
          <w:p w14:paraId="7B90940D">
            <w:pPr>
              <w:spacing w:before="120" w:beforeLines="50" w:line="440" w:lineRule="atLeast"/>
              <w:jc w:val="right"/>
              <w:rPr>
                <w:color w:val="auto"/>
                <w:sz w:val="24"/>
                <w:highlight w:val="none"/>
              </w:rPr>
            </w:pPr>
          </w:p>
        </w:tc>
        <w:tc>
          <w:tcPr>
            <w:tcW w:w="1276" w:type="dxa"/>
            <w:shd w:val="clear" w:color="auto" w:fill="auto"/>
          </w:tcPr>
          <w:p w14:paraId="04DF23CA">
            <w:pPr>
              <w:spacing w:before="120" w:beforeLines="50" w:line="440" w:lineRule="atLeast"/>
              <w:jc w:val="right"/>
              <w:rPr>
                <w:color w:val="auto"/>
                <w:sz w:val="24"/>
                <w:highlight w:val="none"/>
              </w:rPr>
            </w:pPr>
          </w:p>
        </w:tc>
        <w:tc>
          <w:tcPr>
            <w:tcW w:w="1559" w:type="dxa"/>
            <w:shd w:val="clear" w:color="auto" w:fill="auto"/>
          </w:tcPr>
          <w:p w14:paraId="4D044B94">
            <w:pPr>
              <w:spacing w:before="120" w:beforeLines="50" w:line="440" w:lineRule="atLeast"/>
              <w:jc w:val="right"/>
              <w:rPr>
                <w:color w:val="auto"/>
                <w:sz w:val="24"/>
                <w:highlight w:val="none"/>
              </w:rPr>
            </w:pPr>
          </w:p>
        </w:tc>
      </w:tr>
      <w:tr w14:paraId="7013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6F25ABD9">
            <w:pPr>
              <w:spacing w:before="120" w:beforeLines="50" w:line="440" w:lineRule="atLeast"/>
              <w:jc w:val="right"/>
              <w:rPr>
                <w:color w:val="auto"/>
                <w:sz w:val="24"/>
                <w:highlight w:val="none"/>
              </w:rPr>
            </w:pPr>
          </w:p>
        </w:tc>
        <w:tc>
          <w:tcPr>
            <w:tcW w:w="1414" w:type="dxa"/>
            <w:shd w:val="clear" w:color="auto" w:fill="auto"/>
          </w:tcPr>
          <w:p w14:paraId="3E4F12AD">
            <w:pPr>
              <w:spacing w:before="120" w:beforeLines="50" w:line="440" w:lineRule="atLeast"/>
              <w:jc w:val="right"/>
              <w:rPr>
                <w:color w:val="auto"/>
                <w:sz w:val="24"/>
                <w:highlight w:val="none"/>
              </w:rPr>
            </w:pPr>
          </w:p>
        </w:tc>
        <w:tc>
          <w:tcPr>
            <w:tcW w:w="1071" w:type="dxa"/>
            <w:shd w:val="clear" w:color="auto" w:fill="auto"/>
          </w:tcPr>
          <w:p w14:paraId="58B7A473">
            <w:pPr>
              <w:spacing w:before="120" w:beforeLines="50" w:line="440" w:lineRule="atLeast"/>
              <w:jc w:val="right"/>
              <w:rPr>
                <w:color w:val="auto"/>
                <w:sz w:val="24"/>
                <w:highlight w:val="none"/>
              </w:rPr>
            </w:pPr>
          </w:p>
        </w:tc>
        <w:tc>
          <w:tcPr>
            <w:tcW w:w="1071" w:type="dxa"/>
            <w:shd w:val="clear" w:color="auto" w:fill="auto"/>
          </w:tcPr>
          <w:p w14:paraId="6463B794">
            <w:pPr>
              <w:spacing w:before="120" w:beforeLines="50" w:line="440" w:lineRule="atLeast"/>
              <w:jc w:val="right"/>
              <w:rPr>
                <w:color w:val="auto"/>
                <w:sz w:val="24"/>
                <w:highlight w:val="none"/>
              </w:rPr>
            </w:pPr>
          </w:p>
        </w:tc>
        <w:tc>
          <w:tcPr>
            <w:tcW w:w="2093" w:type="dxa"/>
            <w:shd w:val="clear" w:color="auto" w:fill="auto"/>
          </w:tcPr>
          <w:p w14:paraId="7465B472">
            <w:pPr>
              <w:spacing w:before="120" w:beforeLines="50" w:line="440" w:lineRule="atLeast"/>
              <w:jc w:val="right"/>
              <w:rPr>
                <w:color w:val="auto"/>
                <w:sz w:val="24"/>
                <w:highlight w:val="none"/>
              </w:rPr>
            </w:pPr>
          </w:p>
        </w:tc>
        <w:tc>
          <w:tcPr>
            <w:tcW w:w="1276" w:type="dxa"/>
            <w:shd w:val="clear" w:color="auto" w:fill="auto"/>
          </w:tcPr>
          <w:p w14:paraId="5C800EE6">
            <w:pPr>
              <w:spacing w:before="120" w:beforeLines="50" w:line="440" w:lineRule="atLeast"/>
              <w:jc w:val="right"/>
              <w:rPr>
                <w:color w:val="auto"/>
                <w:sz w:val="24"/>
                <w:highlight w:val="none"/>
              </w:rPr>
            </w:pPr>
          </w:p>
        </w:tc>
        <w:tc>
          <w:tcPr>
            <w:tcW w:w="1559" w:type="dxa"/>
            <w:shd w:val="clear" w:color="auto" w:fill="auto"/>
          </w:tcPr>
          <w:p w14:paraId="1F726E49">
            <w:pPr>
              <w:spacing w:before="120" w:beforeLines="50" w:line="440" w:lineRule="atLeast"/>
              <w:jc w:val="right"/>
              <w:rPr>
                <w:color w:val="auto"/>
                <w:sz w:val="24"/>
                <w:highlight w:val="none"/>
              </w:rPr>
            </w:pPr>
          </w:p>
        </w:tc>
      </w:tr>
      <w:tr w14:paraId="3983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19754B85">
            <w:pPr>
              <w:spacing w:before="120" w:beforeLines="50" w:line="440" w:lineRule="atLeast"/>
              <w:jc w:val="right"/>
              <w:rPr>
                <w:color w:val="auto"/>
                <w:sz w:val="24"/>
                <w:highlight w:val="none"/>
              </w:rPr>
            </w:pPr>
          </w:p>
        </w:tc>
        <w:tc>
          <w:tcPr>
            <w:tcW w:w="1414" w:type="dxa"/>
            <w:shd w:val="clear" w:color="auto" w:fill="auto"/>
          </w:tcPr>
          <w:p w14:paraId="79F8F109">
            <w:pPr>
              <w:spacing w:before="120" w:beforeLines="50" w:line="440" w:lineRule="atLeast"/>
              <w:jc w:val="right"/>
              <w:rPr>
                <w:color w:val="auto"/>
                <w:sz w:val="24"/>
                <w:highlight w:val="none"/>
              </w:rPr>
            </w:pPr>
          </w:p>
        </w:tc>
        <w:tc>
          <w:tcPr>
            <w:tcW w:w="1071" w:type="dxa"/>
            <w:shd w:val="clear" w:color="auto" w:fill="auto"/>
          </w:tcPr>
          <w:p w14:paraId="3E3F23F1">
            <w:pPr>
              <w:spacing w:before="120" w:beforeLines="50" w:line="440" w:lineRule="atLeast"/>
              <w:jc w:val="right"/>
              <w:rPr>
                <w:color w:val="auto"/>
                <w:sz w:val="24"/>
                <w:highlight w:val="none"/>
              </w:rPr>
            </w:pPr>
          </w:p>
        </w:tc>
        <w:tc>
          <w:tcPr>
            <w:tcW w:w="1071" w:type="dxa"/>
            <w:shd w:val="clear" w:color="auto" w:fill="auto"/>
          </w:tcPr>
          <w:p w14:paraId="60189580">
            <w:pPr>
              <w:spacing w:before="120" w:beforeLines="50" w:line="440" w:lineRule="atLeast"/>
              <w:jc w:val="right"/>
              <w:rPr>
                <w:color w:val="auto"/>
                <w:sz w:val="24"/>
                <w:highlight w:val="none"/>
              </w:rPr>
            </w:pPr>
          </w:p>
        </w:tc>
        <w:tc>
          <w:tcPr>
            <w:tcW w:w="2093" w:type="dxa"/>
            <w:shd w:val="clear" w:color="auto" w:fill="auto"/>
          </w:tcPr>
          <w:p w14:paraId="3C4B3FBF">
            <w:pPr>
              <w:spacing w:before="120" w:beforeLines="50" w:line="440" w:lineRule="atLeast"/>
              <w:jc w:val="right"/>
              <w:rPr>
                <w:color w:val="auto"/>
                <w:sz w:val="24"/>
                <w:highlight w:val="none"/>
              </w:rPr>
            </w:pPr>
          </w:p>
        </w:tc>
        <w:tc>
          <w:tcPr>
            <w:tcW w:w="1276" w:type="dxa"/>
            <w:shd w:val="clear" w:color="auto" w:fill="auto"/>
          </w:tcPr>
          <w:p w14:paraId="71E9B502">
            <w:pPr>
              <w:spacing w:before="120" w:beforeLines="50" w:line="440" w:lineRule="atLeast"/>
              <w:jc w:val="right"/>
              <w:rPr>
                <w:color w:val="auto"/>
                <w:sz w:val="24"/>
                <w:highlight w:val="none"/>
              </w:rPr>
            </w:pPr>
          </w:p>
        </w:tc>
        <w:tc>
          <w:tcPr>
            <w:tcW w:w="1559" w:type="dxa"/>
            <w:shd w:val="clear" w:color="auto" w:fill="auto"/>
          </w:tcPr>
          <w:p w14:paraId="67FDEF74">
            <w:pPr>
              <w:spacing w:before="120" w:beforeLines="50" w:line="440" w:lineRule="atLeast"/>
              <w:jc w:val="right"/>
              <w:rPr>
                <w:color w:val="auto"/>
                <w:sz w:val="24"/>
                <w:highlight w:val="none"/>
              </w:rPr>
            </w:pPr>
          </w:p>
        </w:tc>
      </w:tr>
      <w:tr w14:paraId="69F8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453B4AF3">
            <w:pPr>
              <w:spacing w:before="120" w:beforeLines="50" w:line="440" w:lineRule="atLeast"/>
              <w:jc w:val="right"/>
              <w:rPr>
                <w:color w:val="auto"/>
                <w:sz w:val="24"/>
                <w:highlight w:val="none"/>
              </w:rPr>
            </w:pPr>
          </w:p>
        </w:tc>
        <w:tc>
          <w:tcPr>
            <w:tcW w:w="1414" w:type="dxa"/>
            <w:shd w:val="clear" w:color="auto" w:fill="auto"/>
          </w:tcPr>
          <w:p w14:paraId="44618211">
            <w:pPr>
              <w:spacing w:before="120" w:beforeLines="50" w:line="440" w:lineRule="atLeast"/>
              <w:jc w:val="right"/>
              <w:rPr>
                <w:color w:val="auto"/>
                <w:sz w:val="24"/>
                <w:highlight w:val="none"/>
              </w:rPr>
            </w:pPr>
          </w:p>
        </w:tc>
        <w:tc>
          <w:tcPr>
            <w:tcW w:w="1071" w:type="dxa"/>
            <w:shd w:val="clear" w:color="auto" w:fill="auto"/>
          </w:tcPr>
          <w:p w14:paraId="35958688">
            <w:pPr>
              <w:spacing w:before="120" w:beforeLines="50" w:line="440" w:lineRule="atLeast"/>
              <w:jc w:val="right"/>
              <w:rPr>
                <w:color w:val="auto"/>
                <w:sz w:val="24"/>
                <w:highlight w:val="none"/>
              </w:rPr>
            </w:pPr>
          </w:p>
        </w:tc>
        <w:tc>
          <w:tcPr>
            <w:tcW w:w="1071" w:type="dxa"/>
            <w:shd w:val="clear" w:color="auto" w:fill="auto"/>
          </w:tcPr>
          <w:p w14:paraId="4A5A6BB9">
            <w:pPr>
              <w:spacing w:before="120" w:beforeLines="50" w:line="440" w:lineRule="atLeast"/>
              <w:jc w:val="right"/>
              <w:rPr>
                <w:color w:val="auto"/>
                <w:sz w:val="24"/>
                <w:highlight w:val="none"/>
              </w:rPr>
            </w:pPr>
          </w:p>
        </w:tc>
        <w:tc>
          <w:tcPr>
            <w:tcW w:w="2093" w:type="dxa"/>
            <w:shd w:val="clear" w:color="auto" w:fill="auto"/>
          </w:tcPr>
          <w:p w14:paraId="5A76F5FA">
            <w:pPr>
              <w:spacing w:before="120" w:beforeLines="50" w:line="440" w:lineRule="atLeast"/>
              <w:jc w:val="right"/>
              <w:rPr>
                <w:color w:val="auto"/>
                <w:sz w:val="24"/>
                <w:highlight w:val="none"/>
              </w:rPr>
            </w:pPr>
          </w:p>
        </w:tc>
        <w:tc>
          <w:tcPr>
            <w:tcW w:w="1276" w:type="dxa"/>
            <w:shd w:val="clear" w:color="auto" w:fill="auto"/>
          </w:tcPr>
          <w:p w14:paraId="7AC2D6BB">
            <w:pPr>
              <w:spacing w:before="120" w:beforeLines="50" w:line="440" w:lineRule="atLeast"/>
              <w:jc w:val="right"/>
              <w:rPr>
                <w:color w:val="auto"/>
                <w:sz w:val="24"/>
                <w:highlight w:val="none"/>
              </w:rPr>
            </w:pPr>
          </w:p>
        </w:tc>
        <w:tc>
          <w:tcPr>
            <w:tcW w:w="1559" w:type="dxa"/>
            <w:shd w:val="clear" w:color="auto" w:fill="auto"/>
          </w:tcPr>
          <w:p w14:paraId="0D88CF92">
            <w:pPr>
              <w:spacing w:before="120" w:beforeLines="50" w:line="440" w:lineRule="atLeast"/>
              <w:jc w:val="right"/>
              <w:rPr>
                <w:color w:val="auto"/>
                <w:sz w:val="24"/>
                <w:highlight w:val="none"/>
              </w:rPr>
            </w:pPr>
          </w:p>
        </w:tc>
      </w:tr>
      <w:tr w14:paraId="0280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09F276AF">
            <w:pPr>
              <w:spacing w:before="120" w:beforeLines="50" w:line="440" w:lineRule="atLeast"/>
              <w:jc w:val="right"/>
              <w:rPr>
                <w:color w:val="auto"/>
                <w:sz w:val="24"/>
                <w:highlight w:val="none"/>
              </w:rPr>
            </w:pPr>
          </w:p>
        </w:tc>
        <w:tc>
          <w:tcPr>
            <w:tcW w:w="1414" w:type="dxa"/>
            <w:shd w:val="clear" w:color="auto" w:fill="auto"/>
          </w:tcPr>
          <w:p w14:paraId="7C37AAA2">
            <w:pPr>
              <w:spacing w:before="120" w:beforeLines="50" w:line="440" w:lineRule="atLeast"/>
              <w:jc w:val="right"/>
              <w:rPr>
                <w:color w:val="auto"/>
                <w:sz w:val="24"/>
                <w:highlight w:val="none"/>
              </w:rPr>
            </w:pPr>
          </w:p>
        </w:tc>
        <w:tc>
          <w:tcPr>
            <w:tcW w:w="1071" w:type="dxa"/>
            <w:shd w:val="clear" w:color="auto" w:fill="auto"/>
          </w:tcPr>
          <w:p w14:paraId="7FFC09D5">
            <w:pPr>
              <w:spacing w:before="120" w:beforeLines="50" w:line="440" w:lineRule="atLeast"/>
              <w:jc w:val="right"/>
              <w:rPr>
                <w:color w:val="auto"/>
                <w:sz w:val="24"/>
                <w:highlight w:val="none"/>
              </w:rPr>
            </w:pPr>
          </w:p>
        </w:tc>
        <w:tc>
          <w:tcPr>
            <w:tcW w:w="1071" w:type="dxa"/>
            <w:shd w:val="clear" w:color="auto" w:fill="auto"/>
          </w:tcPr>
          <w:p w14:paraId="4BD4EF00">
            <w:pPr>
              <w:spacing w:before="120" w:beforeLines="50" w:line="440" w:lineRule="atLeast"/>
              <w:jc w:val="right"/>
              <w:rPr>
                <w:color w:val="auto"/>
                <w:sz w:val="24"/>
                <w:highlight w:val="none"/>
              </w:rPr>
            </w:pPr>
          </w:p>
        </w:tc>
        <w:tc>
          <w:tcPr>
            <w:tcW w:w="2093" w:type="dxa"/>
            <w:shd w:val="clear" w:color="auto" w:fill="auto"/>
          </w:tcPr>
          <w:p w14:paraId="4DDAB124">
            <w:pPr>
              <w:spacing w:before="120" w:beforeLines="50" w:line="440" w:lineRule="atLeast"/>
              <w:jc w:val="right"/>
              <w:rPr>
                <w:color w:val="auto"/>
                <w:sz w:val="24"/>
                <w:highlight w:val="none"/>
              </w:rPr>
            </w:pPr>
          </w:p>
        </w:tc>
        <w:tc>
          <w:tcPr>
            <w:tcW w:w="1276" w:type="dxa"/>
            <w:shd w:val="clear" w:color="auto" w:fill="auto"/>
          </w:tcPr>
          <w:p w14:paraId="142FCB54">
            <w:pPr>
              <w:spacing w:before="120" w:beforeLines="50" w:line="440" w:lineRule="atLeast"/>
              <w:jc w:val="right"/>
              <w:rPr>
                <w:color w:val="auto"/>
                <w:sz w:val="24"/>
                <w:highlight w:val="none"/>
              </w:rPr>
            </w:pPr>
          </w:p>
        </w:tc>
        <w:tc>
          <w:tcPr>
            <w:tcW w:w="1559" w:type="dxa"/>
            <w:shd w:val="clear" w:color="auto" w:fill="auto"/>
          </w:tcPr>
          <w:p w14:paraId="15C8D8C4">
            <w:pPr>
              <w:spacing w:before="120" w:beforeLines="50" w:line="440" w:lineRule="atLeast"/>
              <w:jc w:val="right"/>
              <w:rPr>
                <w:color w:val="auto"/>
                <w:sz w:val="24"/>
                <w:highlight w:val="none"/>
              </w:rPr>
            </w:pPr>
          </w:p>
        </w:tc>
      </w:tr>
      <w:tr w14:paraId="113D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057BAF93">
            <w:pPr>
              <w:spacing w:before="120" w:beforeLines="50" w:line="440" w:lineRule="atLeast"/>
              <w:jc w:val="right"/>
              <w:rPr>
                <w:color w:val="auto"/>
                <w:sz w:val="24"/>
                <w:highlight w:val="none"/>
              </w:rPr>
            </w:pPr>
          </w:p>
        </w:tc>
        <w:tc>
          <w:tcPr>
            <w:tcW w:w="1414" w:type="dxa"/>
            <w:shd w:val="clear" w:color="auto" w:fill="auto"/>
          </w:tcPr>
          <w:p w14:paraId="5216FE9E">
            <w:pPr>
              <w:spacing w:before="120" w:beforeLines="50" w:line="440" w:lineRule="atLeast"/>
              <w:jc w:val="right"/>
              <w:rPr>
                <w:color w:val="auto"/>
                <w:sz w:val="24"/>
                <w:highlight w:val="none"/>
              </w:rPr>
            </w:pPr>
          </w:p>
        </w:tc>
        <w:tc>
          <w:tcPr>
            <w:tcW w:w="1071" w:type="dxa"/>
            <w:shd w:val="clear" w:color="auto" w:fill="auto"/>
          </w:tcPr>
          <w:p w14:paraId="6812A041">
            <w:pPr>
              <w:spacing w:before="120" w:beforeLines="50" w:line="440" w:lineRule="atLeast"/>
              <w:jc w:val="right"/>
              <w:rPr>
                <w:color w:val="auto"/>
                <w:sz w:val="24"/>
                <w:highlight w:val="none"/>
              </w:rPr>
            </w:pPr>
          </w:p>
        </w:tc>
        <w:tc>
          <w:tcPr>
            <w:tcW w:w="1071" w:type="dxa"/>
            <w:shd w:val="clear" w:color="auto" w:fill="auto"/>
          </w:tcPr>
          <w:p w14:paraId="40B6BA72">
            <w:pPr>
              <w:spacing w:before="120" w:beforeLines="50" w:line="440" w:lineRule="atLeast"/>
              <w:jc w:val="right"/>
              <w:rPr>
                <w:color w:val="auto"/>
                <w:sz w:val="24"/>
                <w:highlight w:val="none"/>
              </w:rPr>
            </w:pPr>
          </w:p>
        </w:tc>
        <w:tc>
          <w:tcPr>
            <w:tcW w:w="2093" w:type="dxa"/>
            <w:shd w:val="clear" w:color="auto" w:fill="auto"/>
          </w:tcPr>
          <w:p w14:paraId="7F4ED4C8">
            <w:pPr>
              <w:spacing w:before="120" w:beforeLines="50" w:line="440" w:lineRule="atLeast"/>
              <w:jc w:val="right"/>
              <w:rPr>
                <w:color w:val="auto"/>
                <w:sz w:val="24"/>
                <w:highlight w:val="none"/>
              </w:rPr>
            </w:pPr>
          </w:p>
        </w:tc>
        <w:tc>
          <w:tcPr>
            <w:tcW w:w="1276" w:type="dxa"/>
            <w:shd w:val="clear" w:color="auto" w:fill="auto"/>
          </w:tcPr>
          <w:p w14:paraId="30E05A4C">
            <w:pPr>
              <w:spacing w:before="120" w:beforeLines="50" w:line="440" w:lineRule="atLeast"/>
              <w:jc w:val="right"/>
              <w:rPr>
                <w:color w:val="auto"/>
                <w:sz w:val="24"/>
                <w:highlight w:val="none"/>
              </w:rPr>
            </w:pPr>
          </w:p>
        </w:tc>
        <w:tc>
          <w:tcPr>
            <w:tcW w:w="1559" w:type="dxa"/>
            <w:shd w:val="clear" w:color="auto" w:fill="auto"/>
          </w:tcPr>
          <w:p w14:paraId="67324ABC">
            <w:pPr>
              <w:spacing w:before="120" w:beforeLines="50" w:line="440" w:lineRule="atLeast"/>
              <w:jc w:val="right"/>
              <w:rPr>
                <w:color w:val="auto"/>
                <w:sz w:val="24"/>
                <w:highlight w:val="none"/>
              </w:rPr>
            </w:pPr>
          </w:p>
        </w:tc>
      </w:tr>
      <w:tr w14:paraId="6C35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4B4C5940">
            <w:pPr>
              <w:spacing w:before="120" w:beforeLines="50" w:line="440" w:lineRule="atLeast"/>
              <w:jc w:val="right"/>
              <w:rPr>
                <w:color w:val="auto"/>
                <w:sz w:val="24"/>
                <w:highlight w:val="none"/>
              </w:rPr>
            </w:pPr>
          </w:p>
        </w:tc>
        <w:tc>
          <w:tcPr>
            <w:tcW w:w="1414" w:type="dxa"/>
            <w:shd w:val="clear" w:color="auto" w:fill="auto"/>
          </w:tcPr>
          <w:p w14:paraId="5ECFDB8A">
            <w:pPr>
              <w:spacing w:before="120" w:beforeLines="50" w:line="440" w:lineRule="atLeast"/>
              <w:jc w:val="right"/>
              <w:rPr>
                <w:color w:val="auto"/>
                <w:sz w:val="24"/>
                <w:highlight w:val="none"/>
              </w:rPr>
            </w:pPr>
          </w:p>
        </w:tc>
        <w:tc>
          <w:tcPr>
            <w:tcW w:w="1071" w:type="dxa"/>
            <w:shd w:val="clear" w:color="auto" w:fill="auto"/>
          </w:tcPr>
          <w:p w14:paraId="4B48C8FE">
            <w:pPr>
              <w:spacing w:before="120" w:beforeLines="50" w:line="440" w:lineRule="atLeast"/>
              <w:jc w:val="right"/>
              <w:rPr>
                <w:color w:val="auto"/>
                <w:sz w:val="24"/>
                <w:highlight w:val="none"/>
              </w:rPr>
            </w:pPr>
          </w:p>
        </w:tc>
        <w:tc>
          <w:tcPr>
            <w:tcW w:w="1071" w:type="dxa"/>
            <w:shd w:val="clear" w:color="auto" w:fill="auto"/>
          </w:tcPr>
          <w:p w14:paraId="429BDB72">
            <w:pPr>
              <w:spacing w:before="120" w:beforeLines="50" w:line="440" w:lineRule="atLeast"/>
              <w:jc w:val="right"/>
              <w:rPr>
                <w:color w:val="auto"/>
                <w:sz w:val="24"/>
                <w:highlight w:val="none"/>
              </w:rPr>
            </w:pPr>
          </w:p>
        </w:tc>
        <w:tc>
          <w:tcPr>
            <w:tcW w:w="2093" w:type="dxa"/>
            <w:shd w:val="clear" w:color="auto" w:fill="auto"/>
          </w:tcPr>
          <w:p w14:paraId="4045A0F5">
            <w:pPr>
              <w:spacing w:before="120" w:beforeLines="50" w:line="440" w:lineRule="atLeast"/>
              <w:jc w:val="right"/>
              <w:rPr>
                <w:color w:val="auto"/>
                <w:sz w:val="24"/>
                <w:highlight w:val="none"/>
              </w:rPr>
            </w:pPr>
          </w:p>
        </w:tc>
        <w:tc>
          <w:tcPr>
            <w:tcW w:w="1276" w:type="dxa"/>
            <w:shd w:val="clear" w:color="auto" w:fill="auto"/>
          </w:tcPr>
          <w:p w14:paraId="21310827">
            <w:pPr>
              <w:spacing w:before="120" w:beforeLines="50" w:line="440" w:lineRule="atLeast"/>
              <w:jc w:val="right"/>
              <w:rPr>
                <w:color w:val="auto"/>
                <w:sz w:val="24"/>
                <w:highlight w:val="none"/>
              </w:rPr>
            </w:pPr>
          </w:p>
        </w:tc>
        <w:tc>
          <w:tcPr>
            <w:tcW w:w="1559" w:type="dxa"/>
            <w:shd w:val="clear" w:color="auto" w:fill="auto"/>
          </w:tcPr>
          <w:p w14:paraId="2FA46F19">
            <w:pPr>
              <w:spacing w:before="120" w:beforeLines="50" w:line="440" w:lineRule="atLeast"/>
              <w:jc w:val="right"/>
              <w:rPr>
                <w:color w:val="auto"/>
                <w:sz w:val="24"/>
                <w:highlight w:val="none"/>
              </w:rPr>
            </w:pPr>
          </w:p>
        </w:tc>
      </w:tr>
      <w:tr w14:paraId="150B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0735D5F6">
            <w:pPr>
              <w:spacing w:before="120" w:beforeLines="50" w:line="440" w:lineRule="atLeast"/>
              <w:jc w:val="right"/>
              <w:rPr>
                <w:color w:val="auto"/>
                <w:sz w:val="24"/>
                <w:highlight w:val="none"/>
              </w:rPr>
            </w:pPr>
          </w:p>
        </w:tc>
        <w:tc>
          <w:tcPr>
            <w:tcW w:w="1414" w:type="dxa"/>
            <w:shd w:val="clear" w:color="auto" w:fill="auto"/>
          </w:tcPr>
          <w:p w14:paraId="0EFD6C88">
            <w:pPr>
              <w:spacing w:before="120" w:beforeLines="50" w:line="440" w:lineRule="atLeast"/>
              <w:jc w:val="right"/>
              <w:rPr>
                <w:color w:val="auto"/>
                <w:sz w:val="24"/>
                <w:highlight w:val="none"/>
              </w:rPr>
            </w:pPr>
          </w:p>
        </w:tc>
        <w:tc>
          <w:tcPr>
            <w:tcW w:w="1071" w:type="dxa"/>
            <w:shd w:val="clear" w:color="auto" w:fill="auto"/>
          </w:tcPr>
          <w:p w14:paraId="5ADC1372">
            <w:pPr>
              <w:spacing w:before="120" w:beforeLines="50" w:line="440" w:lineRule="atLeast"/>
              <w:jc w:val="right"/>
              <w:rPr>
                <w:color w:val="auto"/>
                <w:sz w:val="24"/>
                <w:highlight w:val="none"/>
              </w:rPr>
            </w:pPr>
          </w:p>
        </w:tc>
        <w:tc>
          <w:tcPr>
            <w:tcW w:w="1071" w:type="dxa"/>
            <w:shd w:val="clear" w:color="auto" w:fill="auto"/>
          </w:tcPr>
          <w:p w14:paraId="17AF089D">
            <w:pPr>
              <w:spacing w:before="120" w:beforeLines="50" w:line="440" w:lineRule="atLeast"/>
              <w:jc w:val="right"/>
              <w:rPr>
                <w:color w:val="auto"/>
                <w:sz w:val="24"/>
                <w:highlight w:val="none"/>
              </w:rPr>
            </w:pPr>
          </w:p>
        </w:tc>
        <w:tc>
          <w:tcPr>
            <w:tcW w:w="2093" w:type="dxa"/>
            <w:shd w:val="clear" w:color="auto" w:fill="auto"/>
          </w:tcPr>
          <w:p w14:paraId="3A2DE1C5">
            <w:pPr>
              <w:spacing w:before="120" w:beforeLines="50" w:line="440" w:lineRule="atLeast"/>
              <w:jc w:val="right"/>
              <w:rPr>
                <w:color w:val="auto"/>
                <w:sz w:val="24"/>
                <w:highlight w:val="none"/>
              </w:rPr>
            </w:pPr>
          </w:p>
        </w:tc>
        <w:tc>
          <w:tcPr>
            <w:tcW w:w="1276" w:type="dxa"/>
            <w:shd w:val="clear" w:color="auto" w:fill="auto"/>
          </w:tcPr>
          <w:p w14:paraId="13DFD95E">
            <w:pPr>
              <w:spacing w:before="120" w:beforeLines="50" w:line="440" w:lineRule="atLeast"/>
              <w:jc w:val="right"/>
              <w:rPr>
                <w:color w:val="auto"/>
                <w:sz w:val="24"/>
                <w:highlight w:val="none"/>
              </w:rPr>
            </w:pPr>
          </w:p>
        </w:tc>
        <w:tc>
          <w:tcPr>
            <w:tcW w:w="1559" w:type="dxa"/>
            <w:shd w:val="clear" w:color="auto" w:fill="auto"/>
          </w:tcPr>
          <w:p w14:paraId="170FC306">
            <w:pPr>
              <w:spacing w:before="120" w:beforeLines="50" w:line="440" w:lineRule="atLeast"/>
              <w:jc w:val="right"/>
              <w:rPr>
                <w:color w:val="auto"/>
                <w:sz w:val="24"/>
                <w:highlight w:val="none"/>
              </w:rPr>
            </w:pPr>
          </w:p>
        </w:tc>
      </w:tr>
      <w:tr w14:paraId="3EC8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14:paraId="4DA52303">
            <w:pPr>
              <w:spacing w:before="120" w:beforeLines="50" w:line="440" w:lineRule="atLeast"/>
              <w:jc w:val="right"/>
              <w:rPr>
                <w:color w:val="auto"/>
                <w:sz w:val="24"/>
                <w:highlight w:val="none"/>
              </w:rPr>
            </w:pPr>
          </w:p>
        </w:tc>
        <w:tc>
          <w:tcPr>
            <w:tcW w:w="1414" w:type="dxa"/>
            <w:shd w:val="clear" w:color="auto" w:fill="auto"/>
          </w:tcPr>
          <w:p w14:paraId="4565D887">
            <w:pPr>
              <w:spacing w:before="120" w:beforeLines="50" w:line="440" w:lineRule="atLeast"/>
              <w:jc w:val="right"/>
              <w:rPr>
                <w:color w:val="auto"/>
                <w:sz w:val="24"/>
                <w:highlight w:val="none"/>
              </w:rPr>
            </w:pPr>
          </w:p>
        </w:tc>
        <w:tc>
          <w:tcPr>
            <w:tcW w:w="1071" w:type="dxa"/>
            <w:shd w:val="clear" w:color="auto" w:fill="auto"/>
          </w:tcPr>
          <w:p w14:paraId="67CE7C65">
            <w:pPr>
              <w:spacing w:before="120" w:beforeLines="50" w:line="440" w:lineRule="atLeast"/>
              <w:jc w:val="right"/>
              <w:rPr>
                <w:color w:val="auto"/>
                <w:sz w:val="24"/>
                <w:highlight w:val="none"/>
              </w:rPr>
            </w:pPr>
          </w:p>
        </w:tc>
        <w:tc>
          <w:tcPr>
            <w:tcW w:w="1071" w:type="dxa"/>
            <w:shd w:val="clear" w:color="auto" w:fill="auto"/>
          </w:tcPr>
          <w:p w14:paraId="2BF96D2D">
            <w:pPr>
              <w:spacing w:before="120" w:beforeLines="50" w:line="440" w:lineRule="atLeast"/>
              <w:jc w:val="right"/>
              <w:rPr>
                <w:color w:val="auto"/>
                <w:sz w:val="24"/>
                <w:highlight w:val="none"/>
              </w:rPr>
            </w:pPr>
          </w:p>
        </w:tc>
        <w:tc>
          <w:tcPr>
            <w:tcW w:w="2093" w:type="dxa"/>
            <w:shd w:val="clear" w:color="auto" w:fill="auto"/>
          </w:tcPr>
          <w:p w14:paraId="163B4555">
            <w:pPr>
              <w:spacing w:before="120" w:beforeLines="50" w:line="440" w:lineRule="atLeast"/>
              <w:jc w:val="right"/>
              <w:rPr>
                <w:color w:val="auto"/>
                <w:sz w:val="24"/>
                <w:highlight w:val="none"/>
              </w:rPr>
            </w:pPr>
          </w:p>
        </w:tc>
        <w:tc>
          <w:tcPr>
            <w:tcW w:w="1276" w:type="dxa"/>
            <w:shd w:val="clear" w:color="auto" w:fill="auto"/>
          </w:tcPr>
          <w:p w14:paraId="5B2AEF96">
            <w:pPr>
              <w:spacing w:before="120" w:beforeLines="50" w:line="440" w:lineRule="atLeast"/>
              <w:jc w:val="right"/>
              <w:rPr>
                <w:color w:val="auto"/>
                <w:sz w:val="24"/>
                <w:highlight w:val="none"/>
              </w:rPr>
            </w:pPr>
          </w:p>
        </w:tc>
        <w:tc>
          <w:tcPr>
            <w:tcW w:w="1559" w:type="dxa"/>
            <w:shd w:val="clear" w:color="auto" w:fill="auto"/>
          </w:tcPr>
          <w:p w14:paraId="1D401F3E">
            <w:pPr>
              <w:spacing w:before="120" w:beforeLines="50" w:line="440" w:lineRule="atLeast"/>
              <w:jc w:val="right"/>
              <w:rPr>
                <w:color w:val="auto"/>
                <w:sz w:val="24"/>
                <w:highlight w:val="none"/>
              </w:rPr>
            </w:pPr>
          </w:p>
        </w:tc>
      </w:tr>
    </w:tbl>
    <w:p w14:paraId="373CFF1A">
      <w:pPr>
        <w:spacing w:line="440" w:lineRule="atLeast"/>
        <w:rPr>
          <w:color w:val="auto"/>
          <w:szCs w:val="21"/>
          <w:highlight w:val="none"/>
        </w:rPr>
      </w:pPr>
    </w:p>
    <w:p w14:paraId="41613A3B">
      <w:pPr>
        <w:spacing w:line="440" w:lineRule="atLeast"/>
        <w:rPr>
          <w:color w:val="auto"/>
          <w:szCs w:val="21"/>
          <w:highlight w:val="none"/>
          <w:u w:val="single"/>
        </w:rPr>
      </w:pPr>
      <w:r>
        <w:rPr>
          <w:color w:val="auto"/>
          <w:szCs w:val="21"/>
          <w:highlight w:val="none"/>
        </w:rPr>
        <w:t>招标人代表：</w:t>
      </w:r>
      <w:r>
        <w:rPr>
          <w:color w:val="auto"/>
          <w:szCs w:val="21"/>
          <w:highlight w:val="none"/>
          <w:u w:val="single"/>
        </w:rPr>
        <w:t xml:space="preserve">             </w:t>
      </w:r>
      <w:r>
        <w:rPr>
          <w:color w:val="auto"/>
          <w:szCs w:val="21"/>
          <w:highlight w:val="none"/>
        </w:rPr>
        <w:t xml:space="preserve">                                      记录人：</w:t>
      </w:r>
      <w:r>
        <w:rPr>
          <w:color w:val="auto"/>
          <w:szCs w:val="21"/>
          <w:highlight w:val="none"/>
          <w:u w:val="single"/>
        </w:rPr>
        <w:t xml:space="preserve">             </w:t>
      </w:r>
      <w:r>
        <w:rPr>
          <w:color w:val="auto"/>
          <w:szCs w:val="21"/>
          <w:highlight w:val="none"/>
        </w:rPr>
        <w:t xml:space="preserve">       </w:t>
      </w:r>
    </w:p>
    <w:p w14:paraId="35065EB9">
      <w:pPr>
        <w:spacing w:line="440" w:lineRule="atLeast"/>
        <w:jc w:val="right"/>
        <w:rPr>
          <w:color w:val="auto"/>
          <w:szCs w:val="21"/>
          <w:highlight w:val="none"/>
        </w:rPr>
        <w:sectPr>
          <w:footerReference r:id="rId13" w:type="default"/>
          <w:headerReference r:id="rId12" w:type="even"/>
          <w:footerReference r:id="rId14" w:type="even"/>
          <w:footnotePr>
            <w:numFmt w:val="decimalEnclosedCircleChinese"/>
            <w:numRestart w:val="eachPage"/>
          </w:footnotePr>
          <w:pgSz w:w="11907" w:h="16840"/>
          <w:pgMar w:top="1588" w:right="1531" w:bottom="1644" w:left="1588" w:header="851" w:footer="851" w:gutter="0"/>
          <w:pgNumType w:fmt="numberInDash"/>
          <w:cols w:space="425" w:num="1"/>
          <w:docGrid w:linePitch="312" w:charSpace="0"/>
        </w:sectPr>
      </w:pPr>
      <w:r>
        <w:rPr>
          <w:color w:val="auto"/>
          <w:szCs w:val="21"/>
          <w:highlight w:val="none"/>
          <w:u w:val="single"/>
        </w:rPr>
        <w:t xml:space="preserve">          </w:t>
      </w:r>
      <w:r>
        <w:rPr>
          <w:color w:val="auto"/>
          <w:szCs w:val="21"/>
          <w:highlight w:val="none"/>
        </w:rPr>
        <w:t xml:space="preserve">年 </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p>
    <w:p w14:paraId="6FEC45EA">
      <w:pPr>
        <w:widowControl/>
        <w:spacing w:line="440" w:lineRule="atLeast"/>
        <w:jc w:val="left"/>
        <w:rPr>
          <w:rFonts w:eastAsia="黑体"/>
          <w:bCs/>
          <w:color w:val="auto"/>
          <w:kern w:val="44"/>
          <w:sz w:val="24"/>
          <w:highlight w:val="none"/>
        </w:rPr>
      </w:pPr>
    </w:p>
    <w:p w14:paraId="6CAAB8D5">
      <w:pPr>
        <w:pStyle w:val="2"/>
        <w:spacing w:before="0" w:after="0" w:line="440" w:lineRule="atLeast"/>
        <w:rPr>
          <w:rFonts w:eastAsia="黑体"/>
          <w:b w:val="0"/>
          <w:color w:val="auto"/>
          <w:sz w:val="24"/>
          <w:szCs w:val="24"/>
          <w:highlight w:val="none"/>
        </w:rPr>
      </w:pPr>
      <w:bookmarkStart w:id="257" w:name="_Toc503235800"/>
      <w:bookmarkStart w:id="258" w:name="_Toc510015732"/>
      <w:bookmarkStart w:id="259" w:name="_Toc501257120"/>
      <w:r>
        <w:rPr>
          <w:rFonts w:eastAsia="黑体"/>
          <w:b w:val="0"/>
          <w:color w:val="auto"/>
          <w:sz w:val="24"/>
          <w:szCs w:val="24"/>
          <w:highlight w:val="none"/>
        </w:rPr>
        <w:t>附件二 问题澄清通知</w:t>
      </w:r>
      <w:bookmarkEnd w:id="257"/>
      <w:bookmarkEnd w:id="258"/>
      <w:bookmarkEnd w:id="259"/>
    </w:p>
    <w:p w14:paraId="720B54DD">
      <w:pPr>
        <w:spacing w:line="440" w:lineRule="atLeast"/>
        <w:jc w:val="center"/>
        <w:rPr>
          <w:color w:val="auto"/>
          <w:sz w:val="28"/>
          <w:szCs w:val="28"/>
          <w:highlight w:val="none"/>
        </w:rPr>
      </w:pPr>
    </w:p>
    <w:p w14:paraId="6777B54A">
      <w:pPr>
        <w:spacing w:line="440" w:lineRule="atLeast"/>
        <w:jc w:val="center"/>
        <w:rPr>
          <w:rFonts w:eastAsia="黑体"/>
          <w:color w:val="auto"/>
          <w:sz w:val="28"/>
          <w:szCs w:val="28"/>
          <w:highlight w:val="none"/>
        </w:rPr>
      </w:pPr>
      <w:r>
        <w:rPr>
          <w:rFonts w:eastAsia="黑体"/>
          <w:color w:val="auto"/>
          <w:sz w:val="28"/>
          <w:szCs w:val="28"/>
          <w:highlight w:val="none"/>
        </w:rPr>
        <w:t>问题澄清通知</w:t>
      </w:r>
    </w:p>
    <w:p w14:paraId="112511D3">
      <w:pPr>
        <w:spacing w:line="440" w:lineRule="atLeast"/>
        <w:jc w:val="center"/>
        <w:rPr>
          <w:color w:val="auto"/>
          <w:sz w:val="24"/>
          <w:highlight w:val="none"/>
        </w:rPr>
      </w:pPr>
      <w:r>
        <w:rPr>
          <w:color w:val="auto"/>
          <w:highlight w:val="none"/>
        </w:rPr>
        <w:t>（编号：</w:t>
      </w:r>
      <w:r>
        <w:rPr>
          <w:rFonts w:eastAsia="黑体"/>
          <w:color w:val="auto"/>
          <w:sz w:val="28"/>
          <w:highlight w:val="none"/>
          <w:u w:val="single"/>
        </w:rPr>
        <w:t xml:space="preserve">               </w:t>
      </w:r>
      <w:r>
        <w:rPr>
          <w:color w:val="auto"/>
          <w:highlight w:val="none"/>
        </w:rPr>
        <w:t>）</w:t>
      </w:r>
    </w:p>
    <w:p w14:paraId="3CC2A1BF">
      <w:pPr>
        <w:spacing w:line="440" w:lineRule="atLeast"/>
        <w:rPr>
          <w:color w:val="auto"/>
          <w:sz w:val="24"/>
          <w:highlight w:val="none"/>
        </w:rPr>
      </w:pPr>
    </w:p>
    <w:p w14:paraId="3BA9B518">
      <w:pPr>
        <w:spacing w:line="440" w:lineRule="atLeast"/>
        <w:rPr>
          <w:color w:val="auto"/>
          <w:sz w:val="24"/>
          <w:highlight w:val="none"/>
        </w:rPr>
      </w:pPr>
      <w:r>
        <w:rPr>
          <w:color w:val="auto"/>
          <w:sz w:val="24"/>
          <w:highlight w:val="none"/>
          <w:u w:val="single"/>
        </w:rPr>
        <w:t xml:space="preserve">               </w:t>
      </w:r>
      <w:r>
        <w:rPr>
          <w:color w:val="auto"/>
          <w:sz w:val="24"/>
          <w:highlight w:val="none"/>
        </w:rPr>
        <w:t>（投标人名称）：</w:t>
      </w:r>
    </w:p>
    <w:p w14:paraId="71FB55CB">
      <w:pPr>
        <w:spacing w:line="440" w:lineRule="atLeast"/>
        <w:rPr>
          <w:color w:val="auto"/>
          <w:sz w:val="24"/>
          <w:highlight w:val="none"/>
        </w:rPr>
      </w:pPr>
    </w:p>
    <w:p w14:paraId="158B2989">
      <w:pPr>
        <w:spacing w:line="440" w:lineRule="atLeast"/>
        <w:rPr>
          <w:color w:val="auto"/>
          <w:sz w:val="24"/>
          <w:highlight w:val="none"/>
        </w:rPr>
      </w:pPr>
      <w:r>
        <w:rPr>
          <w:color w:val="auto"/>
          <w:sz w:val="24"/>
          <w:highlight w:val="none"/>
        </w:rPr>
        <w:t xml:space="preserve">　　  </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标段咨询服务招标的评标委员会，对你方的投标文件进行了仔细的审查，现需你方对下列问题以书面形式予以澄清或说明：</w:t>
      </w:r>
    </w:p>
    <w:p w14:paraId="25246115">
      <w:pPr>
        <w:spacing w:line="440" w:lineRule="atLeast"/>
        <w:rPr>
          <w:color w:val="auto"/>
          <w:sz w:val="24"/>
          <w:highlight w:val="none"/>
        </w:rPr>
      </w:pPr>
      <w:r>
        <w:rPr>
          <w:color w:val="auto"/>
          <w:sz w:val="24"/>
          <w:highlight w:val="none"/>
        </w:rPr>
        <w:t>　　</w:t>
      </w:r>
    </w:p>
    <w:p w14:paraId="63B7BDFF">
      <w:pPr>
        <w:spacing w:line="440" w:lineRule="atLeast"/>
        <w:rPr>
          <w:color w:val="auto"/>
          <w:sz w:val="24"/>
          <w:highlight w:val="none"/>
        </w:rPr>
      </w:pPr>
      <w:r>
        <w:rPr>
          <w:color w:val="auto"/>
          <w:sz w:val="24"/>
          <w:highlight w:val="none"/>
        </w:rPr>
        <w:t xml:space="preserve">    1.</w:t>
      </w:r>
    </w:p>
    <w:p w14:paraId="3CB6A1D4">
      <w:pPr>
        <w:spacing w:line="440" w:lineRule="atLeast"/>
        <w:rPr>
          <w:color w:val="auto"/>
          <w:sz w:val="24"/>
          <w:highlight w:val="none"/>
        </w:rPr>
      </w:pPr>
      <w:r>
        <w:rPr>
          <w:color w:val="auto"/>
          <w:sz w:val="24"/>
          <w:highlight w:val="none"/>
        </w:rPr>
        <w:t xml:space="preserve">    2.</w:t>
      </w:r>
    </w:p>
    <w:p w14:paraId="74B2F9B9">
      <w:pPr>
        <w:spacing w:line="440" w:lineRule="atLeast"/>
        <w:rPr>
          <w:color w:val="auto"/>
          <w:sz w:val="24"/>
          <w:highlight w:val="none"/>
        </w:rPr>
      </w:pPr>
      <w:r>
        <w:rPr>
          <w:color w:val="auto"/>
          <w:sz w:val="24"/>
          <w:highlight w:val="none"/>
        </w:rPr>
        <w:t xml:space="preserve">     ......   </w:t>
      </w:r>
    </w:p>
    <w:p w14:paraId="2EC2F5C6">
      <w:pPr>
        <w:spacing w:line="440" w:lineRule="atLeast"/>
        <w:rPr>
          <w:color w:val="auto"/>
          <w:sz w:val="24"/>
          <w:highlight w:val="none"/>
        </w:rPr>
      </w:pPr>
      <w:r>
        <w:rPr>
          <w:color w:val="auto"/>
          <w:sz w:val="24"/>
          <w:highlight w:val="none"/>
        </w:rPr>
        <w:t>　　　</w:t>
      </w:r>
    </w:p>
    <w:p w14:paraId="111C925F">
      <w:pPr>
        <w:spacing w:line="440" w:lineRule="atLeast"/>
        <w:rPr>
          <w:color w:val="auto"/>
          <w:sz w:val="24"/>
          <w:highlight w:val="none"/>
        </w:rPr>
      </w:pPr>
      <w:r>
        <w:rPr>
          <w:color w:val="auto"/>
          <w:sz w:val="24"/>
          <w:highlight w:val="none"/>
        </w:rPr>
        <w:t>　　请将上述问题的澄清或说明于</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r>
        <w:rPr>
          <w:color w:val="auto"/>
          <w:sz w:val="24"/>
          <w:highlight w:val="none"/>
          <w:u w:val="single"/>
        </w:rPr>
        <w:t xml:space="preserve">   </w:t>
      </w:r>
      <w:r>
        <w:rPr>
          <w:color w:val="auto"/>
          <w:sz w:val="24"/>
          <w:highlight w:val="none"/>
        </w:rPr>
        <w:t>时</w:t>
      </w:r>
      <w:r>
        <w:rPr>
          <w:color w:val="auto"/>
          <w:sz w:val="24"/>
          <w:highlight w:val="none"/>
          <w:u w:val="single"/>
        </w:rPr>
        <w:t xml:space="preserve">   </w:t>
      </w:r>
      <w:r>
        <w:rPr>
          <w:color w:val="auto"/>
          <w:sz w:val="24"/>
          <w:highlight w:val="none"/>
        </w:rPr>
        <w:t>分前递交至</w:t>
      </w:r>
      <w:r>
        <w:rPr>
          <w:color w:val="auto"/>
          <w:sz w:val="24"/>
          <w:highlight w:val="none"/>
          <w:u w:val="single"/>
        </w:rPr>
        <w:t xml:space="preserve">      </w:t>
      </w:r>
      <w:r>
        <w:rPr>
          <w:color w:val="auto"/>
          <w:sz w:val="24"/>
          <w:highlight w:val="none"/>
        </w:rPr>
        <w:t>（详细地址）或传真至</w:t>
      </w:r>
      <w:r>
        <w:rPr>
          <w:color w:val="auto"/>
          <w:sz w:val="24"/>
          <w:highlight w:val="none"/>
          <w:u w:val="single"/>
        </w:rPr>
        <w:t xml:space="preserve">       </w:t>
      </w:r>
      <w:r>
        <w:rPr>
          <w:color w:val="auto"/>
          <w:sz w:val="24"/>
          <w:highlight w:val="none"/>
        </w:rPr>
        <w:t>（传真号码）或通过下载招标文件的电子招标交易平台上传。采用传真方式的，应在</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r>
        <w:rPr>
          <w:color w:val="auto"/>
          <w:sz w:val="24"/>
          <w:highlight w:val="none"/>
          <w:u w:val="single"/>
        </w:rPr>
        <w:t xml:space="preserve">   </w:t>
      </w:r>
      <w:r>
        <w:rPr>
          <w:color w:val="auto"/>
          <w:sz w:val="24"/>
          <w:highlight w:val="none"/>
        </w:rPr>
        <w:t>时</w:t>
      </w:r>
      <w:r>
        <w:rPr>
          <w:color w:val="auto"/>
          <w:sz w:val="24"/>
          <w:highlight w:val="none"/>
          <w:u w:val="single"/>
        </w:rPr>
        <w:t xml:space="preserve">   </w:t>
      </w:r>
      <w:r>
        <w:rPr>
          <w:color w:val="auto"/>
          <w:sz w:val="24"/>
          <w:highlight w:val="none"/>
        </w:rPr>
        <w:t>分前将原件递交至</w:t>
      </w:r>
      <w:r>
        <w:rPr>
          <w:color w:val="auto"/>
          <w:sz w:val="24"/>
          <w:highlight w:val="none"/>
          <w:u w:val="single"/>
        </w:rPr>
        <w:t xml:space="preserve">        </w:t>
      </w:r>
      <w:r>
        <w:rPr>
          <w:color w:val="auto"/>
          <w:sz w:val="24"/>
          <w:highlight w:val="none"/>
        </w:rPr>
        <w:t>（详细地址）。</w:t>
      </w:r>
    </w:p>
    <w:p w14:paraId="0A6F4486">
      <w:pPr>
        <w:spacing w:line="440" w:lineRule="atLeast"/>
        <w:rPr>
          <w:color w:val="auto"/>
          <w:sz w:val="24"/>
          <w:highlight w:val="none"/>
        </w:rPr>
      </w:pPr>
    </w:p>
    <w:p w14:paraId="10EEF37A">
      <w:pPr>
        <w:spacing w:line="440" w:lineRule="atLeast"/>
        <w:rPr>
          <w:color w:val="auto"/>
          <w:sz w:val="24"/>
          <w:highlight w:val="none"/>
        </w:rPr>
      </w:pPr>
    </w:p>
    <w:p w14:paraId="1239B562">
      <w:pPr>
        <w:spacing w:line="440" w:lineRule="atLeast"/>
        <w:jc w:val="right"/>
        <w:rPr>
          <w:color w:val="auto"/>
          <w:sz w:val="24"/>
          <w:highlight w:val="none"/>
          <w:u w:val="single"/>
        </w:rPr>
      </w:pPr>
      <w:r>
        <w:rPr>
          <w:color w:val="auto"/>
          <w:sz w:val="24"/>
          <w:highlight w:val="none"/>
        </w:rPr>
        <w:t>评标委员会授权的招标人或招标代理机构：</w:t>
      </w:r>
      <w:r>
        <w:rPr>
          <w:rFonts w:eastAsia="黑体"/>
          <w:color w:val="auto"/>
          <w:sz w:val="24"/>
          <w:highlight w:val="none"/>
          <w:u w:val="single"/>
        </w:rPr>
        <w:t xml:space="preserve">        </w:t>
      </w:r>
      <w:r>
        <w:rPr>
          <w:color w:val="auto"/>
          <w:sz w:val="24"/>
          <w:highlight w:val="none"/>
        </w:rPr>
        <w:t>（签字或盖单位章）</w:t>
      </w:r>
    </w:p>
    <w:p w14:paraId="0911926D">
      <w:pPr>
        <w:spacing w:line="440" w:lineRule="atLeast"/>
        <w:rPr>
          <w:color w:val="auto"/>
          <w:sz w:val="24"/>
          <w:highlight w:val="none"/>
        </w:rPr>
      </w:pPr>
      <w:r>
        <w:rPr>
          <w:color w:val="auto"/>
          <w:sz w:val="24"/>
          <w:highlight w:val="none"/>
        </w:rPr>
        <w:t xml:space="preserve">                                                </w:t>
      </w:r>
    </w:p>
    <w:p w14:paraId="5A28B890">
      <w:pPr>
        <w:spacing w:line="440" w:lineRule="atLeast"/>
        <w:ind w:right="480"/>
        <w:jc w:val="center"/>
        <w:rPr>
          <w:color w:val="auto"/>
          <w:sz w:val="24"/>
          <w:highlight w:val="none"/>
        </w:rPr>
      </w:pPr>
      <w:r>
        <w:rPr>
          <w:color w:val="auto"/>
          <w:sz w:val="24"/>
          <w:highlight w:val="non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6F2883F2">
      <w:pPr>
        <w:pStyle w:val="2"/>
        <w:spacing w:before="0" w:after="0" w:line="440" w:lineRule="atLeast"/>
        <w:rPr>
          <w:rFonts w:eastAsia="黑体"/>
          <w:b w:val="0"/>
          <w:color w:val="auto"/>
          <w:sz w:val="24"/>
          <w:szCs w:val="24"/>
          <w:highlight w:val="none"/>
        </w:rPr>
      </w:pPr>
      <w:r>
        <w:rPr>
          <w:color w:val="auto"/>
          <w:sz w:val="24"/>
          <w:highlight w:val="none"/>
        </w:rPr>
        <w:br w:type="page"/>
      </w:r>
      <w:bookmarkStart w:id="260" w:name="_Toc510015733"/>
      <w:bookmarkStart w:id="261" w:name="_Toc501257121"/>
      <w:bookmarkStart w:id="262" w:name="_Toc503235801"/>
      <w:r>
        <w:rPr>
          <w:rFonts w:eastAsia="黑体"/>
          <w:b w:val="0"/>
          <w:color w:val="auto"/>
          <w:sz w:val="24"/>
          <w:szCs w:val="24"/>
          <w:highlight w:val="none"/>
        </w:rPr>
        <w:t>附件三 问题的澄清</w:t>
      </w:r>
      <w:bookmarkEnd w:id="260"/>
      <w:bookmarkEnd w:id="261"/>
      <w:bookmarkEnd w:id="262"/>
    </w:p>
    <w:p w14:paraId="412CA14A">
      <w:pPr>
        <w:spacing w:line="440" w:lineRule="atLeast"/>
        <w:jc w:val="center"/>
        <w:rPr>
          <w:rFonts w:eastAsia="黑体"/>
          <w:color w:val="auto"/>
          <w:sz w:val="28"/>
          <w:szCs w:val="28"/>
          <w:highlight w:val="none"/>
        </w:rPr>
      </w:pPr>
      <w:r>
        <w:rPr>
          <w:rFonts w:eastAsia="黑体"/>
          <w:color w:val="auto"/>
          <w:sz w:val="28"/>
          <w:szCs w:val="28"/>
          <w:highlight w:val="none"/>
        </w:rPr>
        <w:t>问题的澄清</w:t>
      </w:r>
    </w:p>
    <w:p w14:paraId="1F05D9FB">
      <w:pPr>
        <w:spacing w:line="440" w:lineRule="atLeast"/>
        <w:jc w:val="center"/>
        <w:rPr>
          <w:color w:val="auto"/>
          <w:sz w:val="24"/>
          <w:highlight w:val="none"/>
        </w:rPr>
      </w:pPr>
      <w:r>
        <w:rPr>
          <w:color w:val="auto"/>
          <w:highlight w:val="none"/>
        </w:rPr>
        <w:t>（编号：</w:t>
      </w:r>
      <w:r>
        <w:rPr>
          <w:rFonts w:eastAsia="黑体"/>
          <w:color w:val="auto"/>
          <w:sz w:val="28"/>
          <w:highlight w:val="none"/>
          <w:u w:val="single"/>
        </w:rPr>
        <w:t xml:space="preserve">           </w:t>
      </w:r>
      <w:r>
        <w:rPr>
          <w:color w:val="auto"/>
          <w:highlight w:val="none"/>
        </w:rPr>
        <w:t>）</w:t>
      </w:r>
    </w:p>
    <w:p w14:paraId="143BB990">
      <w:pPr>
        <w:spacing w:line="440" w:lineRule="atLeast"/>
        <w:rPr>
          <w:color w:val="auto"/>
          <w:sz w:val="24"/>
          <w:highlight w:val="none"/>
        </w:rPr>
      </w:pPr>
    </w:p>
    <w:p w14:paraId="6AEA7864">
      <w:pPr>
        <w:spacing w:line="440" w:lineRule="atLeast"/>
        <w:rPr>
          <w:color w:val="auto"/>
          <w:sz w:val="24"/>
          <w:highlight w:val="none"/>
        </w:rPr>
      </w:pP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标段咨询服务招标评标委员会：</w:t>
      </w:r>
    </w:p>
    <w:p w14:paraId="2DD4BD55">
      <w:pPr>
        <w:spacing w:line="440" w:lineRule="atLeast"/>
        <w:rPr>
          <w:color w:val="auto"/>
          <w:sz w:val="24"/>
          <w:highlight w:val="none"/>
        </w:rPr>
      </w:pPr>
    </w:p>
    <w:p w14:paraId="4C41035A">
      <w:pPr>
        <w:spacing w:line="440" w:lineRule="atLeast"/>
        <w:rPr>
          <w:color w:val="auto"/>
          <w:sz w:val="24"/>
          <w:highlight w:val="none"/>
        </w:rPr>
      </w:pPr>
    </w:p>
    <w:p w14:paraId="5A0423C7">
      <w:pPr>
        <w:spacing w:line="440" w:lineRule="atLeast"/>
        <w:ind w:firstLine="480" w:firstLineChars="200"/>
        <w:rPr>
          <w:color w:val="auto"/>
          <w:sz w:val="24"/>
          <w:highlight w:val="none"/>
        </w:rPr>
      </w:pPr>
      <w:r>
        <w:rPr>
          <w:color w:val="auto"/>
          <w:sz w:val="24"/>
          <w:highlight w:val="none"/>
        </w:rPr>
        <w:t>问题澄清通知（编号：</w:t>
      </w:r>
      <w:r>
        <w:rPr>
          <w:color w:val="auto"/>
          <w:sz w:val="24"/>
          <w:highlight w:val="none"/>
          <w:u w:val="single"/>
        </w:rPr>
        <w:t xml:space="preserve">        </w:t>
      </w:r>
      <w:r>
        <w:rPr>
          <w:color w:val="auto"/>
          <w:sz w:val="24"/>
          <w:highlight w:val="none"/>
        </w:rPr>
        <w:t>）已收悉，现澄清、说明如下：</w:t>
      </w:r>
    </w:p>
    <w:p w14:paraId="3BDA35C8">
      <w:pPr>
        <w:spacing w:line="440" w:lineRule="atLeast"/>
        <w:rPr>
          <w:color w:val="auto"/>
          <w:sz w:val="24"/>
          <w:highlight w:val="none"/>
        </w:rPr>
      </w:pPr>
      <w:r>
        <w:rPr>
          <w:color w:val="auto"/>
          <w:sz w:val="24"/>
          <w:highlight w:val="none"/>
        </w:rPr>
        <w:t>　     1.</w:t>
      </w:r>
    </w:p>
    <w:p w14:paraId="2D18470F">
      <w:pPr>
        <w:spacing w:line="440" w:lineRule="atLeast"/>
        <w:rPr>
          <w:color w:val="auto"/>
          <w:sz w:val="24"/>
          <w:highlight w:val="none"/>
        </w:rPr>
      </w:pPr>
      <w:r>
        <w:rPr>
          <w:color w:val="auto"/>
          <w:sz w:val="24"/>
          <w:highlight w:val="none"/>
        </w:rPr>
        <w:t>　     2.</w:t>
      </w:r>
    </w:p>
    <w:p w14:paraId="357BF082">
      <w:pPr>
        <w:spacing w:line="440" w:lineRule="atLeast"/>
        <w:rPr>
          <w:color w:val="auto"/>
          <w:sz w:val="24"/>
          <w:highlight w:val="none"/>
        </w:rPr>
      </w:pPr>
      <w:r>
        <w:rPr>
          <w:color w:val="auto"/>
          <w:sz w:val="24"/>
          <w:highlight w:val="none"/>
        </w:rPr>
        <w:t xml:space="preserve">　   </w:t>
      </w:r>
    </w:p>
    <w:p w14:paraId="562F5B2E">
      <w:pPr>
        <w:spacing w:line="440" w:lineRule="atLeast"/>
        <w:rPr>
          <w:color w:val="auto"/>
          <w:sz w:val="24"/>
          <w:highlight w:val="none"/>
        </w:rPr>
      </w:pPr>
      <w:r>
        <w:rPr>
          <w:color w:val="auto"/>
          <w:sz w:val="24"/>
          <w:highlight w:val="none"/>
        </w:rPr>
        <w:t>　    .....</w:t>
      </w:r>
    </w:p>
    <w:p w14:paraId="1077F3DD">
      <w:pPr>
        <w:spacing w:line="440" w:lineRule="atLeast"/>
        <w:rPr>
          <w:color w:val="auto"/>
          <w:sz w:val="24"/>
          <w:highlight w:val="none"/>
        </w:rPr>
      </w:pPr>
      <w:r>
        <w:rPr>
          <w:color w:val="auto"/>
          <w:sz w:val="24"/>
          <w:highlight w:val="none"/>
        </w:rPr>
        <w:t xml:space="preserve">                       </w:t>
      </w:r>
    </w:p>
    <w:p w14:paraId="1CE68D13">
      <w:pPr>
        <w:spacing w:line="440" w:lineRule="atLeast"/>
        <w:rPr>
          <w:color w:val="auto"/>
          <w:sz w:val="24"/>
          <w:highlight w:val="none"/>
        </w:rPr>
      </w:pPr>
      <w:r>
        <w:rPr>
          <w:color w:val="auto"/>
          <w:sz w:val="24"/>
          <w:highlight w:val="none"/>
        </w:rPr>
        <w:t xml:space="preserve">　 </w:t>
      </w:r>
    </w:p>
    <w:p w14:paraId="6177C4A0">
      <w:pPr>
        <w:spacing w:line="440" w:lineRule="atLeast"/>
        <w:rPr>
          <w:color w:val="auto"/>
          <w:sz w:val="24"/>
          <w:highlight w:val="none"/>
        </w:rPr>
      </w:pPr>
    </w:p>
    <w:p w14:paraId="473DA824">
      <w:pPr>
        <w:spacing w:line="440" w:lineRule="atLeast"/>
        <w:ind w:firstLine="480" w:firstLineChars="200"/>
        <w:rPr>
          <w:color w:val="auto"/>
          <w:sz w:val="24"/>
          <w:highlight w:val="none"/>
        </w:rPr>
      </w:pPr>
      <w:r>
        <w:rPr>
          <w:color w:val="auto"/>
          <w:sz w:val="24"/>
          <w:highlight w:val="none"/>
        </w:rPr>
        <w:t>上述问题澄清或说明，不改变我方投标文件的实质性内容，构成我方投标文件的组成部分。</w:t>
      </w:r>
    </w:p>
    <w:p w14:paraId="66D6F9E1">
      <w:pPr>
        <w:spacing w:line="440" w:lineRule="atLeast"/>
        <w:rPr>
          <w:color w:val="auto"/>
          <w:sz w:val="24"/>
          <w:highlight w:val="none"/>
        </w:rPr>
      </w:pPr>
    </w:p>
    <w:p w14:paraId="0CC978E3">
      <w:pPr>
        <w:spacing w:line="440" w:lineRule="atLeast"/>
        <w:rPr>
          <w:color w:val="auto"/>
          <w:sz w:val="24"/>
          <w:highlight w:val="none"/>
        </w:rPr>
      </w:pPr>
    </w:p>
    <w:p w14:paraId="2F81BF72">
      <w:pPr>
        <w:spacing w:line="440" w:lineRule="atLeast"/>
        <w:rPr>
          <w:color w:val="auto"/>
          <w:sz w:val="24"/>
          <w:highlight w:val="none"/>
        </w:rPr>
      </w:pPr>
      <w:r>
        <w:rPr>
          <w:color w:val="auto"/>
          <w:sz w:val="24"/>
          <w:highlight w:val="none"/>
        </w:rPr>
        <w:t>　　　　　　　　　　　　　　　投标人：</w:t>
      </w:r>
      <w:r>
        <w:rPr>
          <w:color w:val="auto"/>
          <w:sz w:val="24"/>
          <w:highlight w:val="none"/>
          <w:u w:val="single"/>
        </w:rPr>
        <w:t xml:space="preserve">                      </w:t>
      </w:r>
      <w:r>
        <w:rPr>
          <w:color w:val="auto"/>
          <w:sz w:val="24"/>
          <w:highlight w:val="none"/>
        </w:rPr>
        <w:t>（盖单位章）</w:t>
      </w:r>
      <w:r>
        <w:rPr>
          <w:color w:val="auto"/>
          <w:sz w:val="24"/>
          <w:highlight w:val="none"/>
          <w:vertAlign w:val="superscript"/>
        </w:rPr>
        <w:footnoteReference w:id="3"/>
      </w:r>
    </w:p>
    <w:p w14:paraId="096B52FF">
      <w:pPr>
        <w:spacing w:line="440" w:lineRule="atLeast"/>
        <w:rPr>
          <w:color w:val="auto"/>
          <w:sz w:val="24"/>
          <w:highlight w:val="none"/>
        </w:rPr>
      </w:pPr>
      <w:r>
        <w:rPr>
          <w:color w:val="auto"/>
          <w:sz w:val="24"/>
          <w:highlight w:val="none"/>
        </w:rPr>
        <w:t>　　　　　　　　　　　　　　　法定代表人或其委托代理人：</w:t>
      </w:r>
      <w:r>
        <w:rPr>
          <w:color w:val="auto"/>
          <w:sz w:val="24"/>
          <w:highlight w:val="none"/>
          <w:u w:val="single"/>
        </w:rPr>
        <w:t xml:space="preserve">          </w:t>
      </w:r>
      <w:r>
        <w:rPr>
          <w:color w:val="auto"/>
          <w:sz w:val="24"/>
          <w:highlight w:val="none"/>
        </w:rPr>
        <w:t>（签字）</w:t>
      </w:r>
    </w:p>
    <w:p w14:paraId="44F02C42">
      <w:pPr>
        <w:spacing w:line="440" w:lineRule="atLeast"/>
        <w:rPr>
          <w:color w:val="auto"/>
          <w:sz w:val="24"/>
          <w:highlight w:val="none"/>
        </w:rPr>
      </w:pPr>
      <w:r>
        <w:rPr>
          <w:color w:val="auto"/>
          <w:sz w:val="24"/>
          <w:highlight w:val="none"/>
        </w:rPr>
        <w:t>　　　　　　　　　　　　　　　</w:t>
      </w:r>
    </w:p>
    <w:p w14:paraId="62CB43F3">
      <w:pPr>
        <w:spacing w:line="440" w:lineRule="atLeast"/>
        <w:rPr>
          <w:color w:val="auto"/>
          <w:sz w:val="24"/>
          <w:highlight w:val="none"/>
        </w:rPr>
      </w:pPr>
      <w:r>
        <w:rPr>
          <w:color w:val="auto"/>
          <w:sz w:val="24"/>
          <w:highlight w:val="non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52B814A2">
      <w:pPr>
        <w:pStyle w:val="2"/>
        <w:spacing w:before="0" w:after="0" w:line="440" w:lineRule="atLeast"/>
        <w:rPr>
          <w:rFonts w:eastAsia="黑体"/>
          <w:b w:val="0"/>
          <w:color w:val="auto"/>
          <w:sz w:val="24"/>
          <w:szCs w:val="24"/>
          <w:highlight w:val="none"/>
        </w:rPr>
      </w:pPr>
      <w:r>
        <w:rPr>
          <w:color w:val="auto"/>
          <w:sz w:val="20"/>
          <w:szCs w:val="20"/>
          <w:highlight w:val="none"/>
        </w:rPr>
        <w:br w:type="page"/>
      </w:r>
      <w:bookmarkStart w:id="263" w:name="_Toc503235802"/>
      <w:bookmarkStart w:id="264" w:name="_Toc510015734"/>
      <w:bookmarkStart w:id="265" w:name="_Toc501257122"/>
      <w:r>
        <w:rPr>
          <w:rFonts w:eastAsia="黑体"/>
          <w:b w:val="0"/>
          <w:color w:val="auto"/>
          <w:sz w:val="24"/>
          <w:szCs w:val="24"/>
          <w:highlight w:val="none"/>
        </w:rPr>
        <w:t>附件四 中标通知书</w:t>
      </w:r>
      <w:bookmarkEnd w:id="263"/>
      <w:bookmarkEnd w:id="264"/>
      <w:bookmarkEnd w:id="265"/>
    </w:p>
    <w:p w14:paraId="2B5A016B">
      <w:pPr>
        <w:spacing w:line="440" w:lineRule="atLeast"/>
        <w:ind w:firstLine="3640" w:firstLineChars="1300"/>
        <w:rPr>
          <w:rFonts w:eastAsia="黑体"/>
          <w:color w:val="auto"/>
          <w:sz w:val="28"/>
          <w:szCs w:val="28"/>
          <w:highlight w:val="none"/>
        </w:rPr>
      </w:pPr>
    </w:p>
    <w:p w14:paraId="4DA8F746">
      <w:pPr>
        <w:spacing w:line="440" w:lineRule="atLeast"/>
        <w:ind w:firstLine="3640" w:firstLineChars="1300"/>
        <w:rPr>
          <w:rFonts w:eastAsia="黑体"/>
          <w:color w:val="auto"/>
          <w:sz w:val="28"/>
          <w:szCs w:val="28"/>
          <w:highlight w:val="none"/>
        </w:rPr>
      </w:pPr>
      <w:r>
        <w:rPr>
          <w:rFonts w:eastAsia="黑体"/>
          <w:color w:val="auto"/>
          <w:sz w:val="28"/>
          <w:szCs w:val="28"/>
          <w:highlight w:val="none"/>
        </w:rPr>
        <w:t xml:space="preserve">中标通知书 </w:t>
      </w:r>
    </w:p>
    <w:p w14:paraId="6280B4AF">
      <w:pPr>
        <w:spacing w:line="440" w:lineRule="atLeast"/>
        <w:rPr>
          <w:rFonts w:eastAsia="黑体"/>
          <w:color w:val="auto"/>
          <w:sz w:val="20"/>
          <w:szCs w:val="20"/>
          <w:highlight w:val="none"/>
        </w:rPr>
      </w:pPr>
      <w:r>
        <w:rPr>
          <w:rFonts w:eastAsia="黑体"/>
          <w:color w:val="auto"/>
          <w:sz w:val="20"/>
          <w:szCs w:val="20"/>
          <w:highlight w:val="none"/>
        </w:rPr>
        <w:t xml:space="preserve">                              </w:t>
      </w:r>
    </w:p>
    <w:p w14:paraId="4BAD7CC7">
      <w:pPr>
        <w:spacing w:line="440" w:lineRule="atLeast"/>
        <w:rPr>
          <w:color w:val="auto"/>
          <w:sz w:val="24"/>
          <w:highlight w:val="none"/>
        </w:rPr>
      </w:pPr>
      <w:r>
        <w:rPr>
          <w:color w:val="auto"/>
          <w:sz w:val="24"/>
          <w:highlight w:val="none"/>
        </w:rPr>
        <w:t xml:space="preserve"> </w:t>
      </w:r>
      <w:r>
        <w:rPr>
          <w:color w:val="auto"/>
          <w:sz w:val="24"/>
          <w:highlight w:val="none"/>
          <w:u w:val="single"/>
        </w:rPr>
        <w:t xml:space="preserve">                   </w:t>
      </w:r>
      <w:r>
        <w:rPr>
          <w:color w:val="auto"/>
          <w:sz w:val="24"/>
          <w:highlight w:val="none"/>
        </w:rPr>
        <w:t>（中标人名称）：</w:t>
      </w:r>
    </w:p>
    <w:p w14:paraId="4E47C880">
      <w:pPr>
        <w:spacing w:line="440" w:lineRule="atLeast"/>
        <w:rPr>
          <w:color w:val="auto"/>
          <w:sz w:val="24"/>
          <w:highlight w:val="none"/>
        </w:rPr>
      </w:pPr>
    </w:p>
    <w:p w14:paraId="27942BCF">
      <w:pPr>
        <w:spacing w:line="440" w:lineRule="atLeast"/>
        <w:ind w:firstLine="480" w:firstLineChars="200"/>
        <w:rPr>
          <w:color w:val="auto"/>
          <w:sz w:val="24"/>
          <w:highlight w:val="none"/>
        </w:rPr>
      </w:pPr>
      <w:r>
        <w:rPr>
          <w:color w:val="auto"/>
          <w:sz w:val="24"/>
          <w:highlight w:val="none"/>
        </w:rPr>
        <w:t>你方于</w:t>
      </w:r>
      <w:r>
        <w:rPr>
          <w:color w:val="auto"/>
          <w:sz w:val="24"/>
          <w:highlight w:val="none"/>
          <w:u w:val="single"/>
        </w:rPr>
        <w:t xml:space="preserve">         </w:t>
      </w:r>
      <w:r>
        <w:rPr>
          <w:color w:val="auto"/>
          <w:sz w:val="24"/>
          <w:highlight w:val="none"/>
        </w:rPr>
        <w:t>（投标日期）所递交的</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标段咨询服务投标文件已被我方接受，被确定为中标人。</w:t>
      </w:r>
    </w:p>
    <w:p w14:paraId="1C824B17">
      <w:pPr>
        <w:spacing w:line="440" w:lineRule="atLeast"/>
        <w:ind w:firstLine="480" w:firstLineChars="200"/>
        <w:rPr>
          <w:color w:val="auto"/>
          <w:sz w:val="24"/>
          <w:highlight w:val="none"/>
        </w:rPr>
      </w:pPr>
      <w:r>
        <w:rPr>
          <w:color w:val="auto"/>
          <w:sz w:val="24"/>
          <w:highlight w:val="none"/>
        </w:rPr>
        <w:t>中标价：</w:t>
      </w:r>
      <w:r>
        <w:rPr>
          <w:color w:val="auto"/>
          <w:sz w:val="24"/>
          <w:highlight w:val="none"/>
          <w:u w:val="single"/>
        </w:rPr>
        <w:t xml:space="preserve">                   </w:t>
      </w:r>
      <w:r>
        <w:rPr>
          <w:color w:val="auto"/>
          <w:sz w:val="24"/>
          <w:highlight w:val="none"/>
        </w:rPr>
        <w:t>元。</w:t>
      </w:r>
    </w:p>
    <w:p w14:paraId="48EE4360">
      <w:pPr>
        <w:spacing w:line="440" w:lineRule="atLeast"/>
        <w:ind w:firstLine="480" w:firstLineChars="200"/>
        <w:rPr>
          <w:color w:val="auto"/>
          <w:sz w:val="24"/>
          <w:highlight w:val="none"/>
        </w:rPr>
      </w:pPr>
      <w:r>
        <w:rPr>
          <w:color w:val="auto"/>
          <w:sz w:val="24"/>
          <w:highlight w:val="none"/>
        </w:rPr>
        <w:t>咨询服务期限：</w:t>
      </w:r>
      <w:r>
        <w:rPr>
          <w:color w:val="auto"/>
          <w:sz w:val="24"/>
          <w:highlight w:val="none"/>
          <w:u w:val="single"/>
        </w:rPr>
        <w:t xml:space="preserve">                  </w:t>
      </w:r>
      <w:r>
        <w:rPr>
          <w:color w:val="auto"/>
          <w:sz w:val="24"/>
          <w:highlight w:val="none"/>
        </w:rPr>
        <w:t>日历天。</w:t>
      </w:r>
    </w:p>
    <w:p w14:paraId="2AED6011">
      <w:pPr>
        <w:spacing w:line="440" w:lineRule="atLeast"/>
        <w:ind w:firstLine="480" w:firstLineChars="200"/>
        <w:rPr>
          <w:color w:val="auto"/>
          <w:sz w:val="24"/>
          <w:highlight w:val="none"/>
        </w:rPr>
      </w:pPr>
      <w:r>
        <w:rPr>
          <w:color w:val="auto"/>
          <w:sz w:val="24"/>
          <w:highlight w:val="none"/>
        </w:rPr>
        <w:t>质量要求：</w:t>
      </w:r>
      <w:r>
        <w:rPr>
          <w:color w:val="auto"/>
          <w:sz w:val="24"/>
          <w:highlight w:val="none"/>
          <w:u w:val="single"/>
        </w:rPr>
        <w:t xml:space="preserve">                      </w:t>
      </w:r>
      <w:r>
        <w:rPr>
          <w:color w:val="auto"/>
          <w:sz w:val="24"/>
          <w:highlight w:val="none"/>
        </w:rPr>
        <w:t>。</w:t>
      </w:r>
    </w:p>
    <w:p w14:paraId="58BC85C8">
      <w:pPr>
        <w:spacing w:line="440" w:lineRule="atLeast"/>
        <w:ind w:firstLine="480" w:firstLineChars="200"/>
        <w:rPr>
          <w:color w:val="auto"/>
          <w:sz w:val="24"/>
          <w:highlight w:val="none"/>
        </w:rPr>
      </w:pPr>
      <w:r>
        <w:rPr>
          <w:color w:val="auto"/>
          <w:sz w:val="24"/>
          <w:highlight w:val="none"/>
        </w:rPr>
        <w:t>安全目标：</w:t>
      </w:r>
      <w:r>
        <w:rPr>
          <w:color w:val="auto"/>
          <w:sz w:val="24"/>
          <w:highlight w:val="none"/>
          <w:u w:val="single"/>
        </w:rPr>
        <w:t xml:space="preserve">                      </w:t>
      </w:r>
      <w:r>
        <w:rPr>
          <w:color w:val="auto"/>
          <w:sz w:val="24"/>
          <w:highlight w:val="none"/>
        </w:rPr>
        <w:t>。</w:t>
      </w:r>
    </w:p>
    <w:p w14:paraId="1D611A8C">
      <w:pPr>
        <w:spacing w:line="440" w:lineRule="exact"/>
        <w:ind w:firstLine="480" w:firstLineChars="200"/>
        <w:rPr>
          <w:color w:val="auto"/>
          <w:sz w:val="24"/>
          <w:highlight w:val="none"/>
        </w:rPr>
      </w:pPr>
      <w:r>
        <w:rPr>
          <w:color w:val="auto"/>
          <w:sz w:val="24"/>
          <w:highlight w:val="none"/>
        </w:rPr>
        <w:t>环保目标：</w:t>
      </w:r>
      <w:r>
        <w:rPr>
          <w:color w:val="auto"/>
          <w:sz w:val="24"/>
          <w:highlight w:val="none"/>
          <w:u w:val="single"/>
        </w:rPr>
        <w:t xml:space="preserve">                      </w:t>
      </w:r>
      <w:r>
        <w:rPr>
          <w:color w:val="auto"/>
          <w:sz w:val="24"/>
          <w:highlight w:val="none"/>
        </w:rPr>
        <w:t>。</w:t>
      </w:r>
    </w:p>
    <w:p w14:paraId="75442B77">
      <w:pPr>
        <w:spacing w:line="440" w:lineRule="atLeast"/>
        <w:ind w:firstLine="480" w:firstLineChars="200"/>
        <w:rPr>
          <w:color w:val="auto"/>
          <w:sz w:val="24"/>
          <w:highlight w:val="none"/>
        </w:rPr>
      </w:pPr>
      <w:r>
        <w:rPr>
          <w:color w:val="auto"/>
          <w:sz w:val="24"/>
          <w:highlight w:val="none"/>
        </w:rPr>
        <w:t>项目负责人：</w:t>
      </w:r>
      <w:r>
        <w:rPr>
          <w:color w:val="auto"/>
          <w:sz w:val="24"/>
          <w:highlight w:val="none"/>
          <w:u w:val="single"/>
        </w:rPr>
        <w:t xml:space="preserve">              </w:t>
      </w:r>
      <w:r>
        <w:rPr>
          <w:color w:val="auto"/>
          <w:sz w:val="24"/>
          <w:highlight w:val="none"/>
        </w:rPr>
        <w:t>（姓名）。</w:t>
      </w:r>
    </w:p>
    <w:p w14:paraId="2D6FC891">
      <w:pPr>
        <w:spacing w:line="440" w:lineRule="atLeast"/>
        <w:ind w:firstLine="480" w:firstLineChars="200"/>
        <w:rPr>
          <w:color w:val="auto"/>
          <w:sz w:val="24"/>
          <w:highlight w:val="none"/>
        </w:rPr>
      </w:pPr>
      <w:r>
        <w:rPr>
          <w:color w:val="auto"/>
          <w:sz w:val="24"/>
          <w:highlight w:val="none"/>
        </w:rPr>
        <w:t>请你方在接到本通知书后的</w:t>
      </w:r>
      <w:r>
        <w:rPr>
          <w:color w:val="auto"/>
          <w:sz w:val="24"/>
          <w:highlight w:val="none"/>
          <w:u w:val="single"/>
        </w:rPr>
        <w:t xml:space="preserve">     </w:t>
      </w:r>
      <w:r>
        <w:rPr>
          <w:color w:val="auto"/>
          <w:sz w:val="24"/>
          <w:highlight w:val="none"/>
        </w:rPr>
        <w:t>日内到</w:t>
      </w:r>
      <w:r>
        <w:rPr>
          <w:color w:val="auto"/>
          <w:sz w:val="24"/>
          <w:highlight w:val="none"/>
          <w:u w:val="single"/>
        </w:rPr>
        <w:t xml:space="preserve">                      </w:t>
      </w:r>
      <w:r>
        <w:rPr>
          <w:color w:val="auto"/>
          <w:sz w:val="24"/>
          <w:highlight w:val="none"/>
        </w:rPr>
        <w:t>（指定地点）与我方签订咨询服务合同，并按招标文件第二章“投标人须知”第7.7款规定向我方提交履约保证金。</w:t>
      </w:r>
    </w:p>
    <w:p w14:paraId="133A56FD">
      <w:pPr>
        <w:spacing w:line="440" w:lineRule="atLeast"/>
        <w:ind w:firstLine="480" w:firstLineChars="200"/>
        <w:rPr>
          <w:color w:val="auto"/>
          <w:sz w:val="24"/>
          <w:highlight w:val="none"/>
        </w:rPr>
      </w:pPr>
      <w:r>
        <w:rPr>
          <w:color w:val="auto"/>
          <w:sz w:val="24"/>
          <w:highlight w:val="none"/>
        </w:rPr>
        <w:t>特此通知。</w:t>
      </w:r>
    </w:p>
    <w:p w14:paraId="36A98FE2">
      <w:pPr>
        <w:spacing w:line="440" w:lineRule="atLeast"/>
        <w:rPr>
          <w:color w:val="auto"/>
          <w:sz w:val="24"/>
          <w:highlight w:val="none"/>
        </w:rPr>
      </w:pPr>
    </w:p>
    <w:p w14:paraId="284E94B1">
      <w:pPr>
        <w:spacing w:line="440" w:lineRule="atLeast"/>
        <w:rPr>
          <w:color w:val="auto"/>
          <w:sz w:val="24"/>
          <w:highlight w:val="none"/>
        </w:rPr>
      </w:pPr>
    </w:p>
    <w:p w14:paraId="054C585A">
      <w:pPr>
        <w:spacing w:line="440" w:lineRule="atLeast"/>
        <w:ind w:firstLine="3700" w:firstLineChars="1542"/>
        <w:rPr>
          <w:color w:val="auto"/>
          <w:sz w:val="24"/>
          <w:highlight w:val="none"/>
        </w:rPr>
      </w:pPr>
      <w:r>
        <w:rPr>
          <w:color w:val="auto"/>
          <w:sz w:val="24"/>
          <w:highlight w:val="none"/>
        </w:rPr>
        <w:t>招标人：</w:t>
      </w:r>
      <w:r>
        <w:rPr>
          <w:color w:val="auto"/>
          <w:sz w:val="24"/>
          <w:highlight w:val="none"/>
          <w:u w:val="single"/>
        </w:rPr>
        <w:t xml:space="preserve">                      </w:t>
      </w:r>
      <w:r>
        <w:rPr>
          <w:color w:val="auto"/>
          <w:sz w:val="24"/>
          <w:highlight w:val="none"/>
        </w:rPr>
        <w:t xml:space="preserve">（盖单位章）            </w:t>
      </w:r>
    </w:p>
    <w:p w14:paraId="61BB7613">
      <w:pPr>
        <w:spacing w:line="440" w:lineRule="atLeast"/>
        <w:ind w:firstLine="3700" w:firstLineChars="1542"/>
        <w:rPr>
          <w:color w:val="auto"/>
          <w:sz w:val="24"/>
          <w:highlight w:val="none"/>
        </w:rPr>
      </w:pPr>
      <w:r>
        <w:rPr>
          <w:color w:val="auto"/>
          <w:sz w:val="24"/>
          <w:highlight w:val="none"/>
        </w:rPr>
        <w:t>招标代理机构：</w:t>
      </w:r>
      <w:r>
        <w:rPr>
          <w:color w:val="auto"/>
          <w:sz w:val="24"/>
          <w:highlight w:val="none"/>
          <w:u w:val="single"/>
        </w:rPr>
        <w:t xml:space="preserve">                </w:t>
      </w:r>
      <w:r>
        <w:rPr>
          <w:color w:val="auto"/>
          <w:sz w:val="24"/>
          <w:highlight w:val="none"/>
        </w:rPr>
        <w:t>（盖单位章）</w:t>
      </w:r>
    </w:p>
    <w:p w14:paraId="31D737C6">
      <w:pPr>
        <w:spacing w:line="440" w:lineRule="atLeast"/>
        <w:ind w:firstLine="4776" w:firstLineChars="1990"/>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22D7311D">
      <w:pPr>
        <w:spacing w:line="440" w:lineRule="atLeast"/>
        <w:rPr>
          <w:rFonts w:eastAsia="黑体"/>
          <w:color w:val="auto"/>
          <w:sz w:val="24"/>
          <w:highlight w:val="none"/>
        </w:rPr>
      </w:pPr>
    </w:p>
    <w:p w14:paraId="60B27C9F">
      <w:pPr>
        <w:spacing w:line="440" w:lineRule="atLeast"/>
        <w:rPr>
          <w:color w:val="auto"/>
          <w:sz w:val="20"/>
          <w:szCs w:val="20"/>
          <w:highlight w:val="none"/>
        </w:rPr>
      </w:pPr>
    </w:p>
    <w:p w14:paraId="5E46D32B">
      <w:pPr>
        <w:spacing w:line="440" w:lineRule="atLeast"/>
        <w:rPr>
          <w:color w:val="auto"/>
          <w:sz w:val="20"/>
          <w:szCs w:val="20"/>
          <w:highlight w:val="none"/>
        </w:rPr>
      </w:pPr>
    </w:p>
    <w:p w14:paraId="007E3CD3">
      <w:pPr>
        <w:spacing w:line="440" w:lineRule="atLeast"/>
        <w:rPr>
          <w:color w:val="auto"/>
          <w:sz w:val="20"/>
          <w:szCs w:val="20"/>
          <w:highlight w:val="none"/>
        </w:rPr>
      </w:pPr>
    </w:p>
    <w:p w14:paraId="4C418F26">
      <w:pPr>
        <w:spacing w:line="440" w:lineRule="atLeast"/>
        <w:rPr>
          <w:color w:val="auto"/>
          <w:sz w:val="20"/>
          <w:szCs w:val="20"/>
          <w:highlight w:val="none"/>
        </w:rPr>
      </w:pPr>
    </w:p>
    <w:p w14:paraId="491F25D1">
      <w:pPr>
        <w:spacing w:line="440" w:lineRule="atLeast"/>
        <w:rPr>
          <w:color w:val="auto"/>
          <w:sz w:val="20"/>
          <w:szCs w:val="20"/>
          <w:highlight w:val="none"/>
        </w:rPr>
      </w:pPr>
    </w:p>
    <w:p w14:paraId="0ABE6390">
      <w:pPr>
        <w:spacing w:line="440" w:lineRule="atLeast"/>
        <w:rPr>
          <w:color w:val="auto"/>
          <w:sz w:val="20"/>
          <w:szCs w:val="20"/>
          <w:highlight w:val="none"/>
        </w:rPr>
      </w:pPr>
    </w:p>
    <w:p w14:paraId="0FD1C87F">
      <w:pPr>
        <w:spacing w:line="440" w:lineRule="atLeast"/>
        <w:rPr>
          <w:color w:val="auto"/>
          <w:sz w:val="20"/>
          <w:szCs w:val="20"/>
          <w:highlight w:val="none"/>
        </w:rPr>
      </w:pPr>
    </w:p>
    <w:bookmarkEnd w:id="83"/>
    <w:p w14:paraId="50018743">
      <w:pPr>
        <w:spacing w:line="440" w:lineRule="atLeast"/>
        <w:rPr>
          <w:rFonts w:eastAsia="黑体"/>
          <w:color w:val="auto"/>
          <w:sz w:val="20"/>
          <w:szCs w:val="20"/>
          <w:highlight w:val="none"/>
        </w:rPr>
      </w:pPr>
    </w:p>
    <w:p w14:paraId="0D858263">
      <w:pPr>
        <w:topLinePunct/>
        <w:spacing w:line="440" w:lineRule="atLeast"/>
        <w:ind w:right="31" w:rightChars="15"/>
        <w:jc w:val="center"/>
        <w:rPr>
          <w:rFonts w:eastAsia="黑体"/>
          <w:color w:val="auto"/>
          <w:sz w:val="32"/>
          <w:szCs w:val="32"/>
          <w:highlight w:val="none"/>
        </w:rPr>
      </w:pPr>
    </w:p>
    <w:p w14:paraId="63FFEB61">
      <w:pPr>
        <w:topLinePunct/>
        <w:spacing w:line="440" w:lineRule="atLeast"/>
        <w:ind w:right="31" w:rightChars="15"/>
        <w:jc w:val="center"/>
        <w:rPr>
          <w:rFonts w:eastAsia="黑体"/>
          <w:color w:val="auto"/>
          <w:sz w:val="32"/>
          <w:szCs w:val="32"/>
          <w:highlight w:val="none"/>
        </w:rPr>
      </w:pPr>
    </w:p>
    <w:p w14:paraId="574FAB3F">
      <w:pPr>
        <w:topLinePunct/>
        <w:spacing w:line="440" w:lineRule="atLeast"/>
        <w:ind w:right="31" w:rightChars="15"/>
        <w:jc w:val="center"/>
        <w:rPr>
          <w:rFonts w:eastAsia="黑体"/>
          <w:color w:val="auto"/>
          <w:sz w:val="32"/>
          <w:szCs w:val="32"/>
          <w:highlight w:val="none"/>
        </w:rPr>
      </w:pPr>
    </w:p>
    <w:p w14:paraId="2EEAB5CB">
      <w:pPr>
        <w:topLinePunct/>
        <w:spacing w:line="440" w:lineRule="atLeast"/>
        <w:ind w:right="31" w:rightChars="15"/>
        <w:jc w:val="center"/>
        <w:rPr>
          <w:rFonts w:eastAsia="黑体"/>
          <w:color w:val="auto"/>
          <w:sz w:val="32"/>
          <w:szCs w:val="32"/>
          <w:highlight w:val="none"/>
        </w:rPr>
      </w:pPr>
    </w:p>
    <w:p w14:paraId="43349017">
      <w:pPr>
        <w:topLinePunct/>
        <w:spacing w:line="440" w:lineRule="atLeast"/>
        <w:ind w:right="31" w:rightChars="15"/>
        <w:jc w:val="center"/>
        <w:rPr>
          <w:rFonts w:eastAsia="黑体"/>
          <w:color w:val="auto"/>
          <w:sz w:val="32"/>
          <w:szCs w:val="32"/>
          <w:highlight w:val="none"/>
        </w:rPr>
      </w:pPr>
    </w:p>
    <w:p w14:paraId="3AD0B02E">
      <w:pPr>
        <w:topLinePunct/>
        <w:spacing w:line="440" w:lineRule="atLeast"/>
        <w:ind w:right="31" w:rightChars="15"/>
        <w:jc w:val="center"/>
        <w:rPr>
          <w:rFonts w:eastAsia="黑体"/>
          <w:color w:val="auto"/>
          <w:sz w:val="32"/>
          <w:szCs w:val="32"/>
          <w:highlight w:val="none"/>
        </w:rPr>
      </w:pPr>
    </w:p>
    <w:p w14:paraId="43B4F97F">
      <w:pPr>
        <w:topLinePunct/>
        <w:spacing w:line="440" w:lineRule="atLeast"/>
        <w:ind w:right="31" w:rightChars="15"/>
        <w:jc w:val="center"/>
        <w:rPr>
          <w:rFonts w:eastAsia="黑体"/>
          <w:color w:val="auto"/>
          <w:sz w:val="32"/>
          <w:szCs w:val="32"/>
          <w:highlight w:val="none"/>
        </w:rPr>
      </w:pPr>
    </w:p>
    <w:p w14:paraId="7E98EC4C">
      <w:pPr>
        <w:topLinePunct/>
        <w:spacing w:line="440" w:lineRule="atLeast"/>
        <w:ind w:right="31" w:rightChars="15"/>
        <w:jc w:val="center"/>
        <w:rPr>
          <w:rFonts w:eastAsia="黑体"/>
          <w:color w:val="auto"/>
          <w:sz w:val="32"/>
          <w:szCs w:val="32"/>
          <w:highlight w:val="none"/>
        </w:rPr>
      </w:pPr>
    </w:p>
    <w:p w14:paraId="38B70234">
      <w:pPr>
        <w:topLinePunct/>
        <w:spacing w:line="440" w:lineRule="atLeast"/>
        <w:ind w:right="31" w:rightChars="15"/>
        <w:jc w:val="center"/>
        <w:rPr>
          <w:rFonts w:eastAsia="黑体"/>
          <w:color w:val="auto"/>
          <w:sz w:val="32"/>
          <w:szCs w:val="32"/>
          <w:highlight w:val="none"/>
        </w:rPr>
      </w:pPr>
    </w:p>
    <w:p w14:paraId="6894DB79">
      <w:pPr>
        <w:topLinePunct/>
        <w:spacing w:line="440" w:lineRule="atLeast"/>
        <w:ind w:right="31" w:rightChars="15"/>
        <w:jc w:val="center"/>
        <w:rPr>
          <w:rFonts w:eastAsia="黑体"/>
          <w:color w:val="auto"/>
          <w:sz w:val="32"/>
          <w:szCs w:val="32"/>
          <w:highlight w:val="none"/>
        </w:rPr>
      </w:pPr>
    </w:p>
    <w:p w14:paraId="273839B1">
      <w:pPr>
        <w:topLinePunct/>
        <w:spacing w:line="440" w:lineRule="atLeast"/>
        <w:ind w:right="31" w:rightChars="15"/>
        <w:jc w:val="center"/>
        <w:rPr>
          <w:rFonts w:eastAsia="黑体"/>
          <w:color w:val="auto"/>
          <w:sz w:val="56"/>
          <w:szCs w:val="56"/>
          <w:highlight w:val="none"/>
        </w:rPr>
      </w:pPr>
      <w:r>
        <w:rPr>
          <w:rFonts w:eastAsia="黑体"/>
          <w:color w:val="auto"/>
          <w:sz w:val="56"/>
          <w:szCs w:val="56"/>
          <w:highlight w:val="none"/>
        </w:rPr>
        <w:t>第三章  评标办法</w:t>
      </w:r>
    </w:p>
    <w:p w14:paraId="53DD902C">
      <w:pPr>
        <w:pStyle w:val="2"/>
        <w:spacing w:before="0" w:after="120" w:afterLines="50" w:line="440" w:lineRule="atLeast"/>
        <w:jc w:val="center"/>
        <w:rPr>
          <w:rFonts w:eastAsia="黑体"/>
          <w:color w:val="auto"/>
          <w:sz w:val="36"/>
          <w:szCs w:val="36"/>
          <w:highlight w:val="none"/>
        </w:rPr>
        <w:sectPr>
          <w:footerReference r:id="rId16" w:type="default"/>
          <w:headerReference r:id="rId15" w:type="even"/>
          <w:footerReference r:id="rId17" w:type="even"/>
          <w:footnotePr>
            <w:numFmt w:val="decimalEnclosedCircleChinese"/>
            <w:numRestart w:val="eachPage"/>
          </w:footnotePr>
          <w:pgSz w:w="11907" w:h="16840"/>
          <w:pgMar w:top="1588" w:right="1588" w:bottom="1474" w:left="1644" w:header="851" w:footer="851" w:gutter="0"/>
          <w:pgNumType w:fmt="numberInDash"/>
          <w:cols w:space="425" w:num="1"/>
          <w:docGrid w:linePitch="312" w:charSpace="0"/>
        </w:sectPr>
      </w:pPr>
    </w:p>
    <w:p w14:paraId="749B7B0B">
      <w:pPr>
        <w:pStyle w:val="2"/>
        <w:spacing w:before="480" w:after="240" w:line="440" w:lineRule="atLeast"/>
        <w:jc w:val="center"/>
        <w:rPr>
          <w:rFonts w:eastAsia="黑体"/>
          <w:b w:val="0"/>
          <w:color w:val="auto"/>
          <w:highlight w:val="none"/>
        </w:rPr>
      </w:pPr>
      <w:bookmarkStart w:id="266" w:name="_Toc234832942"/>
      <w:bookmarkStart w:id="267" w:name="_Toc503235807"/>
      <w:r>
        <w:rPr>
          <w:rFonts w:eastAsia="黑体"/>
          <w:b w:val="0"/>
          <w:color w:val="auto"/>
          <w:highlight w:val="none"/>
        </w:rPr>
        <w:t>第三章  评标办法</w:t>
      </w:r>
      <w:r>
        <w:rPr>
          <w:rStyle w:val="70"/>
          <w:color w:val="auto"/>
          <w:sz w:val="24"/>
          <w:highlight w:val="none"/>
        </w:rPr>
        <w:footnoteReference w:id="4"/>
      </w:r>
      <w:r>
        <w:rPr>
          <w:rFonts w:eastAsia="黑体"/>
          <w:b w:val="0"/>
          <w:color w:val="auto"/>
          <w:highlight w:val="none"/>
        </w:rPr>
        <w:t>（综合评估法）</w:t>
      </w:r>
    </w:p>
    <w:p w14:paraId="5DB34269">
      <w:pPr>
        <w:pStyle w:val="2"/>
        <w:spacing w:before="480" w:after="240" w:line="440" w:lineRule="atLeast"/>
        <w:rPr>
          <w:rFonts w:eastAsia="黑体"/>
          <w:b w:val="0"/>
          <w:color w:val="auto"/>
          <w:sz w:val="24"/>
          <w:szCs w:val="24"/>
          <w:highlight w:val="none"/>
        </w:rPr>
      </w:pPr>
      <w:r>
        <w:rPr>
          <w:rFonts w:eastAsia="黑体"/>
          <w:b w:val="0"/>
          <w:color w:val="auto"/>
          <w:sz w:val="24"/>
          <w:szCs w:val="24"/>
          <w:highlight w:val="none"/>
        </w:rPr>
        <w:t>评标办法前附表</w:t>
      </w:r>
    </w:p>
    <w:tbl>
      <w:tblPr>
        <w:tblStyle w:val="55"/>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14:paraId="0BDC7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vAlign w:val="center"/>
          </w:tcPr>
          <w:p w14:paraId="503DCBE3">
            <w:pPr>
              <w:spacing w:line="440" w:lineRule="atLeast"/>
              <w:jc w:val="center"/>
              <w:rPr>
                <w:b/>
                <w:color w:val="auto"/>
                <w:szCs w:val="21"/>
                <w:highlight w:val="none"/>
              </w:rPr>
            </w:pPr>
            <w:r>
              <w:rPr>
                <w:b/>
                <w:color w:val="auto"/>
                <w:szCs w:val="21"/>
                <w:highlight w:val="none"/>
              </w:rPr>
              <w:t>条款号</w:t>
            </w:r>
          </w:p>
        </w:tc>
        <w:tc>
          <w:tcPr>
            <w:tcW w:w="6622" w:type="dxa"/>
            <w:tcBorders>
              <w:top w:val="single" w:color="auto" w:sz="4" w:space="0"/>
              <w:left w:val="single" w:color="auto" w:sz="4" w:space="0"/>
              <w:bottom w:val="single" w:color="auto" w:sz="4" w:space="0"/>
              <w:right w:val="single" w:color="auto" w:sz="4" w:space="0"/>
            </w:tcBorders>
            <w:vAlign w:val="center"/>
          </w:tcPr>
          <w:p w14:paraId="2A7868C5">
            <w:pPr>
              <w:spacing w:line="440" w:lineRule="atLeast"/>
              <w:jc w:val="center"/>
              <w:rPr>
                <w:b/>
                <w:color w:val="auto"/>
                <w:spacing w:val="4"/>
                <w:szCs w:val="21"/>
                <w:highlight w:val="none"/>
              </w:rPr>
            </w:pPr>
            <w:r>
              <w:rPr>
                <w:b/>
                <w:color w:val="auto"/>
                <w:spacing w:val="4"/>
                <w:szCs w:val="21"/>
                <w:highlight w:val="none"/>
              </w:rPr>
              <w:t>评审因素与评审标准</w:t>
            </w:r>
          </w:p>
        </w:tc>
      </w:tr>
      <w:tr w14:paraId="0BC35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14:paraId="2A22383C">
            <w:pPr>
              <w:spacing w:line="440" w:lineRule="atLeast"/>
              <w:jc w:val="center"/>
              <w:rPr>
                <w:color w:val="auto"/>
                <w:szCs w:val="21"/>
                <w:highlight w:val="none"/>
              </w:rPr>
            </w:pPr>
            <w:r>
              <w:rPr>
                <w:color w:val="auto"/>
                <w:szCs w:val="21"/>
                <w:highlight w:val="none"/>
              </w:rPr>
              <w:t>1</w:t>
            </w:r>
          </w:p>
        </w:tc>
        <w:tc>
          <w:tcPr>
            <w:tcW w:w="1280" w:type="dxa"/>
            <w:tcBorders>
              <w:top w:val="single" w:color="auto" w:sz="4" w:space="0"/>
              <w:bottom w:val="single" w:color="auto" w:sz="4" w:space="0"/>
              <w:right w:val="single" w:color="auto" w:sz="4" w:space="0"/>
            </w:tcBorders>
            <w:vAlign w:val="center"/>
          </w:tcPr>
          <w:p w14:paraId="2226332A">
            <w:pPr>
              <w:spacing w:line="440" w:lineRule="atLeast"/>
              <w:jc w:val="center"/>
              <w:rPr>
                <w:color w:val="auto"/>
                <w:szCs w:val="21"/>
                <w:highlight w:val="none"/>
              </w:rPr>
            </w:pPr>
            <w:r>
              <w:rPr>
                <w:color w:val="auto"/>
                <w:szCs w:val="21"/>
                <w:highlight w:val="none"/>
              </w:rPr>
              <w:t>评标方法</w:t>
            </w:r>
          </w:p>
        </w:tc>
        <w:tc>
          <w:tcPr>
            <w:tcW w:w="6622" w:type="dxa"/>
            <w:tcBorders>
              <w:top w:val="single" w:color="auto" w:sz="4" w:space="0"/>
              <w:left w:val="single" w:color="auto" w:sz="4" w:space="0"/>
              <w:right w:val="single" w:color="auto" w:sz="4" w:space="0"/>
            </w:tcBorders>
            <w:vAlign w:val="center"/>
          </w:tcPr>
          <w:p w14:paraId="0F3CB9D0">
            <w:pPr>
              <w:spacing w:line="440" w:lineRule="atLeast"/>
              <w:ind w:firstLine="420" w:firstLineChars="200"/>
              <w:rPr>
                <w:color w:val="auto"/>
                <w:szCs w:val="21"/>
                <w:highlight w:val="none"/>
              </w:rPr>
            </w:pPr>
            <w:r>
              <w:rPr>
                <w:color w:val="auto"/>
                <w:szCs w:val="21"/>
                <w:highlight w:val="none"/>
              </w:rPr>
              <w:t>综合评分相等时，评标委员会依次按照以下优先顺序推荐中标候选人或确定中标人：</w:t>
            </w:r>
          </w:p>
          <w:p w14:paraId="2130B25E">
            <w:pPr>
              <w:spacing w:line="440" w:lineRule="atLeast"/>
              <w:ind w:firstLine="420" w:firstLineChars="200"/>
              <w:rPr>
                <w:color w:val="auto"/>
                <w:szCs w:val="21"/>
                <w:highlight w:val="none"/>
              </w:rPr>
            </w:pPr>
            <w:r>
              <w:rPr>
                <w:color w:val="auto"/>
                <w:szCs w:val="21"/>
                <w:highlight w:val="none"/>
              </w:rPr>
              <w:t>（1）评标价低的投标人优先；</w:t>
            </w:r>
          </w:p>
          <w:p w14:paraId="324F647D">
            <w:pPr>
              <w:spacing w:line="440" w:lineRule="atLeast"/>
              <w:ind w:firstLine="420" w:firstLineChars="200"/>
              <w:rPr>
                <w:color w:val="auto"/>
                <w:szCs w:val="21"/>
                <w:highlight w:val="none"/>
              </w:rPr>
            </w:pPr>
            <w:r>
              <w:rPr>
                <w:color w:val="auto"/>
                <w:szCs w:val="21"/>
                <w:highlight w:val="none"/>
              </w:rPr>
              <w:t>（2）商务和技术得分较高的投标人优先；</w:t>
            </w:r>
          </w:p>
          <w:p w14:paraId="18D2E592">
            <w:pPr>
              <w:spacing w:line="440" w:lineRule="atLeast"/>
              <w:ind w:firstLine="420" w:firstLineChars="200"/>
              <w:rPr>
                <w:rFonts w:eastAsia="黑体"/>
                <w:b/>
                <w:color w:val="auto"/>
                <w:szCs w:val="21"/>
                <w:highlight w:val="none"/>
              </w:rPr>
            </w:pPr>
            <w:r>
              <w:rPr>
                <w:rFonts w:hint="eastAsia" w:ascii="宋体" w:hAnsi="宋体" w:eastAsia="宋体" w:cs="宋体"/>
                <w:color w:val="auto"/>
                <w:szCs w:val="21"/>
                <w:highlight w:val="none"/>
              </w:rPr>
              <w:t>（3）随机摇号确定排序。</w:t>
            </w:r>
          </w:p>
        </w:tc>
      </w:tr>
      <w:tr w14:paraId="18223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14:paraId="3AFB1550">
            <w:pPr>
              <w:spacing w:line="440" w:lineRule="atLeast"/>
              <w:jc w:val="center"/>
              <w:rPr>
                <w:color w:val="auto"/>
                <w:szCs w:val="21"/>
                <w:highlight w:val="none"/>
              </w:rPr>
            </w:pPr>
            <w:r>
              <w:rPr>
                <w:color w:val="auto"/>
                <w:szCs w:val="21"/>
                <w:highlight w:val="none"/>
              </w:rPr>
              <w:t>2.1.1</w:t>
            </w:r>
          </w:p>
          <w:p w14:paraId="6D0EF8A2">
            <w:pPr>
              <w:spacing w:line="440" w:lineRule="atLeast"/>
              <w:jc w:val="center"/>
              <w:rPr>
                <w:color w:val="auto"/>
                <w:szCs w:val="21"/>
                <w:highlight w:val="none"/>
              </w:rPr>
            </w:pPr>
            <w:r>
              <w:rPr>
                <w:color w:val="auto"/>
                <w:szCs w:val="21"/>
                <w:highlight w:val="none"/>
              </w:rPr>
              <w:t>2.1.3</w:t>
            </w:r>
          </w:p>
        </w:tc>
        <w:tc>
          <w:tcPr>
            <w:tcW w:w="1280" w:type="dxa"/>
            <w:tcBorders>
              <w:top w:val="single" w:color="auto" w:sz="4" w:space="0"/>
              <w:bottom w:val="single" w:color="auto" w:sz="4" w:space="0"/>
              <w:right w:val="single" w:color="auto" w:sz="4" w:space="0"/>
            </w:tcBorders>
            <w:vAlign w:val="center"/>
          </w:tcPr>
          <w:p w14:paraId="47B06FEC">
            <w:pPr>
              <w:spacing w:line="440" w:lineRule="atLeast"/>
              <w:jc w:val="center"/>
              <w:rPr>
                <w:color w:val="auto"/>
                <w:szCs w:val="21"/>
                <w:highlight w:val="none"/>
              </w:rPr>
            </w:pPr>
            <w:r>
              <w:rPr>
                <w:color w:val="auto"/>
                <w:szCs w:val="21"/>
                <w:highlight w:val="none"/>
              </w:rPr>
              <w:t>形式评审与响应性评审标准</w:t>
            </w:r>
          </w:p>
        </w:tc>
        <w:tc>
          <w:tcPr>
            <w:tcW w:w="6622" w:type="dxa"/>
            <w:tcBorders>
              <w:top w:val="single" w:color="auto" w:sz="4" w:space="0"/>
              <w:left w:val="single" w:color="auto" w:sz="4" w:space="0"/>
              <w:right w:val="single" w:color="auto" w:sz="4" w:space="0"/>
            </w:tcBorders>
            <w:vAlign w:val="center"/>
          </w:tcPr>
          <w:p w14:paraId="4D7F9D68">
            <w:pPr>
              <w:keepNext w:val="0"/>
              <w:keepLines w:val="0"/>
              <w:pageBreakBefore w:val="0"/>
              <w:kinsoku/>
              <w:wordWrap/>
              <w:overflowPunct/>
              <w:topLinePunct w:val="0"/>
              <w:autoSpaceDE/>
              <w:autoSpaceDN/>
              <w:bidi w:val="0"/>
              <w:adjustRightInd/>
              <w:snapToGrid/>
              <w:spacing w:line="360" w:lineRule="exact"/>
              <w:textAlignment w:val="auto"/>
              <w:rPr>
                <w:b/>
                <w:color w:val="auto"/>
                <w:szCs w:val="21"/>
                <w:highlight w:val="none"/>
              </w:rPr>
            </w:pPr>
            <w:r>
              <w:rPr>
                <w:b/>
                <w:color w:val="auto"/>
                <w:szCs w:val="21"/>
                <w:highlight w:val="none"/>
              </w:rPr>
              <w:t>第一个信封（商务及技术文件）评审标准：</w:t>
            </w:r>
          </w:p>
          <w:p w14:paraId="2644A5EB">
            <w:pPr>
              <w:pStyle w:val="380"/>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(1)开标形式评审</w:t>
            </w:r>
          </w:p>
          <w:p w14:paraId="21DD8C7F">
            <w:pPr>
              <w:pStyle w:val="380"/>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a. 开标后投标人投标函所列标段与招标标段一致；</w:t>
            </w:r>
          </w:p>
          <w:p w14:paraId="69C99B87">
            <w:pPr>
              <w:pStyle w:val="380"/>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(2)投标文件按照招标文件规定的格式、内容填写，字迹清晰可辨</w:t>
            </w:r>
          </w:p>
          <w:p w14:paraId="6FE4780C">
            <w:pPr>
              <w:pStyle w:val="380"/>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a.投标函按招标文件规定填报了项目名称、标段号、补遗书编号（如有）、咨询服务期限、服务质量要求、安全目标及环保目标；</w:t>
            </w:r>
          </w:p>
          <w:p w14:paraId="7F783A8B">
            <w:pPr>
              <w:pStyle w:val="380"/>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b.投标文件组成齐全完整，内容均按规定填写</w:t>
            </w:r>
          </w:p>
          <w:p w14:paraId="6229EB70">
            <w:pPr>
              <w:pStyle w:val="380"/>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(3)投标文件上法定代表人的签章、投标人的单位章盖章齐全，符合招标文件规定</w:t>
            </w:r>
          </w:p>
          <w:p w14:paraId="7F54CCFB">
            <w:pPr>
              <w:pStyle w:val="380"/>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(4)投标人按照招标文件的规定提供了投标保证金</w:t>
            </w:r>
          </w:p>
          <w:p w14:paraId="04C1A85A">
            <w:pPr>
              <w:pStyle w:val="380"/>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a.投标保证金金额符合招标文件规定的金额，且投标保证金有效期与投标有效期一致；</w:t>
            </w:r>
          </w:p>
          <w:p w14:paraId="54D49A41">
            <w:pPr>
              <w:pStyle w:val="380"/>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b.若投标保证金采用现金或支票形式提交，投标人应在递交投标文件截止时间之前，将投标保证金由投标人的基本账户转入招标人指定账户</w:t>
            </w:r>
          </w:p>
          <w:p w14:paraId="4001FC42">
            <w:pPr>
              <w:pStyle w:val="380"/>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c.若投标保证金采用银行保函形式提交，银行保函的格式、开具保函的银行均满足招标文件要求，且在递交投标文件截止时间之前向招标人提交了银行保函原件。若保函仅加盖银行业务公章</w:t>
            </w:r>
            <w:r>
              <w:rPr>
                <w:rStyle w:val="57"/>
                <w:rFonts w:hint="eastAsia" w:ascii="宋体" w:hAnsi="宋体" w:eastAsia="宋体" w:cs="宋体"/>
                <w:b w:val="0"/>
                <w:color w:val="auto"/>
                <w:spacing w:val="0"/>
                <w:w w:val="100"/>
                <w:sz w:val="21"/>
                <w:szCs w:val="24"/>
                <w:highlight w:val="none"/>
                <w:lang w:val="en-US" w:eastAsia="zh-CN"/>
              </w:rPr>
              <w:t>的</w:t>
            </w:r>
            <w:r>
              <w:rPr>
                <w:rStyle w:val="57"/>
                <w:rFonts w:ascii="宋体" w:hAnsi="宋体" w:eastAsia="宋体" w:cs="宋体"/>
                <w:b w:val="0"/>
                <w:color w:val="auto"/>
                <w:spacing w:val="0"/>
                <w:w w:val="100"/>
                <w:sz w:val="21"/>
                <w:szCs w:val="24"/>
                <w:highlight w:val="none"/>
              </w:rPr>
              <w:t>，</w:t>
            </w:r>
            <w:r>
              <w:rPr>
                <w:rStyle w:val="57"/>
                <w:rFonts w:hint="eastAsia" w:ascii="宋体" w:hAnsi="宋体" w:eastAsia="宋体" w:cs="宋体"/>
                <w:b w:val="0"/>
                <w:color w:val="auto"/>
                <w:spacing w:val="0"/>
                <w:w w:val="100"/>
                <w:sz w:val="21"/>
                <w:szCs w:val="24"/>
                <w:highlight w:val="none"/>
                <w:lang w:val="en-US" w:eastAsia="zh-CN"/>
              </w:rPr>
              <w:t>同时</w:t>
            </w:r>
            <w:r>
              <w:rPr>
                <w:rStyle w:val="57"/>
                <w:rFonts w:ascii="宋体" w:hAnsi="宋体" w:eastAsia="宋体" w:cs="宋体"/>
                <w:b w:val="0"/>
                <w:color w:val="auto"/>
                <w:spacing w:val="0"/>
                <w:w w:val="100"/>
                <w:sz w:val="21"/>
                <w:szCs w:val="24"/>
                <w:highlight w:val="none"/>
              </w:rPr>
              <w:t>提交</w:t>
            </w:r>
            <w:r>
              <w:rPr>
                <w:rStyle w:val="57"/>
                <w:rFonts w:hint="eastAsia" w:ascii="宋体" w:hAnsi="宋体" w:eastAsia="宋体" w:cs="宋体"/>
                <w:b w:val="0"/>
                <w:color w:val="auto"/>
                <w:spacing w:val="0"/>
                <w:w w:val="100"/>
                <w:sz w:val="21"/>
                <w:szCs w:val="24"/>
                <w:highlight w:val="none"/>
                <w:lang w:val="en-US" w:eastAsia="zh-CN"/>
              </w:rPr>
              <w:t>了</w:t>
            </w:r>
            <w:r>
              <w:rPr>
                <w:rStyle w:val="57"/>
                <w:rFonts w:ascii="宋体" w:hAnsi="宋体" w:eastAsia="宋体" w:cs="宋体"/>
                <w:b w:val="0"/>
                <w:color w:val="auto"/>
                <w:spacing w:val="0"/>
                <w:w w:val="100"/>
                <w:sz w:val="21"/>
                <w:szCs w:val="24"/>
                <w:highlight w:val="none"/>
              </w:rPr>
              <w:t>银行出具的同等法律效力证明的原件。</w:t>
            </w:r>
          </w:p>
          <w:p w14:paraId="3B515D3D">
            <w:pPr>
              <w:pStyle w:val="380"/>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(5)投标人法定代表人授权委托代理人签署投标文件的，提交</w:t>
            </w:r>
            <w:r>
              <w:rPr>
                <w:rStyle w:val="57"/>
                <w:rFonts w:hint="eastAsia" w:ascii="宋体" w:hAnsi="宋体" w:eastAsia="宋体" w:cs="宋体"/>
                <w:b w:val="0"/>
                <w:color w:val="auto"/>
                <w:spacing w:val="0"/>
                <w:w w:val="100"/>
                <w:sz w:val="21"/>
                <w:szCs w:val="24"/>
                <w:highlight w:val="none"/>
                <w:lang w:val="en-US" w:eastAsia="zh-CN"/>
              </w:rPr>
              <w:t>了</w:t>
            </w:r>
            <w:r>
              <w:rPr>
                <w:rStyle w:val="57"/>
                <w:rFonts w:ascii="宋体" w:hAnsi="宋体" w:eastAsia="宋体" w:cs="宋体"/>
                <w:b w:val="0"/>
                <w:color w:val="auto"/>
                <w:spacing w:val="0"/>
                <w:w w:val="100"/>
                <w:sz w:val="21"/>
                <w:szCs w:val="24"/>
                <w:highlight w:val="none"/>
              </w:rPr>
              <w:t>授权委托书，且授权人和被授权人均在授权委托书上签名，未使用印章、签名章或其他电子制版签名代替。</w:t>
            </w:r>
          </w:p>
          <w:p w14:paraId="6BF8B820">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(6)投标人法定代表人亲自签署投标文件的，提供了法定代表人身份证明，且法定代表人在法定代表人身份证明上签名，未使用印章、签名章或其他电子制版签名代替。</w:t>
            </w:r>
          </w:p>
          <w:p w14:paraId="16B4578D">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(7)投标人以联合体形式投标时，联合体满足招标文件的要求投标人按照招标文件提供的格式签订了联合体协议书，明确各方承 担连带责任，并明确了联合体牵头人</w:t>
            </w:r>
          </w:p>
          <w:p w14:paraId="7AB21AAC">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(8)同一投标人未提交两个以上不同的投标文件，但招标文件要求提交备选投标的除外</w:t>
            </w:r>
          </w:p>
          <w:p w14:paraId="48485D68">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(9)投标文件中未出现有关投标报价的内容</w:t>
            </w:r>
          </w:p>
          <w:p w14:paraId="4208809F">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(10)投标文件载明的招标项目完成期限未超过招标文件规定的时限</w:t>
            </w:r>
          </w:p>
          <w:p w14:paraId="24B1A4E4">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(11)投标文件对招标文件的实质性要求和条件作出响应</w:t>
            </w:r>
          </w:p>
          <w:p w14:paraId="37CD0016">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(12)权利义务符合招标文件规定</w:t>
            </w:r>
          </w:p>
          <w:p w14:paraId="767F8FCB">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a.投标人应接受招标文件规定的风险划分原则，未提出新的风险划分办法；</w:t>
            </w:r>
          </w:p>
          <w:p w14:paraId="7FBA847D">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b.投标人未增加</w:t>
            </w:r>
            <w:r>
              <w:rPr>
                <w:rStyle w:val="57"/>
                <w:rFonts w:hint="eastAsia" w:ascii="宋体" w:hAnsi="宋体" w:eastAsia="宋体" w:cs="宋体"/>
                <w:b w:val="0"/>
                <w:color w:val="auto"/>
                <w:spacing w:val="0"/>
                <w:w w:val="100"/>
                <w:sz w:val="21"/>
                <w:szCs w:val="24"/>
                <w:highlight w:val="none"/>
                <w:lang w:eastAsia="zh-CN"/>
              </w:rPr>
              <w:t>招标</w:t>
            </w:r>
            <w:r>
              <w:rPr>
                <w:rStyle w:val="57"/>
                <w:rFonts w:ascii="宋体" w:hAnsi="宋体" w:eastAsia="宋体" w:cs="宋体"/>
                <w:b w:val="0"/>
                <w:color w:val="auto"/>
                <w:spacing w:val="0"/>
                <w:w w:val="100"/>
                <w:sz w:val="21"/>
                <w:szCs w:val="24"/>
                <w:highlight w:val="none"/>
              </w:rPr>
              <w:t>人的责任范围，或减少投标人义务；</w:t>
            </w:r>
          </w:p>
          <w:p w14:paraId="5470733D">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c.投标人未提出不同的支付办法；</w:t>
            </w:r>
          </w:p>
          <w:p w14:paraId="560975F7">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d.投标人对合同纠纷、事故处理办法未提出异议；</w:t>
            </w:r>
          </w:p>
          <w:p w14:paraId="3711DFE7">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e.投标人在投标活动中无欺诈行为；</w:t>
            </w:r>
          </w:p>
          <w:p w14:paraId="13ED0450">
            <w:pPr>
              <w:pStyle w:val="380"/>
              <w:keepNext w:val="0"/>
              <w:keepLines w:val="0"/>
              <w:pageBreakBefore w:val="0"/>
              <w:widowControl/>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f.投标人未对合同条款有重要保留。</w:t>
            </w:r>
          </w:p>
          <w:p w14:paraId="4757C225">
            <w:pPr>
              <w:pStyle w:val="380"/>
              <w:jc w:val="left"/>
              <w:rPr>
                <w:rStyle w:val="57"/>
                <w:rFonts w:ascii="宋体" w:hAnsi="宋体" w:eastAsia="宋体" w:cs="宋体"/>
                <w:b w:val="0"/>
                <w:color w:val="auto"/>
                <w:spacing w:val="0"/>
                <w:w w:val="100"/>
                <w:sz w:val="21"/>
                <w:szCs w:val="24"/>
                <w:highlight w:val="none"/>
              </w:rPr>
            </w:pPr>
          </w:p>
        </w:tc>
      </w:tr>
      <w:tr w14:paraId="60143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14:paraId="7186D5F8">
            <w:pPr>
              <w:spacing w:line="440" w:lineRule="atLeast"/>
              <w:jc w:val="center"/>
              <w:rPr>
                <w:color w:val="auto"/>
                <w:szCs w:val="21"/>
                <w:highlight w:val="none"/>
              </w:rPr>
            </w:pPr>
            <w:r>
              <w:rPr>
                <w:color w:val="auto"/>
                <w:szCs w:val="21"/>
                <w:highlight w:val="none"/>
              </w:rPr>
              <w:t>2.1.1</w:t>
            </w:r>
          </w:p>
          <w:p w14:paraId="47667466">
            <w:pPr>
              <w:spacing w:line="440" w:lineRule="atLeast"/>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2.1.3</w:t>
            </w:r>
          </w:p>
        </w:tc>
        <w:tc>
          <w:tcPr>
            <w:tcW w:w="1280" w:type="dxa"/>
            <w:tcBorders>
              <w:top w:val="single" w:color="auto" w:sz="4" w:space="0"/>
              <w:bottom w:val="single" w:color="auto" w:sz="4" w:space="0"/>
              <w:right w:val="single" w:color="auto" w:sz="4" w:space="0"/>
            </w:tcBorders>
            <w:vAlign w:val="center"/>
          </w:tcPr>
          <w:p w14:paraId="422C6AA1">
            <w:pPr>
              <w:spacing w:line="440" w:lineRule="atLeast"/>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形式评审与响应性评审标准</w:t>
            </w:r>
          </w:p>
        </w:tc>
        <w:tc>
          <w:tcPr>
            <w:tcW w:w="6622" w:type="dxa"/>
            <w:tcBorders>
              <w:top w:val="single" w:color="auto" w:sz="4" w:space="0"/>
              <w:left w:val="single" w:color="auto" w:sz="4" w:space="0"/>
              <w:right w:val="single" w:color="auto" w:sz="4" w:space="0"/>
            </w:tcBorders>
            <w:vAlign w:val="center"/>
          </w:tcPr>
          <w:p w14:paraId="398CD46E">
            <w:pPr>
              <w:keepNext w:val="0"/>
              <w:keepLines w:val="0"/>
              <w:pageBreakBefore w:val="0"/>
              <w:kinsoku/>
              <w:wordWrap/>
              <w:overflowPunct/>
              <w:topLinePunct w:val="0"/>
              <w:autoSpaceDE/>
              <w:autoSpaceDN/>
              <w:bidi w:val="0"/>
              <w:adjustRightInd/>
              <w:snapToGrid/>
              <w:spacing w:line="360" w:lineRule="exact"/>
              <w:textAlignment w:val="auto"/>
              <w:rPr>
                <w:color w:val="auto"/>
                <w:szCs w:val="21"/>
                <w:highlight w:val="none"/>
              </w:rPr>
            </w:pPr>
            <w:r>
              <w:rPr>
                <w:b/>
                <w:color w:val="auto"/>
                <w:szCs w:val="21"/>
                <w:highlight w:val="none"/>
              </w:rPr>
              <w:t>第二个信封（报价文件）评审标准：</w:t>
            </w:r>
          </w:p>
          <w:p w14:paraId="73794591">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(1)开标形式性评审</w:t>
            </w:r>
          </w:p>
          <w:p w14:paraId="6210F2DF">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a.在投标函上填写了投标总价；</w:t>
            </w:r>
          </w:p>
          <w:p w14:paraId="06493825">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b.投标人投标函所列标段与招标标段一致；</w:t>
            </w:r>
          </w:p>
          <w:p w14:paraId="45702D53">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c.投标报价未超出招标人公布的最高投标限价。</w:t>
            </w:r>
          </w:p>
          <w:p w14:paraId="7D179544">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d. 投标人在规定时间内进行解密投标文件第二信封（报价文件）；</w:t>
            </w:r>
          </w:p>
          <w:p w14:paraId="0E596E45">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(2)投标文件按照招标文件规定的格式、内容填写，字迹清晰可辨</w:t>
            </w:r>
          </w:p>
          <w:p w14:paraId="23231463">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a.投标函按招标文件规定填报了项目名称、标段号、补遗书编号（如有）、投标价（包括大写金额和小写金额）；</w:t>
            </w:r>
          </w:p>
          <w:p w14:paraId="2F7E0468">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b.已标价报价清单说明文字与招标文件规定一致，未进行实质性修改和删减；</w:t>
            </w:r>
          </w:p>
          <w:p w14:paraId="17454872">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c.投标文件组成齐全完整，内容均按规定填写。</w:t>
            </w:r>
          </w:p>
          <w:p w14:paraId="70E80625">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(3)投标文件上法定代表人的签字、投标人的单位章盖章齐全，符合招标文件规定。</w:t>
            </w:r>
          </w:p>
          <w:p w14:paraId="69E2562F">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(4)投标报价未超过招标文件设定的最高投标限价（如有）</w:t>
            </w:r>
          </w:p>
          <w:p w14:paraId="73E62255">
            <w:pPr>
              <w:pStyle w:val="381"/>
              <w:keepNext w:val="0"/>
              <w:keepLines w:val="0"/>
              <w:pageBreakBefore w:val="0"/>
              <w:kinsoku/>
              <w:wordWrap/>
              <w:overflowPunct/>
              <w:topLinePunct w:val="0"/>
              <w:autoSpaceDE/>
              <w:autoSpaceDN/>
              <w:bidi w:val="0"/>
              <w:adjustRightInd/>
              <w:snapToGrid/>
              <w:spacing w:line="360" w:lineRule="exact"/>
              <w:jc w:val="left"/>
              <w:textAlignment w:val="auto"/>
              <w:rPr>
                <w:rStyle w:val="57"/>
                <w:rFonts w:ascii="宋体" w:hAnsi="宋体" w:eastAsia="宋体" w:cs="宋体"/>
                <w:b w:val="0"/>
                <w:color w:val="auto"/>
                <w:spacing w:val="0"/>
                <w:w w:val="100"/>
                <w:sz w:val="21"/>
                <w:szCs w:val="24"/>
                <w:highlight w:val="none"/>
              </w:rPr>
            </w:pPr>
            <w:r>
              <w:rPr>
                <w:rStyle w:val="57"/>
                <w:rFonts w:ascii="宋体" w:hAnsi="宋体" w:eastAsia="宋体" w:cs="宋体"/>
                <w:b w:val="0"/>
                <w:color w:val="auto"/>
                <w:spacing w:val="0"/>
                <w:w w:val="100"/>
                <w:sz w:val="21"/>
                <w:szCs w:val="24"/>
                <w:highlight w:val="none"/>
              </w:rPr>
              <w:t>(5)投标报价的大写金额能够确定具体数值</w:t>
            </w:r>
          </w:p>
          <w:p w14:paraId="504814BA">
            <w:pPr>
              <w:pStyle w:val="381"/>
              <w:keepNext w:val="0"/>
              <w:keepLines w:val="0"/>
              <w:pageBreakBefore w:val="0"/>
              <w:kinsoku/>
              <w:wordWrap/>
              <w:overflowPunct/>
              <w:topLinePunct w:val="0"/>
              <w:autoSpaceDE/>
              <w:autoSpaceDN/>
              <w:bidi w:val="0"/>
              <w:adjustRightInd/>
              <w:snapToGrid/>
              <w:spacing w:line="360" w:lineRule="exact"/>
              <w:jc w:val="left"/>
              <w:textAlignment w:val="auto"/>
              <w:rPr>
                <w:rFonts w:ascii="Times New Roman" w:hAnsi="Times New Roman" w:eastAsia="Times New Roman" w:cs="Times New Roman"/>
                <w:color w:val="auto"/>
                <w:sz w:val="24"/>
                <w:szCs w:val="21"/>
                <w:highlight w:val="none"/>
              </w:rPr>
            </w:pPr>
            <w:r>
              <w:rPr>
                <w:rStyle w:val="57"/>
                <w:rFonts w:ascii="宋体" w:hAnsi="宋体" w:eastAsia="宋体" w:cs="宋体"/>
                <w:b w:val="0"/>
                <w:color w:val="auto"/>
                <w:spacing w:val="0"/>
                <w:w w:val="100"/>
                <w:sz w:val="21"/>
                <w:szCs w:val="24"/>
                <w:highlight w:val="none"/>
              </w:rPr>
              <w:t>(6)同一投标人未提交两个以上不同的投标报价，但招标文件要求提交备选投标的除外</w:t>
            </w:r>
          </w:p>
        </w:tc>
      </w:tr>
      <w:tr w14:paraId="038A8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vAlign w:val="center"/>
          </w:tcPr>
          <w:p w14:paraId="5159A00E">
            <w:pPr>
              <w:spacing w:line="440" w:lineRule="atLeast"/>
              <w:jc w:val="center"/>
              <w:rPr>
                <w:color w:val="auto"/>
                <w:szCs w:val="21"/>
                <w:highlight w:val="none"/>
              </w:rPr>
            </w:pPr>
            <w:r>
              <w:rPr>
                <w:color w:val="auto"/>
                <w:szCs w:val="21"/>
                <w:highlight w:val="none"/>
              </w:rPr>
              <w:t>2.1.2</w:t>
            </w:r>
          </w:p>
        </w:tc>
        <w:tc>
          <w:tcPr>
            <w:tcW w:w="1280" w:type="dxa"/>
            <w:tcBorders>
              <w:top w:val="single" w:color="auto" w:sz="4" w:space="0"/>
              <w:right w:val="single" w:color="auto" w:sz="4" w:space="0"/>
            </w:tcBorders>
            <w:vAlign w:val="center"/>
          </w:tcPr>
          <w:p w14:paraId="6F7F7759">
            <w:pPr>
              <w:spacing w:line="440" w:lineRule="atLeast"/>
              <w:jc w:val="center"/>
              <w:rPr>
                <w:color w:val="auto"/>
                <w:szCs w:val="21"/>
                <w:highlight w:val="none"/>
              </w:rPr>
            </w:pPr>
            <w:r>
              <w:rPr>
                <w:color w:val="auto"/>
                <w:szCs w:val="21"/>
                <w:highlight w:val="none"/>
              </w:rPr>
              <w:t>资格评审标准</w:t>
            </w:r>
          </w:p>
        </w:tc>
        <w:tc>
          <w:tcPr>
            <w:tcW w:w="6622" w:type="dxa"/>
            <w:tcBorders>
              <w:top w:val="single" w:color="auto" w:sz="4" w:space="0"/>
              <w:left w:val="single" w:color="auto" w:sz="4" w:space="0"/>
              <w:right w:val="single" w:color="auto" w:sz="4" w:space="0"/>
            </w:tcBorders>
            <w:vAlign w:val="center"/>
          </w:tcPr>
          <w:p w14:paraId="2AF0879C">
            <w:pPr>
              <w:spacing w:line="440" w:lineRule="atLeast"/>
              <w:ind w:firstLine="420" w:firstLineChars="200"/>
              <w:rPr>
                <w:color w:val="auto"/>
                <w:szCs w:val="21"/>
                <w:highlight w:val="none"/>
              </w:rPr>
            </w:pPr>
            <w:r>
              <w:rPr>
                <w:color w:val="auto"/>
                <w:szCs w:val="21"/>
                <w:highlight w:val="none"/>
              </w:rPr>
              <w:t>（1）投标人具备有效的营业执照、</w:t>
            </w:r>
            <w:r>
              <w:rPr>
                <w:color w:val="auto"/>
                <w:highlight w:val="none"/>
              </w:rPr>
              <w:t>组织机构代码证、</w:t>
            </w:r>
            <w:r>
              <w:rPr>
                <w:color w:val="auto"/>
                <w:szCs w:val="21"/>
                <w:highlight w:val="none"/>
              </w:rPr>
              <w:t>资质证书（如需要）和基本账户开户许可证</w:t>
            </w:r>
            <w:r>
              <w:rPr>
                <w:rFonts w:hint="eastAsia"/>
                <w:color w:val="auto"/>
                <w:szCs w:val="21"/>
                <w:highlight w:val="none"/>
                <w:lang w:val="en-US" w:eastAsia="zh-CN"/>
              </w:rPr>
              <w:t>明材料</w:t>
            </w:r>
            <w:r>
              <w:rPr>
                <w:color w:val="auto"/>
                <w:szCs w:val="21"/>
                <w:highlight w:val="none"/>
              </w:rPr>
              <w:t>。</w:t>
            </w:r>
          </w:p>
          <w:p w14:paraId="1FB483B6">
            <w:pPr>
              <w:spacing w:line="440" w:lineRule="atLeast"/>
              <w:ind w:firstLine="420" w:firstLineChars="200"/>
              <w:rPr>
                <w:color w:val="auto"/>
                <w:szCs w:val="21"/>
                <w:highlight w:val="none"/>
              </w:rPr>
            </w:pPr>
            <w:r>
              <w:rPr>
                <w:color w:val="auto"/>
                <w:szCs w:val="21"/>
                <w:highlight w:val="none"/>
              </w:rPr>
              <w:t>（2）投标人的资质等级符合招标文件规定。</w:t>
            </w:r>
          </w:p>
          <w:p w14:paraId="653EEAC8">
            <w:pPr>
              <w:spacing w:line="440" w:lineRule="atLeast"/>
              <w:ind w:firstLine="420" w:firstLineChars="200"/>
              <w:rPr>
                <w:color w:val="auto"/>
                <w:szCs w:val="21"/>
                <w:highlight w:val="none"/>
              </w:rPr>
            </w:pPr>
            <w:r>
              <w:rPr>
                <w:color w:val="auto"/>
                <w:szCs w:val="21"/>
                <w:highlight w:val="none"/>
              </w:rPr>
              <w:t>（3）投标人的类似项目业绩符合招标文件规定。</w:t>
            </w:r>
          </w:p>
          <w:p w14:paraId="141619A5">
            <w:pPr>
              <w:spacing w:line="440" w:lineRule="atLeast"/>
              <w:ind w:firstLine="420" w:firstLineChars="200"/>
              <w:rPr>
                <w:color w:val="auto"/>
                <w:szCs w:val="21"/>
                <w:highlight w:val="none"/>
              </w:rPr>
            </w:pPr>
            <w:r>
              <w:rPr>
                <w:color w:val="auto"/>
                <w:szCs w:val="21"/>
                <w:highlight w:val="none"/>
              </w:rPr>
              <w:t>（4）投标人的信誉符合招标文件规定。</w:t>
            </w:r>
          </w:p>
          <w:p w14:paraId="1DB20BB8">
            <w:pPr>
              <w:spacing w:line="440" w:lineRule="atLeast"/>
              <w:ind w:firstLine="420" w:firstLineChars="200"/>
              <w:rPr>
                <w:color w:val="auto"/>
                <w:szCs w:val="21"/>
                <w:highlight w:val="none"/>
              </w:rPr>
            </w:pPr>
            <w:r>
              <w:rPr>
                <w:color w:val="auto"/>
                <w:szCs w:val="21"/>
                <w:highlight w:val="none"/>
              </w:rPr>
              <w:t>（5）投标人的项目负责人资格符合招标文件规定。</w:t>
            </w:r>
          </w:p>
          <w:p w14:paraId="46C80795">
            <w:pPr>
              <w:spacing w:line="440" w:lineRule="atLeast"/>
              <w:ind w:firstLine="420" w:firstLineChars="200"/>
              <w:rPr>
                <w:color w:val="auto"/>
                <w:szCs w:val="21"/>
                <w:highlight w:val="none"/>
              </w:rPr>
            </w:pPr>
            <w:r>
              <w:rPr>
                <w:color w:val="auto"/>
                <w:szCs w:val="21"/>
                <w:highlight w:val="none"/>
              </w:rPr>
              <w:t>（6）投标人的其他要求符合招标文件规定。</w:t>
            </w:r>
          </w:p>
          <w:p w14:paraId="208BBFAC">
            <w:pPr>
              <w:spacing w:line="440" w:lineRule="atLeast"/>
              <w:ind w:firstLine="420" w:firstLineChars="200"/>
              <w:rPr>
                <w:color w:val="auto"/>
                <w:szCs w:val="21"/>
                <w:highlight w:val="none"/>
              </w:rPr>
            </w:pPr>
            <w:r>
              <w:rPr>
                <w:color w:val="auto"/>
                <w:szCs w:val="21"/>
                <w:highlight w:val="none"/>
              </w:rPr>
              <w:t>（7）投标人不存在第二章“投标人须知”第1.4.3项或第1.4.4项规定的任何一种情形。</w:t>
            </w:r>
          </w:p>
        </w:tc>
      </w:tr>
    </w:tbl>
    <w:p w14:paraId="66A2C518">
      <w:pPr>
        <w:widowControl/>
        <w:jc w:val="left"/>
        <w:rPr>
          <w:color w:val="auto"/>
          <w:spacing w:val="4"/>
          <w:szCs w:val="21"/>
          <w:highlight w:val="none"/>
        </w:rPr>
      </w:pPr>
    </w:p>
    <w:p w14:paraId="5F63B0FF">
      <w:pPr>
        <w:spacing w:line="440" w:lineRule="atLeast"/>
        <w:jc w:val="right"/>
        <w:rPr>
          <w:color w:val="auto"/>
          <w:highlight w:val="none"/>
        </w:rPr>
      </w:pPr>
      <w:r>
        <w:rPr>
          <w:color w:val="auto"/>
          <w:spacing w:val="4"/>
          <w:szCs w:val="21"/>
          <w:highlight w:val="none"/>
        </w:rPr>
        <w:t>续上表</w:t>
      </w:r>
    </w:p>
    <w:tbl>
      <w:tblPr>
        <w:tblStyle w:val="55"/>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417"/>
        <w:gridCol w:w="6515"/>
      </w:tblGrid>
      <w:tr w14:paraId="65F3B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14:paraId="57CDD98B">
            <w:pPr>
              <w:spacing w:line="440" w:lineRule="atLeast"/>
              <w:jc w:val="center"/>
              <w:rPr>
                <w:b/>
                <w:color w:val="auto"/>
                <w:szCs w:val="21"/>
                <w:highlight w:val="none"/>
              </w:rPr>
            </w:pPr>
            <w:r>
              <w:rPr>
                <w:b/>
                <w:color w:val="auto"/>
                <w:szCs w:val="21"/>
                <w:highlight w:val="none"/>
              </w:rPr>
              <w:t>条款号</w:t>
            </w:r>
          </w:p>
        </w:tc>
        <w:tc>
          <w:tcPr>
            <w:tcW w:w="1417" w:type="dxa"/>
            <w:tcBorders>
              <w:top w:val="single" w:color="auto" w:sz="4" w:space="0"/>
              <w:right w:val="single" w:color="auto" w:sz="4" w:space="0"/>
            </w:tcBorders>
            <w:vAlign w:val="center"/>
          </w:tcPr>
          <w:p w14:paraId="14B02AE0">
            <w:pPr>
              <w:spacing w:line="440" w:lineRule="atLeast"/>
              <w:jc w:val="center"/>
              <w:rPr>
                <w:b/>
                <w:color w:val="auto"/>
                <w:szCs w:val="21"/>
                <w:highlight w:val="none"/>
              </w:rPr>
            </w:pPr>
            <w:r>
              <w:rPr>
                <w:b/>
                <w:color w:val="auto"/>
                <w:szCs w:val="21"/>
                <w:highlight w:val="none"/>
              </w:rPr>
              <w:t>条款内容</w:t>
            </w:r>
          </w:p>
        </w:tc>
        <w:tc>
          <w:tcPr>
            <w:tcW w:w="6515" w:type="dxa"/>
            <w:tcBorders>
              <w:top w:val="single" w:color="auto" w:sz="4" w:space="0"/>
              <w:left w:val="single" w:color="auto" w:sz="4" w:space="0"/>
              <w:right w:val="single" w:color="auto" w:sz="4" w:space="0"/>
            </w:tcBorders>
            <w:vAlign w:val="center"/>
          </w:tcPr>
          <w:p w14:paraId="78FC5ED7">
            <w:pPr>
              <w:spacing w:line="440" w:lineRule="atLeast"/>
              <w:jc w:val="center"/>
              <w:rPr>
                <w:b/>
                <w:color w:val="auto"/>
                <w:szCs w:val="21"/>
                <w:highlight w:val="none"/>
              </w:rPr>
            </w:pPr>
            <w:r>
              <w:rPr>
                <w:b/>
                <w:color w:val="auto"/>
                <w:szCs w:val="21"/>
                <w:highlight w:val="none"/>
              </w:rPr>
              <w:t>编列内容</w:t>
            </w:r>
          </w:p>
        </w:tc>
      </w:tr>
      <w:tr w14:paraId="50B9A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14:paraId="475A7DE9">
            <w:pPr>
              <w:spacing w:line="440" w:lineRule="atLeast"/>
              <w:jc w:val="center"/>
              <w:rPr>
                <w:color w:val="auto"/>
                <w:szCs w:val="21"/>
                <w:highlight w:val="none"/>
              </w:rPr>
            </w:pPr>
            <w:r>
              <w:rPr>
                <w:color w:val="auto"/>
                <w:szCs w:val="21"/>
                <w:highlight w:val="none"/>
              </w:rPr>
              <w:t>2.2.1</w:t>
            </w:r>
          </w:p>
        </w:tc>
        <w:tc>
          <w:tcPr>
            <w:tcW w:w="1417" w:type="dxa"/>
            <w:tcBorders>
              <w:top w:val="single" w:color="auto" w:sz="4" w:space="0"/>
              <w:right w:val="single" w:color="auto" w:sz="4" w:space="0"/>
            </w:tcBorders>
            <w:vAlign w:val="center"/>
          </w:tcPr>
          <w:p w14:paraId="7ED48506">
            <w:pPr>
              <w:spacing w:line="440" w:lineRule="atLeast"/>
              <w:jc w:val="center"/>
              <w:rPr>
                <w:color w:val="auto"/>
                <w:szCs w:val="21"/>
                <w:highlight w:val="none"/>
              </w:rPr>
            </w:pPr>
            <w:r>
              <w:rPr>
                <w:color w:val="auto"/>
                <w:szCs w:val="21"/>
                <w:highlight w:val="none"/>
              </w:rPr>
              <w:t>分值构成</w:t>
            </w:r>
          </w:p>
          <w:p w14:paraId="47BB966B">
            <w:pPr>
              <w:spacing w:line="440" w:lineRule="atLeast"/>
              <w:ind w:left="-105" w:leftChars="-50" w:right="-105" w:rightChars="-50"/>
              <w:jc w:val="center"/>
              <w:rPr>
                <w:color w:val="auto"/>
                <w:szCs w:val="21"/>
                <w:highlight w:val="none"/>
              </w:rPr>
            </w:pPr>
            <w:r>
              <w:rPr>
                <w:color w:val="auto"/>
                <w:szCs w:val="21"/>
                <w:highlight w:val="none"/>
              </w:rPr>
              <w:t>（总分100分）</w:t>
            </w:r>
          </w:p>
        </w:tc>
        <w:tc>
          <w:tcPr>
            <w:tcW w:w="6515" w:type="dxa"/>
            <w:tcBorders>
              <w:top w:val="single" w:color="auto" w:sz="4" w:space="0"/>
              <w:left w:val="single" w:color="auto" w:sz="4" w:space="0"/>
              <w:right w:val="single" w:color="auto" w:sz="4" w:space="0"/>
            </w:tcBorders>
            <w:vAlign w:val="center"/>
          </w:tcPr>
          <w:p w14:paraId="7C30BD8E">
            <w:pPr>
              <w:spacing w:line="440" w:lineRule="atLeast"/>
              <w:ind w:firstLine="422" w:firstLineChars="200"/>
              <w:rPr>
                <w:b/>
                <w:color w:val="auto"/>
                <w:szCs w:val="21"/>
                <w:highlight w:val="none"/>
              </w:rPr>
            </w:pPr>
            <w:r>
              <w:rPr>
                <w:b/>
                <w:color w:val="auto"/>
                <w:szCs w:val="21"/>
                <w:highlight w:val="none"/>
              </w:rPr>
              <w:t>评分分值构成：</w:t>
            </w:r>
          </w:p>
          <w:p w14:paraId="64058C97">
            <w:pPr>
              <w:spacing w:line="440" w:lineRule="atLeast"/>
              <w:ind w:firstLine="420" w:firstLineChars="200"/>
              <w:rPr>
                <w:color w:val="auto"/>
                <w:szCs w:val="21"/>
                <w:highlight w:val="none"/>
              </w:rPr>
            </w:pPr>
            <w:r>
              <w:rPr>
                <w:color w:val="auto"/>
                <w:szCs w:val="21"/>
                <w:highlight w:val="none"/>
              </w:rPr>
              <w:t>技术建议书：</w:t>
            </w:r>
            <w:r>
              <w:rPr>
                <w:rFonts w:hint="eastAsia"/>
                <w:color w:val="auto"/>
                <w:szCs w:val="21"/>
                <w:highlight w:val="none"/>
                <w:u w:val="single"/>
                <w:lang w:val="en-US" w:eastAsia="zh-CN"/>
              </w:rPr>
              <w:t>45.0</w:t>
            </w:r>
            <w:r>
              <w:rPr>
                <w:color w:val="auto"/>
                <w:szCs w:val="21"/>
                <w:highlight w:val="none"/>
              </w:rPr>
              <w:t>分</w:t>
            </w:r>
          </w:p>
          <w:p w14:paraId="578F576F">
            <w:pPr>
              <w:spacing w:line="440" w:lineRule="atLeast"/>
              <w:ind w:firstLine="420" w:firstLineChars="200"/>
              <w:rPr>
                <w:color w:val="auto"/>
                <w:szCs w:val="21"/>
                <w:highlight w:val="none"/>
              </w:rPr>
            </w:pPr>
            <w:r>
              <w:rPr>
                <w:color w:val="auto"/>
                <w:szCs w:val="21"/>
                <w:highlight w:val="none"/>
              </w:rPr>
              <w:t>主要人员：</w:t>
            </w:r>
            <w:r>
              <w:rPr>
                <w:rFonts w:hint="eastAsia"/>
                <w:color w:val="auto"/>
                <w:szCs w:val="21"/>
                <w:highlight w:val="none"/>
                <w:u w:val="single"/>
                <w:lang w:val="en-US" w:eastAsia="zh-CN"/>
              </w:rPr>
              <w:t>20.0</w:t>
            </w:r>
            <w:r>
              <w:rPr>
                <w:color w:val="auto"/>
                <w:szCs w:val="21"/>
                <w:highlight w:val="none"/>
              </w:rPr>
              <w:t>分</w:t>
            </w:r>
          </w:p>
          <w:p w14:paraId="7EF0F611">
            <w:pPr>
              <w:spacing w:line="440" w:lineRule="atLeast"/>
              <w:ind w:firstLine="420" w:firstLineChars="200"/>
              <w:rPr>
                <w:color w:val="auto"/>
                <w:szCs w:val="21"/>
                <w:highlight w:val="none"/>
              </w:rPr>
            </w:pPr>
            <w:r>
              <w:rPr>
                <w:color w:val="auto"/>
                <w:szCs w:val="21"/>
                <w:highlight w:val="none"/>
              </w:rPr>
              <w:t>业绩：</w:t>
            </w:r>
            <w:r>
              <w:rPr>
                <w:rFonts w:hint="eastAsia"/>
                <w:color w:val="auto"/>
                <w:szCs w:val="21"/>
                <w:highlight w:val="none"/>
                <w:u w:val="single"/>
                <w:lang w:val="en-US" w:eastAsia="zh-CN"/>
              </w:rPr>
              <w:t>20.0</w:t>
            </w:r>
            <w:r>
              <w:rPr>
                <w:color w:val="auto"/>
                <w:szCs w:val="21"/>
                <w:highlight w:val="none"/>
              </w:rPr>
              <w:t>分</w:t>
            </w:r>
          </w:p>
          <w:p w14:paraId="271BEC18">
            <w:pPr>
              <w:spacing w:line="440" w:lineRule="atLeast"/>
              <w:ind w:firstLine="420" w:firstLineChars="200"/>
              <w:rPr>
                <w:b/>
                <w:color w:val="auto"/>
                <w:szCs w:val="21"/>
                <w:highlight w:val="none"/>
              </w:rPr>
            </w:pPr>
            <w:r>
              <w:rPr>
                <w:color w:val="auto"/>
                <w:szCs w:val="21"/>
                <w:highlight w:val="none"/>
              </w:rPr>
              <w:t>履约信誉：</w:t>
            </w:r>
            <w:r>
              <w:rPr>
                <w:rFonts w:hint="eastAsia"/>
                <w:color w:val="auto"/>
                <w:szCs w:val="21"/>
                <w:highlight w:val="none"/>
                <w:u w:val="single"/>
                <w:lang w:val="en-US" w:eastAsia="zh-CN"/>
              </w:rPr>
              <w:t>5</w:t>
            </w:r>
            <w:r>
              <w:rPr>
                <w:color w:val="auto"/>
                <w:szCs w:val="21"/>
                <w:highlight w:val="none"/>
              </w:rPr>
              <w:t>分</w:t>
            </w:r>
          </w:p>
          <w:p w14:paraId="706BDFB7">
            <w:pPr>
              <w:spacing w:line="440" w:lineRule="atLeast"/>
              <w:ind w:firstLine="420" w:firstLineChars="200"/>
              <w:rPr>
                <w:color w:val="auto"/>
                <w:szCs w:val="21"/>
                <w:highlight w:val="none"/>
              </w:rPr>
            </w:pPr>
            <w:r>
              <w:rPr>
                <w:color w:val="auto"/>
                <w:szCs w:val="21"/>
                <w:highlight w:val="none"/>
              </w:rPr>
              <w:t>评标价：</w:t>
            </w:r>
            <w:r>
              <w:rPr>
                <w:rFonts w:hint="eastAsia"/>
                <w:color w:val="auto"/>
                <w:szCs w:val="21"/>
                <w:highlight w:val="none"/>
                <w:u w:val="single"/>
                <w:lang w:val="en-US" w:eastAsia="zh-CN"/>
              </w:rPr>
              <w:t>10.0</w:t>
            </w:r>
            <w:r>
              <w:rPr>
                <w:color w:val="auto"/>
                <w:szCs w:val="21"/>
                <w:highlight w:val="none"/>
              </w:rPr>
              <w:t>分</w:t>
            </w:r>
          </w:p>
        </w:tc>
      </w:tr>
      <w:tr w14:paraId="49D76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14:paraId="131992F5">
            <w:pPr>
              <w:spacing w:line="440" w:lineRule="atLeast"/>
              <w:jc w:val="center"/>
              <w:rPr>
                <w:color w:val="auto"/>
                <w:szCs w:val="21"/>
                <w:highlight w:val="none"/>
              </w:rPr>
            </w:pPr>
            <w:r>
              <w:rPr>
                <w:color w:val="auto"/>
                <w:szCs w:val="21"/>
                <w:highlight w:val="none"/>
              </w:rPr>
              <w:t>2.2.2</w:t>
            </w:r>
          </w:p>
        </w:tc>
        <w:tc>
          <w:tcPr>
            <w:tcW w:w="1417" w:type="dxa"/>
            <w:tcBorders>
              <w:top w:val="single" w:color="auto" w:sz="4" w:space="0"/>
              <w:right w:val="single" w:color="auto" w:sz="4" w:space="0"/>
            </w:tcBorders>
            <w:vAlign w:val="center"/>
          </w:tcPr>
          <w:p w14:paraId="72A584B3">
            <w:pPr>
              <w:spacing w:line="440" w:lineRule="atLeast"/>
              <w:jc w:val="center"/>
              <w:rPr>
                <w:color w:val="auto"/>
                <w:szCs w:val="21"/>
                <w:highlight w:val="none"/>
              </w:rPr>
            </w:pPr>
            <w:r>
              <w:rPr>
                <w:color w:val="auto"/>
                <w:szCs w:val="21"/>
                <w:highlight w:val="none"/>
              </w:rPr>
              <w:t>评标基准价计算方法</w:t>
            </w:r>
          </w:p>
        </w:tc>
        <w:tc>
          <w:tcPr>
            <w:tcW w:w="6515" w:type="dxa"/>
            <w:tcBorders>
              <w:top w:val="single" w:color="auto" w:sz="4" w:space="0"/>
              <w:left w:val="single" w:color="auto" w:sz="4" w:space="0"/>
              <w:right w:val="single" w:color="auto" w:sz="4" w:space="0"/>
            </w:tcBorders>
            <w:vAlign w:val="center"/>
          </w:tcPr>
          <w:p w14:paraId="617BF855">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评标基准价计算方法： </w:t>
            </w:r>
          </w:p>
          <w:p w14:paraId="79B96991">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在开标现场，招标人将当场计算并宣布评标基准价。</w:t>
            </w:r>
          </w:p>
          <w:p w14:paraId="06A50779">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(1)评标价的确定：评标价=投标函文字报价</w:t>
            </w:r>
          </w:p>
          <w:p w14:paraId="73EF0F2E">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(2)评标价平均值的计算：</w:t>
            </w:r>
          </w:p>
          <w:p w14:paraId="0750F28C">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22A841C7">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(3)评标基准价的确定:</w:t>
            </w:r>
          </w:p>
          <w:p w14:paraId="035BFF2A">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评标基准价=评标价平均值×（1-下浮系数）</w:t>
            </w:r>
          </w:p>
          <w:p w14:paraId="063BAEB0">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下浮系数将从1%~5%中选取5个数，步距不小于0.5%，设置等差数列，并在开标时随机抽取。</w:t>
            </w:r>
          </w:p>
          <w:p w14:paraId="6BE22B13">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如果投标人认为某一标段的评标基准价计算有误，有权在开标现场提出，经当场核实确认之后，可重新宣布评标基准价。</w:t>
            </w:r>
          </w:p>
          <w:p w14:paraId="2CB57734">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3E94A2CF">
            <w:pPr>
              <w:spacing w:line="440" w:lineRule="atLeast"/>
              <w:rPr>
                <w:rFonts w:eastAsia="黑体"/>
                <w:color w:val="auto"/>
                <w:szCs w:val="21"/>
                <w:highlight w:val="none"/>
              </w:rPr>
            </w:pPr>
            <w:r>
              <w:rPr>
                <w:rFonts w:hint="eastAsia" w:ascii="宋体" w:hAnsi="宋体" w:eastAsia="宋体" w:cs="宋体"/>
                <w:color w:val="auto"/>
                <w:kern w:val="0"/>
                <w:sz w:val="21"/>
                <w:szCs w:val="24"/>
                <w:highlight w:val="none"/>
                <w:lang w:val="en-US" w:eastAsia="en-US" w:bidi="ar-SA"/>
              </w:rPr>
              <w:t>下浮系数将从1%、1.5%、2%、2.5%、3%五个数值中，在开标时随机抽取。</w:t>
            </w:r>
          </w:p>
        </w:tc>
      </w:tr>
      <w:tr w14:paraId="319AC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14:paraId="2DD8D4E5">
            <w:pPr>
              <w:spacing w:line="440" w:lineRule="atLeast"/>
              <w:jc w:val="center"/>
              <w:rPr>
                <w:color w:val="auto"/>
                <w:szCs w:val="21"/>
                <w:highlight w:val="none"/>
              </w:rPr>
            </w:pPr>
            <w:r>
              <w:rPr>
                <w:color w:val="auto"/>
                <w:szCs w:val="21"/>
                <w:highlight w:val="none"/>
              </w:rPr>
              <w:t>2.2.3</w:t>
            </w:r>
          </w:p>
        </w:tc>
        <w:tc>
          <w:tcPr>
            <w:tcW w:w="1417" w:type="dxa"/>
            <w:tcBorders>
              <w:top w:val="single" w:color="auto" w:sz="4" w:space="0"/>
              <w:right w:val="single" w:color="auto" w:sz="4" w:space="0"/>
            </w:tcBorders>
            <w:vAlign w:val="center"/>
          </w:tcPr>
          <w:p w14:paraId="604D3361">
            <w:pPr>
              <w:spacing w:line="440" w:lineRule="atLeast"/>
              <w:ind w:left="-105" w:leftChars="-50" w:right="-105" w:rightChars="-50"/>
              <w:jc w:val="center"/>
              <w:rPr>
                <w:color w:val="auto"/>
                <w:szCs w:val="21"/>
                <w:highlight w:val="none"/>
              </w:rPr>
            </w:pPr>
            <w:r>
              <w:rPr>
                <w:color w:val="auto"/>
                <w:szCs w:val="21"/>
                <w:highlight w:val="none"/>
              </w:rPr>
              <w:t>评标价的偏差率计算公式</w:t>
            </w:r>
          </w:p>
        </w:tc>
        <w:tc>
          <w:tcPr>
            <w:tcW w:w="6515" w:type="dxa"/>
            <w:tcBorders>
              <w:top w:val="single" w:color="auto" w:sz="4" w:space="0"/>
              <w:left w:val="single" w:color="auto" w:sz="4" w:space="0"/>
              <w:right w:val="single" w:color="auto" w:sz="4" w:space="0"/>
            </w:tcBorders>
            <w:vAlign w:val="center"/>
          </w:tcPr>
          <w:p w14:paraId="6ED664CA">
            <w:pPr>
              <w:spacing w:line="440" w:lineRule="atLeast"/>
              <w:ind w:firstLine="420" w:firstLineChars="200"/>
              <w:rPr>
                <w:rFonts w:eastAsia="黑体"/>
                <w:b/>
                <w:color w:val="auto"/>
                <w:szCs w:val="21"/>
                <w:highlight w:val="none"/>
              </w:rPr>
            </w:pPr>
            <w:r>
              <w:rPr>
                <w:rFonts w:hint="eastAsia" w:ascii="宋体" w:hAnsi="宋体" w:eastAsia="宋体" w:cs="宋体"/>
                <w:color w:val="auto"/>
                <w:szCs w:val="21"/>
                <w:highlight w:val="none"/>
              </w:rPr>
              <w:t>偏差率=100% ×（投标人评标价－评标基准价）/评标基准价</w:t>
            </w:r>
          </w:p>
        </w:tc>
      </w:tr>
    </w:tbl>
    <w:p w14:paraId="4956ADB6">
      <w:pPr>
        <w:widowControl/>
        <w:spacing w:line="440" w:lineRule="atLeast"/>
        <w:jc w:val="left"/>
        <w:rPr>
          <w:color w:val="auto"/>
          <w:highlight w:val="none"/>
        </w:rPr>
      </w:pPr>
    </w:p>
    <w:p w14:paraId="6544DF0D">
      <w:pPr>
        <w:widowControl/>
        <w:spacing w:line="440" w:lineRule="atLeast"/>
        <w:jc w:val="left"/>
        <w:rPr>
          <w:color w:val="auto"/>
          <w:highlight w:val="none"/>
        </w:rPr>
      </w:pPr>
      <w:r>
        <w:rPr>
          <w:color w:val="auto"/>
          <w:highlight w:val="none"/>
        </w:rPr>
        <w:br w:type="page"/>
      </w:r>
    </w:p>
    <w:p w14:paraId="47F858E7">
      <w:pPr>
        <w:spacing w:line="440" w:lineRule="atLeast"/>
        <w:jc w:val="right"/>
        <w:rPr>
          <w:color w:val="auto"/>
          <w:highlight w:val="none"/>
        </w:rPr>
      </w:pPr>
      <w:r>
        <w:rPr>
          <w:color w:val="auto"/>
          <w:spacing w:val="4"/>
          <w:szCs w:val="21"/>
          <w:highlight w:val="none"/>
        </w:rPr>
        <w:t>续上表</w:t>
      </w:r>
    </w:p>
    <w:tbl>
      <w:tblPr>
        <w:tblStyle w:val="55"/>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430"/>
        <w:gridCol w:w="656"/>
        <w:gridCol w:w="1170"/>
        <w:gridCol w:w="1714"/>
        <w:gridCol w:w="822"/>
        <w:gridCol w:w="2746"/>
      </w:tblGrid>
      <w:tr w14:paraId="0372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53" w:type="dxa"/>
            <w:vMerge w:val="restart"/>
            <w:tcBorders>
              <w:top w:val="single" w:color="auto" w:sz="4" w:space="0"/>
            </w:tcBorders>
            <w:vAlign w:val="center"/>
          </w:tcPr>
          <w:p w14:paraId="4B4695E5">
            <w:pPr>
              <w:spacing w:line="440" w:lineRule="atLeast"/>
              <w:jc w:val="center"/>
              <w:rPr>
                <w:b/>
                <w:color w:val="auto"/>
                <w:szCs w:val="21"/>
                <w:highlight w:val="none"/>
              </w:rPr>
            </w:pPr>
            <w:r>
              <w:rPr>
                <w:b/>
                <w:color w:val="auto"/>
                <w:szCs w:val="21"/>
                <w:highlight w:val="none"/>
              </w:rPr>
              <w:t>条款号</w:t>
            </w:r>
          </w:p>
        </w:tc>
        <w:tc>
          <w:tcPr>
            <w:tcW w:w="4792" w:type="dxa"/>
            <w:gridSpan w:val="5"/>
            <w:tcBorders>
              <w:top w:val="single" w:color="auto" w:sz="4" w:space="0"/>
            </w:tcBorders>
          </w:tcPr>
          <w:p w14:paraId="666C0AD6">
            <w:pPr>
              <w:spacing w:line="440" w:lineRule="atLeast"/>
              <w:jc w:val="center"/>
              <w:rPr>
                <w:b/>
                <w:color w:val="auto"/>
                <w:szCs w:val="21"/>
                <w:highlight w:val="none"/>
              </w:rPr>
            </w:pPr>
            <w:r>
              <w:rPr>
                <w:b/>
                <w:color w:val="auto"/>
                <w:szCs w:val="21"/>
                <w:highlight w:val="none"/>
              </w:rPr>
              <w:t>评分因素与权重分值</w:t>
            </w:r>
          </w:p>
        </w:tc>
        <w:tc>
          <w:tcPr>
            <w:tcW w:w="2746" w:type="dxa"/>
            <w:vMerge w:val="restart"/>
            <w:tcBorders>
              <w:top w:val="single" w:color="auto" w:sz="4" w:space="0"/>
            </w:tcBorders>
            <w:vAlign w:val="center"/>
          </w:tcPr>
          <w:p w14:paraId="77898256">
            <w:pPr>
              <w:spacing w:line="440" w:lineRule="atLeast"/>
              <w:jc w:val="center"/>
              <w:rPr>
                <w:b/>
                <w:color w:val="auto"/>
                <w:szCs w:val="21"/>
                <w:highlight w:val="none"/>
              </w:rPr>
            </w:pPr>
            <w:r>
              <w:rPr>
                <w:b/>
                <w:color w:val="auto"/>
                <w:szCs w:val="21"/>
                <w:highlight w:val="none"/>
              </w:rPr>
              <w:t>评分标准</w:t>
            </w:r>
          </w:p>
        </w:tc>
      </w:tr>
      <w:tr w14:paraId="345F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53" w:type="dxa"/>
            <w:vMerge w:val="continue"/>
            <w:vAlign w:val="center"/>
          </w:tcPr>
          <w:p w14:paraId="0F5EEA94">
            <w:pPr>
              <w:spacing w:line="440" w:lineRule="atLeast"/>
              <w:jc w:val="center"/>
              <w:rPr>
                <w:b/>
                <w:color w:val="auto"/>
                <w:szCs w:val="21"/>
                <w:highlight w:val="none"/>
              </w:rPr>
            </w:pPr>
          </w:p>
        </w:tc>
        <w:tc>
          <w:tcPr>
            <w:tcW w:w="1086" w:type="dxa"/>
            <w:gridSpan w:val="2"/>
            <w:vAlign w:val="center"/>
          </w:tcPr>
          <w:p w14:paraId="6420F329">
            <w:pPr>
              <w:spacing w:line="440" w:lineRule="atLeast"/>
              <w:jc w:val="center"/>
              <w:rPr>
                <w:b/>
                <w:color w:val="auto"/>
                <w:szCs w:val="21"/>
                <w:highlight w:val="none"/>
              </w:rPr>
            </w:pPr>
            <w:r>
              <w:rPr>
                <w:b/>
                <w:color w:val="auto"/>
                <w:szCs w:val="21"/>
                <w:highlight w:val="none"/>
              </w:rPr>
              <w:t>评分因素</w:t>
            </w:r>
          </w:p>
        </w:tc>
        <w:tc>
          <w:tcPr>
            <w:tcW w:w="1170" w:type="dxa"/>
            <w:vAlign w:val="center"/>
          </w:tcPr>
          <w:p w14:paraId="319BAB0A">
            <w:pPr>
              <w:spacing w:line="440" w:lineRule="atLeast"/>
              <w:ind w:left="-105" w:leftChars="-50" w:right="-105" w:rightChars="-50"/>
              <w:jc w:val="center"/>
              <w:rPr>
                <w:b/>
                <w:color w:val="auto"/>
                <w:szCs w:val="21"/>
                <w:highlight w:val="none"/>
              </w:rPr>
            </w:pPr>
            <w:r>
              <w:rPr>
                <w:b/>
                <w:color w:val="auto"/>
                <w:szCs w:val="21"/>
                <w:highlight w:val="none"/>
              </w:rPr>
              <w:t>评分因素权重分值</w:t>
            </w:r>
          </w:p>
        </w:tc>
        <w:tc>
          <w:tcPr>
            <w:tcW w:w="1714" w:type="dxa"/>
            <w:vAlign w:val="center"/>
          </w:tcPr>
          <w:p w14:paraId="097B8739">
            <w:pPr>
              <w:spacing w:line="440" w:lineRule="atLeast"/>
              <w:jc w:val="center"/>
              <w:rPr>
                <w:b/>
                <w:color w:val="auto"/>
                <w:szCs w:val="21"/>
                <w:highlight w:val="none"/>
              </w:rPr>
            </w:pPr>
            <w:r>
              <w:rPr>
                <w:b/>
                <w:color w:val="auto"/>
                <w:szCs w:val="21"/>
                <w:highlight w:val="none"/>
              </w:rPr>
              <w:t>各评分因素细分项</w:t>
            </w:r>
          </w:p>
        </w:tc>
        <w:tc>
          <w:tcPr>
            <w:tcW w:w="822" w:type="dxa"/>
            <w:vAlign w:val="center"/>
          </w:tcPr>
          <w:p w14:paraId="0D26A007">
            <w:pPr>
              <w:spacing w:line="440" w:lineRule="atLeast"/>
              <w:jc w:val="right"/>
              <w:rPr>
                <w:b/>
                <w:color w:val="auto"/>
                <w:szCs w:val="21"/>
                <w:highlight w:val="none"/>
              </w:rPr>
            </w:pPr>
            <w:r>
              <w:rPr>
                <w:b/>
                <w:color w:val="auto"/>
                <w:szCs w:val="21"/>
                <w:highlight w:val="none"/>
              </w:rPr>
              <w:t>分值</w:t>
            </w:r>
          </w:p>
        </w:tc>
        <w:tc>
          <w:tcPr>
            <w:tcW w:w="2746" w:type="dxa"/>
            <w:vMerge w:val="continue"/>
          </w:tcPr>
          <w:p w14:paraId="0BBEB8EA">
            <w:pPr>
              <w:spacing w:line="440" w:lineRule="atLeast"/>
              <w:jc w:val="center"/>
              <w:rPr>
                <w:b/>
                <w:color w:val="auto"/>
                <w:szCs w:val="21"/>
                <w:highlight w:val="none"/>
              </w:rPr>
            </w:pPr>
          </w:p>
        </w:tc>
      </w:tr>
      <w:tr w14:paraId="135A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Merge w:val="restart"/>
            <w:vAlign w:val="center"/>
          </w:tcPr>
          <w:p w14:paraId="3A38292C">
            <w:pPr>
              <w:spacing w:line="440" w:lineRule="atLeast"/>
              <w:jc w:val="center"/>
              <w:rPr>
                <w:color w:val="auto"/>
                <w:szCs w:val="21"/>
                <w:highlight w:val="none"/>
              </w:rPr>
            </w:pPr>
            <w:r>
              <w:rPr>
                <w:color w:val="auto"/>
                <w:szCs w:val="21"/>
                <w:highlight w:val="none"/>
              </w:rPr>
              <w:t>2.2.4(1)</w:t>
            </w:r>
          </w:p>
        </w:tc>
        <w:tc>
          <w:tcPr>
            <w:tcW w:w="1086" w:type="dxa"/>
            <w:gridSpan w:val="2"/>
            <w:vMerge w:val="restart"/>
            <w:vAlign w:val="center"/>
          </w:tcPr>
          <w:p w14:paraId="62C59B18">
            <w:pPr>
              <w:spacing w:line="440" w:lineRule="atLeast"/>
              <w:jc w:val="center"/>
              <w:rPr>
                <w:color w:val="auto"/>
                <w:szCs w:val="21"/>
                <w:highlight w:val="none"/>
              </w:rPr>
            </w:pPr>
            <w:r>
              <w:rPr>
                <w:color w:val="auto"/>
                <w:szCs w:val="21"/>
                <w:highlight w:val="none"/>
              </w:rPr>
              <w:t>技术建议书</w:t>
            </w:r>
          </w:p>
        </w:tc>
        <w:tc>
          <w:tcPr>
            <w:tcW w:w="1170" w:type="dxa"/>
            <w:vMerge w:val="restart"/>
            <w:vAlign w:val="center"/>
          </w:tcPr>
          <w:p w14:paraId="5480A4D7">
            <w:pPr>
              <w:spacing w:line="440" w:lineRule="atLeast"/>
              <w:jc w:val="right"/>
              <w:rPr>
                <w:color w:val="auto"/>
                <w:szCs w:val="21"/>
                <w:highlight w:val="none"/>
                <w:u w:val="single"/>
              </w:rPr>
            </w:pPr>
            <w:r>
              <w:rPr>
                <w:rFonts w:hint="eastAsia"/>
                <w:color w:val="auto"/>
                <w:szCs w:val="21"/>
                <w:highlight w:val="none"/>
                <w:u w:val="single"/>
                <w:lang w:val="en-US" w:eastAsia="zh-CN"/>
              </w:rPr>
              <w:t>45</w:t>
            </w:r>
            <w:r>
              <w:rPr>
                <w:color w:val="auto"/>
                <w:szCs w:val="21"/>
                <w:highlight w:val="none"/>
              </w:rPr>
              <w:t>分</w:t>
            </w:r>
          </w:p>
        </w:tc>
        <w:tc>
          <w:tcPr>
            <w:tcW w:w="1714" w:type="dxa"/>
            <w:vAlign w:val="center"/>
          </w:tcPr>
          <w:p w14:paraId="791B3583">
            <w:pPr>
              <w:widowControl/>
              <w:jc w:val="left"/>
              <w:rPr>
                <w:rFonts w:eastAsia="黑体"/>
                <w:color w:val="auto"/>
                <w:szCs w:val="21"/>
                <w:highlight w:val="none"/>
              </w:rPr>
            </w:pPr>
            <w:r>
              <w:rPr>
                <w:rFonts w:ascii="宋体" w:hAnsi="宋体" w:eastAsia="宋体" w:cs="宋体"/>
                <w:color w:val="auto"/>
                <w:kern w:val="0"/>
                <w:sz w:val="21"/>
                <w:szCs w:val="24"/>
                <w:highlight w:val="none"/>
                <w:lang w:val="en-US" w:eastAsia="en-US" w:bidi="ar-SA"/>
              </w:rPr>
              <w:t>检测方案</w:t>
            </w:r>
          </w:p>
        </w:tc>
        <w:tc>
          <w:tcPr>
            <w:tcW w:w="822" w:type="dxa"/>
            <w:vAlign w:val="center"/>
          </w:tcPr>
          <w:p w14:paraId="6B870CF3">
            <w:pPr>
              <w:widowControl/>
              <w:jc w:val="left"/>
              <w:rPr>
                <w:rFonts w:eastAsia="黑体"/>
                <w:color w:val="auto"/>
                <w:szCs w:val="21"/>
                <w:highlight w:val="none"/>
              </w:rPr>
            </w:pPr>
            <w:r>
              <w:rPr>
                <w:rFonts w:hint="eastAsia" w:ascii="宋体" w:hAnsi="宋体" w:cs="宋体"/>
                <w:color w:val="auto"/>
                <w:kern w:val="0"/>
                <w:sz w:val="21"/>
                <w:szCs w:val="24"/>
                <w:highlight w:val="none"/>
                <w:lang w:val="en-US" w:eastAsia="zh-CN" w:bidi="ar-SA"/>
              </w:rPr>
              <w:t>25</w:t>
            </w:r>
            <w:r>
              <w:rPr>
                <w:rFonts w:ascii="宋体" w:hAnsi="宋体" w:eastAsia="宋体" w:cs="宋体"/>
                <w:color w:val="auto"/>
                <w:kern w:val="0"/>
                <w:sz w:val="21"/>
                <w:szCs w:val="24"/>
                <w:highlight w:val="none"/>
                <w:lang w:val="en-US" w:eastAsia="en-US" w:bidi="ar-SA"/>
              </w:rPr>
              <w:t>.0</w:t>
            </w:r>
          </w:p>
        </w:tc>
        <w:tc>
          <w:tcPr>
            <w:tcW w:w="2746" w:type="dxa"/>
            <w:vAlign w:val="center"/>
          </w:tcPr>
          <w:p w14:paraId="7838F6F0">
            <w:pPr>
              <w:widowControl/>
              <w:jc w:val="left"/>
              <w:rPr>
                <w:rFonts w:ascii="宋体" w:hAnsi="宋体" w:eastAsia="宋体" w:cs="宋体"/>
                <w:color w:val="auto"/>
                <w:kern w:val="0"/>
                <w:sz w:val="21"/>
                <w:szCs w:val="24"/>
                <w:highlight w:val="none"/>
                <w:lang w:val="en-US" w:eastAsia="en-US" w:bidi="ar-SA"/>
              </w:rPr>
            </w:pPr>
            <w:r>
              <w:rPr>
                <w:rFonts w:ascii="宋体" w:hAnsi="宋体" w:eastAsia="宋体" w:cs="宋体"/>
                <w:color w:val="auto"/>
                <w:kern w:val="0"/>
                <w:sz w:val="21"/>
                <w:szCs w:val="24"/>
                <w:highlight w:val="none"/>
                <w:lang w:val="en-US" w:eastAsia="en-US" w:bidi="ar-SA"/>
              </w:rPr>
              <w:t>检测方案基本适合本项目，针对性一般，得</w:t>
            </w:r>
            <w:r>
              <w:rPr>
                <w:rFonts w:hint="eastAsia" w:ascii="宋体" w:hAnsi="宋体" w:cs="宋体"/>
                <w:color w:val="auto"/>
                <w:kern w:val="0"/>
                <w:sz w:val="21"/>
                <w:szCs w:val="24"/>
                <w:highlight w:val="none"/>
                <w:lang w:val="en-US" w:eastAsia="zh-CN" w:bidi="ar-SA"/>
              </w:rPr>
              <w:t>20</w:t>
            </w:r>
            <w:r>
              <w:rPr>
                <w:rFonts w:ascii="宋体" w:hAnsi="宋体" w:eastAsia="宋体" w:cs="宋体"/>
                <w:color w:val="auto"/>
                <w:kern w:val="0"/>
                <w:sz w:val="21"/>
                <w:szCs w:val="24"/>
                <w:highlight w:val="none"/>
                <w:lang w:val="en-US" w:eastAsia="en-US" w:bidi="ar-SA"/>
              </w:rPr>
              <w:t>分；</w:t>
            </w:r>
          </w:p>
          <w:p w14:paraId="11959898">
            <w:pPr>
              <w:widowControl/>
              <w:jc w:val="left"/>
              <w:rPr>
                <w:rFonts w:ascii="宋体" w:hAnsi="宋体" w:eastAsia="宋体" w:cs="宋体"/>
                <w:color w:val="auto"/>
                <w:kern w:val="0"/>
                <w:sz w:val="21"/>
                <w:szCs w:val="24"/>
                <w:highlight w:val="none"/>
                <w:lang w:val="en-US" w:eastAsia="en-US" w:bidi="ar-SA"/>
              </w:rPr>
            </w:pPr>
            <w:r>
              <w:rPr>
                <w:rFonts w:ascii="宋体" w:hAnsi="宋体" w:eastAsia="宋体" w:cs="宋体"/>
                <w:color w:val="auto"/>
                <w:kern w:val="0"/>
                <w:sz w:val="21"/>
                <w:szCs w:val="24"/>
                <w:highlight w:val="none"/>
                <w:lang w:val="en-US" w:eastAsia="en-US" w:bidi="ar-SA"/>
              </w:rPr>
              <w:t>检测方案适合本项目，针对性较好，得</w:t>
            </w:r>
            <w:r>
              <w:rPr>
                <w:rFonts w:hint="eastAsia" w:ascii="宋体" w:hAnsi="宋体" w:cs="宋体"/>
                <w:color w:val="auto"/>
                <w:kern w:val="0"/>
                <w:sz w:val="21"/>
                <w:szCs w:val="24"/>
                <w:highlight w:val="none"/>
                <w:lang w:val="en-US" w:eastAsia="zh-CN" w:bidi="ar-SA"/>
              </w:rPr>
              <w:t>20</w:t>
            </w:r>
            <w:r>
              <w:rPr>
                <w:rFonts w:ascii="宋体" w:hAnsi="宋体" w:eastAsia="宋体" w:cs="宋体"/>
                <w:color w:val="auto"/>
                <w:kern w:val="0"/>
                <w:sz w:val="21"/>
                <w:szCs w:val="24"/>
                <w:highlight w:val="none"/>
                <w:lang w:val="en-US" w:eastAsia="en-US" w:bidi="ar-SA"/>
              </w:rPr>
              <w:t>-</w:t>
            </w:r>
            <w:r>
              <w:rPr>
                <w:rFonts w:hint="eastAsia" w:ascii="宋体" w:hAnsi="宋体" w:cs="宋体"/>
                <w:color w:val="auto"/>
                <w:kern w:val="0"/>
                <w:sz w:val="21"/>
                <w:szCs w:val="24"/>
                <w:highlight w:val="none"/>
                <w:lang w:val="en-US" w:eastAsia="zh-CN" w:bidi="ar-SA"/>
              </w:rPr>
              <w:t>23</w:t>
            </w:r>
            <w:r>
              <w:rPr>
                <w:rFonts w:ascii="宋体" w:hAnsi="宋体" w:eastAsia="宋体" w:cs="宋体"/>
                <w:color w:val="auto"/>
                <w:kern w:val="0"/>
                <w:sz w:val="21"/>
                <w:szCs w:val="24"/>
                <w:highlight w:val="none"/>
                <w:lang w:val="en-US" w:eastAsia="en-US" w:bidi="ar-SA"/>
              </w:rPr>
              <w:t>分（含）；</w:t>
            </w:r>
          </w:p>
          <w:p w14:paraId="6CB49BC4">
            <w:pPr>
              <w:widowControl/>
              <w:jc w:val="left"/>
              <w:rPr>
                <w:rFonts w:ascii="宋体" w:hAnsi="宋体" w:eastAsia="宋体" w:cs="宋体"/>
                <w:color w:val="auto"/>
                <w:kern w:val="0"/>
                <w:sz w:val="21"/>
                <w:szCs w:val="24"/>
                <w:highlight w:val="none"/>
                <w:lang w:val="en-US" w:eastAsia="en-US" w:bidi="ar-SA"/>
              </w:rPr>
            </w:pPr>
            <w:r>
              <w:rPr>
                <w:rFonts w:ascii="宋体" w:hAnsi="宋体" w:eastAsia="宋体" w:cs="宋体"/>
                <w:color w:val="auto"/>
                <w:kern w:val="0"/>
                <w:sz w:val="21"/>
                <w:szCs w:val="24"/>
                <w:highlight w:val="none"/>
                <w:lang w:val="en-US" w:eastAsia="en-US" w:bidi="ar-SA"/>
              </w:rPr>
              <w:t>检测方案充分适合本项目，针对性很好，得</w:t>
            </w:r>
            <w:r>
              <w:rPr>
                <w:rFonts w:hint="eastAsia" w:ascii="宋体" w:hAnsi="宋体" w:cs="宋体"/>
                <w:color w:val="auto"/>
                <w:kern w:val="0"/>
                <w:sz w:val="21"/>
                <w:szCs w:val="24"/>
                <w:highlight w:val="none"/>
                <w:lang w:val="en-US" w:eastAsia="zh-CN" w:bidi="ar-SA"/>
              </w:rPr>
              <w:t>23-25</w:t>
            </w:r>
            <w:r>
              <w:rPr>
                <w:rFonts w:ascii="宋体" w:hAnsi="宋体" w:eastAsia="宋体" w:cs="宋体"/>
                <w:color w:val="auto"/>
                <w:kern w:val="0"/>
                <w:sz w:val="21"/>
                <w:szCs w:val="24"/>
                <w:highlight w:val="none"/>
                <w:lang w:val="en-US" w:eastAsia="en-US" w:bidi="ar-SA"/>
              </w:rPr>
              <w:t>分（含）。</w:t>
            </w:r>
          </w:p>
          <w:p w14:paraId="1A7F635E">
            <w:pPr>
              <w:widowControl/>
              <w:jc w:val="left"/>
              <w:rPr>
                <w:rFonts w:eastAsia="黑体"/>
                <w:color w:val="auto"/>
                <w:szCs w:val="21"/>
                <w:highlight w:val="none"/>
              </w:rPr>
            </w:pPr>
            <w:r>
              <w:rPr>
                <w:rFonts w:ascii="宋体" w:hAnsi="宋体" w:eastAsia="宋体" w:cs="宋体"/>
                <w:color w:val="auto"/>
                <w:kern w:val="0"/>
                <w:sz w:val="21"/>
                <w:szCs w:val="24"/>
                <w:highlight w:val="none"/>
                <w:lang w:val="en-US" w:eastAsia="en-US" w:bidi="ar-SA"/>
              </w:rPr>
              <w:t>注：未提供者本项不计分。</w:t>
            </w:r>
          </w:p>
        </w:tc>
      </w:tr>
      <w:tr w14:paraId="6F58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Merge w:val="continue"/>
            <w:vAlign w:val="center"/>
          </w:tcPr>
          <w:p w14:paraId="65DC3ACF">
            <w:pPr>
              <w:spacing w:line="440" w:lineRule="atLeast"/>
              <w:jc w:val="center"/>
              <w:rPr>
                <w:color w:val="auto"/>
                <w:szCs w:val="21"/>
                <w:highlight w:val="none"/>
              </w:rPr>
            </w:pPr>
          </w:p>
        </w:tc>
        <w:tc>
          <w:tcPr>
            <w:tcW w:w="1086" w:type="dxa"/>
            <w:gridSpan w:val="2"/>
            <w:vMerge w:val="continue"/>
            <w:vAlign w:val="center"/>
          </w:tcPr>
          <w:p w14:paraId="07D237F1">
            <w:pPr>
              <w:spacing w:line="440" w:lineRule="atLeast"/>
              <w:jc w:val="center"/>
              <w:rPr>
                <w:color w:val="auto"/>
                <w:szCs w:val="21"/>
                <w:highlight w:val="none"/>
              </w:rPr>
            </w:pPr>
          </w:p>
        </w:tc>
        <w:tc>
          <w:tcPr>
            <w:tcW w:w="1170" w:type="dxa"/>
            <w:vMerge w:val="continue"/>
            <w:vAlign w:val="center"/>
          </w:tcPr>
          <w:p w14:paraId="2C71C509">
            <w:pPr>
              <w:spacing w:line="440" w:lineRule="atLeast"/>
              <w:jc w:val="right"/>
              <w:rPr>
                <w:color w:val="auto"/>
                <w:szCs w:val="21"/>
                <w:highlight w:val="none"/>
                <w:u w:val="single"/>
              </w:rPr>
            </w:pPr>
          </w:p>
        </w:tc>
        <w:tc>
          <w:tcPr>
            <w:tcW w:w="1714" w:type="dxa"/>
            <w:vAlign w:val="center"/>
          </w:tcPr>
          <w:p w14:paraId="7A7D7269">
            <w:pPr>
              <w:widowControl/>
              <w:jc w:val="left"/>
              <w:rPr>
                <w:rFonts w:eastAsia="黑体"/>
                <w:color w:val="auto"/>
                <w:szCs w:val="21"/>
                <w:highlight w:val="none"/>
              </w:rPr>
            </w:pPr>
            <w:r>
              <w:rPr>
                <w:rFonts w:ascii="宋体" w:hAnsi="宋体" w:eastAsia="宋体" w:cs="宋体"/>
                <w:color w:val="auto"/>
                <w:kern w:val="0"/>
                <w:sz w:val="21"/>
                <w:szCs w:val="24"/>
                <w:highlight w:val="none"/>
                <w:lang w:val="en-US" w:eastAsia="en-US" w:bidi="ar-SA"/>
              </w:rPr>
              <w:t>项目组织机构及人员安排</w:t>
            </w:r>
          </w:p>
        </w:tc>
        <w:tc>
          <w:tcPr>
            <w:tcW w:w="822" w:type="dxa"/>
            <w:vAlign w:val="center"/>
          </w:tcPr>
          <w:p w14:paraId="7FFFB979">
            <w:pPr>
              <w:widowControl/>
              <w:jc w:val="left"/>
              <w:rPr>
                <w:rFonts w:eastAsia="黑体"/>
                <w:color w:val="auto"/>
                <w:szCs w:val="21"/>
                <w:highlight w:val="none"/>
              </w:rPr>
            </w:pPr>
            <w:r>
              <w:rPr>
                <w:rFonts w:ascii="宋体" w:hAnsi="宋体" w:eastAsia="宋体" w:cs="宋体"/>
                <w:color w:val="auto"/>
                <w:kern w:val="0"/>
                <w:sz w:val="21"/>
                <w:szCs w:val="24"/>
                <w:highlight w:val="none"/>
                <w:lang w:val="en-US" w:eastAsia="en-US" w:bidi="ar-SA"/>
              </w:rPr>
              <w:t>1</w:t>
            </w:r>
            <w:r>
              <w:rPr>
                <w:rFonts w:hint="eastAsia" w:ascii="宋体" w:hAnsi="宋体" w:cs="宋体"/>
                <w:color w:val="auto"/>
                <w:kern w:val="0"/>
                <w:sz w:val="21"/>
                <w:szCs w:val="24"/>
                <w:highlight w:val="none"/>
                <w:lang w:val="en-US" w:eastAsia="zh-CN" w:bidi="ar-SA"/>
              </w:rPr>
              <w:t>0</w:t>
            </w:r>
            <w:r>
              <w:rPr>
                <w:rFonts w:ascii="宋体" w:hAnsi="宋体" w:eastAsia="宋体" w:cs="宋体"/>
                <w:color w:val="auto"/>
                <w:kern w:val="0"/>
                <w:sz w:val="21"/>
                <w:szCs w:val="24"/>
                <w:highlight w:val="none"/>
                <w:lang w:val="en-US" w:eastAsia="en-US" w:bidi="ar-SA"/>
              </w:rPr>
              <w:t>.0</w:t>
            </w:r>
          </w:p>
        </w:tc>
        <w:tc>
          <w:tcPr>
            <w:tcW w:w="2746" w:type="dxa"/>
            <w:vAlign w:val="center"/>
          </w:tcPr>
          <w:p w14:paraId="5F7DE88D">
            <w:pPr>
              <w:widowControl/>
              <w:jc w:val="left"/>
              <w:rPr>
                <w:rFonts w:ascii="宋体" w:hAnsi="宋体" w:eastAsia="宋体" w:cs="宋体"/>
                <w:color w:val="auto"/>
                <w:kern w:val="0"/>
                <w:sz w:val="21"/>
                <w:szCs w:val="24"/>
                <w:highlight w:val="none"/>
                <w:lang w:val="en-US" w:eastAsia="en-US" w:bidi="ar-SA"/>
              </w:rPr>
            </w:pPr>
            <w:r>
              <w:rPr>
                <w:rFonts w:ascii="宋体" w:hAnsi="宋体" w:eastAsia="宋体" w:cs="宋体"/>
                <w:color w:val="auto"/>
                <w:kern w:val="0"/>
                <w:sz w:val="21"/>
                <w:szCs w:val="24"/>
                <w:highlight w:val="none"/>
                <w:lang w:val="en-US" w:eastAsia="en-US" w:bidi="ar-SA"/>
              </w:rPr>
              <w:t>项目组织机构及主要人员安排基本明确、基本合理，得</w:t>
            </w:r>
            <w:r>
              <w:rPr>
                <w:rFonts w:hint="eastAsia" w:ascii="宋体" w:hAnsi="宋体" w:cs="宋体"/>
                <w:color w:val="auto"/>
                <w:kern w:val="0"/>
                <w:sz w:val="21"/>
                <w:szCs w:val="24"/>
                <w:highlight w:val="none"/>
                <w:lang w:val="en-US" w:eastAsia="zh-CN" w:bidi="ar-SA"/>
              </w:rPr>
              <w:t>8</w:t>
            </w:r>
            <w:r>
              <w:rPr>
                <w:rFonts w:ascii="宋体" w:hAnsi="宋体" w:eastAsia="宋体" w:cs="宋体"/>
                <w:color w:val="auto"/>
                <w:kern w:val="0"/>
                <w:sz w:val="21"/>
                <w:szCs w:val="24"/>
                <w:highlight w:val="none"/>
                <w:lang w:val="en-US" w:eastAsia="en-US" w:bidi="ar-SA"/>
              </w:rPr>
              <w:t>分；</w:t>
            </w:r>
          </w:p>
          <w:p w14:paraId="400FBE0E">
            <w:pPr>
              <w:widowControl/>
              <w:jc w:val="left"/>
              <w:rPr>
                <w:rFonts w:ascii="宋体" w:hAnsi="宋体" w:eastAsia="宋体" w:cs="宋体"/>
                <w:color w:val="auto"/>
                <w:kern w:val="0"/>
                <w:sz w:val="21"/>
                <w:szCs w:val="24"/>
                <w:highlight w:val="none"/>
                <w:lang w:val="en-US" w:eastAsia="en-US" w:bidi="ar-SA"/>
              </w:rPr>
            </w:pPr>
            <w:r>
              <w:rPr>
                <w:rFonts w:ascii="宋体" w:hAnsi="宋体" w:eastAsia="宋体" w:cs="宋体"/>
                <w:color w:val="auto"/>
                <w:kern w:val="0"/>
                <w:sz w:val="21"/>
                <w:szCs w:val="24"/>
                <w:highlight w:val="none"/>
                <w:lang w:val="en-US" w:eastAsia="en-US" w:bidi="ar-SA"/>
              </w:rPr>
              <w:t>项目组织机构及主要人员安排明确、较合理，得</w:t>
            </w:r>
            <w:r>
              <w:rPr>
                <w:rFonts w:hint="eastAsia" w:ascii="宋体" w:hAnsi="宋体" w:cs="宋体"/>
                <w:color w:val="auto"/>
                <w:kern w:val="0"/>
                <w:sz w:val="21"/>
                <w:szCs w:val="24"/>
                <w:highlight w:val="none"/>
                <w:lang w:val="en-US" w:eastAsia="zh-CN" w:bidi="ar-SA"/>
              </w:rPr>
              <w:t>8</w:t>
            </w:r>
            <w:r>
              <w:rPr>
                <w:rFonts w:ascii="宋体" w:hAnsi="宋体" w:eastAsia="宋体" w:cs="宋体"/>
                <w:color w:val="auto"/>
                <w:kern w:val="0"/>
                <w:sz w:val="21"/>
                <w:szCs w:val="24"/>
                <w:highlight w:val="none"/>
                <w:lang w:val="en-US" w:eastAsia="en-US" w:bidi="ar-SA"/>
              </w:rPr>
              <w:t>-</w:t>
            </w:r>
            <w:r>
              <w:rPr>
                <w:rFonts w:hint="eastAsia" w:ascii="宋体" w:hAnsi="宋体" w:cs="宋体"/>
                <w:color w:val="auto"/>
                <w:kern w:val="0"/>
                <w:sz w:val="21"/>
                <w:szCs w:val="24"/>
                <w:highlight w:val="none"/>
                <w:lang w:val="en-US" w:eastAsia="zh-CN" w:bidi="ar-SA"/>
              </w:rPr>
              <w:t>9</w:t>
            </w:r>
            <w:r>
              <w:rPr>
                <w:rFonts w:ascii="宋体" w:hAnsi="宋体" w:eastAsia="宋体" w:cs="宋体"/>
                <w:color w:val="auto"/>
                <w:kern w:val="0"/>
                <w:sz w:val="21"/>
                <w:szCs w:val="24"/>
                <w:highlight w:val="none"/>
                <w:lang w:val="en-US" w:eastAsia="en-US" w:bidi="ar-SA"/>
              </w:rPr>
              <w:t>分（含）；</w:t>
            </w:r>
          </w:p>
          <w:p w14:paraId="4B84B819">
            <w:pPr>
              <w:widowControl/>
              <w:jc w:val="left"/>
              <w:rPr>
                <w:rFonts w:ascii="宋体" w:hAnsi="宋体" w:eastAsia="宋体" w:cs="宋体"/>
                <w:color w:val="auto"/>
                <w:kern w:val="0"/>
                <w:sz w:val="21"/>
                <w:szCs w:val="24"/>
                <w:highlight w:val="none"/>
                <w:lang w:val="en-US" w:eastAsia="en-US" w:bidi="ar-SA"/>
              </w:rPr>
            </w:pPr>
            <w:r>
              <w:rPr>
                <w:rFonts w:ascii="宋体" w:hAnsi="宋体" w:eastAsia="宋体" w:cs="宋体"/>
                <w:color w:val="auto"/>
                <w:kern w:val="0"/>
                <w:sz w:val="21"/>
                <w:szCs w:val="24"/>
                <w:highlight w:val="none"/>
                <w:lang w:val="en-US" w:eastAsia="en-US" w:bidi="ar-SA"/>
              </w:rPr>
              <w:t>项目组织机构及主要人员安排很明确、完善、合理，得</w:t>
            </w:r>
            <w:r>
              <w:rPr>
                <w:rFonts w:hint="eastAsia" w:ascii="宋体" w:hAnsi="宋体" w:cs="宋体"/>
                <w:color w:val="auto"/>
                <w:kern w:val="0"/>
                <w:sz w:val="21"/>
                <w:szCs w:val="24"/>
                <w:highlight w:val="none"/>
                <w:lang w:val="en-US" w:eastAsia="zh-CN" w:bidi="ar-SA"/>
              </w:rPr>
              <w:t>9</w:t>
            </w:r>
            <w:r>
              <w:rPr>
                <w:rFonts w:ascii="宋体" w:hAnsi="宋体" w:eastAsia="宋体" w:cs="宋体"/>
                <w:color w:val="auto"/>
                <w:kern w:val="0"/>
                <w:sz w:val="21"/>
                <w:szCs w:val="24"/>
                <w:highlight w:val="none"/>
                <w:lang w:val="en-US" w:eastAsia="en-US" w:bidi="ar-SA"/>
              </w:rPr>
              <w:t>-1</w:t>
            </w:r>
            <w:r>
              <w:rPr>
                <w:rFonts w:hint="eastAsia" w:ascii="宋体" w:hAnsi="宋体" w:cs="宋体"/>
                <w:color w:val="auto"/>
                <w:kern w:val="0"/>
                <w:sz w:val="21"/>
                <w:szCs w:val="24"/>
                <w:highlight w:val="none"/>
                <w:lang w:val="en-US" w:eastAsia="zh-CN" w:bidi="ar-SA"/>
              </w:rPr>
              <w:t>0</w:t>
            </w:r>
            <w:r>
              <w:rPr>
                <w:rFonts w:ascii="宋体" w:hAnsi="宋体" w:eastAsia="宋体" w:cs="宋体"/>
                <w:color w:val="auto"/>
                <w:kern w:val="0"/>
                <w:sz w:val="21"/>
                <w:szCs w:val="24"/>
                <w:highlight w:val="none"/>
                <w:lang w:val="en-US" w:eastAsia="en-US" w:bidi="ar-SA"/>
              </w:rPr>
              <w:t>分（含）。</w:t>
            </w:r>
          </w:p>
          <w:p w14:paraId="07A9ACB6">
            <w:pPr>
              <w:widowControl/>
              <w:jc w:val="left"/>
              <w:rPr>
                <w:rFonts w:eastAsia="黑体"/>
                <w:color w:val="auto"/>
                <w:szCs w:val="21"/>
                <w:highlight w:val="none"/>
              </w:rPr>
            </w:pPr>
            <w:r>
              <w:rPr>
                <w:rFonts w:ascii="宋体" w:hAnsi="宋体" w:eastAsia="宋体" w:cs="宋体"/>
                <w:color w:val="auto"/>
                <w:kern w:val="0"/>
                <w:sz w:val="21"/>
                <w:szCs w:val="24"/>
                <w:highlight w:val="none"/>
                <w:lang w:val="en-US" w:eastAsia="en-US" w:bidi="ar-SA"/>
              </w:rPr>
              <w:t>注：未提供者本项不计分。</w:t>
            </w:r>
          </w:p>
        </w:tc>
      </w:tr>
      <w:tr w14:paraId="7F6A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Merge w:val="continue"/>
            <w:vAlign w:val="center"/>
          </w:tcPr>
          <w:p w14:paraId="41C6C06C">
            <w:pPr>
              <w:spacing w:line="440" w:lineRule="atLeast"/>
              <w:jc w:val="center"/>
              <w:rPr>
                <w:color w:val="auto"/>
                <w:szCs w:val="21"/>
                <w:highlight w:val="none"/>
              </w:rPr>
            </w:pPr>
          </w:p>
        </w:tc>
        <w:tc>
          <w:tcPr>
            <w:tcW w:w="1086" w:type="dxa"/>
            <w:gridSpan w:val="2"/>
            <w:vMerge w:val="continue"/>
            <w:vAlign w:val="center"/>
          </w:tcPr>
          <w:p w14:paraId="3590E023">
            <w:pPr>
              <w:spacing w:line="440" w:lineRule="atLeast"/>
              <w:jc w:val="center"/>
              <w:rPr>
                <w:color w:val="auto"/>
                <w:szCs w:val="21"/>
                <w:highlight w:val="none"/>
              </w:rPr>
            </w:pPr>
          </w:p>
        </w:tc>
        <w:tc>
          <w:tcPr>
            <w:tcW w:w="1170" w:type="dxa"/>
            <w:vMerge w:val="continue"/>
            <w:vAlign w:val="center"/>
          </w:tcPr>
          <w:p w14:paraId="0041A5BE">
            <w:pPr>
              <w:spacing w:line="440" w:lineRule="atLeast"/>
              <w:jc w:val="right"/>
              <w:rPr>
                <w:color w:val="auto"/>
                <w:szCs w:val="21"/>
                <w:highlight w:val="none"/>
                <w:u w:val="single"/>
              </w:rPr>
            </w:pPr>
          </w:p>
        </w:tc>
        <w:tc>
          <w:tcPr>
            <w:tcW w:w="1714" w:type="dxa"/>
            <w:vAlign w:val="center"/>
          </w:tcPr>
          <w:p w14:paraId="45D3C94D">
            <w:pPr>
              <w:widowControl/>
              <w:jc w:val="left"/>
              <w:rPr>
                <w:rFonts w:eastAsia="黑体"/>
                <w:color w:val="auto"/>
                <w:szCs w:val="21"/>
                <w:highlight w:val="none"/>
              </w:rPr>
            </w:pPr>
            <w:r>
              <w:rPr>
                <w:rFonts w:ascii="宋体" w:hAnsi="宋体" w:eastAsia="宋体" w:cs="宋体"/>
                <w:color w:val="auto"/>
                <w:kern w:val="0"/>
                <w:sz w:val="21"/>
                <w:szCs w:val="24"/>
                <w:highlight w:val="none"/>
                <w:lang w:val="en-US" w:eastAsia="en-US" w:bidi="ar-SA"/>
              </w:rPr>
              <w:t>质量、安全保证体系</w:t>
            </w:r>
          </w:p>
        </w:tc>
        <w:tc>
          <w:tcPr>
            <w:tcW w:w="822" w:type="dxa"/>
            <w:vAlign w:val="center"/>
          </w:tcPr>
          <w:p w14:paraId="1D837E1A">
            <w:pPr>
              <w:widowControl/>
              <w:jc w:val="left"/>
              <w:rPr>
                <w:rFonts w:eastAsia="黑体"/>
                <w:color w:val="auto"/>
                <w:szCs w:val="21"/>
                <w:highlight w:val="none"/>
              </w:rPr>
            </w:pPr>
            <w:r>
              <w:rPr>
                <w:rFonts w:ascii="宋体" w:hAnsi="宋体" w:eastAsia="宋体" w:cs="宋体"/>
                <w:color w:val="auto"/>
                <w:kern w:val="0"/>
                <w:sz w:val="21"/>
                <w:szCs w:val="24"/>
                <w:highlight w:val="none"/>
                <w:lang w:val="en-US" w:eastAsia="en-US" w:bidi="ar-SA"/>
              </w:rPr>
              <w:t>10.0</w:t>
            </w:r>
          </w:p>
        </w:tc>
        <w:tc>
          <w:tcPr>
            <w:tcW w:w="2746" w:type="dxa"/>
            <w:vAlign w:val="center"/>
          </w:tcPr>
          <w:p w14:paraId="438B0B2D">
            <w:pPr>
              <w:widowControl/>
              <w:jc w:val="left"/>
              <w:rPr>
                <w:rFonts w:ascii="宋体" w:hAnsi="宋体" w:eastAsia="宋体" w:cs="宋体"/>
                <w:color w:val="auto"/>
                <w:kern w:val="0"/>
                <w:sz w:val="21"/>
                <w:szCs w:val="24"/>
                <w:highlight w:val="none"/>
                <w:lang w:val="en-US" w:eastAsia="en-US" w:bidi="ar-SA"/>
              </w:rPr>
            </w:pPr>
            <w:r>
              <w:rPr>
                <w:rFonts w:ascii="宋体" w:hAnsi="宋体" w:eastAsia="宋体" w:cs="宋体"/>
                <w:color w:val="auto"/>
                <w:kern w:val="0"/>
                <w:sz w:val="21"/>
                <w:szCs w:val="24"/>
                <w:highlight w:val="none"/>
                <w:lang w:val="en-US" w:eastAsia="en-US" w:bidi="ar-SA"/>
              </w:rPr>
              <w:t>质量、安全保证体系基本完善、基本合理，得8分；</w:t>
            </w:r>
          </w:p>
          <w:p w14:paraId="6C366CF1">
            <w:pPr>
              <w:widowControl/>
              <w:jc w:val="left"/>
              <w:rPr>
                <w:rFonts w:ascii="宋体" w:hAnsi="宋体" w:eastAsia="宋体" w:cs="宋体"/>
                <w:color w:val="auto"/>
                <w:kern w:val="0"/>
                <w:sz w:val="21"/>
                <w:szCs w:val="24"/>
                <w:highlight w:val="none"/>
                <w:lang w:val="en-US" w:eastAsia="en-US" w:bidi="ar-SA"/>
              </w:rPr>
            </w:pPr>
            <w:r>
              <w:rPr>
                <w:rFonts w:ascii="宋体" w:hAnsi="宋体" w:eastAsia="宋体" w:cs="宋体"/>
                <w:color w:val="auto"/>
                <w:kern w:val="0"/>
                <w:sz w:val="21"/>
                <w:szCs w:val="24"/>
                <w:highlight w:val="none"/>
                <w:lang w:val="en-US" w:eastAsia="en-US" w:bidi="ar-SA"/>
              </w:rPr>
              <w:t>质量、安全保证体系较完善、较合理，得8-9分（含）；</w:t>
            </w:r>
          </w:p>
          <w:p w14:paraId="0040EC21">
            <w:pPr>
              <w:widowControl/>
              <w:jc w:val="left"/>
              <w:rPr>
                <w:rFonts w:ascii="宋体" w:hAnsi="宋体" w:eastAsia="宋体" w:cs="宋体"/>
                <w:color w:val="auto"/>
                <w:kern w:val="0"/>
                <w:sz w:val="21"/>
                <w:szCs w:val="24"/>
                <w:highlight w:val="none"/>
                <w:lang w:val="en-US" w:eastAsia="en-US" w:bidi="ar-SA"/>
              </w:rPr>
            </w:pPr>
            <w:r>
              <w:rPr>
                <w:rFonts w:ascii="宋体" w:hAnsi="宋体" w:eastAsia="宋体" w:cs="宋体"/>
                <w:color w:val="auto"/>
                <w:kern w:val="0"/>
                <w:sz w:val="21"/>
                <w:szCs w:val="24"/>
                <w:highlight w:val="none"/>
                <w:lang w:val="en-US" w:eastAsia="en-US" w:bidi="ar-SA"/>
              </w:rPr>
              <w:t>质量、安全保证体系很完善、合理，得9-10分（含）。</w:t>
            </w:r>
          </w:p>
          <w:p w14:paraId="711BDE6C">
            <w:pPr>
              <w:widowControl/>
              <w:jc w:val="left"/>
              <w:rPr>
                <w:rFonts w:eastAsia="黑体"/>
                <w:color w:val="auto"/>
                <w:szCs w:val="21"/>
                <w:highlight w:val="none"/>
              </w:rPr>
            </w:pPr>
            <w:r>
              <w:rPr>
                <w:rFonts w:ascii="宋体" w:hAnsi="宋体" w:eastAsia="宋体" w:cs="宋体"/>
                <w:color w:val="auto"/>
                <w:kern w:val="0"/>
                <w:sz w:val="21"/>
                <w:szCs w:val="24"/>
                <w:highlight w:val="none"/>
                <w:lang w:val="en-US" w:eastAsia="en-US" w:bidi="ar-SA"/>
              </w:rPr>
              <w:t>注：未提供者本项不计分。</w:t>
            </w:r>
          </w:p>
        </w:tc>
      </w:tr>
      <w:tr w14:paraId="4D38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Merge w:val="restart"/>
            <w:vAlign w:val="center"/>
          </w:tcPr>
          <w:p w14:paraId="61EBC8C6">
            <w:pPr>
              <w:spacing w:line="440" w:lineRule="atLeast"/>
              <w:ind w:left="-92" w:leftChars="-44" w:right="-88" w:rightChars="-42"/>
              <w:jc w:val="center"/>
              <w:rPr>
                <w:color w:val="auto"/>
                <w:szCs w:val="21"/>
                <w:highlight w:val="none"/>
              </w:rPr>
            </w:pPr>
            <w:r>
              <w:rPr>
                <w:color w:val="auto"/>
                <w:szCs w:val="21"/>
                <w:highlight w:val="none"/>
              </w:rPr>
              <w:t>2.2.4(2)</w:t>
            </w:r>
          </w:p>
        </w:tc>
        <w:tc>
          <w:tcPr>
            <w:tcW w:w="1086" w:type="dxa"/>
            <w:gridSpan w:val="2"/>
            <w:vMerge w:val="restart"/>
            <w:vAlign w:val="center"/>
          </w:tcPr>
          <w:p w14:paraId="356B5722">
            <w:pPr>
              <w:spacing w:line="440" w:lineRule="atLeast"/>
              <w:jc w:val="center"/>
              <w:rPr>
                <w:color w:val="auto"/>
                <w:szCs w:val="21"/>
                <w:highlight w:val="none"/>
              </w:rPr>
            </w:pPr>
            <w:r>
              <w:rPr>
                <w:color w:val="auto"/>
                <w:szCs w:val="21"/>
                <w:highlight w:val="none"/>
              </w:rPr>
              <w:t>主要人员</w:t>
            </w:r>
          </w:p>
        </w:tc>
        <w:tc>
          <w:tcPr>
            <w:tcW w:w="1170" w:type="dxa"/>
            <w:vMerge w:val="restart"/>
            <w:vAlign w:val="center"/>
          </w:tcPr>
          <w:p w14:paraId="3B56BC48">
            <w:pPr>
              <w:spacing w:line="440" w:lineRule="atLeast"/>
              <w:jc w:val="center"/>
              <w:rPr>
                <w:color w:val="auto"/>
                <w:szCs w:val="21"/>
                <w:highlight w:val="none"/>
              </w:rPr>
            </w:pPr>
            <w:r>
              <w:rPr>
                <w:rFonts w:hint="eastAsia"/>
                <w:color w:val="auto"/>
                <w:szCs w:val="21"/>
                <w:highlight w:val="none"/>
                <w:lang w:val="en-US" w:eastAsia="zh-CN"/>
              </w:rPr>
              <w:t>20</w:t>
            </w:r>
            <w:r>
              <w:rPr>
                <w:color w:val="auto"/>
                <w:szCs w:val="21"/>
                <w:highlight w:val="none"/>
              </w:rPr>
              <w:t>分</w:t>
            </w:r>
          </w:p>
        </w:tc>
        <w:tc>
          <w:tcPr>
            <w:tcW w:w="1714" w:type="dxa"/>
            <w:vAlign w:val="center"/>
          </w:tcPr>
          <w:p w14:paraId="3BFC67C7">
            <w:pPr>
              <w:spacing w:line="440" w:lineRule="atLeast"/>
              <w:rPr>
                <w:rFonts w:hint="eastAsia" w:eastAsia="宋体"/>
                <w:color w:val="auto"/>
                <w:szCs w:val="21"/>
                <w:highlight w:val="none"/>
                <w:lang w:eastAsia="zh-CN"/>
              </w:rPr>
            </w:pPr>
            <w:r>
              <w:rPr>
                <w:rFonts w:ascii="宋体" w:hAnsi="宋体" w:eastAsia="宋体" w:cs="宋体"/>
                <w:color w:val="auto"/>
                <w:kern w:val="0"/>
                <w:sz w:val="21"/>
                <w:szCs w:val="24"/>
                <w:highlight w:val="none"/>
                <w:lang w:val="en-US" w:eastAsia="en-US" w:bidi="ar-SA"/>
              </w:rPr>
              <w:t>项目负责人</w:t>
            </w:r>
            <w:r>
              <w:rPr>
                <w:rFonts w:hint="eastAsia" w:ascii="宋体" w:hAnsi="宋体" w:cs="宋体"/>
                <w:color w:val="auto"/>
                <w:kern w:val="0"/>
                <w:sz w:val="21"/>
                <w:szCs w:val="24"/>
                <w:highlight w:val="none"/>
                <w:lang w:val="en-US" w:eastAsia="zh-CN" w:bidi="ar-SA"/>
              </w:rPr>
              <w:t xml:space="preserve"> </w:t>
            </w:r>
          </w:p>
        </w:tc>
        <w:tc>
          <w:tcPr>
            <w:tcW w:w="822" w:type="dxa"/>
            <w:vAlign w:val="center"/>
          </w:tcPr>
          <w:p w14:paraId="5E22DF17">
            <w:pPr>
              <w:widowControl/>
              <w:jc w:val="left"/>
              <w:rPr>
                <w:rFonts w:ascii="宋体" w:hAnsi="宋体" w:eastAsia="宋体" w:cs="宋体"/>
                <w:color w:val="auto"/>
                <w:kern w:val="0"/>
                <w:sz w:val="21"/>
                <w:szCs w:val="24"/>
                <w:highlight w:val="none"/>
                <w:lang w:val="en-US" w:eastAsia="en-US" w:bidi="ar-SA"/>
              </w:rPr>
            </w:pPr>
            <w:r>
              <w:rPr>
                <w:rFonts w:hint="eastAsia" w:ascii="宋体" w:hAnsi="宋体" w:cs="宋体"/>
                <w:color w:val="auto"/>
                <w:kern w:val="0"/>
                <w:sz w:val="21"/>
                <w:szCs w:val="24"/>
                <w:highlight w:val="none"/>
                <w:lang w:val="en-US" w:eastAsia="zh-CN" w:bidi="ar-SA"/>
              </w:rPr>
              <w:t>10</w:t>
            </w:r>
            <w:r>
              <w:rPr>
                <w:rFonts w:hint="eastAsia" w:ascii="宋体" w:hAnsi="宋体" w:eastAsia="宋体" w:cs="宋体"/>
                <w:color w:val="auto"/>
                <w:kern w:val="0"/>
                <w:sz w:val="21"/>
                <w:szCs w:val="24"/>
                <w:highlight w:val="none"/>
                <w:lang w:val="en-US" w:eastAsia="zh-CN" w:bidi="ar-SA"/>
              </w:rPr>
              <w:t>.0</w:t>
            </w:r>
          </w:p>
        </w:tc>
        <w:tc>
          <w:tcPr>
            <w:tcW w:w="2746" w:type="dxa"/>
            <w:vAlign w:val="center"/>
          </w:tcPr>
          <w:p w14:paraId="0E6C5824">
            <w:pPr>
              <w:widowControl/>
              <w:adjustRightInd w:val="0"/>
              <w:snapToGrid w:val="0"/>
              <w:spacing w:line="360" w:lineRule="auto"/>
              <w:jc w:val="both"/>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1、满足资格审查条件（项目负责人最低要求）要求得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en-US"/>
              </w:rPr>
              <w:t>分;</w:t>
            </w:r>
          </w:p>
          <w:p w14:paraId="7FA5E788">
            <w:pPr>
              <w:widowControl/>
              <w:adjustRightInd w:val="0"/>
              <w:snapToGrid w:val="0"/>
              <w:spacing w:line="360" w:lineRule="auto"/>
              <w:jc w:val="both"/>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2、拟委派本项目的项目负责人每增加一个满足，附录4 资格审查条件（项目负责人最低要求）要求的业绩加</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en-US"/>
              </w:rPr>
              <w:t>分，本项最多加</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en-US"/>
              </w:rPr>
              <w:t>分。</w:t>
            </w:r>
          </w:p>
          <w:p w14:paraId="253F57A7">
            <w:pPr>
              <w:widowControl/>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注1、项目负责人须提供从业单位证明（最近</w:t>
            </w:r>
            <w:r>
              <w:rPr>
                <w:rFonts w:hint="eastAsia" w:ascii="宋体" w:hAnsi="宋体" w:eastAsia="宋体" w:cs="宋体"/>
                <w:color w:val="auto"/>
                <w:sz w:val="21"/>
                <w:szCs w:val="21"/>
                <w:highlight w:val="none"/>
                <w:lang w:val="en-US" w:eastAsia="zh-CN"/>
              </w:rPr>
              <w:t>6个月任意连续</w:t>
            </w:r>
            <w:r>
              <w:rPr>
                <w:rFonts w:hint="eastAsia" w:ascii="宋体" w:hAnsi="宋体" w:eastAsia="宋体" w:cs="宋体"/>
                <w:color w:val="auto"/>
                <w:sz w:val="21"/>
                <w:szCs w:val="21"/>
                <w:highlight w:val="none"/>
              </w:rPr>
              <w:t>3个月在社保系统打印本单位人员的缴费明细）、身份证、职称证、执（职）业资格证等有效证明文件复印件。</w:t>
            </w:r>
          </w:p>
          <w:p w14:paraId="6DC402B0">
            <w:pPr>
              <w:widowControl/>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2、业绩须附有效证明文件，包括但不限于：与项目委托人签订的合同/订单等证明材料，如</w:t>
            </w:r>
            <w:r>
              <w:rPr>
                <w:rFonts w:hint="eastAsia" w:ascii="宋体" w:hAnsi="宋体" w:eastAsia="宋体" w:cs="宋体"/>
                <w:color w:val="auto"/>
                <w:sz w:val="21"/>
                <w:szCs w:val="21"/>
                <w:highlight w:val="none"/>
                <w:lang w:eastAsia="zh-CN"/>
              </w:rPr>
              <w:t>证明材料</w:t>
            </w:r>
            <w:r>
              <w:rPr>
                <w:rFonts w:hint="eastAsia" w:ascii="宋体" w:hAnsi="宋体" w:eastAsia="宋体" w:cs="宋体"/>
                <w:color w:val="auto"/>
                <w:sz w:val="21"/>
                <w:szCs w:val="21"/>
                <w:highlight w:val="none"/>
              </w:rPr>
              <w:t>无法体现项目负责人信息时，还须提供能体现项目负责人任职信息的证明材料，如：中标通知书/成交通知书或委托人出具的证明材料等。</w:t>
            </w:r>
          </w:p>
          <w:p w14:paraId="7709B535">
            <w:pPr>
              <w:widowControl/>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人必须按</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文件中填报的项目负责人进场，否则</w:t>
            </w:r>
            <w:r>
              <w:rPr>
                <w:rFonts w:hint="default" w:ascii="宋体" w:hAnsi="宋体" w:eastAsia="宋体" w:cs="宋体"/>
                <w:color w:val="auto"/>
                <w:sz w:val="21"/>
                <w:szCs w:val="21"/>
                <w:highlight w:val="none"/>
              </w:rPr>
              <w:t>采购</w:t>
            </w:r>
            <w:r>
              <w:rPr>
                <w:rFonts w:hint="eastAsia" w:ascii="宋体" w:hAnsi="宋体" w:eastAsia="宋体" w:cs="宋体"/>
                <w:color w:val="auto"/>
                <w:sz w:val="21"/>
                <w:szCs w:val="21"/>
                <w:highlight w:val="none"/>
              </w:rPr>
              <w:t>人将取消其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资格。</w:t>
            </w:r>
          </w:p>
          <w:p w14:paraId="16ABB6D7">
            <w:pPr>
              <w:widowControl/>
              <w:jc w:val="left"/>
              <w:rPr>
                <w:rFonts w:eastAsia="黑体"/>
                <w:color w:val="auto"/>
                <w:szCs w:val="21"/>
                <w:highlight w:val="none"/>
              </w:rPr>
            </w:pPr>
            <w:r>
              <w:rPr>
                <w:rFonts w:hint="eastAsia" w:ascii="宋体" w:hAnsi="宋体" w:eastAsia="宋体" w:cs="宋体"/>
                <w:color w:val="auto"/>
                <w:sz w:val="21"/>
                <w:szCs w:val="21"/>
                <w:highlight w:val="none"/>
              </w:rPr>
              <w:t>4、业绩时间以</w:t>
            </w:r>
            <w:r>
              <w:rPr>
                <w:rFonts w:hint="eastAsia" w:ascii="宋体" w:hAnsi="宋体" w:eastAsia="宋体" w:cs="宋体"/>
                <w:color w:val="auto"/>
                <w:sz w:val="21"/>
                <w:szCs w:val="21"/>
                <w:highlight w:val="none"/>
                <w:lang w:eastAsia="zh-CN"/>
              </w:rPr>
              <w:t>完工</w:t>
            </w:r>
            <w:r>
              <w:rPr>
                <w:rFonts w:hint="eastAsia" w:ascii="宋体" w:hAnsi="宋体" w:eastAsia="宋体" w:cs="宋体"/>
                <w:color w:val="auto"/>
                <w:sz w:val="21"/>
                <w:szCs w:val="21"/>
                <w:highlight w:val="none"/>
              </w:rPr>
              <w:t>时间为准，单个合同包含多个业绩时，只按1个业绩计算。</w:t>
            </w:r>
          </w:p>
        </w:tc>
      </w:tr>
      <w:tr w14:paraId="7B8D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Merge w:val="continue"/>
            <w:vAlign w:val="center"/>
          </w:tcPr>
          <w:p w14:paraId="2F7981DD">
            <w:pPr>
              <w:spacing w:line="440" w:lineRule="atLeast"/>
              <w:ind w:left="-92" w:leftChars="-44" w:right="-88" w:rightChars="-42"/>
              <w:jc w:val="center"/>
              <w:rPr>
                <w:color w:val="auto"/>
                <w:szCs w:val="21"/>
                <w:highlight w:val="none"/>
              </w:rPr>
            </w:pPr>
          </w:p>
        </w:tc>
        <w:tc>
          <w:tcPr>
            <w:tcW w:w="1086" w:type="dxa"/>
            <w:gridSpan w:val="2"/>
            <w:vMerge w:val="continue"/>
            <w:vAlign w:val="center"/>
          </w:tcPr>
          <w:p w14:paraId="7E7BA965">
            <w:pPr>
              <w:spacing w:line="440" w:lineRule="atLeast"/>
              <w:jc w:val="center"/>
              <w:rPr>
                <w:color w:val="auto"/>
                <w:szCs w:val="21"/>
                <w:highlight w:val="none"/>
              </w:rPr>
            </w:pPr>
          </w:p>
        </w:tc>
        <w:tc>
          <w:tcPr>
            <w:tcW w:w="1170" w:type="dxa"/>
            <w:vMerge w:val="continue"/>
            <w:vAlign w:val="center"/>
          </w:tcPr>
          <w:p w14:paraId="0F304364">
            <w:pPr>
              <w:spacing w:line="440" w:lineRule="atLeast"/>
              <w:jc w:val="right"/>
              <w:rPr>
                <w:rFonts w:hint="eastAsia"/>
                <w:color w:val="auto"/>
                <w:szCs w:val="21"/>
                <w:highlight w:val="none"/>
                <w:u w:val="single"/>
                <w:lang w:val="en-US" w:eastAsia="zh-CN"/>
              </w:rPr>
            </w:pPr>
          </w:p>
        </w:tc>
        <w:tc>
          <w:tcPr>
            <w:tcW w:w="1714" w:type="dxa"/>
            <w:vAlign w:val="center"/>
          </w:tcPr>
          <w:p w14:paraId="5EC464FA">
            <w:pPr>
              <w:spacing w:line="440" w:lineRule="atLeast"/>
              <w:rPr>
                <w:rFonts w:hint="eastAsia" w:ascii="宋体" w:hAnsi="宋体" w:eastAsia="宋体" w:cs="宋体"/>
                <w:color w:val="auto"/>
                <w:kern w:val="0"/>
                <w:sz w:val="21"/>
                <w:szCs w:val="24"/>
                <w:highlight w:val="none"/>
                <w:lang w:val="en-US" w:eastAsia="zh-CN" w:bidi="ar-SA"/>
              </w:rPr>
            </w:pPr>
            <w:r>
              <w:rPr>
                <w:rFonts w:hint="eastAsia"/>
                <w:color w:val="auto"/>
                <w:highlight w:val="none"/>
                <w:lang w:val="en-US" w:eastAsia="zh-CN"/>
              </w:rPr>
              <w:t xml:space="preserve">技术负责人 </w:t>
            </w:r>
          </w:p>
        </w:tc>
        <w:tc>
          <w:tcPr>
            <w:tcW w:w="822" w:type="dxa"/>
            <w:vAlign w:val="center"/>
          </w:tcPr>
          <w:p w14:paraId="274E3B1C">
            <w:pPr>
              <w:widowControl/>
              <w:jc w:val="left"/>
              <w:rPr>
                <w:rFonts w:hint="default" w:ascii="宋体" w:hAnsi="宋体" w:cs="宋体"/>
                <w:color w:val="auto"/>
                <w:kern w:val="0"/>
                <w:sz w:val="21"/>
                <w:szCs w:val="24"/>
                <w:highlight w:val="none"/>
                <w:lang w:val="en-US" w:eastAsia="zh-CN" w:bidi="ar-SA"/>
              </w:rPr>
            </w:pPr>
            <w:r>
              <w:rPr>
                <w:rFonts w:hint="eastAsia" w:ascii="宋体" w:hAnsi="宋体" w:cs="宋体"/>
                <w:color w:val="auto"/>
                <w:kern w:val="0"/>
                <w:sz w:val="21"/>
                <w:szCs w:val="24"/>
                <w:highlight w:val="none"/>
                <w:lang w:val="en-US" w:eastAsia="zh-CN" w:bidi="ar-SA"/>
              </w:rPr>
              <w:t>10.0</w:t>
            </w:r>
          </w:p>
        </w:tc>
        <w:tc>
          <w:tcPr>
            <w:tcW w:w="2746" w:type="dxa"/>
            <w:vAlign w:val="top"/>
          </w:tcPr>
          <w:p w14:paraId="6EB16F5A">
            <w:pPr>
              <w:widowControl/>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1、满足资格审查条件（</w:t>
            </w:r>
            <w:r>
              <w:rPr>
                <w:rFonts w:hint="eastAsia" w:ascii="宋体" w:hAnsi="宋体" w:eastAsia="宋体" w:cs="宋体"/>
                <w:color w:val="auto"/>
                <w:sz w:val="21"/>
                <w:szCs w:val="21"/>
                <w:highlight w:val="none"/>
                <w:lang w:eastAsia="zh-CN"/>
              </w:rPr>
              <w:t>其他主要咨询人员</w:t>
            </w:r>
            <w:r>
              <w:rPr>
                <w:rFonts w:hint="eastAsia" w:ascii="宋体" w:hAnsi="宋体" w:eastAsia="宋体" w:cs="宋体"/>
                <w:color w:val="auto"/>
                <w:sz w:val="21"/>
                <w:szCs w:val="21"/>
                <w:highlight w:val="none"/>
              </w:rPr>
              <w:t>最低要求）要求得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170D1A86">
            <w:pPr>
              <w:widowControl/>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2、拟委派本项目的</w:t>
            </w:r>
            <w:r>
              <w:rPr>
                <w:rFonts w:hint="default" w:ascii="宋体" w:hAnsi="宋体" w:eastAsia="宋体" w:cs="宋体"/>
                <w:color w:val="auto"/>
                <w:sz w:val="21"/>
                <w:szCs w:val="21"/>
                <w:highlight w:val="none"/>
              </w:rPr>
              <w:t>技术</w:t>
            </w:r>
            <w:r>
              <w:rPr>
                <w:rFonts w:hint="eastAsia" w:ascii="宋体" w:hAnsi="宋体" w:eastAsia="宋体" w:cs="宋体"/>
                <w:color w:val="auto"/>
                <w:sz w:val="21"/>
                <w:szCs w:val="21"/>
                <w:highlight w:val="none"/>
              </w:rPr>
              <w:t>负责人每增加一个满足，附录</w:t>
            </w:r>
            <w:r>
              <w:rPr>
                <w:rFonts w:hint="default" w:ascii="宋体" w:hAnsi="宋体" w:eastAsia="宋体" w:cs="宋体"/>
                <w:color w:val="auto"/>
                <w:sz w:val="21"/>
                <w:szCs w:val="21"/>
                <w:highlight w:val="none"/>
              </w:rPr>
              <w:t>5</w:t>
            </w:r>
            <w:r>
              <w:rPr>
                <w:rFonts w:hint="eastAsia" w:ascii="宋体" w:hAnsi="宋体" w:eastAsia="宋体" w:cs="宋体"/>
                <w:color w:val="auto"/>
                <w:sz w:val="21"/>
                <w:szCs w:val="21"/>
                <w:highlight w:val="none"/>
              </w:rPr>
              <w:t>资格审查条件（</w:t>
            </w:r>
            <w:r>
              <w:rPr>
                <w:rFonts w:hint="eastAsia" w:ascii="宋体" w:hAnsi="宋体" w:eastAsia="宋体" w:cs="宋体"/>
                <w:color w:val="auto"/>
                <w:sz w:val="21"/>
                <w:szCs w:val="21"/>
                <w:highlight w:val="none"/>
                <w:lang w:eastAsia="zh-CN"/>
              </w:rPr>
              <w:t>其他主要咨询人员</w:t>
            </w:r>
            <w:r>
              <w:rPr>
                <w:rFonts w:hint="eastAsia" w:ascii="宋体" w:hAnsi="宋体" w:eastAsia="宋体" w:cs="宋体"/>
                <w:color w:val="auto"/>
                <w:sz w:val="21"/>
                <w:szCs w:val="21"/>
                <w:highlight w:val="none"/>
              </w:rPr>
              <w:t>最低要求）要求的业绩加</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分，本项最多加</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3CF5C53F">
            <w:pPr>
              <w:widowControl/>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default" w:ascii="宋体" w:hAnsi="宋体" w:eastAsia="宋体" w:cs="宋体"/>
                <w:color w:val="auto"/>
                <w:sz w:val="21"/>
                <w:szCs w:val="21"/>
                <w:highlight w:val="none"/>
              </w:rPr>
              <w:t>技术</w:t>
            </w:r>
            <w:r>
              <w:rPr>
                <w:rFonts w:hint="eastAsia" w:ascii="宋体" w:hAnsi="宋体" w:eastAsia="宋体" w:cs="宋体"/>
                <w:color w:val="auto"/>
                <w:sz w:val="21"/>
                <w:szCs w:val="21"/>
                <w:highlight w:val="none"/>
              </w:rPr>
              <w:t>负责人须提供从业单位证明（最近</w:t>
            </w:r>
            <w:r>
              <w:rPr>
                <w:rFonts w:hint="eastAsia" w:ascii="宋体" w:hAnsi="宋体" w:eastAsia="宋体" w:cs="宋体"/>
                <w:color w:val="auto"/>
                <w:sz w:val="21"/>
                <w:szCs w:val="21"/>
                <w:highlight w:val="none"/>
                <w:lang w:val="en-US" w:eastAsia="zh-CN"/>
              </w:rPr>
              <w:t>6个月任意连续</w:t>
            </w:r>
            <w:r>
              <w:rPr>
                <w:rFonts w:hint="eastAsia" w:ascii="宋体" w:hAnsi="宋体" w:eastAsia="宋体" w:cs="宋体"/>
                <w:color w:val="auto"/>
                <w:sz w:val="21"/>
                <w:szCs w:val="21"/>
                <w:highlight w:val="none"/>
              </w:rPr>
              <w:t>3个月在社保系统打印本单位人员的缴费明细）、身份证、职称证、执（职）业资格证等有效证明文件复印件。</w:t>
            </w:r>
          </w:p>
          <w:p w14:paraId="43230CD1">
            <w:pPr>
              <w:widowControl/>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2、业绩须附有效证明文件，包括但不限于：与项目委托人签订的合同/订单等证明材料，如</w:t>
            </w:r>
            <w:r>
              <w:rPr>
                <w:rFonts w:hint="eastAsia" w:ascii="宋体" w:hAnsi="宋体" w:eastAsia="宋体" w:cs="宋体"/>
                <w:color w:val="auto"/>
                <w:sz w:val="21"/>
                <w:szCs w:val="21"/>
                <w:highlight w:val="none"/>
                <w:lang w:eastAsia="zh-CN"/>
              </w:rPr>
              <w:t>证明材料</w:t>
            </w:r>
            <w:r>
              <w:rPr>
                <w:rFonts w:hint="eastAsia" w:ascii="宋体" w:hAnsi="宋体" w:eastAsia="宋体" w:cs="宋体"/>
                <w:color w:val="auto"/>
                <w:sz w:val="21"/>
                <w:szCs w:val="21"/>
                <w:highlight w:val="none"/>
              </w:rPr>
              <w:t>无法体现</w:t>
            </w:r>
            <w:r>
              <w:rPr>
                <w:rFonts w:hint="default" w:ascii="宋体" w:hAnsi="宋体" w:eastAsia="宋体" w:cs="宋体"/>
                <w:color w:val="auto"/>
                <w:sz w:val="21"/>
                <w:szCs w:val="21"/>
                <w:highlight w:val="none"/>
              </w:rPr>
              <w:t>技术</w:t>
            </w:r>
            <w:r>
              <w:rPr>
                <w:rFonts w:hint="eastAsia" w:ascii="宋体" w:hAnsi="宋体" w:eastAsia="宋体" w:cs="宋体"/>
                <w:color w:val="auto"/>
                <w:sz w:val="21"/>
                <w:szCs w:val="21"/>
                <w:highlight w:val="none"/>
              </w:rPr>
              <w:t>负责人信息时，还须提供能体现</w:t>
            </w:r>
            <w:r>
              <w:rPr>
                <w:rFonts w:hint="default" w:ascii="宋体" w:hAnsi="宋体" w:eastAsia="宋体" w:cs="宋体"/>
                <w:color w:val="auto"/>
                <w:sz w:val="21"/>
                <w:szCs w:val="21"/>
                <w:highlight w:val="none"/>
              </w:rPr>
              <w:t>技术</w:t>
            </w:r>
            <w:r>
              <w:rPr>
                <w:rFonts w:hint="eastAsia" w:ascii="宋体" w:hAnsi="宋体" w:eastAsia="宋体" w:cs="宋体"/>
                <w:color w:val="auto"/>
                <w:sz w:val="21"/>
                <w:szCs w:val="21"/>
                <w:highlight w:val="none"/>
              </w:rPr>
              <w:t>负责人任职信息的证明材料，如：中标通知书/成交通知书或委托人出具的证明材料等。</w:t>
            </w:r>
          </w:p>
          <w:p w14:paraId="2469D4B8">
            <w:pPr>
              <w:widowControl/>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人必须按</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文件中填报的</w:t>
            </w:r>
            <w:r>
              <w:rPr>
                <w:rFonts w:hint="default" w:ascii="宋体" w:hAnsi="宋体" w:eastAsia="宋体" w:cs="宋体"/>
                <w:color w:val="auto"/>
                <w:sz w:val="21"/>
                <w:szCs w:val="21"/>
                <w:highlight w:val="none"/>
              </w:rPr>
              <w:t>技术</w:t>
            </w:r>
            <w:r>
              <w:rPr>
                <w:rFonts w:hint="eastAsia" w:ascii="宋体" w:hAnsi="宋体" w:eastAsia="宋体" w:cs="宋体"/>
                <w:color w:val="auto"/>
                <w:sz w:val="21"/>
                <w:szCs w:val="21"/>
                <w:highlight w:val="none"/>
              </w:rPr>
              <w:t>负责人进场，否则人将取消其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资格。</w:t>
            </w:r>
          </w:p>
          <w:p w14:paraId="09C70EB0">
            <w:pPr>
              <w:widowControl/>
              <w:adjustRightInd w:val="0"/>
              <w:snapToGrid w:val="0"/>
              <w:spacing w:line="360" w:lineRule="auto"/>
              <w:jc w:val="both"/>
              <w:rPr>
                <w:rFonts w:ascii="宋体" w:hAnsi="宋体" w:eastAsia="宋体" w:cs="宋体"/>
                <w:color w:val="auto"/>
                <w:kern w:val="0"/>
                <w:sz w:val="21"/>
                <w:szCs w:val="24"/>
                <w:highlight w:val="none"/>
                <w:lang w:val="en-US" w:eastAsia="en-US" w:bidi="ar-SA"/>
              </w:rPr>
            </w:pPr>
            <w:r>
              <w:rPr>
                <w:rFonts w:hint="eastAsia" w:ascii="宋体" w:hAnsi="宋体" w:eastAsia="宋体" w:cs="宋体"/>
                <w:color w:val="auto"/>
                <w:sz w:val="21"/>
                <w:szCs w:val="21"/>
                <w:highlight w:val="none"/>
              </w:rPr>
              <w:t>4、业绩时间以</w:t>
            </w:r>
            <w:r>
              <w:rPr>
                <w:rFonts w:hint="eastAsia" w:ascii="宋体" w:hAnsi="宋体" w:cs="宋体"/>
                <w:color w:val="auto"/>
                <w:sz w:val="21"/>
                <w:szCs w:val="21"/>
                <w:highlight w:val="none"/>
                <w:lang w:eastAsia="zh-CN"/>
              </w:rPr>
              <w:t>完工</w:t>
            </w:r>
            <w:r>
              <w:rPr>
                <w:rFonts w:hint="eastAsia" w:ascii="宋体" w:hAnsi="宋体" w:eastAsia="宋体" w:cs="宋体"/>
                <w:color w:val="auto"/>
                <w:sz w:val="21"/>
                <w:szCs w:val="21"/>
                <w:highlight w:val="none"/>
              </w:rPr>
              <w:t>时间为准，单个合同包含多个业绩时，只按1个业绩计算。</w:t>
            </w:r>
          </w:p>
        </w:tc>
      </w:tr>
      <w:tr w14:paraId="685E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14:paraId="083A9E7A">
            <w:pPr>
              <w:spacing w:line="440" w:lineRule="atLeast"/>
              <w:jc w:val="center"/>
              <w:rPr>
                <w:color w:val="auto"/>
                <w:szCs w:val="21"/>
                <w:highlight w:val="none"/>
              </w:rPr>
            </w:pPr>
            <w:r>
              <w:rPr>
                <w:color w:val="auto"/>
                <w:szCs w:val="21"/>
                <w:highlight w:val="none"/>
              </w:rPr>
              <w:t>2.2.4(3)</w:t>
            </w:r>
          </w:p>
        </w:tc>
        <w:tc>
          <w:tcPr>
            <w:tcW w:w="1086" w:type="dxa"/>
            <w:gridSpan w:val="2"/>
            <w:vAlign w:val="center"/>
          </w:tcPr>
          <w:p w14:paraId="36E33F54">
            <w:pPr>
              <w:spacing w:line="440" w:lineRule="atLeast"/>
              <w:jc w:val="center"/>
              <w:rPr>
                <w:color w:val="auto"/>
                <w:szCs w:val="21"/>
                <w:highlight w:val="none"/>
              </w:rPr>
            </w:pPr>
            <w:r>
              <w:rPr>
                <w:color w:val="auto"/>
                <w:szCs w:val="21"/>
                <w:highlight w:val="none"/>
              </w:rPr>
              <w:t>评标价</w:t>
            </w:r>
          </w:p>
        </w:tc>
        <w:tc>
          <w:tcPr>
            <w:tcW w:w="1170" w:type="dxa"/>
            <w:vAlign w:val="center"/>
          </w:tcPr>
          <w:p w14:paraId="0B0B64C1">
            <w:pPr>
              <w:spacing w:line="440" w:lineRule="atLeast"/>
              <w:jc w:val="right"/>
              <w:rPr>
                <w:color w:val="auto"/>
                <w:szCs w:val="21"/>
                <w:highlight w:val="none"/>
              </w:rPr>
            </w:pPr>
            <w:r>
              <w:rPr>
                <w:rFonts w:hint="eastAsia"/>
                <w:color w:val="auto"/>
                <w:szCs w:val="21"/>
                <w:highlight w:val="none"/>
                <w:u w:val="single"/>
                <w:lang w:val="en-US" w:eastAsia="zh-CN"/>
              </w:rPr>
              <w:t>10</w:t>
            </w:r>
            <w:r>
              <w:rPr>
                <w:color w:val="auto"/>
                <w:szCs w:val="21"/>
                <w:highlight w:val="none"/>
              </w:rPr>
              <w:t>分</w:t>
            </w:r>
          </w:p>
        </w:tc>
        <w:tc>
          <w:tcPr>
            <w:tcW w:w="5282" w:type="dxa"/>
            <w:gridSpan w:val="3"/>
          </w:tcPr>
          <w:p w14:paraId="4CDBDA21">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（1）如果投标人的评标价&gt;评标基准价，则评标价得分＝F－偏差率×100× E</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w:t>
            </w:r>
          </w:p>
          <w:p w14:paraId="722B046B">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（2）如果投标人的评标价≤评标基准价，则评标价得分＝F＋偏差率× 100× E</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w:t>
            </w:r>
          </w:p>
          <w:p w14:paraId="74D989C5">
            <w:pPr>
              <w:spacing w:line="4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其中：F是评标价所占的权重分值，E</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是评标价每高于评标基准价一个百分点的扣分值，E</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是评标价每低于评标基准价一个百分点的扣分值</w:t>
            </w:r>
          </w:p>
          <w:p w14:paraId="31594C08">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E</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是评标价每高于评标基准价一个百分点的扣分值，</w:t>
            </w:r>
          </w:p>
          <w:p w14:paraId="5F38B639">
            <w:pPr>
              <w:spacing w:line="360" w:lineRule="atLeast"/>
              <w:rPr>
                <w:rFonts w:hint="eastAsia" w:ascii="宋体" w:hAnsi="宋体" w:eastAsia="宋体" w:cs="宋体"/>
                <w:color w:val="auto"/>
                <w:szCs w:val="21"/>
                <w:highlight w:val="none"/>
                <w:vertAlign w:val="subscript"/>
              </w:rPr>
            </w:pPr>
            <w:r>
              <w:rPr>
                <w:rFonts w:hint="eastAsia" w:ascii="宋体" w:hAnsi="宋体" w:eastAsia="宋体" w:cs="宋体"/>
                <w:color w:val="auto"/>
                <w:szCs w:val="21"/>
                <w:highlight w:val="none"/>
              </w:rPr>
              <w:t>E</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是评标价每低于评标基准价一个百分点的扣分值, 招标人可依据招标项目具体特点和实际需要设置E</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、E</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w:t>
            </w:r>
          </w:p>
          <w:p w14:paraId="15DAE1F5">
            <w:pPr>
              <w:spacing w:line="360" w:lineRule="atLeast"/>
              <w:rPr>
                <w:rFonts w:hint="eastAsia" w:eastAsia="黑体"/>
                <w:color w:val="auto"/>
                <w:szCs w:val="21"/>
                <w:highlight w:val="none"/>
                <w:lang w:eastAsia="zh-CN"/>
              </w:rPr>
            </w:pPr>
            <w:r>
              <w:rPr>
                <w:rFonts w:hint="eastAsia" w:ascii="宋体" w:hAnsi="宋体" w:eastAsia="宋体" w:cs="宋体"/>
                <w:color w:val="auto"/>
                <w:szCs w:val="21"/>
                <w:highlight w:val="none"/>
              </w:rPr>
              <w:t>其中，E</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=0.2，E</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=0.1</w:t>
            </w:r>
            <w:r>
              <w:rPr>
                <w:rFonts w:hint="eastAsia" w:ascii="宋体" w:hAnsi="宋体" w:eastAsia="宋体" w:cs="宋体"/>
                <w:color w:val="auto"/>
                <w:szCs w:val="21"/>
                <w:highlight w:val="none"/>
                <w:lang w:eastAsia="zh-CN"/>
              </w:rPr>
              <w:t>。</w:t>
            </w:r>
          </w:p>
        </w:tc>
      </w:tr>
      <w:tr w14:paraId="478D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1353" w:type="dxa"/>
            <w:vMerge w:val="restart"/>
            <w:vAlign w:val="center"/>
          </w:tcPr>
          <w:p w14:paraId="6F26F065">
            <w:pPr>
              <w:spacing w:line="440" w:lineRule="atLeast"/>
              <w:jc w:val="center"/>
              <w:rPr>
                <w:color w:val="auto"/>
                <w:szCs w:val="21"/>
                <w:highlight w:val="none"/>
              </w:rPr>
            </w:pPr>
            <w:r>
              <w:rPr>
                <w:color w:val="auto"/>
                <w:szCs w:val="21"/>
                <w:highlight w:val="none"/>
              </w:rPr>
              <w:t>2.2.4(4)</w:t>
            </w:r>
          </w:p>
        </w:tc>
        <w:tc>
          <w:tcPr>
            <w:tcW w:w="430" w:type="dxa"/>
            <w:vMerge w:val="restart"/>
            <w:vAlign w:val="center"/>
          </w:tcPr>
          <w:p w14:paraId="6F95AFDB">
            <w:pPr>
              <w:spacing w:line="440" w:lineRule="atLeast"/>
              <w:jc w:val="center"/>
              <w:rPr>
                <w:color w:val="auto"/>
                <w:szCs w:val="21"/>
                <w:highlight w:val="none"/>
              </w:rPr>
            </w:pPr>
            <w:r>
              <w:rPr>
                <w:color w:val="auto"/>
                <w:szCs w:val="21"/>
                <w:highlight w:val="none"/>
              </w:rPr>
              <w:t>其他因素</w:t>
            </w:r>
          </w:p>
        </w:tc>
        <w:tc>
          <w:tcPr>
            <w:tcW w:w="656" w:type="dxa"/>
            <w:vAlign w:val="center"/>
          </w:tcPr>
          <w:p w14:paraId="4857118E">
            <w:pPr>
              <w:rPr>
                <w:color w:val="auto"/>
                <w:highlight w:val="none"/>
              </w:rPr>
            </w:pPr>
            <w:r>
              <w:rPr>
                <w:color w:val="auto"/>
                <w:highlight w:val="none"/>
              </w:rPr>
              <w:t>业绩</w:t>
            </w:r>
          </w:p>
        </w:tc>
        <w:tc>
          <w:tcPr>
            <w:tcW w:w="1170" w:type="dxa"/>
            <w:vAlign w:val="center"/>
          </w:tcPr>
          <w:p w14:paraId="6911BD8B">
            <w:pPr>
              <w:spacing w:line="440" w:lineRule="atLeast"/>
              <w:jc w:val="center"/>
              <w:rPr>
                <w:rFonts w:hint="default"/>
                <w:color w:val="auto"/>
                <w:szCs w:val="21"/>
                <w:highlight w:val="none"/>
                <w:lang w:val="en-US"/>
              </w:rPr>
            </w:pPr>
            <w:r>
              <w:rPr>
                <w:rFonts w:hint="eastAsia" w:ascii="宋体" w:hAnsi="宋体" w:cs="宋体"/>
                <w:color w:val="auto"/>
                <w:kern w:val="0"/>
                <w:sz w:val="21"/>
                <w:szCs w:val="24"/>
                <w:highlight w:val="none"/>
                <w:lang w:val="en-US" w:eastAsia="zh-CN" w:bidi="ar-SA"/>
              </w:rPr>
              <w:t>20</w:t>
            </w:r>
            <w:r>
              <w:rPr>
                <w:rFonts w:hint="eastAsia" w:ascii="宋体" w:hAnsi="宋体" w:eastAsia="宋体" w:cs="宋体"/>
                <w:color w:val="auto"/>
                <w:kern w:val="0"/>
                <w:sz w:val="21"/>
                <w:szCs w:val="24"/>
                <w:highlight w:val="none"/>
                <w:lang w:val="en-US" w:eastAsia="zh-CN" w:bidi="ar-SA"/>
              </w:rPr>
              <w:t>.0</w:t>
            </w:r>
          </w:p>
        </w:tc>
        <w:tc>
          <w:tcPr>
            <w:tcW w:w="5282" w:type="dxa"/>
            <w:gridSpan w:val="3"/>
            <w:vAlign w:val="center"/>
          </w:tcPr>
          <w:p w14:paraId="4F1E0829">
            <w:pPr>
              <w:widowControl/>
              <w:spacing w:line="360" w:lineRule="exact"/>
              <w:jc w:val="left"/>
              <w:rPr>
                <w:rFonts w:hint="eastAsia" w:ascii="宋体" w:hAnsi="宋体" w:cs="宋体"/>
                <w:color w:val="auto"/>
                <w:kern w:val="0"/>
                <w:highlight w:val="none"/>
              </w:rPr>
            </w:pPr>
            <w:r>
              <w:rPr>
                <w:rFonts w:hint="eastAsia" w:ascii="宋体" w:hAnsi="宋体" w:cs="宋体"/>
                <w:color w:val="auto"/>
                <w:kern w:val="0"/>
                <w:highlight w:val="none"/>
              </w:rPr>
              <w:t>近5年</w:t>
            </w:r>
          </w:p>
          <w:p w14:paraId="712DEB03">
            <w:pPr>
              <w:widowControl/>
              <w:spacing w:line="360" w:lineRule="exact"/>
              <w:jc w:val="left"/>
              <w:rPr>
                <w:rFonts w:ascii="宋体" w:hAnsi="宋体" w:cs="宋体"/>
                <w:color w:val="auto"/>
                <w:kern w:val="0"/>
                <w:highlight w:val="none"/>
              </w:rPr>
            </w:pPr>
            <w:r>
              <w:rPr>
                <w:rFonts w:ascii="宋体" w:hAnsi="宋体" w:cs="宋体"/>
                <w:color w:val="auto"/>
                <w:kern w:val="0"/>
                <w:highlight w:val="none"/>
              </w:rPr>
              <w:t>1、满足资格审查条件（业绩最低要求）得</w:t>
            </w:r>
            <w:r>
              <w:rPr>
                <w:rFonts w:hint="eastAsia" w:ascii="宋体" w:hAnsi="宋体" w:cs="宋体"/>
                <w:color w:val="auto"/>
                <w:kern w:val="0"/>
                <w:highlight w:val="none"/>
                <w:lang w:val="en-US" w:eastAsia="zh-CN"/>
              </w:rPr>
              <w:t>16</w:t>
            </w:r>
            <w:r>
              <w:rPr>
                <w:rFonts w:ascii="宋体" w:hAnsi="宋体" w:cs="宋体"/>
                <w:color w:val="auto"/>
                <w:kern w:val="0"/>
                <w:highlight w:val="none"/>
              </w:rPr>
              <w:t>分；</w:t>
            </w:r>
          </w:p>
          <w:p w14:paraId="7E55D103">
            <w:pPr>
              <w:widowControl/>
              <w:spacing w:line="360" w:lineRule="exact"/>
              <w:jc w:val="left"/>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en-US"/>
              </w:rPr>
              <w:t>在此基础上，最近5年（递交响应文件截止之日前一日回溯5年，以</w:t>
            </w:r>
            <w:r>
              <w:rPr>
                <w:rFonts w:hint="eastAsia" w:ascii="宋体" w:hAnsi="宋体" w:cs="宋体"/>
                <w:color w:val="auto"/>
                <w:kern w:val="0"/>
                <w:highlight w:val="none"/>
                <w:lang w:eastAsia="zh-CN"/>
              </w:rPr>
              <w:t>完工时间</w:t>
            </w:r>
            <w:r>
              <w:rPr>
                <w:rFonts w:hint="eastAsia" w:ascii="宋体" w:hAnsi="宋体" w:cs="宋体"/>
                <w:color w:val="auto"/>
                <w:kern w:val="0"/>
                <w:highlight w:val="none"/>
                <w:lang w:val="en-US" w:eastAsia="en-US"/>
              </w:rPr>
              <w:t>为准）</w:t>
            </w:r>
            <w:r>
              <w:rPr>
                <w:rFonts w:hint="eastAsia" w:ascii="宋体" w:hAnsi="宋体" w:cs="宋体"/>
                <w:color w:val="auto"/>
                <w:kern w:val="0"/>
                <w:highlight w:val="none"/>
                <w:lang w:val="en-US" w:eastAsia="zh-CN"/>
              </w:rPr>
              <w:t>每</w:t>
            </w:r>
            <w:r>
              <w:rPr>
                <w:rFonts w:hint="eastAsia" w:ascii="宋体" w:hAnsi="宋体" w:cs="宋体"/>
                <w:color w:val="auto"/>
                <w:kern w:val="0"/>
                <w:highlight w:val="none"/>
                <w:lang w:val="en-US" w:eastAsia="en-US"/>
              </w:rPr>
              <w:t>增加完成过1座主跨不低于</w:t>
            </w:r>
            <w:r>
              <w:rPr>
                <w:rFonts w:hint="eastAsia" w:ascii="宋体" w:hAnsi="宋体" w:cs="宋体"/>
                <w:color w:val="auto"/>
                <w:kern w:val="0"/>
                <w:highlight w:val="none"/>
                <w:lang w:val="en-US" w:eastAsia="zh-CN"/>
              </w:rPr>
              <w:t>90</w:t>
            </w:r>
            <w:r>
              <w:rPr>
                <w:rFonts w:hint="eastAsia" w:ascii="宋体" w:hAnsi="宋体" w:cs="宋体"/>
                <w:color w:val="auto"/>
                <w:kern w:val="0"/>
                <w:highlight w:val="none"/>
                <w:lang w:val="en-US" w:eastAsia="en-US"/>
              </w:rPr>
              <w:t>米的连续刚构桥梁荷载试验的业绩加2.0分，本项最多加4.0分。</w:t>
            </w:r>
            <w:r>
              <w:rPr>
                <w:rFonts w:hint="eastAsia" w:ascii="宋体" w:hAnsi="宋体" w:cs="宋体"/>
                <w:color w:val="auto"/>
                <w:kern w:val="0"/>
                <w:highlight w:val="none"/>
                <w:lang w:val="en-US" w:eastAsia="zh-CN"/>
              </w:rPr>
              <w:t xml:space="preserve"> </w:t>
            </w:r>
          </w:p>
          <w:p w14:paraId="7C1E55D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黑体"/>
                <w:color w:val="auto"/>
                <w:szCs w:val="21"/>
                <w:highlight w:val="none"/>
                <w:lang w:val="en-US" w:eastAsia="en-US"/>
              </w:rPr>
            </w:pPr>
            <w:r>
              <w:rPr>
                <w:rFonts w:hint="eastAsia" w:eastAsia="黑体"/>
                <w:color w:val="auto"/>
                <w:szCs w:val="21"/>
                <w:highlight w:val="none"/>
                <w:lang w:val="en-US" w:eastAsia="en-US"/>
              </w:rPr>
              <w:t>注：1、业绩证明材料须提供合同/订单，如合同/订单无法证实业绩满足采购文件要求，还须提供委托人出具的证明材料，证明材料应附联系人姓名及联系方式）。</w:t>
            </w:r>
          </w:p>
          <w:p w14:paraId="0863049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黑体"/>
                <w:color w:val="auto"/>
                <w:szCs w:val="21"/>
                <w:highlight w:val="none"/>
                <w:lang w:val="en-US" w:eastAsia="en-US"/>
              </w:rPr>
            </w:pPr>
            <w:r>
              <w:rPr>
                <w:rFonts w:hint="eastAsia" w:eastAsia="黑体"/>
                <w:color w:val="auto"/>
                <w:szCs w:val="21"/>
                <w:highlight w:val="none"/>
                <w:lang w:val="en-US" w:eastAsia="en-US"/>
              </w:rPr>
              <w:t>2、业绩计算以</w:t>
            </w:r>
            <w:r>
              <w:rPr>
                <w:rFonts w:hint="eastAsia" w:eastAsia="黑体"/>
                <w:color w:val="auto"/>
                <w:szCs w:val="21"/>
                <w:highlight w:val="none"/>
                <w:lang w:eastAsia="zh-CN"/>
              </w:rPr>
              <w:t>完工时间</w:t>
            </w:r>
            <w:r>
              <w:rPr>
                <w:rFonts w:hint="eastAsia" w:eastAsia="黑体"/>
                <w:color w:val="auto"/>
                <w:szCs w:val="21"/>
                <w:highlight w:val="none"/>
                <w:lang w:val="en-US" w:eastAsia="en-US"/>
              </w:rPr>
              <w:t>为准</w:t>
            </w:r>
            <w:r>
              <w:rPr>
                <w:rFonts w:hint="eastAsia" w:eastAsia="黑体"/>
                <w:color w:val="auto"/>
                <w:szCs w:val="21"/>
                <w:highlight w:val="none"/>
                <w:lang w:val="en-US" w:eastAsia="zh-CN"/>
              </w:rPr>
              <w:t>，</w:t>
            </w:r>
            <w:r>
              <w:rPr>
                <w:rFonts w:hint="eastAsia" w:eastAsia="黑体"/>
                <w:color w:val="auto"/>
                <w:szCs w:val="21"/>
                <w:highlight w:val="none"/>
                <w:lang w:val="en-US" w:eastAsia="en-US"/>
              </w:rPr>
              <w:t>单个合同包含多个业绩时，只按1个业绩计算。</w:t>
            </w:r>
          </w:p>
          <w:p w14:paraId="3D23B7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黑体"/>
                <w:color w:val="auto"/>
                <w:szCs w:val="21"/>
                <w:highlight w:val="none"/>
              </w:rPr>
            </w:pPr>
            <w:r>
              <w:rPr>
                <w:rFonts w:hint="eastAsia" w:eastAsia="黑体"/>
                <w:color w:val="auto"/>
                <w:szCs w:val="21"/>
                <w:highlight w:val="none"/>
                <w:lang w:val="en-US" w:eastAsia="en-US"/>
              </w:rPr>
              <w:t>3、如近年来，响应人法人机构发生合法变更或重组或法人名称变更时，应提供相关部门的合法批件或其他相关证明材料来证明其所附业绩的继承性。</w:t>
            </w:r>
          </w:p>
        </w:tc>
      </w:tr>
      <w:tr w14:paraId="767C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1353" w:type="dxa"/>
            <w:vMerge w:val="continue"/>
            <w:vAlign w:val="center"/>
          </w:tcPr>
          <w:p w14:paraId="29FE3579">
            <w:pPr>
              <w:spacing w:line="440" w:lineRule="atLeast"/>
              <w:jc w:val="center"/>
              <w:rPr>
                <w:color w:val="auto"/>
                <w:szCs w:val="21"/>
                <w:highlight w:val="none"/>
              </w:rPr>
            </w:pPr>
          </w:p>
        </w:tc>
        <w:tc>
          <w:tcPr>
            <w:tcW w:w="430" w:type="dxa"/>
            <w:vMerge w:val="continue"/>
            <w:vAlign w:val="center"/>
          </w:tcPr>
          <w:p w14:paraId="6B82EE4B">
            <w:pPr>
              <w:spacing w:line="440" w:lineRule="atLeast"/>
              <w:jc w:val="center"/>
              <w:rPr>
                <w:color w:val="auto"/>
                <w:szCs w:val="21"/>
                <w:highlight w:val="none"/>
              </w:rPr>
            </w:pPr>
          </w:p>
        </w:tc>
        <w:tc>
          <w:tcPr>
            <w:tcW w:w="656" w:type="dxa"/>
            <w:vAlign w:val="center"/>
          </w:tcPr>
          <w:p w14:paraId="2D6A0184">
            <w:pPr>
              <w:rPr>
                <w:rFonts w:hint="eastAsia" w:eastAsia="宋体"/>
                <w:color w:val="auto"/>
                <w:highlight w:val="none"/>
                <w:lang w:val="en-US" w:eastAsia="zh-CN"/>
              </w:rPr>
            </w:pPr>
            <w:r>
              <w:rPr>
                <w:rFonts w:hint="eastAsia"/>
                <w:color w:val="auto"/>
                <w:highlight w:val="none"/>
                <w:lang w:val="en-US" w:eastAsia="zh-CN"/>
              </w:rPr>
              <w:t>履约信誉</w:t>
            </w:r>
          </w:p>
        </w:tc>
        <w:tc>
          <w:tcPr>
            <w:tcW w:w="1170" w:type="dxa"/>
            <w:vAlign w:val="center"/>
          </w:tcPr>
          <w:p w14:paraId="1FC4C51E">
            <w:pPr>
              <w:spacing w:line="440" w:lineRule="atLeast"/>
              <w:jc w:val="center"/>
              <w:rPr>
                <w:rFonts w:hint="default" w:ascii="宋体" w:hAnsi="宋体" w:cs="宋体"/>
                <w:color w:val="auto"/>
                <w:kern w:val="0"/>
                <w:sz w:val="21"/>
                <w:szCs w:val="24"/>
                <w:highlight w:val="none"/>
                <w:lang w:val="en-US" w:eastAsia="zh-CN" w:bidi="ar-SA"/>
              </w:rPr>
            </w:pPr>
            <w:r>
              <w:rPr>
                <w:rFonts w:hint="eastAsia" w:ascii="宋体" w:hAnsi="宋体" w:cs="宋体"/>
                <w:color w:val="auto"/>
                <w:kern w:val="0"/>
                <w:sz w:val="21"/>
                <w:szCs w:val="24"/>
                <w:highlight w:val="none"/>
                <w:lang w:val="en-US" w:eastAsia="zh-CN" w:bidi="ar-SA"/>
              </w:rPr>
              <w:t>5.00</w:t>
            </w:r>
          </w:p>
        </w:tc>
        <w:tc>
          <w:tcPr>
            <w:tcW w:w="5282" w:type="dxa"/>
            <w:gridSpan w:val="3"/>
            <w:vAlign w:val="center"/>
          </w:tcPr>
          <w:p w14:paraId="1E579E3C">
            <w:pPr>
              <w:widowControl w:val="0"/>
              <w:numPr>
                <w:ilvl w:val="-1"/>
                <w:numId w:val="0"/>
              </w:numPr>
              <w:jc w:val="both"/>
              <w:rPr>
                <w:rFonts w:hint="eastAsia" w:ascii="宋体" w:hAnsi="宋体" w:eastAsia="宋体" w:cs="宋体"/>
                <w:b w:val="0"/>
                <w:kern w:val="2"/>
                <w:sz w:val="21"/>
                <w:szCs w:val="22"/>
                <w:highlight w:val="none"/>
                <w:lang w:val="en-US" w:eastAsia="zh-CN" w:bidi="ar-SA"/>
              </w:rPr>
            </w:pPr>
            <w:r>
              <w:rPr>
                <w:rFonts w:hint="eastAsia" w:ascii="宋体" w:hAnsi="宋体" w:eastAsia="宋体" w:cs="宋体"/>
                <w:b w:val="0"/>
                <w:kern w:val="2"/>
                <w:sz w:val="21"/>
                <w:szCs w:val="22"/>
                <w:highlight w:val="none"/>
                <w:lang w:val="en-US" w:eastAsia="zh-CN" w:bidi="ar-SA"/>
              </w:rPr>
              <w:t>1.</w:t>
            </w:r>
            <w:r>
              <w:rPr>
                <w:rFonts w:ascii="宋体" w:hAnsi="宋体" w:eastAsia="宋体" w:cs="宋体"/>
                <w:b w:val="0"/>
                <w:kern w:val="2"/>
                <w:sz w:val="21"/>
                <w:szCs w:val="22"/>
                <w:highlight w:val="none"/>
                <w:lang w:val="en-US" w:eastAsia="zh-CN" w:bidi="ar-SA"/>
              </w:rPr>
              <w:t xml:space="preserve">满足资格审查条件（信誉最低要求）及投标人须知第1.4.4 项的规定，得3分 </w:t>
            </w:r>
            <w:r>
              <w:rPr>
                <w:rFonts w:hint="eastAsia" w:ascii="宋体" w:hAnsi="宋体" w:eastAsia="宋体" w:cs="宋体"/>
                <w:b w:val="0"/>
                <w:kern w:val="2"/>
                <w:sz w:val="21"/>
                <w:szCs w:val="22"/>
                <w:highlight w:val="none"/>
                <w:lang w:val="en-US" w:eastAsia="zh-CN" w:bidi="ar-SA"/>
              </w:rPr>
              <w:t>；</w:t>
            </w:r>
          </w:p>
          <w:p w14:paraId="7CAB4E41">
            <w:pPr>
              <w:widowControl w:val="0"/>
              <w:numPr>
                <w:ilvl w:val="0"/>
                <w:numId w:val="0"/>
              </w:numPr>
              <w:jc w:val="both"/>
              <w:rPr>
                <w:rFonts w:ascii="宋体" w:hAnsi="宋体" w:eastAsia="宋体" w:cs="宋体"/>
                <w:b w:val="0"/>
                <w:kern w:val="2"/>
                <w:sz w:val="21"/>
                <w:szCs w:val="22"/>
                <w:highlight w:val="none"/>
                <w:lang w:val="en-US" w:eastAsia="zh-CN" w:bidi="ar-SA"/>
              </w:rPr>
            </w:pPr>
            <w:r>
              <w:rPr>
                <w:rFonts w:hint="eastAsia" w:ascii="宋体" w:hAnsi="宋体" w:eastAsia="宋体" w:cs="宋体"/>
                <w:b w:val="0"/>
                <w:kern w:val="2"/>
                <w:sz w:val="21"/>
                <w:szCs w:val="22"/>
                <w:highlight w:val="none"/>
                <w:lang w:val="en-US" w:eastAsia="zh-CN" w:bidi="ar-SA"/>
              </w:rPr>
              <w:t>2.</w:t>
            </w:r>
            <w:r>
              <w:rPr>
                <w:rFonts w:ascii="宋体" w:hAnsi="宋体" w:eastAsia="宋体" w:cs="宋体"/>
                <w:b w:val="0"/>
                <w:kern w:val="2"/>
                <w:sz w:val="21"/>
                <w:szCs w:val="22"/>
                <w:highlight w:val="none"/>
                <w:lang w:val="en-US" w:eastAsia="zh-CN" w:bidi="ar-SA"/>
              </w:rPr>
              <w:t>信用评价（</w:t>
            </w:r>
            <w:r>
              <w:rPr>
                <w:rFonts w:hint="eastAsia" w:ascii="宋体" w:hAnsi="宋体" w:eastAsia="宋体" w:cs="宋体"/>
                <w:b w:val="0"/>
                <w:kern w:val="2"/>
                <w:sz w:val="21"/>
                <w:szCs w:val="22"/>
                <w:highlight w:val="none"/>
                <w:lang w:val="en-US" w:eastAsia="zh-CN" w:bidi="ar-SA"/>
              </w:rPr>
              <w:t>2</w:t>
            </w:r>
            <w:r>
              <w:rPr>
                <w:rFonts w:hint="default" w:ascii="宋体" w:hAnsi="宋体" w:eastAsia="宋体" w:cs="宋体"/>
                <w:b w:val="0"/>
                <w:color w:val="auto"/>
                <w:kern w:val="2"/>
                <w:sz w:val="21"/>
                <w:szCs w:val="22"/>
                <w:highlight w:val="none"/>
                <w:lang w:val="en-US" w:eastAsia="zh-CN" w:bidi="ar-SA"/>
              </w:rPr>
              <w:t>分</w:t>
            </w:r>
            <w:r>
              <w:rPr>
                <w:rFonts w:ascii="宋体" w:hAnsi="宋体" w:eastAsia="宋体" w:cs="宋体"/>
                <w:b w:val="0"/>
                <w:kern w:val="2"/>
                <w:sz w:val="21"/>
                <w:szCs w:val="22"/>
                <w:highlight w:val="none"/>
                <w:lang w:val="en-US" w:eastAsia="zh-CN" w:bidi="ar-SA"/>
              </w:rPr>
              <w:t>）</w:t>
            </w:r>
          </w:p>
          <w:p w14:paraId="2480CA2D">
            <w:pPr>
              <w:widowControl w:val="0"/>
              <w:numPr>
                <w:ilvl w:val="0"/>
                <w:numId w:val="0"/>
              </w:numPr>
              <w:jc w:val="both"/>
              <w:rPr>
                <w:rFonts w:ascii="宋体" w:hAnsi="宋体" w:eastAsia="宋体" w:cs="宋体"/>
                <w:b w:val="0"/>
                <w:kern w:val="2"/>
                <w:sz w:val="21"/>
                <w:szCs w:val="22"/>
                <w:highlight w:val="none"/>
                <w:lang w:val="en-US" w:eastAsia="zh-CN" w:bidi="ar-SA"/>
              </w:rPr>
            </w:pPr>
            <w:r>
              <w:rPr>
                <w:rFonts w:ascii="宋体" w:hAnsi="宋体" w:eastAsia="宋体" w:cs="宋体"/>
                <w:b w:val="0"/>
                <w:kern w:val="2"/>
                <w:sz w:val="21"/>
                <w:szCs w:val="22"/>
                <w:highlight w:val="none"/>
                <w:lang w:val="en-US" w:eastAsia="zh-CN" w:bidi="ar-SA"/>
              </w:rPr>
              <w:t>年度</w:t>
            </w:r>
          </w:p>
          <w:p w14:paraId="6D3806F2">
            <w:pPr>
              <w:widowControl w:val="0"/>
              <w:numPr>
                <w:ilvl w:val="0"/>
                <w:numId w:val="0"/>
              </w:numPr>
              <w:jc w:val="both"/>
              <w:rPr>
                <w:rFonts w:ascii="宋体" w:hAnsi="宋体" w:eastAsia="宋体" w:cs="宋体"/>
                <w:b w:val="0"/>
                <w:kern w:val="2"/>
                <w:sz w:val="21"/>
                <w:szCs w:val="22"/>
                <w:highlight w:val="none"/>
                <w:lang w:val="en-US" w:eastAsia="zh-CN" w:bidi="ar-SA"/>
              </w:rPr>
            </w:pPr>
            <w:r>
              <w:rPr>
                <w:rFonts w:ascii="宋体" w:hAnsi="宋体" w:eastAsia="宋体" w:cs="宋体"/>
                <w:b w:val="0"/>
                <w:kern w:val="2"/>
                <w:sz w:val="21"/>
                <w:szCs w:val="22"/>
                <w:highlight w:val="none"/>
                <w:lang w:val="en-US" w:eastAsia="zh-CN" w:bidi="ar-SA"/>
              </w:rPr>
              <w:t>信用等级</w:t>
            </w:r>
            <w:r>
              <w:rPr>
                <w:rFonts w:ascii="宋体" w:hAnsi="宋体" w:eastAsia="宋体" w:cs="宋体"/>
                <w:b w:val="0"/>
                <w:kern w:val="2"/>
                <w:sz w:val="21"/>
                <w:szCs w:val="22"/>
                <w:highlight w:val="none"/>
                <w:lang w:val="en-US" w:eastAsia="zh-CN" w:bidi="ar-SA"/>
              </w:rPr>
              <w:tab/>
            </w:r>
            <w:r>
              <w:rPr>
                <w:rFonts w:ascii="宋体" w:hAnsi="宋体" w:eastAsia="宋体" w:cs="宋体"/>
                <w:b w:val="0"/>
                <w:kern w:val="2"/>
                <w:sz w:val="21"/>
                <w:szCs w:val="22"/>
                <w:highlight w:val="none"/>
                <w:lang w:val="en-US" w:eastAsia="zh-CN" w:bidi="ar-SA"/>
              </w:rPr>
              <w:t>最近第一年/分</w:t>
            </w:r>
            <w:r>
              <w:rPr>
                <w:rFonts w:ascii="宋体" w:hAnsi="宋体" w:eastAsia="宋体" w:cs="宋体"/>
                <w:b w:val="0"/>
                <w:kern w:val="2"/>
                <w:sz w:val="21"/>
                <w:szCs w:val="22"/>
                <w:highlight w:val="none"/>
                <w:lang w:val="en-US" w:eastAsia="zh-CN" w:bidi="ar-SA"/>
              </w:rPr>
              <w:tab/>
            </w:r>
            <w:r>
              <w:rPr>
                <w:rFonts w:ascii="宋体" w:hAnsi="宋体" w:eastAsia="宋体" w:cs="宋体"/>
                <w:b w:val="0"/>
                <w:kern w:val="2"/>
                <w:sz w:val="21"/>
                <w:szCs w:val="22"/>
                <w:highlight w:val="none"/>
                <w:lang w:val="en-US" w:eastAsia="zh-CN" w:bidi="ar-SA"/>
              </w:rPr>
              <w:t>最近第二年/分</w:t>
            </w:r>
            <w:r>
              <w:rPr>
                <w:rFonts w:ascii="宋体" w:hAnsi="宋体" w:eastAsia="宋体" w:cs="宋体"/>
                <w:b w:val="0"/>
                <w:kern w:val="2"/>
                <w:sz w:val="21"/>
                <w:szCs w:val="22"/>
                <w:highlight w:val="none"/>
                <w:lang w:val="en-US" w:eastAsia="zh-CN" w:bidi="ar-SA"/>
              </w:rPr>
              <w:tab/>
            </w:r>
            <w:r>
              <w:rPr>
                <w:rFonts w:ascii="宋体" w:hAnsi="宋体" w:eastAsia="宋体" w:cs="宋体"/>
                <w:b w:val="0"/>
                <w:kern w:val="2"/>
                <w:sz w:val="21"/>
                <w:szCs w:val="22"/>
                <w:highlight w:val="none"/>
                <w:lang w:val="en-US" w:eastAsia="zh-CN" w:bidi="ar-SA"/>
              </w:rPr>
              <w:t>最近第三年/分</w:t>
            </w:r>
          </w:p>
          <w:p w14:paraId="11973FB2">
            <w:pPr>
              <w:widowControl w:val="0"/>
              <w:numPr>
                <w:ilvl w:val="0"/>
                <w:numId w:val="0"/>
              </w:numPr>
              <w:jc w:val="both"/>
              <w:rPr>
                <w:rFonts w:hint="default" w:ascii="宋体" w:hAnsi="宋体" w:eastAsia="宋体" w:cs="宋体"/>
                <w:b w:val="0"/>
                <w:kern w:val="2"/>
                <w:sz w:val="21"/>
                <w:szCs w:val="22"/>
                <w:highlight w:val="none"/>
                <w:lang w:val="en-US" w:eastAsia="zh-CN" w:bidi="ar-SA"/>
              </w:rPr>
            </w:pPr>
            <w:r>
              <w:rPr>
                <w:rFonts w:ascii="宋体" w:hAnsi="宋体" w:eastAsia="宋体" w:cs="宋体"/>
                <w:b w:val="0"/>
                <w:kern w:val="2"/>
                <w:sz w:val="21"/>
                <w:szCs w:val="22"/>
                <w:highlight w:val="none"/>
                <w:lang w:val="en-US" w:eastAsia="zh-CN" w:bidi="ar-SA"/>
              </w:rPr>
              <w:t>AA</w:t>
            </w:r>
            <w:r>
              <w:rPr>
                <w:rFonts w:ascii="宋体" w:hAnsi="宋体" w:eastAsia="宋体" w:cs="宋体"/>
                <w:b w:val="0"/>
                <w:kern w:val="2"/>
                <w:sz w:val="21"/>
                <w:szCs w:val="22"/>
                <w:highlight w:val="none"/>
                <w:lang w:val="en-US" w:eastAsia="zh-CN" w:bidi="ar-SA"/>
              </w:rPr>
              <w:tab/>
            </w:r>
            <w:r>
              <w:rPr>
                <w:rFonts w:hint="eastAsia" w:ascii="宋体" w:hAnsi="宋体" w:eastAsia="宋体" w:cs="宋体"/>
                <w:b w:val="0"/>
                <w:kern w:val="2"/>
                <w:sz w:val="21"/>
                <w:szCs w:val="22"/>
                <w:highlight w:val="none"/>
                <w:lang w:val="en-US" w:eastAsia="zh-CN" w:bidi="ar-SA"/>
              </w:rPr>
              <w:t>1</w:t>
            </w:r>
            <w:r>
              <w:rPr>
                <w:rFonts w:ascii="宋体" w:hAnsi="宋体" w:eastAsia="宋体" w:cs="宋体"/>
                <w:b w:val="0"/>
                <w:kern w:val="2"/>
                <w:sz w:val="21"/>
                <w:szCs w:val="22"/>
                <w:highlight w:val="none"/>
                <w:lang w:val="en-US" w:eastAsia="zh-CN" w:bidi="ar-SA"/>
              </w:rPr>
              <w:t>.00</w:t>
            </w:r>
            <w:r>
              <w:rPr>
                <w:rFonts w:ascii="宋体" w:hAnsi="宋体" w:eastAsia="宋体" w:cs="宋体"/>
                <w:b w:val="0"/>
                <w:kern w:val="2"/>
                <w:sz w:val="21"/>
                <w:szCs w:val="22"/>
                <w:highlight w:val="none"/>
                <w:lang w:val="en-US" w:eastAsia="zh-CN" w:bidi="ar-SA"/>
              </w:rPr>
              <w:tab/>
            </w:r>
            <w:r>
              <w:rPr>
                <w:rFonts w:hint="eastAsia" w:ascii="宋体" w:hAnsi="宋体" w:eastAsia="宋体" w:cs="宋体"/>
                <w:b w:val="0"/>
                <w:kern w:val="2"/>
                <w:sz w:val="21"/>
                <w:szCs w:val="22"/>
                <w:highlight w:val="none"/>
                <w:lang w:val="en-US" w:eastAsia="zh-CN" w:bidi="ar-SA"/>
              </w:rPr>
              <w:t>0.60</w:t>
            </w:r>
            <w:r>
              <w:rPr>
                <w:rFonts w:ascii="宋体" w:hAnsi="宋体" w:eastAsia="宋体" w:cs="宋体"/>
                <w:b w:val="0"/>
                <w:kern w:val="2"/>
                <w:sz w:val="21"/>
                <w:szCs w:val="22"/>
                <w:highlight w:val="none"/>
                <w:lang w:val="en-US" w:eastAsia="zh-CN" w:bidi="ar-SA"/>
              </w:rPr>
              <w:tab/>
            </w:r>
            <w:r>
              <w:rPr>
                <w:rFonts w:hint="eastAsia" w:ascii="宋体" w:hAnsi="宋体" w:eastAsia="宋体" w:cs="宋体"/>
                <w:b w:val="0"/>
                <w:kern w:val="2"/>
                <w:sz w:val="21"/>
                <w:szCs w:val="22"/>
                <w:highlight w:val="none"/>
                <w:lang w:val="en-US" w:eastAsia="zh-CN" w:bidi="ar-SA"/>
              </w:rPr>
              <w:t>0.40</w:t>
            </w:r>
          </w:p>
          <w:p w14:paraId="2ADE5991">
            <w:pPr>
              <w:widowControl w:val="0"/>
              <w:numPr>
                <w:ilvl w:val="0"/>
                <w:numId w:val="0"/>
              </w:numPr>
              <w:jc w:val="both"/>
              <w:rPr>
                <w:rFonts w:hint="default" w:ascii="宋体" w:hAnsi="宋体" w:eastAsia="宋体" w:cs="宋体"/>
                <w:b w:val="0"/>
                <w:kern w:val="2"/>
                <w:sz w:val="21"/>
                <w:szCs w:val="22"/>
                <w:highlight w:val="none"/>
                <w:lang w:val="en-US" w:eastAsia="zh-CN" w:bidi="ar-SA"/>
              </w:rPr>
            </w:pPr>
            <w:r>
              <w:rPr>
                <w:rFonts w:ascii="宋体" w:hAnsi="宋体" w:eastAsia="宋体" w:cs="宋体"/>
                <w:b w:val="0"/>
                <w:kern w:val="2"/>
                <w:sz w:val="21"/>
                <w:szCs w:val="22"/>
                <w:highlight w:val="none"/>
                <w:lang w:val="en-US" w:eastAsia="zh-CN" w:bidi="ar-SA"/>
              </w:rPr>
              <w:t>A</w:t>
            </w:r>
            <w:r>
              <w:rPr>
                <w:rFonts w:ascii="宋体" w:hAnsi="宋体" w:eastAsia="宋体" w:cs="宋体"/>
                <w:b w:val="0"/>
                <w:kern w:val="2"/>
                <w:sz w:val="21"/>
                <w:szCs w:val="22"/>
                <w:highlight w:val="none"/>
                <w:lang w:val="en-US" w:eastAsia="zh-CN" w:bidi="ar-SA"/>
              </w:rPr>
              <w:tab/>
            </w:r>
            <w:r>
              <w:rPr>
                <w:rFonts w:hint="eastAsia" w:ascii="宋体" w:hAnsi="宋体" w:eastAsia="宋体" w:cs="宋体"/>
                <w:b w:val="0"/>
                <w:kern w:val="2"/>
                <w:sz w:val="21"/>
                <w:szCs w:val="22"/>
                <w:highlight w:val="none"/>
                <w:lang w:val="en-US" w:eastAsia="zh-CN" w:bidi="ar-SA"/>
              </w:rPr>
              <w:t>0.70</w:t>
            </w:r>
            <w:r>
              <w:rPr>
                <w:rFonts w:ascii="宋体" w:hAnsi="宋体" w:eastAsia="宋体" w:cs="宋体"/>
                <w:b w:val="0"/>
                <w:kern w:val="2"/>
                <w:sz w:val="21"/>
                <w:szCs w:val="22"/>
                <w:highlight w:val="none"/>
                <w:lang w:val="en-US" w:eastAsia="zh-CN" w:bidi="ar-SA"/>
              </w:rPr>
              <w:tab/>
            </w:r>
            <w:r>
              <w:rPr>
                <w:rFonts w:hint="eastAsia" w:ascii="宋体" w:hAnsi="宋体" w:eastAsia="宋体" w:cs="宋体"/>
                <w:b w:val="0"/>
                <w:kern w:val="2"/>
                <w:sz w:val="21"/>
                <w:szCs w:val="22"/>
                <w:highlight w:val="none"/>
                <w:lang w:val="en-US" w:eastAsia="zh-CN" w:bidi="ar-SA"/>
              </w:rPr>
              <w:t>0.42</w:t>
            </w:r>
            <w:r>
              <w:rPr>
                <w:rFonts w:ascii="宋体" w:hAnsi="宋体" w:eastAsia="宋体" w:cs="宋体"/>
                <w:b w:val="0"/>
                <w:kern w:val="2"/>
                <w:sz w:val="21"/>
                <w:szCs w:val="22"/>
                <w:highlight w:val="none"/>
                <w:lang w:val="en-US" w:eastAsia="zh-CN" w:bidi="ar-SA"/>
              </w:rPr>
              <w:tab/>
            </w:r>
            <w:r>
              <w:rPr>
                <w:rFonts w:hint="eastAsia" w:ascii="宋体" w:hAnsi="宋体" w:eastAsia="宋体" w:cs="宋体"/>
                <w:b w:val="0"/>
                <w:kern w:val="2"/>
                <w:sz w:val="21"/>
                <w:szCs w:val="22"/>
                <w:highlight w:val="none"/>
                <w:lang w:val="en-US" w:eastAsia="zh-CN" w:bidi="ar-SA"/>
              </w:rPr>
              <w:t>0.28</w:t>
            </w:r>
          </w:p>
          <w:p w14:paraId="354A78BF">
            <w:pPr>
              <w:widowControl w:val="0"/>
              <w:numPr>
                <w:ilvl w:val="0"/>
                <w:numId w:val="0"/>
              </w:numPr>
              <w:jc w:val="both"/>
              <w:rPr>
                <w:rFonts w:ascii="宋体" w:hAnsi="宋体" w:eastAsia="宋体" w:cs="宋体"/>
                <w:b w:val="0"/>
                <w:kern w:val="2"/>
                <w:sz w:val="21"/>
                <w:szCs w:val="22"/>
                <w:highlight w:val="none"/>
                <w:lang w:val="en-US" w:eastAsia="zh-CN" w:bidi="ar-SA"/>
              </w:rPr>
            </w:pPr>
            <w:r>
              <w:rPr>
                <w:rFonts w:ascii="宋体" w:hAnsi="宋体" w:eastAsia="宋体" w:cs="宋体"/>
                <w:b w:val="0"/>
                <w:kern w:val="2"/>
                <w:sz w:val="21"/>
                <w:szCs w:val="22"/>
                <w:highlight w:val="none"/>
                <w:lang w:val="en-US" w:eastAsia="zh-CN" w:bidi="ar-SA"/>
              </w:rPr>
              <w:t>B</w:t>
            </w:r>
            <w:r>
              <w:rPr>
                <w:rFonts w:ascii="宋体" w:hAnsi="宋体" w:eastAsia="宋体" w:cs="宋体"/>
                <w:b w:val="0"/>
                <w:kern w:val="2"/>
                <w:sz w:val="21"/>
                <w:szCs w:val="22"/>
                <w:highlight w:val="none"/>
                <w:lang w:val="en-US" w:eastAsia="zh-CN" w:bidi="ar-SA"/>
              </w:rPr>
              <w:tab/>
            </w:r>
            <w:r>
              <w:rPr>
                <w:rFonts w:ascii="宋体" w:hAnsi="宋体" w:eastAsia="宋体" w:cs="宋体"/>
                <w:b w:val="0"/>
                <w:kern w:val="2"/>
                <w:sz w:val="21"/>
                <w:szCs w:val="22"/>
                <w:highlight w:val="none"/>
                <w:lang w:val="en-US" w:eastAsia="zh-CN" w:bidi="ar-SA"/>
              </w:rPr>
              <w:t>0</w:t>
            </w:r>
          </w:p>
          <w:p w14:paraId="7779EB3B">
            <w:pPr>
              <w:widowControl w:val="0"/>
              <w:numPr>
                <w:ilvl w:val="0"/>
                <w:numId w:val="0"/>
              </w:numPr>
              <w:jc w:val="both"/>
              <w:rPr>
                <w:rFonts w:ascii="宋体" w:hAnsi="宋体" w:eastAsia="宋体" w:cs="宋体"/>
                <w:b w:val="0"/>
                <w:kern w:val="2"/>
                <w:sz w:val="21"/>
                <w:szCs w:val="22"/>
                <w:highlight w:val="none"/>
                <w:lang w:val="en-US" w:eastAsia="zh-CN" w:bidi="ar-SA"/>
              </w:rPr>
            </w:pPr>
            <w:r>
              <w:rPr>
                <w:rFonts w:ascii="宋体" w:hAnsi="宋体" w:eastAsia="宋体" w:cs="宋体"/>
                <w:b w:val="0"/>
                <w:kern w:val="2"/>
                <w:sz w:val="21"/>
                <w:szCs w:val="22"/>
                <w:highlight w:val="none"/>
                <w:lang w:val="en-US" w:eastAsia="zh-CN" w:bidi="ar-SA"/>
              </w:rPr>
              <w:t>C</w:t>
            </w:r>
            <w:r>
              <w:rPr>
                <w:rFonts w:ascii="宋体" w:hAnsi="宋体" w:eastAsia="宋体" w:cs="宋体"/>
                <w:b w:val="0"/>
                <w:kern w:val="2"/>
                <w:sz w:val="21"/>
                <w:szCs w:val="22"/>
                <w:highlight w:val="none"/>
                <w:lang w:val="en-US" w:eastAsia="zh-CN" w:bidi="ar-SA"/>
              </w:rPr>
              <w:tab/>
            </w:r>
            <w:r>
              <w:rPr>
                <w:rFonts w:ascii="宋体" w:hAnsi="宋体" w:eastAsia="宋体" w:cs="宋体"/>
                <w:b w:val="0"/>
                <w:kern w:val="2"/>
                <w:sz w:val="21"/>
                <w:szCs w:val="22"/>
                <w:highlight w:val="none"/>
                <w:lang w:val="en-US" w:eastAsia="zh-CN" w:bidi="ar-SA"/>
              </w:rPr>
              <w:t>0</w:t>
            </w:r>
          </w:p>
          <w:p w14:paraId="779DD85E">
            <w:pPr>
              <w:widowControl w:val="0"/>
              <w:numPr>
                <w:ilvl w:val="0"/>
                <w:numId w:val="0"/>
              </w:numPr>
              <w:jc w:val="both"/>
              <w:rPr>
                <w:rFonts w:hint="default" w:ascii="宋体" w:hAnsi="宋体" w:eastAsia="宋体" w:cs="宋体"/>
                <w:b w:val="0"/>
                <w:kern w:val="2"/>
                <w:sz w:val="21"/>
                <w:szCs w:val="22"/>
                <w:highlight w:val="none"/>
                <w:lang w:val="en-US" w:eastAsia="zh-CN" w:bidi="ar-SA"/>
              </w:rPr>
            </w:pPr>
            <w:r>
              <w:rPr>
                <w:rFonts w:ascii="宋体" w:hAnsi="宋体" w:eastAsia="宋体" w:cs="宋体"/>
                <w:b w:val="0"/>
                <w:kern w:val="2"/>
                <w:sz w:val="21"/>
                <w:szCs w:val="22"/>
                <w:highlight w:val="none"/>
                <w:lang w:val="en-US" w:eastAsia="zh-CN" w:bidi="ar-SA"/>
              </w:rPr>
              <w:t>注：(1)企业信用加分分值按近三年(202</w:t>
            </w:r>
            <w:r>
              <w:rPr>
                <w:rFonts w:hint="eastAsia" w:ascii="宋体" w:hAnsi="宋体" w:eastAsia="宋体" w:cs="宋体"/>
                <w:b w:val="0"/>
                <w:kern w:val="2"/>
                <w:sz w:val="21"/>
                <w:szCs w:val="22"/>
                <w:highlight w:val="none"/>
                <w:lang w:val="en-US" w:eastAsia="zh-CN" w:bidi="ar-SA"/>
              </w:rPr>
              <w:t>4</w:t>
            </w:r>
            <w:r>
              <w:rPr>
                <w:rFonts w:ascii="宋体" w:hAnsi="宋体" w:eastAsia="宋体" w:cs="宋体"/>
                <w:b w:val="0"/>
                <w:kern w:val="2"/>
                <w:sz w:val="21"/>
                <w:szCs w:val="22"/>
                <w:highlight w:val="none"/>
                <w:lang w:val="en-US" w:eastAsia="zh-CN" w:bidi="ar-SA"/>
              </w:rPr>
              <w:t xml:space="preserve"> 年、202</w:t>
            </w:r>
            <w:r>
              <w:rPr>
                <w:rFonts w:hint="eastAsia" w:ascii="宋体" w:hAnsi="宋体" w:eastAsia="宋体" w:cs="宋体"/>
                <w:b w:val="0"/>
                <w:kern w:val="2"/>
                <w:sz w:val="21"/>
                <w:szCs w:val="22"/>
                <w:highlight w:val="none"/>
                <w:lang w:val="en-US" w:eastAsia="zh-CN" w:bidi="ar-SA"/>
              </w:rPr>
              <w:t>3</w:t>
            </w:r>
            <w:r>
              <w:rPr>
                <w:rFonts w:ascii="宋体" w:hAnsi="宋体" w:eastAsia="宋体" w:cs="宋体"/>
                <w:b w:val="0"/>
                <w:kern w:val="2"/>
                <w:sz w:val="21"/>
                <w:szCs w:val="22"/>
                <w:highlight w:val="none"/>
                <w:lang w:val="en-US" w:eastAsia="zh-CN" w:bidi="ar-SA"/>
              </w:rPr>
              <w:t xml:space="preserve"> 年、202</w:t>
            </w:r>
            <w:r>
              <w:rPr>
                <w:rFonts w:hint="eastAsia" w:ascii="宋体" w:hAnsi="宋体" w:eastAsia="宋体" w:cs="宋体"/>
                <w:b w:val="0"/>
                <w:kern w:val="2"/>
                <w:sz w:val="21"/>
                <w:szCs w:val="22"/>
                <w:highlight w:val="none"/>
                <w:lang w:val="en-US" w:eastAsia="zh-CN" w:bidi="ar-SA"/>
              </w:rPr>
              <w:t>2</w:t>
            </w:r>
            <w:r>
              <w:rPr>
                <w:rFonts w:ascii="宋体" w:hAnsi="宋体" w:eastAsia="宋体" w:cs="宋体"/>
                <w:b w:val="0"/>
                <w:kern w:val="2"/>
                <w:sz w:val="21"/>
                <w:szCs w:val="22"/>
                <w:highlight w:val="none"/>
                <w:lang w:val="en-US" w:eastAsia="zh-CN" w:bidi="ar-SA"/>
              </w:rPr>
              <w:t>年)发布的企业信用评价结果进行权值分配。当年有湖南省交通运输厅发布的</w:t>
            </w:r>
            <w:r>
              <w:rPr>
                <w:rFonts w:hint="eastAsia" w:ascii="宋体" w:hAnsi="宋体" w:eastAsia="宋体" w:cs="宋体"/>
                <w:b w:val="0"/>
                <w:kern w:val="2"/>
                <w:sz w:val="21"/>
                <w:szCs w:val="22"/>
                <w:highlight w:val="none"/>
                <w:lang w:val="en-US" w:eastAsia="zh-CN" w:bidi="ar-SA"/>
              </w:rPr>
              <w:t>公路水运工程试验检测信用评价</w:t>
            </w:r>
            <w:r>
              <w:rPr>
                <w:rFonts w:ascii="宋体" w:hAnsi="宋体" w:eastAsia="宋体" w:cs="宋体"/>
                <w:b w:val="0"/>
                <w:kern w:val="2"/>
                <w:sz w:val="21"/>
                <w:szCs w:val="22"/>
                <w:highlight w:val="none"/>
                <w:lang w:val="en-US" w:eastAsia="zh-CN" w:bidi="ar-SA"/>
              </w:rPr>
              <w:t>结果的，企业信用等级应按照湖南省交通运输厅发布的</w:t>
            </w:r>
            <w:r>
              <w:rPr>
                <w:rFonts w:hint="eastAsia" w:ascii="宋体" w:hAnsi="宋体" w:eastAsia="宋体" w:cs="宋体"/>
                <w:b w:val="0"/>
                <w:kern w:val="2"/>
                <w:sz w:val="21"/>
                <w:szCs w:val="22"/>
                <w:highlight w:val="none"/>
                <w:lang w:val="en-US" w:eastAsia="zh-CN" w:bidi="ar-SA"/>
              </w:rPr>
              <w:t>公路水运工程试验检测信用评价</w:t>
            </w:r>
            <w:r>
              <w:rPr>
                <w:rFonts w:ascii="宋体" w:hAnsi="宋体" w:eastAsia="宋体" w:cs="宋体"/>
                <w:b w:val="0"/>
                <w:kern w:val="2"/>
                <w:sz w:val="21"/>
                <w:szCs w:val="22"/>
                <w:highlight w:val="none"/>
                <w:lang w:val="en-US" w:eastAsia="zh-CN" w:bidi="ar-SA"/>
              </w:rPr>
              <w:t>结果填写，当年无湖南省交通运输厅发布</w:t>
            </w:r>
            <w:r>
              <w:rPr>
                <w:rFonts w:hint="eastAsia" w:ascii="宋体" w:hAnsi="宋体" w:eastAsia="宋体" w:cs="宋体"/>
                <w:b w:val="0"/>
                <w:kern w:val="2"/>
                <w:sz w:val="21"/>
                <w:szCs w:val="22"/>
                <w:highlight w:val="none"/>
                <w:lang w:val="en-US" w:eastAsia="zh-CN" w:bidi="ar-SA"/>
              </w:rPr>
              <w:t>公路水运工程试验检测信用评价</w:t>
            </w:r>
            <w:r>
              <w:rPr>
                <w:rFonts w:ascii="宋体" w:hAnsi="宋体" w:eastAsia="宋体" w:cs="宋体"/>
                <w:b w:val="0"/>
                <w:kern w:val="2"/>
                <w:sz w:val="21"/>
                <w:szCs w:val="22"/>
                <w:highlight w:val="none"/>
                <w:lang w:val="en-US" w:eastAsia="zh-CN" w:bidi="ar-SA"/>
              </w:rPr>
              <w:t>结果的，按交通运输部或其他省份省级交通运输行政主管部门发布对应年度的</w:t>
            </w:r>
            <w:r>
              <w:rPr>
                <w:rFonts w:hint="eastAsia" w:ascii="宋体" w:hAnsi="宋体" w:eastAsia="宋体" w:cs="宋体"/>
                <w:b w:val="0"/>
                <w:kern w:val="2"/>
                <w:sz w:val="21"/>
                <w:szCs w:val="22"/>
                <w:highlight w:val="none"/>
                <w:lang w:val="en-US" w:eastAsia="zh-CN" w:bidi="ar-SA"/>
              </w:rPr>
              <w:t>公路水运工程试验检测信用评价</w:t>
            </w:r>
            <w:r>
              <w:rPr>
                <w:rFonts w:ascii="宋体" w:hAnsi="宋体" w:eastAsia="宋体" w:cs="宋体"/>
                <w:b w:val="0"/>
                <w:kern w:val="2"/>
                <w:sz w:val="21"/>
                <w:szCs w:val="22"/>
                <w:highlight w:val="none"/>
                <w:lang w:val="en-US" w:eastAsia="zh-CN" w:bidi="ar-SA"/>
              </w:rPr>
              <w:t>结果由投标人按照“就高不就低”的原则自主填写。按照以上原则，若企业当年信用评价结果为B级及以下或无信用评价结果,其当年的信用评价得分按0分计。</w:t>
            </w:r>
            <w:r>
              <w:rPr>
                <w:rFonts w:hint="eastAsia" w:ascii="宋体" w:hAnsi="宋体" w:eastAsia="宋体" w:cs="宋体"/>
                <w:b w:val="0"/>
                <w:kern w:val="2"/>
                <w:sz w:val="21"/>
                <w:szCs w:val="22"/>
                <w:highlight w:val="none"/>
                <w:lang w:val="en-US" w:eastAsia="zh-CN" w:bidi="ar-SA"/>
              </w:rPr>
              <w:t xml:space="preserve"> </w:t>
            </w:r>
          </w:p>
          <w:p w14:paraId="4AFFF97D">
            <w:pPr>
              <w:widowControl w:val="0"/>
              <w:numPr>
                <w:ilvl w:val="0"/>
                <w:numId w:val="0"/>
              </w:numPr>
              <w:jc w:val="both"/>
              <w:rPr>
                <w:rFonts w:ascii="宋体" w:hAnsi="宋体" w:eastAsia="宋体" w:cs="宋体"/>
                <w:b w:val="0"/>
                <w:kern w:val="2"/>
                <w:sz w:val="21"/>
                <w:szCs w:val="22"/>
                <w:highlight w:val="none"/>
                <w:lang w:val="en-US" w:eastAsia="zh-CN" w:bidi="ar-SA"/>
              </w:rPr>
            </w:pPr>
            <w:r>
              <w:rPr>
                <w:rFonts w:ascii="宋体" w:hAnsi="宋体" w:eastAsia="宋体" w:cs="宋体"/>
                <w:b w:val="0"/>
                <w:kern w:val="2"/>
                <w:sz w:val="21"/>
                <w:szCs w:val="22"/>
                <w:highlight w:val="none"/>
                <w:lang w:val="en-US" w:eastAsia="zh-CN" w:bidi="ar-SA"/>
              </w:rPr>
              <w:t>(2)投标人应根据本表的要求，在该表格后附湖南省交通运输厅</w:t>
            </w:r>
            <w:r>
              <w:rPr>
                <w:rFonts w:hint="eastAsia" w:ascii="宋体" w:hAnsi="宋体" w:eastAsia="宋体" w:cs="宋体"/>
                <w:b w:val="0"/>
                <w:kern w:val="2"/>
                <w:sz w:val="21"/>
                <w:szCs w:val="22"/>
                <w:highlight w:val="none"/>
                <w:lang w:val="en-US" w:eastAsia="zh-CN" w:bidi="ar-SA"/>
              </w:rPr>
              <w:t>公路水运工程试验检测信用评价</w:t>
            </w:r>
            <w:r>
              <w:rPr>
                <w:rFonts w:ascii="宋体" w:hAnsi="宋体" w:eastAsia="宋体" w:cs="宋体"/>
                <w:b w:val="0"/>
                <w:kern w:val="2"/>
                <w:sz w:val="21"/>
                <w:szCs w:val="22"/>
                <w:highlight w:val="none"/>
                <w:lang w:val="en-US" w:eastAsia="zh-CN" w:bidi="ar-SA"/>
              </w:rPr>
              <w:t>结果或交通运输部或其他省份省级交通运输行政主管部门发布的</w:t>
            </w:r>
            <w:r>
              <w:rPr>
                <w:rFonts w:hint="eastAsia" w:ascii="宋体" w:hAnsi="宋体" w:eastAsia="宋体" w:cs="宋体"/>
                <w:b w:val="0"/>
                <w:kern w:val="2"/>
                <w:sz w:val="21"/>
                <w:szCs w:val="22"/>
                <w:highlight w:val="none"/>
                <w:lang w:val="en-US" w:eastAsia="zh-CN" w:bidi="ar-SA"/>
              </w:rPr>
              <w:t>公路水运工程试验检测信用评价</w:t>
            </w:r>
            <w:r>
              <w:rPr>
                <w:rFonts w:ascii="宋体" w:hAnsi="宋体" w:eastAsia="宋体" w:cs="宋体"/>
                <w:b w:val="0"/>
                <w:kern w:val="2"/>
                <w:sz w:val="21"/>
                <w:szCs w:val="22"/>
                <w:highlight w:val="none"/>
                <w:lang w:val="en-US" w:eastAsia="zh-CN" w:bidi="ar-SA"/>
              </w:rPr>
              <w:t>结果文件证明材料，并将投标人评价结果在文号附件表格中的序号进行标注。</w:t>
            </w:r>
          </w:p>
          <w:p w14:paraId="35672768">
            <w:pPr>
              <w:widowControl w:val="0"/>
              <w:numPr>
                <w:ilvl w:val="0"/>
                <w:numId w:val="0"/>
              </w:numPr>
              <w:jc w:val="both"/>
              <w:rPr>
                <w:rFonts w:ascii="宋体" w:hAnsi="宋体" w:eastAsia="宋体" w:cs="宋体"/>
                <w:b w:val="0"/>
                <w:kern w:val="2"/>
                <w:sz w:val="21"/>
                <w:szCs w:val="22"/>
                <w:highlight w:val="none"/>
                <w:lang w:val="en-US" w:eastAsia="zh-CN" w:bidi="ar-SA"/>
              </w:rPr>
            </w:pPr>
            <w:r>
              <w:rPr>
                <w:rFonts w:ascii="宋体" w:hAnsi="宋体" w:eastAsia="宋体" w:cs="宋体"/>
                <w:b w:val="0"/>
                <w:kern w:val="2"/>
                <w:sz w:val="21"/>
                <w:szCs w:val="22"/>
                <w:highlight w:val="none"/>
                <w:lang w:val="en-US" w:eastAsia="zh-CN" w:bidi="ar-SA"/>
              </w:rPr>
              <w:t>(3)投标人应完整、真实和准确填写湖南省交通运输厅或交通运输部或其他省份省级交通运输行政主管部门发布的对应年度的</w:t>
            </w:r>
            <w:r>
              <w:rPr>
                <w:rFonts w:hint="eastAsia" w:ascii="宋体" w:hAnsi="宋体" w:eastAsia="宋体" w:cs="宋体"/>
                <w:b w:val="0"/>
                <w:kern w:val="2"/>
                <w:sz w:val="21"/>
                <w:szCs w:val="22"/>
                <w:highlight w:val="none"/>
                <w:lang w:val="en-US" w:eastAsia="zh-CN" w:bidi="ar-SA"/>
              </w:rPr>
              <w:t>公路水运工程试验检测信用评价</w:t>
            </w:r>
            <w:r>
              <w:rPr>
                <w:rFonts w:ascii="宋体" w:hAnsi="宋体" w:eastAsia="宋体" w:cs="宋体"/>
                <w:b w:val="0"/>
                <w:kern w:val="2"/>
                <w:sz w:val="21"/>
                <w:szCs w:val="22"/>
                <w:highlight w:val="none"/>
                <w:lang w:val="en-US" w:eastAsia="zh-CN" w:bidi="ar-SA"/>
              </w:rPr>
              <w:t>结果，否则视同弄虚作假;未附相应评价结果材料的，视同无评价结果，不予计分。</w:t>
            </w:r>
          </w:p>
          <w:p w14:paraId="6001EB2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eastAsia="黑体"/>
                <w:color w:val="auto"/>
                <w:szCs w:val="21"/>
                <w:highlight w:val="none"/>
                <w:lang w:val="en-US" w:eastAsia="en-US"/>
              </w:rPr>
            </w:pPr>
            <w:r>
              <w:rPr>
                <w:rFonts w:ascii="宋体" w:hAnsi="宋体" w:eastAsia="宋体" w:cs="宋体"/>
                <w:b w:val="0"/>
                <w:kern w:val="2"/>
                <w:sz w:val="21"/>
                <w:szCs w:val="22"/>
                <w:highlight w:val="none"/>
                <w:lang w:val="en-US" w:eastAsia="zh-CN" w:bidi="ar-SA"/>
              </w:rPr>
              <w:t>(4)最近第一年的信用等级评价结果以投标文件递交截止之日前最新发布的文件结果为准;若发布的最近第一年的信用等级和投标人填报的最近第一年的信用等级不一致时，以最新发布的信用评价文件为准。</w:t>
            </w:r>
          </w:p>
        </w:tc>
      </w:tr>
    </w:tbl>
    <w:p w14:paraId="055C0670">
      <w:pPr>
        <w:pStyle w:val="2"/>
        <w:pageBreakBefore w:val="0"/>
        <w:widowControl w:val="0"/>
        <w:kinsoku/>
        <w:wordWrap/>
        <w:overflowPunct/>
        <w:topLinePunct w:val="0"/>
        <w:autoSpaceDE/>
        <w:autoSpaceDN/>
        <w:bidi w:val="0"/>
        <w:adjustRightInd/>
        <w:spacing w:before="240" w:after="240" w:line="400" w:lineRule="exact"/>
        <w:textAlignment w:val="auto"/>
        <w:rPr>
          <w:rFonts w:eastAsia="黑体"/>
          <w:b w:val="0"/>
          <w:color w:val="auto"/>
          <w:sz w:val="28"/>
          <w:szCs w:val="28"/>
          <w:highlight w:val="none"/>
        </w:rPr>
      </w:pPr>
      <w:r>
        <w:rPr>
          <w:rFonts w:eastAsia="黑体"/>
          <w:color w:val="auto"/>
          <w:sz w:val="27"/>
          <w:szCs w:val="27"/>
          <w:highlight w:val="none"/>
        </w:rPr>
        <w:br w:type="page"/>
      </w:r>
      <w:r>
        <w:rPr>
          <w:rFonts w:eastAsia="黑体"/>
          <w:b w:val="0"/>
          <w:color w:val="auto"/>
          <w:sz w:val="28"/>
          <w:szCs w:val="28"/>
          <w:highlight w:val="none"/>
        </w:rPr>
        <w:t>1. 评标方法</w:t>
      </w:r>
    </w:p>
    <w:p w14:paraId="4CF2453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2A9D3D50">
      <w:pPr>
        <w:pStyle w:val="2"/>
        <w:pageBreakBefore w:val="0"/>
        <w:widowControl w:val="0"/>
        <w:kinsoku/>
        <w:wordWrap/>
        <w:overflowPunct/>
        <w:topLinePunct w:val="0"/>
        <w:autoSpaceDE/>
        <w:autoSpaceDN/>
        <w:bidi w:val="0"/>
        <w:adjustRightInd/>
        <w:spacing w:before="360" w:after="240" w:line="400" w:lineRule="exact"/>
        <w:textAlignment w:val="auto"/>
        <w:rPr>
          <w:rFonts w:eastAsia="黑体"/>
          <w:b w:val="0"/>
          <w:color w:val="auto"/>
          <w:sz w:val="28"/>
          <w:szCs w:val="28"/>
          <w:highlight w:val="none"/>
        </w:rPr>
      </w:pPr>
      <w:r>
        <w:rPr>
          <w:rFonts w:eastAsia="黑体"/>
          <w:b w:val="0"/>
          <w:color w:val="auto"/>
          <w:sz w:val="28"/>
          <w:szCs w:val="28"/>
          <w:highlight w:val="none"/>
        </w:rPr>
        <w:t>2. 评审标准</w:t>
      </w:r>
    </w:p>
    <w:p w14:paraId="03BEA16D">
      <w:pPr>
        <w:pStyle w:val="2"/>
        <w:pageBreakBefore w:val="0"/>
        <w:widowControl w:val="0"/>
        <w:kinsoku/>
        <w:wordWrap/>
        <w:overflowPunct/>
        <w:topLinePunct w:val="0"/>
        <w:autoSpaceDE/>
        <w:autoSpaceDN/>
        <w:bidi w:val="0"/>
        <w:adjustRightInd/>
        <w:spacing w:before="240" w:after="240" w:line="400" w:lineRule="exac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2.1 初步评审标准</w:t>
      </w:r>
    </w:p>
    <w:p w14:paraId="0441256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形式评审标准：见评标办法前附表。</w:t>
      </w:r>
    </w:p>
    <w:p w14:paraId="1650FE6A">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资格评审标准：见评标办法前附表。（适用于未进行资格预审的）</w:t>
      </w:r>
    </w:p>
    <w:p w14:paraId="0EDBD5F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资格评审标准：见资格预审文件第三章“资格审查办法”详细审查标准。（适用于已进行资格预审的）</w:t>
      </w:r>
    </w:p>
    <w:p w14:paraId="3F792624">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 响应性评审标准：见评标办法前附表。</w:t>
      </w:r>
    </w:p>
    <w:p w14:paraId="37275631">
      <w:pPr>
        <w:pStyle w:val="2"/>
        <w:pageBreakBefore w:val="0"/>
        <w:widowControl w:val="0"/>
        <w:kinsoku/>
        <w:wordWrap/>
        <w:overflowPunct/>
        <w:topLinePunct w:val="0"/>
        <w:autoSpaceDE/>
        <w:autoSpaceDN/>
        <w:bidi w:val="0"/>
        <w:adjustRightInd/>
        <w:spacing w:before="240" w:after="240" w:line="400" w:lineRule="exac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2.2 分值构成与评分标准</w:t>
      </w:r>
    </w:p>
    <w:p w14:paraId="77A73B26">
      <w:pPr>
        <w:pageBreakBefore w:val="0"/>
        <w:widowControl w:val="0"/>
        <w:tabs>
          <w:tab w:val="left" w:pos="360"/>
        </w:tabs>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分值构成</w:t>
      </w:r>
    </w:p>
    <w:p w14:paraId="194588E3">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（1）技术建议书：见评标办法前附表；</w:t>
      </w:r>
    </w:p>
    <w:p w14:paraId="2E0BA7B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（2）主要人员：见评标办法前附表；</w:t>
      </w:r>
    </w:p>
    <w:p w14:paraId="6F34F59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（3）评标价：见评标办法前附表；</w:t>
      </w:r>
    </w:p>
    <w:p w14:paraId="3E0C52F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（4）其他评分因素：见评标办法前附表。</w:t>
      </w:r>
    </w:p>
    <w:p w14:paraId="68A8C367">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 评标基准价计算</w:t>
      </w:r>
    </w:p>
    <w:p w14:paraId="77C3FBC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评标基准价计算方法：见评标办法前附表。</w:t>
      </w:r>
    </w:p>
    <w:p w14:paraId="5A0B56D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2.2.3 评标价的偏差率计算</w:t>
      </w:r>
    </w:p>
    <w:p w14:paraId="4256546A">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评标价的偏差率计算公式：见评标办法前附表。</w:t>
      </w:r>
    </w:p>
    <w:p w14:paraId="78ECEC6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2.2.4 评分标准</w:t>
      </w:r>
    </w:p>
    <w:p w14:paraId="186DFE1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（1）技术建议书评分标准：见评标办法前附表；</w:t>
      </w:r>
    </w:p>
    <w:p w14:paraId="4AC4FA9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（2）主要人员评分标准：见评标办法前附表；</w:t>
      </w:r>
    </w:p>
    <w:p w14:paraId="52178B5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（3）评标价评分标准：见评标办法前附表；</w:t>
      </w:r>
    </w:p>
    <w:p w14:paraId="7C512E7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（4）其他因素评分标准：见评标办法前附表。</w:t>
      </w:r>
    </w:p>
    <w:p w14:paraId="6A06B2FA">
      <w:pPr>
        <w:pStyle w:val="2"/>
        <w:pageBreakBefore w:val="0"/>
        <w:widowControl w:val="0"/>
        <w:kinsoku/>
        <w:wordWrap/>
        <w:overflowPunct/>
        <w:topLinePunct w:val="0"/>
        <w:autoSpaceDE/>
        <w:autoSpaceDN/>
        <w:bidi w:val="0"/>
        <w:adjustRightInd/>
        <w:spacing w:before="360" w:after="240" w:line="400" w:lineRule="exact"/>
        <w:textAlignment w:val="auto"/>
        <w:rPr>
          <w:rFonts w:eastAsia="黑体"/>
          <w:b w:val="0"/>
          <w:color w:val="auto"/>
          <w:sz w:val="28"/>
          <w:szCs w:val="28"/>
          <w:highlight w:val="none"/>
        </w:rPr>
      </w:pPr>
      <w:r>
        <w:rPr>
          <w:rFonts w:eastAsia="黑体"/>
          <w:b w:val="0"/>
          <w:color w:val="auto"/>
          <w:sz w:val="28"/>
          <w:szCs w:val="28"/>
          <w:highlight w:val="none"/>
        </w:rPr>
        <w:t>3. 评标程序</w:t>
      </w:r>
    </w:p>
    <w:p w14:paraId="1340B602">
      <w:pPr>
        <w:pStyle w:val="2"/>
        <w:pageBreakBefore w:val="0"/>
        <w:widowControl w:val="0"/>
        <w:kinsoku/>
        <w:wordWrap/>
        <w:overflowPunct/>
        <w:topLinePunct w:val="0"/>
        <w:autoSpaceDE/>
        <w:autoSpaceDN/>
        <w:bidi w:val="0"/>
        <w:adjustRightInd/>
        <w:spacing w:before="240" w:after="240" w:line="400" w:lineRule="exac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3.1 第一个信封初步评审</w:t>
      </w:r>
    </w:p>
    <w:p w14:paraId="00FD903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bookmarkStart w:id="268" w:name="_Hlk28622525"/>
      <w:r>
        <w:rPr>
          <w:rFonts w:hint="eastAsia" w:asciiTheme="minorEastAsia" w:hAnsiTheme="minorEastAsia" w:eastAsiaTheme="minorEastAsia" w:cstheme="minorEastAsia"/>
          <w:color w:val="auto"/>
          <w:sz w:val="24"/>
          <w:highlight w:val="none"/>
        </w:rPr>
        <w:t xml:space="preserve">* </w:t>
      </w:r>
      <w:bookmarkEnd w:id="268"/>
      <w:r>
        <w:rPr>
          <w:rFonts w:hint="eastAsia" w:asciiTheme="minorEastAsia" w:hAnsiTheme="minorEastAsia" w:eastAsiaTheme="minorEastAsia" w:cstheme="minorEastAsia"/>
          <w:color w:val="auto"/>
          <w:sz w:val="24"/>
          <w:highlight w:val="none"/>
        </w:rPr>
        <w:t>3.1.1 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3FCB7537">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14:paraId="2D09C17D">
      <w:pPr>
        <w:pStyle w:val="2"/>
        <w:pageBreakBefore w:val="0"/>
        <w:widowControl w:val="0"/>
        <w:kinsoku/>
        <w:wordWrap/>
        <w:overflowPunct/>
        <w:topLinePunct w:val="0"/>
        <w:autoSpaceDE/>
        <w:autoSpaceDN/>
        <w:bidi w:val="0"/>
        <w:adjustRightInd/>
        <w:spacing w:before="240" w:after="240" w:line="400" w:lineRule="exac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3.2 第一个信封详细评审</w:t>
      </w:r>
    </w:p>
    <w:p w14:paraId="2D2390B6">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 评标委员会按本章第2.2款规定的量化因素和分值进行打分，并计算出各投标人的商务和技术得分。</w:t>
      </w:r>
    </w:p>
    <w:p w14:paraId="5EB836B7">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（1）按本章第2.2.4项（1）目规定的评审因素和分值对技术建议书部分计算出得分A；</w:t>
      </w:r>
    </w:p>
    <w:p w14:paraId="2DD79B8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（2）按本章第2.2.4项（2）目规定的评审因素和分值对主要人员部分计算出得分B；</w:t>
      </w:r>
    </w:p>
    <w:p w14:paraId="37D0729E">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（3）按本章第2.2.4项（4）目规定的评审因素和分值对其他部分计算出得分D。</w:t>
      </w:r>
    </w:p>
    <w:p w14:paraId="5B654483">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投标人的商务和技术得分分值计算保留小数点后两位，小数点后第三位“四舍五入”。</w:t>
      </w:r>
    </w:p>
    <w:p w14:paraId="7D81F6AB">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3.2.3 投标人的商务和技术得分=A+B+D。 </w:t>
      </w:r>
    </w:p>
    <w:p w14:paraId="6F32D5C9">
      <w:pPr>
        <w:pStyle w:val="2"/>
        <w:pageBreakBefore w:val="0"/>
        <w:widowControl w:val="0"/>
        <w:kinsoku/>
        <w:wordWrap/>
        <w:overflowPunct/>
        <w:topLinePunct w:val="0"/>
        <w:autoSpaceDE/>
        <w:autoSpaceDN/>
        <w:bidi w:val="0"/>
        <w:adjustRightInd/>
        <w:spacing w:before="240" w:after="240" w:line="400" w:lineRule="exac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3.3 第二个信封开标</w:t>
      </w:r>
    </w:p>
    <w:p w14:paraId="6F8CA77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5780DC94">
      <w:pPr>
        <w:pStyle w:val="2"/>
        <w:pageBreakBefore w:val="0"/>
        <w:widowControl w:val="0"/>
        <w:kinsoku/>
        <w:wordWrap/>
        <w:overflowPunct/>
        <w:topLinePunct w:val="0"/>
        <w:autoSpaceDE/>
        <w:autoSpaceDN/>
        <w:bidi w:val="0"/>
        <w:adjustRightInd/>
        <w:spacing w:before="240" w:after="240" w:line="400" w:lineRule="exac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3.4 第二个信封初步评审</w:t>
      </w:r>
    </w:p>
    <w:p w14:paraId="6F6CE77A">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3.4.1 评标委员会依据本章第2.1.1项、第2.1.3项规定的评审标准对投标文件第二个信封（报价文件）进行初步评审。有一项不符合评审标准的，评标委员会应否决其投标。</w:t>
      </w:r>
    </w:p>
    <w:p w14:paraId="41CDF55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3.4.2 投标报价有算术错误的，评标委员会按以下原则对投标报价进行修正，修正的价格经投标人书面确认后具有约束力。投标人不接受修正价格的，评标委员会应否决其投标。</w:t>
      </w:r>
    </w:p>
    <w:p w14:paraId="0890497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（1）投标文件中的大写金额与小写金额不一致的，以大写金额为准；</w:t>
      </w:r>
    </w:p>
    <w:p w14:paraId="51E9240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（2）总价金额与依据单价计算出的结果不一致的，以单价金额为准修正总价，但单价金额小数点有明显错误的除外；</w:t>
      </w:r>
    </w:p>
    <w:p w14:paraId="2FD072C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（3）当单价与数量相乘不等于合价时，以单价计算为准，如果单价有明显的小数点位置差错，应以标出的合价为准，同时对单价予以修正；</w:t>
      </w:r>
    </w:p>
    <w:p w14:paraId="2B14AE3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（4）当各子目的合价累计不等于总价时，应以各子目合价累计数为准，修正总价。</w:t>
      </w:r>
    </w:p>
    <w:p w14:paraId="2E70A30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3.4.3 修正后的最终投标报价若超过最高投标限价（如有），评标委员会应否决其投标。</w:t>
      </w:r>
    </w:p>
    <w:p w14:paraId="5011A0F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3.4.4 修正后的最终投标报价仅作为签订合同的一个依据，不参与评标价得分的计算。</w:t>
      </w:r>
    </w:p>
    <w:p w14:paraId="6DBAC321">
      <w:pPr>
        <w:pStyle w:val="2"/>
        <w:pageBreakBefore w:val="0"/>
        <w:widowControl w:val="0"/>
        <w:kinsoku/>
        <w:wordWrap/>
        <w:overflowPunct/>
        <w:topLinePunct w:val="0"/>
        <w:autoSpaceDE/>
        <w:autoSpaceDN/>
        <w:bidi w:val="0"/>
        <w:adjustRightInd/>
        <w:spacing w:before="240" w:after="240" w:line="400" w:lineRule="exac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3.5 第二个信封详细评审</w:t>
      </w:r>
    </w:p>
    <w:p w14:paraId="51BC51B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 评标委员会按本章第2.2.4项（3）目规定的评审因素和分值对评标价计算出得分C。评标价得分分值计算保留小数点后两位，小数点后第三位“四舍五入”。</w:t>
      </w:r>
    </w:p>
    <w:p w14:paraId="5C91382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3.5.2 投标人综合得分=投标人的商务和技术得分+C。</w:t>
      </w:r>
    </w:p>
    <w:p w14:paraId="74993C1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54EB6C7F">
      <w:pPr>
        <w:pStyle w:val="2"/>
        <w:pageBreakBefore w:val="0"/>
        <w:widowControl w:val="0"/>
        <w:kinsoku/>
        <w:wordWrap/>
        <w:overflowPunct/>
        <w:topLinePunct w:val="0"/>
        <w:autoSpaceDE/>
        <w:autoSpaceDN/>
        <w:bidi w:val="0"/>
        <w:adjustRightInd/>
        <w:spacing w:before="240" w:after="240" w:line="400" w:lineRule="exac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val="0"/>
          <w:color w:val="auto"/>
          <w:sz w:val="24"/>
          <w:szCs w:val="24"/>
          <w:highlight w:val="none"/>
        </w:rPr>
        <w:t>3.6 投标文件相关信息的核查</w:t>
      </w:r>
    </w:p>
    <w:p w14:paraId="59C54C3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14:paraId="69A5D81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（1）有下列情形之一的，属于投标人相互串通投标：</w:t>
      </w:r>
    </w:p>
    <w:p w14:paraId="0F061016">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a.投标人之间协商投标报价等投标文件的实质性内容；</w:t>
      </w:r>
    </w:p>
    <w:p w14:paraId="3888F9C4">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b.投标人之间约定中标人；</w:t>
      </w:r>
    </w:p>
    <w:p w14:paraId="72B0EBE6">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c.投标人之间约定部分投标人放弃投标或中标；</w:t>
      </w:r>
    </w:p>
    <w:p w14:paraId="2799594B">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d.属于同一集团、协会、商会等组织成员的投标人按照该组织要求协同投标；</w:t>
      </w:r>
    </w:p>
    <w:p w14:paraId="70583C0E">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e.投标人之间为谋取中标或排斥特定投标人而采取的其他联合行动。</w:t>
      </w:r>
    </w:p>
    <w:p w14:paraId="2264691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（2）有下列情形之一的，视为投标人相互串通投标：</w:t>
      </w:r>
    </w:p>
    <w:p w14:paraId="6D27C13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a.不同投标人的投标文件由同一单位或个人编制；</w:t>
      </w:r>
    </w:p>
    <w:p w14:paraId="6B6F4EF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b.不同投标人委托同一单位或个人办理投标事宜；</w:t>
      </w:r>
    </w:p>
    <w:p w14:paraId="21DE81C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c.不同投标人的投标文件载明的项目管理成员为同一人；</w:t>
      </w:r>
    </w:p>
    <w:p w14:paraId="1F8F00E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d.不同投标人的投标文件异常一致或投标报价呈规律性差异；</w:t>
      </w:r>
    </w:p>
    <w:p w14:paraId="34FCD4B7">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e.不同投标人的投标文件相互混装；</w:t>
      </w:r>
    </w:p>
    <w:p w14:paraId="0BBD281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f.不同投标人的投标保证金从同一单位或个人的账户转出；</w:t>
      </w:r>
    </w:p>
    <w:p w14:paraId="2F40609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g.不同投标人提交电子投标文件IP地址相同且无法合理说明的；</w:t>
      </w:r>
    </w:p>
    <w:p w14:paraId="715E9D79">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h.不同投标人提交电子投标文件的IP地址在某一特定区域且无法合理说明的；</w:t>
      </w:r>
    </w:p>
    <w:p w14:paraId="62942B0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i.电子投标文件硬件信息相同且无法合理说明的。</w:t>
      </w:r>
    </w:p>
    <w:p w14:paraId="027EAF0E">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（3）有下列情形之一的，属于招标人与投标人串通投标：</w:t>
      </w:r>
    </w:p>
    <w:p w14:paraId="3130091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a.招标人在开标前开启投标文件并将有关信息泄露给其他投标人;</w:t>
      </w:r>
    </w:p>
    <w:p w14:paraId="50EED66B">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b.招标人直接或间接向投标人泄露标底、评标委员会成员等信息；</w:t>
      </w:r>
    </w:p>
    <w:p w14:paraId="1385287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c.招标人明示或暗示投标人压低或抬高投标报价；</w:t>
      </w:r>
    </w:p>
    <w:p w14:paraId="6937B46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d.招标人授意投标人撤换、修改投标文件；</w:t>
      </w:r>
    </w:p>
    <w:p w14:paraId="6DBDB34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e.招标人明示或暗示投标人为特定投标人中标提供方便；</w:t>
      </w:r>
    </w:p>
    <w:p w14:paraId="18269E1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f.招标人与投标人为谋求特定投标人中标而采取的其他串通行为。</w:t>
      </w:r>
    </w:p>
    <w:p w14:paraId="01E7AD93">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（4）投标人有下列情形之一的，属于弄虚作假的行为：</w:t>
      </w:r>
    </w:p>
    <w:p w14:paraId="28D923A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a.使用通过受让或租借等方式获取的资格、资质证书投标；</w:t>
      </w:r>
    </w:p>
    <w:p w14:paraId="2C11E15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b.使用伪造、变造的许可证件；</w:t>
      </w:r>
    </w:p>
    <w:p w14:paraId="776AAED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c.提供虚假的业绩；</w:t>
      </w:r>
    </w:p>
    <w:p w14:paraId="56E91013">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d.提供虚假的项目负责人或主要技术人员简历、劳动关系证明；</w:t>
      </w:r>
    </w:p>
    <w:p w14:paraId="6F8096B7">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e.提供虚假的信用状况；</w:t>
      </w:r>
    </w:p>
    <w:p w14:paraId="2E89B6CE">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f.其他弄虚作假的行为。</w:t>
      </w:r>
    </w:p>
    <w:p w14:paraId="635373E9">
      <w:pPr>
        <w:pStyle w:val="2"/>
        <w:pageBreakBefore w:val="0"/>
        <w:widowControl w:val="0"/>
        <w:kinsoku/>
        <w:wordWrap/>
        <w:overflowPunct/>
        <w:topLinePunct w:val="0"/>
        <w:autoSpaceDE/>
        <w:autoSpaceDN/>
        <w:bidi w:val="0"/>
        <w:adjustRightInd/>
        <w:spacing w:before="240" w:after="240" w:line="400" w:lineRule="exac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3.7 投标文件的澄清和说明</w:t>
      </w:r>
    </w:p>
    <w:p w14:paraId="1DCBE60B">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58C19E4E">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 澄清和说明不得超出投标文件的范围或改变投标文件的实质性内容（算术性错误的修正除外）。投标人的书面澄清、说明属于投标文件的组成部分。</w:t>
      </w:r>
    </w:p>
    <w:p w14:paraId="51782727">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 评标委员会不得暗示或诱导投标人作出澄清、说明，对投标人提交的澄清、说明有疑问的，可以要求投标人进一步澄清或说明，直至满足评标委员会的要求。</w:t>
      </w:r>
    </w:p>
    <w:p w14:paraId="653041C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 凡超出招标文件规定的或给委托人带来未曾要求的利益的变化、偏差或其他因素在评标时不予考虑。</w:t>
      </w:r>
    </w:p>
    <w:p w14:paraId="0E653263">
      <w:pPr>
        <w:pStyle w:val="2"/>
        <w:pageBreakBefore w:val="0"/>
        <w:widowControl w:val="0"/>
        <w:kinsoku/>
        <w:wordWrap/>
        <w:overflowPunct/>
        <w:topLinePunct w:val="0"/>
        <w:autoSpaceDE/>
        <w:autoSpaceDN/>
        <w:bidi w:val="0"/>
        <w:adjustRightInd/>
        <w:spacing w:before="240" w:after="240" w:line="400" w:lineRule="exac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3.8 不得否决投标的情形</w:t>
      </w:r>
    </w:p>
    <w:p w14:paraId="0A3DB31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投标文件存在第二章“投标人须知”第1.12.3项所列情形的，均视为细微偏差，评标委员会不得否决投标人的投标，应按照第二章“投标人须知”第1.12.4项规定的原则处理。</w:t>
      </w:r>
    </w:p>
    <w:p w14:paraId="50EA083D">
      <w:pPr>
        <w:pStyle w:val="2"/>
        <w:pageBreakBefore w:val="0"/>
        <w:widowControl w:val="0"/>
        <w:kinsoku/>
        <w:wordWrap/>
        <w:overflowPunct/>
        <w:topLinePunct w:val="0"/>
        <w:autoSpaceDE/>
        <w:autoSpaceDN/>
        <w:bidi w:val="0"/>
        <w:adjustRightInd/>
        <w:spacing w:before="240" w:after="240" w:line="400" w:lineRule="exac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3.9 评标结果</w:t>
      </w:r>
    </w:p>
    <w:p w14:paraId="2F960FA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3.9.1 除第二章“投标人须知”前附表授权直接确定中标人外，评标委员会按照得分由高到低的顺序推荐中标候选人，并标明排序。</w:t>
      </w:r>
    </w:p>
    <w:p w14:paraId="41B292D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3.9.2 评标委员会完成评标后，应向招标人提交书面评标报告。</w:t>
      </w:r>
    </w:p>
    <w:p w14:paraId="309BDB11">
      <w:pPr>
        <w:pageBreakBefore w:val="0"/>
        <w:widowControl w:val="0"/>
        <w:kinsoku/>
        <w:wordWrap/>
        <w:overflowPunct/>
        <w:topLinePunct w:val="0"/>
        <w:autoSpaceDE/>
        <w:autoSpaceDN/>
        <w:bidi w:val="0"/>
        <w:adjustRightInd/>
        <w:spacing w:line="400" w:lineRule="exact"/>
        <w:textAlignment w:val="auto"/>
        <w:rPr>
          <w:color w:val="auto"/>
          <w:highlight w:val="none"/>
        </w:rPr>
      </w:pPr>
      <w:r>
        <w:rPr>
          <w:color w:val="auto"/>
          <w:highlight w:val="none"/>
        </w:rPr>
        <w:br w:type="page"/>
      </w:r>
    </w:p>
    <w:p w14:paraId="134DD3F2">
      <w:pPr>
        <w:rPr>
          <w:color w:val="auto"/>
          <w:highlight w:val="none"/>
        </w:rPr>
      </w:pPr>
    </w:p>
    <w:bookmarkEnd w:id="266"/>
    <w:bookmarkEnd w:id="267"/>
    <w:p w14:paraId="5CD81543">
      <w:pPr>
        <w:spacing w:line="440" w:lineRule="atLeast"/>
        <w:jc w:val="center"/>
        <w:rPr>
          <w:rFonts w:eastAsia="黑体"/>
          <w:color w:val="auto"/>
          <w:sz w:val="29"/>
          <w:szCs w:val="29"/>
          <w:highlight w:val="none"/>
        </w:rPr>
      </w:pPr>
    </w:p>
    <w:p w14:paraId="54F0FC70">
      <w:pPr>
        <w:spacing w:line="440" w:lineRule="atLeast"/>
        <w:jc w:val="center"/>
        <w:rPr>
          <w:rFonts w:eastAsia="黑体"/>
          <w:color w:val="auto"/>
          <w:sz w:val="29"/>
          <w:szCs w:val="29"/>
          <w:highlight w:val="none"/>
        </w:rPr>
      </w:pPr>
    </w:p>
    <w:p w14:paraId="6EE74C58">
      <w:pPr>
        <w:spacing w:line="440" w:lineRule="atLeast"/>
        <w:jc w:val="center"/>
        <w:rPr>
          <w:rFonts w:eastAsia="黑体"/>
          <w:color w:val="auto"/>
          <w:sz w:val="29"/>
          <w:szCs w:val="29"/>
          <w:highlight w:val="none"/>
        </w:rPr>
      </w:pPr>
    </w:p>
    <w:p w14:paraId="7CC3B1F8">
      <w:pPr>
        <w:spacing w:line="440" w:lineRule="atLeast"/>
        <w:jc w:val="center"/>
        <w:rPr>
          <w:rFonts w:eastAsia="黑体"/>
          <w:color w:val="auto"/>
          <w:sz w:val="29"/>
          <w:szCs w:val="29"/>
          <w:highlight w:val="none"/>
        </w:rPr>
      </w:pPr>
    </w:p>
    <w:p w14:paraId="6988AB4C">
      <w:pPr>
        <w:spacing w:line="440" w:lineRule="atLeast"/>
        <w:jc w:val="center"/>
        <w:rPr>
          <w:rFonts w:eastAsia="黑体"/>
          <w:color w:val="auto"/>
          <w:sz w:val="29"/>
          <w:szCs w:val="29"/>
          <w:highlight w:val="none"/>
        </w:rPr>
      </w:pPr>
    </w:p>
    <w:p w14:paraId="436092F5">
      <w:pPr>
        <w:spacing w:line="440" w:lineRule="atLeast"/>
        <w:jc w:val="center"/>
        <w:rPr>
          <w:rFonts w:eastAsia="黑体"/>
          <w:color w:val="auto"/>
          <w:sz w:val="29"/>
          <w:szCs w:val="29"/>
          <w:highlight w:val="none"/>
        </w:rPr>
      </w:pPr>
    </w:p>
    <w:p w14:paraId="3763F268">
      <w:pPr>
        <w:spacing w:line="440" w:lineRule="atLeast"/>
        <w:jc w:val="center"/>
        <w:rPr>
          <w:rFonts w:eastAsia="黑体"/>
          <w:color w:val="auto"/>
          <w:sz w:val="29"/>
          <w:szCs w:val="29"/>
          <w:highlight w:val="none"/>
        </w:rPr>
      </w:pPr>
    </w:p>
    <w:p w14:paraId="6CED0CB1">
      <w:pPr>
        <w:spacing w:line="440" w:lineRule="atLeast"/>
        <w:jc w:val="center"/>
        <w:rPr>
          <w:rFonts w:eastAsia="黑体"/>
          <w:color w:val="auto"/>
          <w:sz w:val="29"/>
          <w:szCs w:val="29"/>
          <w:highlight w:val="none"/>
        </w:rPr>
      </w:pPr>
    </w:p>
    <w:p w14:paraId="445FF35A">
      <w:pPr>
        <w:spacing w:line="440" w:lineRule="atLeast"/>
        <w:jc w:val="center"/>
        <w:rPr>
          <w:rFonts w:eastAsia="黑体"/>
          <w:color w:val="auto"/>
          <w:sz w:val="29"/>
          <w:szCs w:val="29"/>
          <w:highlight w:val="none"/>
        </w:rPr>
      </w:pPr>
    </w:p>
    <w:p w14:paraId="66F7BA38">
      <w:pPr>
        <w:spacing w:line="440" w:lineRule="atLeast"/>
        <w:jc w:val="center"/>
        <w:rPr>
          <w:rFonts w:eastAsia="黑体"/>
          <w:color w:val="auto"/>
          <w:sz w:val="29"/>
          <w:szCs w:val="29"/>
          <w:highlight w:val="none"/>
        </w:rPr>
      </w:pPr>
    </w:p>
    <w:p w14:paraId="58EEA9CF">
      <w:pPr>
        <w:pStyle w:val="2"/>
        <w:spacing w:before="240" w:after="240" w:line="440" w:lineRule="atLeast"/>
        <w:jc w:val="center"/>
        <w:rPr>
          <w:rFonts w:eastAsia="黑体"/>
          <w:b w:val="0"/>
          <w:color w:val="auto"/>
          <w:sz w:val="56"/>
          <w:szCs w:val="56"/>
          <w:highlight w:val="none"/>
        </w:rPr>
      </w:pPr>
      <w:bookmarkStart w:id="269" w:name="_Toc510015753"/>
      <w:bookmarkStart w:id="270" w:name="_Toc234832964"/>
      <w:r>
        <w:rPr>
          <w:rFonts w:eastAsia="黑体"/>
          <w:b w:val="0"/>
          <w:color w:val="auto"/>
          <w:sz w:val="56"/>
          <w:szCs w:val="56"/>
          <w:highlight w:val="none"/>
        </w:rPr>
        <w:t>第四章  合同条款及格式</w:t>
      </w:r>
      <w:bookmarkEnd w:id="269"/>
      <w:bookmarkEnd w:id="270"/>
    </w:p>
    <w:p w14:paraId="7C3DF25C">
      <w:pPr>
        <w:spacing w:line="440" w:lineRule="atLeast"/>
        <w:rPr>
          <w:rFonts w:eastAsia="黑体"/>
          <w:color w:val="auto"/>
          <w:sz w:val="20"/>
          <w:szCs w:val="20"/>
          <w:highlight w:val="none"/>
        </w:rPr>
      </w:pPr>
    </w:p>
    <w:p w14:paraId="4A63A210">
      <w:pPr>
        <w:spacing w:line="440" w:lineRule="atLeast"/>
        <w:rPr>
          <w:rFonts w:eastAsia="黑体"/>
          <w:color w:val="auto"/>
          <w:sz w:val="20"/>
          <w:szCs w:val="20"/>
          <w:highlight w:val="none"/>
        </w:rPr>
      </w:pPr>
      <w:r>
        <w:rPr>
          <w:rFonts w:eastAsia="黑体"/>
          <w:color w:val="auto"/>
          <w:sz w:val="20"/>
          <w:szCs w:val="20"/>
          <w:highlight w:val="none"/>
        </w:rPr>
        <w:br w:type="page"/>
      </w:r>
    </w:p>
    <w:p w14:paraId="4343804E">
      <w:pPr>
        <w:spacing w:line="440" w:lineRule="atLeast"/>
        <w:ind w:firstLine="0" w:firstLineChars="0"/>
        <w:jc w:val="both"/>
        <w:rPr>
          <w:color w:val="auto"/>
          <w:sz w:val="22"/>
          <w:szCs w:val="21"/>
          <w:highlight w:val="none"/>
        </w:rPr>
      </w:pPr>
      <w:bookmarkStart w:id="271" w:name="_Toc234832965"/>
    </w:p>
    <w:p w14:paraId="39C613D6">
      <w:pPr>
        <w:spacing w:line="440" w:lineRule="atLeast"/>
        <w:ind w:firstLine="440" w:firstLineChars="200"/>
        <w:jc w:val="center"/>
        <w:rPr>
          <w:color w:val="auto"/>
          <w:sz w:val="22"/>
          <w:szCs w:val="21"/>
          <w:highlight w:val="none"/>
        </w:rPr>
      </w:pPr>
    </w:p>
    <w:p w14:paraId="7E10D1E3">
      <w:pPr>
        <w:keepNext w:val="0"/>
        <w:keepLines w:val="0"/>
        <w:widowControl/>
        <w:suppressLineNumbers w:val="0"/>
        <w:shd w:val="clear" w:fill="FFFFFF" w:themeFill="background1"/>
        <w:spacing w:line="360" w:lineRule="exact"/>
        <w:jc w:val="center"/>
        <w:rPr>
          <w:rFonts w:ascii="Times New Roman" w:hAnsi="Times New Roman" w:eastAsia="宋体" w:cs="Times New Roman"/>
          <w:b w:val="0"/>
          <w:bCs w:val="0"/>
          <w:color w:val="auto"/>
          <w:highlight w:val="none"/>
        </w:rPr>
      </w:pPr>
      <w:bookmarkStart w:id="272" w:name="_Toc510015754"/>
      <w:r>
        <w:rPr>
          <w:rFonts w:hint="eastAsia" w:ascii="宋体" w:hAnsi="宋体" w:eastAsia="宋体" w:cs="宋体"/>
          <w:b w:val="0"/>
          <w:bCs w:val="0"/>
          <w:color w:val="auto"/>
          <w:kern w:val="0"/>
          <w:sz w:val="28"/>
          <w:szCs w:val="28"/>
          <w:highlight w:val="none"/>
          <w:lang w:val="en-US" w:eastAsia="zh-CN" w:bidi="ar"/>
        </w:rPr>
        <w:t xml:space="preserve">合同编号： </w:t>
      </w:r>
    </w:p>
    <w:p w14:paraId="1BFC063C">
      <w:pPr>
        <w:keepNext w:val="0"/>
        <w:keepLines w:val="0"/>
        <w:widowControl/>
        <w:suppressLineNumbers w:val="0"/>
        <w:shd w:val="clear" w:fill="FFFFFF" w:themeFill="background1"/>
        <w:spacing w:line="360" w:lineRule="exact"/>
        <w:jc w:val="center"/>
        <w:rPr>
          <w:rFonts w:hint="eastAsia" w:ascii="宋体" w:hAnsi="宋体" w:eastAsia="宋体" w:cs="宋体"/>
          <w:b w:val="0"/>
          <w:bCs w:val="0"/>
          <w:color w:val="auto"/>
          <w:kern w:val="0"/>
          <w:sz w:val="48"/>
          <w:szCs w:val="48"/>
          <w:highlight w:val="none"/>
          <w:lang w:val="en-US" w:eastAsia="zh-CN" w:bidi="ar"/>
        </w:rPr>
      </w:pPr>
    </w:p>
    <w:p w14:paraId="45287AD8">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line="240" w:lineRule="auto"/>
        <w:ind w:firstLine="480" w:firstLineChars="100"/>
        <w:jc w:val="center"/>
        <w:textAlignment w:val="auto"/>
        <w:rPr>
          <w:rFonts w:hint="eastAsia" w:ascii="宋体" w:hAnsi="宋体" w:eastAsia="宋体" w:cs="宋体"/>
          <w:b w:val="0"/>
          <w:bCs w:val="0"/>
          <w:color w:val="auto"/>
          <w:kern w:val="0"/>
          <w:sz w:val="48"/>
          <w:szCs w:val="48"/>
          <w:highlight w:val="none"/>
          <w:lang w:val="en-US" w:eastAsia="zh-CN" w:bidi="ar"/>
        </w:rPr>
      </w:pPr>
    </w:p>
    <w:p w14:paraId="2F27D23C">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48"/>
          <w:szCs w:val="48"/>
          <w:highlight w:val="none"/>
          <w:lang w:val="en-US" w:eastAsia="zh-CN" w:bidi="ar"/>
        </w:rPr>
      </w:pPr>
      <w:r>
        <w:rPr>
          <w:rFonts w:hint="eastAsia" w:ascii="宋体" w:hAnsi="宋体" w:eastAsia="宋体" w:cs="宋体"/>
          <w:b/>
          <w:bCs/>
          <w:color w:val="auto"/>
          <w:kern w:val="0"/>
          <w:sz w:val="48"/>
          <w:szCs w:val="48"/>
          <w:highlight w:val="none"/>
          <w:lang w:val="en-US" w:eastAsia="zh-CN" w:bidi="ar"/>
        </w:rPr>
        <w:t>G59呼北高速张家界至官庄段第二标段</w:t>
      </w:r>
    </w:p>
    <w:p w14:paraId="49780777">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48"/>
          <w:szCs w:val="48"/>
          <w:highlight w:val="none"/>
          <w:lang w:val="en-US" w:eastAsia="zh-CN" w:bidi="ar"/>
        </w:rPr>
      </w:pPr>
      <w:r>
        <w:rPr>
          <w:rFonts w:hint="eastAsia" w:ascii="宋体" w:hAnsi="宋体" w:eastAsia="宋体" w:cs="宋体"/>
          <w:b/>
          <w:bCs/>
          <w:color w:val="auto"/>
          <w:kern w:val="0"/>
          <w:sz w:val="48"/>
          <w:szCs w:val="48"/>
          <w:highlight w:val="none"/>
          <w:lang w:val="en-US" w:eastAsia="zh-CN" w:bidi="ar"/>
        </w:rPr>
        <w:t>成桥动静载检测（桥梁）技术咨询服务</w:t>
      </w:r>
    </w:p>
    <w:p w14:paraId="4C31E9B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2"/>
          <w:szCs w:val="21"/>
          <w:highlight w:val="none"/>
        </w:rPr>
      </w:pPr>
      <w:r>
        <w:rPr>
          <w:rFonts w:hint="eastAsia" w:ascii="宋体" w:hAnsi="宋体" w:eastAsia="宋体" w:cs="宋体"/>
          <w:b/>
          <w:bCs/>
          <w:color w:val="auto"/>
          <w:kern w:val="0"/>
          <w:sz w:val="48"/>
          <w:szCs w:val="48"/>
          <w:highlight w:val="none"/>
          <w:lang w:val="en-US" w:eastAsia="zh-CN" w:bidi="ar"/>
        </w:rPr>
        <w:t>合同</w:t>
      </w:r>
    </w:p>
    <w:p w14:paraId="2B17D06B">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34F4931F">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7FFCD008">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0B8DB698">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52731490">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168FACEC">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00BE266E">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021A9318">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12444C37">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1B4277FE">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0B7A09DD">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09974714">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678918BC">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269135FA">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4B0EDC13">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0A5065CA">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7DF94CE0">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40DC9519">
      <w:pPr>
        <w:keepNext w:val="0"/>
        <w:keepLines w:val="0"/>
        <w:widowControl/>
        <w:suppressLineNumbers w:val="0"/>
        <w:shd w:val="clear" w:fill="FFFFFF" w:themeFill="background1"/>
        <w:spacing w:line="360" w:lineRule="exact"/>
        <w:jc w:val="left"/>
        <w:rPr>
          <w:rFonts w:ascii="黑体" w:hAnsi="宋体" w:eastAsia="黑体" w:cs="黑体"/>
          <w:b w:val="0"/>
          <w:bCs w:val="0"/>
          <w:color w:val="auto"/>
          <w:kern w:val="0"/>
          <w:sz w:val="32"/>
          <w:szCs w:val="32"/>
          <w:highlight w:val="none"/>
          <w:lang w:val="en-US" w:eastAsia="zh-CN" w:bidi="ar"/>
        </w:rPr>
      </w:pPr>
    </w:p>
    <w:p w14:paraId="237A85AF">
      <w:pPr>
        <w:keepNext w:val="0"/>
        <w:keepLines w:val="0"/>
        <w:widowControl/>
        <w:suppressLineNumbers w:val="0"/>
        <w:shd w:val="clear" w:fill="FFFFFF" w:themeFill="background1"/>
        <w:spacing w:line="360" w:lineRule="exact"/>
        <w:ind w:left="2919" w:leftChars="133" w:hanging="2640" w:hangingChars="825"/>
        <w:jc w:val="left"/>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kern w:val="0"/>
          <w:sz w:val="32"/>
          <w:szCs w:val="32"/>
          <w:highlight w:val="none"/>
          <w:lang w:val="en-US" w:eastAsia="zh-CN" w:bidi="ar"/>
        </w:rPr>
        <w:t xml:space="preserve">委托方（甲方）：湖南省新新张官高速公路建设开发有限公司张家界分公司 </w:t>
      </w:r>
    </w:p>
    <w:p w14:paraId="6AD3001A">
      <w:pPr>
        <w:keepNext w:val="0"/>
        <w:keepLines w:val="0"/>
        <w:widowControl/>
        <w:suppressLineNumbers w:val="0"/>
        <w:shd w:val="clear" w:fill="FFFFFF" w:themeFill="background1"/>
        <w:spacing w:line="360" w:lineRule="exact"/>
        <w:ind w:left="0" w:leftChars="0" w:firstLine="240" w:firstLineChars="75"/>
        <w:jc w:val="left"/>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kern w:val="0"/>
          <w:sz w:val="32"/>
          <w:szCs w:val="32"/>
          <w:highlight w:val="none"/>
          <w:lang w:val="en-US" w:eastAsia="zh-CN" w:bidi="ar"/>
        </w:rPr>
        <w:t>受托方（乙方）：</w:t>
      </w:r>
    </w:p>
    <w:p w14:paraId="07C186FD">
      <w:pPr>
        <w:keepNext w:val="0"/>
        <w:keepLines w:val="0"/>
        <w:widowControl/>
        <w:suppressLineNumbers w:val="0"/>
        <w:shd w:val="clear" w:fill="FFFFFF" w:themeFill="background1"/>
        <w:spacing w:line="360" w:lineRule="exact"/>
        <w:ind w:left="0" w:leftChars="0" w:firstLine="240" w:firstLineChars="75"/>
        <w:jc w:val="left"/>
        <w:rPr>
          <w:rFonts w:hint="eastAsia" w:ascii="宋体" w:hAnsi="宋体" w:eastAsia="宋体" w:cs="宋体"/>
          <w:b w:val="0"/>
          <w:bCs w:val="0"/>
          <w:color w:val="auto"/>
          <w:kern w:val="0"/>
          <w:sz w:val="32"/>
          <w:szCs w:val="32"/>
          <w:highlight w:val="none"/>
          <w:lang w:val="en-US" w:eastAsia="zh-CN" w:bidi="ar"/>
        </w:rPr>
      </w:pPr>
    </w:p>
    <w:p w14:paraId="1FDDD3F3">
      <w:pPr>
        <w:keepNext w:val="0"/>
        <w:keepLines w:val="0"/>
        <w:widowControl/>
        <w:suppressLineNumbers w:val="0"/>
        <w:shd w:val="clear" w:fill="FFFFFF" w:themeFill="background1"/>
        <w:spacing w:line="360" w:lineRule="exact"/>
        <w:ind w:left="0" w:leftChars="0" w:firstLine="240" w:firstLineChars="75"/>
        <w:jc w:val="left"/>
        <w:rPr>
          <w:rFonts w:hint="eastAsia" w:ascii="宋体" w:hAnsi="宋体" w:eastAsia="宋体" w:cs="宋体"/>
          <w:b w:val="0"/>
          <w:bCs w:val="0"/>
          <w:color w:val="auto"/>
          <w:kern w:val="0"/>
          <w:sz w:val="32"/>
          <w:szCs w:val="32"/>
          <w:highlight w:val="none"/>
          <w:lang w:val="en-US" w:eastAsia="zh-CN" w:bidi="ar"/>
        </w:rPr>
      </w:pPr>
      <w:r>
        <w:rPr>
          <w:rFonts w:hint="eastAsia" w:ascii="宋体" w:hAnsi="宋体" w:eastAsia="宋体" w:cs="宋体"/>
          <w:b w:val="0"/>
          <w:bCs w:val="0"/>
          <w:color w:val="auto"/>
          <w:kern w:val="0"/>
          <w:sz w:val="32"/>
          <w:szCs w:val="32"/>
          <w:highlight w:val="none"/>
          <w:lang w:val="en-US" w:eastAsia="zh-CN" w:bidi="ar"/>
        </w:rPr>
        <w:t xml:space="preserve">签订日期：    年   月   日 </w:t>
      </w:r>
    </w:p>
    <w:p w14:paraId="6E8EA217">
      <w:pPr>
        <w:keepNext w:val="0"/>
        <w:keepLines w:val="0"/>
        <w:widowControl/>
        <w:suppressLineNumbers w:val="0"/>
        <w:shd w:val="clear" w:fill="FFFFFF" w:themeFill="background1"/>
        <w:spacing w:line="360" w:lineRule="exact"/>
        <w:ind w:left="0" w:leftChars="0" w:firstLine="240" w:firstLineChars="75"/>
        <w:jc w:val="left"/>
        <w:rPr>
          <w:rFonts w:hint="eastAsia" w:ascii="宋体" w:hAnsi="宋体" w:eastAsia="宋体" w:cs="宋体"/>
          <w:b w:val="0"/>
          <w:bCs w:val="0"/>
          <w:color w:val="auto"/>
          <w:kern w:val="0"/>
          <w:sz w:val="32"/>
          <w:szCs w:val="32"/>
          <w:highlight w:val="none"/>
          <w:lang w:val="en-US" w:eastAsia="zh-CN" w:bidi="ar"/>
        </w:rPr>
      </w:pPr>
    </w:p>
    <w:p w14:paraId="79F09524">
      <w:pPr>
        <w:keepNext w:val="0"/>
        <w:keepLines w:val="0"/>
        <w:widowControl/>
        <w:suppressLineNumbers w:val="0"/>
        <w:shd w:val="clear" w:fill="FFFFFF" w:themeFill="background1"/>
        <w:spacing w:line="360" w:lineRule="exact"/>
        <w:ind w:left="0" w:leftChars="0" w:firstLine="240" w:firstLineChars="75"/>
        <w:jc w:val="left"/>
        <w:rPr>
          <w:rFonts w:hint="default" w:ascii="宋体" w:hAnsi="宋体" w:eastAsia="宋体" w:cs="宋体"/>
          <w:b w:val="0"/>
          <w:bCs w:val="0"/>
          <w:color w:val="auto"/>
          <w:kern w:val="0"/>
          <w:sz w:val="32"/>
          <w:szCs w:val="32"/>
          <w:highlight w:val="none"/>
          <w:lang w:val="en-US" w:eastAsia="zh-CN" w:bidi="ar"/>
        </w:rPr>
      </w:pPr>
      <w:r>
        <w:rPr>
          <w:rFonts w:hint="eastAsia" w:ascii="宋体" w:hAnsi="宋体" w:eastAsia="宋体" w:cs="宋体"/>
          <w:b w:val="0"/>
          <w:bCs w:val="0"/>
          <w:color w:val="auto"/>
          <w:kern w:val="0"/>
          <w:sz w:val="32"/>
          <w:szCs w:val="32"/>
          <w:highlight w:val="none"/>
          <w:lang w:val="en-US" w:eastAsia="zh-CN" w:bidi="ar"/>
        </w:rPr>
        <w:t>签订地点：湖南省张家界市</w:t>
      </w:r>
    </w:p>
    <w:p w14:paraId="03772731">
      <w:pPr>
        <w:widowControl/>
        <w:spacing w:line="440" w:lineRule="atLeast"/>
        <w:jc w:val="left"/>
        <w:rPr>
          <w:rFonts w:hint="eastAsia" w:ascii="宋体" w:hAnsi="宋体" w:eastAsia="宋体" w:cs="宋体"/>
          <w:b w:val="0"/>
          <w:bCs w:val="0"/>
          <w:color w:val="auto"/>
          <w:sz w:val="20"/>
          <w:szCs w:val="20"/>
          <w:highlight w:val="none"/>
        </w:rPr>
      </w:pPr>
    </w:p>
    <w:p w14:paraId="08D05E17">
      <w:pPr>
        <w:spacing w:before="240" w:after="240" w:line="440" w:lineRule="atLeast"/>
        <w:jc w:val="both"/>
        <w:rPr>
          <w:rFonts w:hint="eastAsia" w:ascii="宋体" w:hAnsi="宋体" w:cs="宋体"/>
          <w:b w:val="0"/>
          <w:bCs w:val="0"/>
          <w:color w:val="auto"/>
          <w:sz w:val="20"/>
          <w:szCs w:val="20"/>
          <w:highlight w:val="none"/>
        </w:rPr>
        <w:sectPr>
          <w:footerReference r:id="rId19" w:type="default"/>
          <w:headerReference r:id="rId18" w:type="even"/>
          <w:footerReference r:id="rId20" w:type="even"/>
          <w:footnotePr>
            <w:numFmt w:val="decimalEnclosedCircleChinese"/>
            <w:numRestart w:val="eachPage"/>
          </w:footnotePr>
          <w:pgSz w:w="11907" w:h="16840"/>
          <w:pgMar w:top="1588" w:right="1588" w:bottom="1474" w:left="1644" w:header="851" w:footer="851" w:gutter="0"/>
          <w:pgNumType w:fmt="decimal" w:start="1"/>
          <w:cols w:space="425" w:num="1"/>
          <w:docGrid w:linePitch="312" w:charSpace="0"/>
        </w:sectPr>
      </w:pPr>
    </w:p>
    <w:p w14:paraId="4ADA74CF">
      <w:pPr>
        <w:pageBreakBefore w:val="0"/>
        <w:widowControl/>
        <w:kinsoku/>
        <w:wordWrap/>
        <w:overflowPunct/>
        <w:topLinePunct w:val="0"/>
        <w:autoSpaceDE/>
        <w:autoSpaceDN/>
        <w:bidi w:val="0"/>
        <w:adjustRightInd w:val="0"/>
        <w:spacing w:line="440" w:lineRule="exact"/>
        <w:jc w:val="center"/>
        <w:textAlignment w:val="baseline"/>
        <w:outlineLvl w:val="1"/>
        <w:rPr>
          <w:rFonts w:hint="eastAsia" w:ascii="宋体" w:hAnsi="宋体" w:eastAsia="宋体" w:cs="宋体"/>
          <w:b w:val="0"/>
          <w:bCs w:val="0"/>
          <w:color w:val="auto"/>
          <w:sz w:val="24"/>
          <w:szCs w:val="24"/>
          <w:highlight w:val="none"/>
          <w:lang w:eastAsia="zh-CN"/>
        </w:rPr>
      </w:pPr>
      <w:bookmarkStart w:id="273" w:name="_Toc512501005"/>
      <w:bookmarkStart w:id="274" w:name="_Toc513817600"/>
      <w:bookmarkStart w:id="275" w:name="_Toc512500857"/>
      <w:bookmarkStart w:id="276" w:name="_Toc508201277"/>
      <w:bookmarkStart w:id="277" w:name="_Toc508200340"/>
      <w:bookmarkStart w:id="278" w:name="_Toc506006059"/>
      <w:bookmarkStart w:id="279" w:name="_Toc492300638"/>
      <w:r>
        <w:rPr>
          <w:rFonts w:hint="eastAsia" w:ascii="宋体" w:hAnsi="宋体" w:eastAsia="宋体" w:cs="宋体"/>
          <w:b/>
          <w:bCs/>
          <w:color w:val="auto"/>
          <w:spacing w:val="1"/>
          <w:sz w:val="32"/>
          <w:szCs w:val="32"/>
          <w:highlight w:val="none"/>
        </w:rPr>
        <w:t>第一节 通用合同条款</w:t>
      </w:r>
      <w:bookmarkEnd w:id="273"/>
      <w:bookmarkEnd w:id="274"/>
      <w:bookmarkEnd w:id="275"/>
      <w:bookmarkStart w:id="280" w:name="_Toc513817601"/>
    </w:p>
    <w:p w14:paraId="01CA31FA">
      <w:pPr>
        <w:pageBreakBefore w:val="0"/>
        <w:kinsoku/>
        <w:wordWrap/>
        <w:overflowPunct/>
        <w:topLinePunct w:val="0"/>
        <w:autoSpaceDE/>
        <w:autoSpaceDN/>
        <w:bidi w:val="0"/>
        <w:spacing w:before="0" w:after="0" w:line="440" w:lineRule="exact"/>
        <w:jc w:val="both"/>
        <w:outlineLvl w:val="1"/>
        <w:rPr>
          <w:rFonts w:hint="eastAsia" w:ascii="宋体" w:hAnsi="宋体" w:eastAsia="宋体" w:cs="宋体"/>
          <w:b w:val="0"/>
          <w:bCs w:val="0"/>
          <w:color w:val="auto"/>
          <w:spacing w:val="1"/>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 一般约定</w:t>
      </w:r>
      <w:bookmarkEnd w:id="276"/>
      <w:bookmarkEnd w:id="277"/>
      <w:bookmarkEnd w:id="278"/>
      <w:bookmarkEnd w:id="280"/>
    </w:p>
    <w:p w14:paraId="7CE317CA">
      <w:pPr>
        <w:pageBreakBefore w:val="0"/>
        <w:kinsoku/>
        <w:wordWrap/>
        <w:overflowPunct/>
        <w:topLinePunct w:val="0"/>
        <w:autoSpaceDE/>
        <w:autoSpaceDN/>
        <w:bidi w:val="0"/>
        <w:spacing w:before="0" w:after="0" w:line="440" w:lineRule="exact"/>
        <w:ind w:firstLine="0" w:firstLineChars="0"/>
        <w:jc w:val="both"/>
        <w:outlineLvl w:val="2"/>
        <w:rPr>
          <w:rFonts w:hint="eastAsia" w:ascii="宋体" w:hAnsi="宋体" w:eastAsia="宋体" w:cs="宋体"/>
          <w:b w:val="0"/>
          <w:bCs w:val="0"/>
          <w:color w:val="auto"/>
          <w:sz w:val="24"/>
          <w:szCs w:val="24"/>
          <w:highlight w:val="none"/>
          <w:lang w:val="en-US" w:eastAsia="zh-CN" w:bidi="ar-SA"/>
        </w:rPr>
      </w:pPr>
      <w:bookmarkStart w:id="281" w:name="_Toc506006060"/>
      <w:bookmarkStart w:id="282" w:name="_Toc508201278"/>
      <w:bookmarkStart w:id="283" w:name="_Toc508200341"/>
      <w:r>
        <w:rPr>
          <w:rFonts w:hint="eastAsia" w:ascii="宋体" w:hAnsi="宋体" w:eastAsia="宋体" w:cs="宋体"/>
          <w:b w:val="0"/>
          <w:bCs w:val="0"/>
          <w:color w:val="auto"/>
          <w:sz w:val="24"/>
          <w:szCs w:val="24"/>
          <w:highlight w:val="none"/>
          <w:lang w:val="en-US" w:eastAsia="zh-CN" w:bidi="ar-SA"/>
        </w:rPr>
        <w:t>1.1 词语定义</w:t>
      </w:r>
      <w:bookmarkEnd w:id="281"/>
      <w:bookmarkEnd w:id="282"/>
      <w:bookmarkEnd w:id="283"/>
    </w:p>
    <w:p w14:paraId="7588203C">
      <w:pPr>
        <w:pageBreakBefore w:val="0"/>
        <w:kinsoku/>
        <w:wordWrap/>
        <w:overflowPunct/>
        <w:topLinePunct w:val="0"/>
        <w:autoSpaceDE/>
        <w:autoSpaceDN/>
        <w:bidi w:val="0"/>
        <w:spacing w:before="0" w:after="0" w:line="440" w:lineRule="exact"/>
        <w:ind w:left="42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通用合同条款、专用合同条款中的下列词语应具有本款所赋予的含义。</w:t>
      </w:r>
    </w:p>
    <w:p w14:paraId="6D63DFE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1.1.1</w:t>
      </w:r>
      <w:r>
        <w:rPr>
          <w:rFonts w:hint="eastAsia" w:ascii="宋体" w:hAnsi="宋体" w:eastAsia="宋体" w:cs="宋体"/>
          <w:b w:val="0"/>
          <w:bCs w:val="0"/>
          <w:color w:val="auto"/>
          <w:spacing w:val="1"/>
          <w:sz w:val="24"/>
          <w:szCs w:val="24"/>
          <w:highlight w:val="none"/>
          <w:lang w:val="en-US" w:eastAsia="zh-CN" w:bidi="ar-SA"/>
        </w:rPr>
        <w:t>合同</w:t>
      </w:r>
    </w:p>
    <w:p w14:paraId="6B40F40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1.1.1.1</w:t>
      </w:r>
      <w:r>
        <w:rPr>
          <w:rFonts w:hint="eastAsia" w:ascii="宋体" w:hAnsi="宋体" w:eastAsia="宋体" w:cs="宋体"/>
          <w:b w:val="0"/>
          <w:bCs w:val="0"/>
          <w:color w:val="auto"/>
          <w:spacing w:val="-1"/>
          <w:sz w:val="24"/>
          <w:szCs w:val="24"/>
          <w:highlight w:val="none"/>
          <w:lang w:val="en-US" w:eastAsia="zh-CN" w:bidi="ar-SA"/>
        </w:rPr>
        <w:t>合同文件（或称合同）：指合同协议书、中标通知书、投标函和投标函附录、专用</w:t>
      </w:r>
      <w:r>
        <w:rPr>
          <w:rFonts w:hint="eastAsia" w:ascii="宋体" w:hAnsi="宋体" w:eastAsia="宋体" w:cs="宋体"/>
          <w:b w:val="0"/>
          <w:bCs w:val="0"/>
          <w:color w:val="auto"/>
          <w:spacing w:val="1"/>
          <w:sz w:val="24"/>
          <w:szCs w:val="24"/>
          <w:highlight w:val="none"/>
          <w:lang w:val="en-US" w:eastAsia="zh-CN" w:bidi="ar-SA"/>
        </w:rPr>
        <w:t>合同条款、通用合同条款、委托人要求、咨询服务费用清单、咨询服务方案，以及其他构成合同组成部分的文件。</w:t>
      </w:r>
    </w:p>
    <w:p w14:paraId="5609C90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1.1.1.2合同协议书：指委托人和咨询人共同签署的合同协议书。</w:t>
      </w:r>
    </w:p>
    <w:p w14:paraId="2F91FC8A">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1.1.1.3中标通知书：指委托人通知咨询人中标的函件。</w:t>
      </w:r>
    </w:p>
    <w:p w14:paraId="17508A08">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1.1.1.4投标函：指由咨询人填写并签署的，名为</w:t>
      </w:r>
      <w:r>
        <w:rPr>
          <w:rFonts w:hint="eastAsia" w:ascii="宋体" w:hAnsi="宋体" w:eastAsia="宋体" w:cs="宋体"/>
          <w:b w:val="0"/>
          <w:bCs w:val="0"/>
          <w:color w:val="auto"/>
          <w:spacing w:val="-2"/>
          <w:sz w:val="24"/>
          <w:szCs w:val="24"/>
          <w:highlight w:val="none"/>
          <w:lang w:val="en-US" w:eastAsia="zh-CN" w:bidi="ar-SA"/>
        </w:rPr>
        <w:t>“</w:t>
      </w:r>
      <w:r>
        <w:rPr>
          <w:rFonts w:hint="eastAsia" w:ascii="宋体" w:hAnsi="宋体" w:eastAsia="宋体" w:cs="宋体"/>
          <w:b w:val="0"/>
          <w:bCs w:val="0"/>
          <w:color w:val="auto"/>
          <w:spacing w:val="1"/>
          <w:sz w:val="24"/>
          <w:szCs w:val="24"/>
          <w:highlight w:val="none"/>
          <w:lang w:val="en-US" w:eastAsia="zh-CN" w:bidi="ar-SA"/>
        </w:rPr>
        <w:t>投标函</w:t>
      </w:r>
      <w:r>
        <w:rPr>
          <w:rFonts w:hint="eastAsia" w:ascii="宋体" w:hAnsi="宋体" w:eastAsia="宋体" w:cs="宋体"/>
          <w:b w:val="0"/>
          <w:bCs w:val="0"/>
          <w:color w:val="auto"/>
          <w:spacing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bidi="ar-SA"/>
        </w:rPr>
        <w:t>的函件。</w:t>
      </w:r>
    </w:p>
    <w:p w14:paraId="6737041F">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1.1.1.5</w:t>
      </w:r>
      <w:r>
        <w:rPr>
          <w:rFonts w:hint="eastAsia" w:ascii="宋体" w:hAnsi="宋体" w:eastAsia="宋体" w:cs="宋体"/>
          <w:b w:val="0"/>
          <w:bCs w:val="0"/>
          <w:color w:val="auto"/>
          <w:spacing w:val="-8"/>
          <w:sz w:val="24"/>
          <w:szCs w:val="24"/>
          <w:highlight w:val="none"/>
          <w:lang w:val="en-US" w:eastAsia="zh-CN" w:bidi="ar-SA"/>
        </w:rPr>
        <w:t>投标函附录：指由咨询人填写并签署的、附在投标函后，名为</w:t>
      </w:r>
      <w:r>
        <w:rPr>
          <w:rFonts w:hint="eastAsia" w:ascii="宋体" w:hAnsi="宋体" w:eastAsia="宋体" w:cs="宋体"/>
          <w:b w:val="0"/>
          <w:bCs w:val="0"/>
          <w:color w:val="auto"/>
          <w:sz w:val="24"/>
          <w:szCs w:val="24"/>
          <w:highlight w:val="none"/>
          <w:lang w:val="en-US" w:eastAsia="zh-CN" w:bidi="ar-SA"/>
        </w:rPr>
        <w:t>“投标函附录”的函件。</w:t>
      </w:r>
    </w:p>
    <w:p w14:paraId="6C31990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1.1.1.6委托人要求：指合同文件中名为</w:t>
      </w:r>
      <w:r>
        <w:rPr>
          <w:rFonts w:hint="eastAsia" w:ascii="宋体" w:hAnsi="宋体" w:eastAsia="宋体" w:cs="宋体"/>
          <w:b w:val="0"/>
          <w:bCs w:val="0"/>
          <w:color w:val="auto"/>
          <w:spacing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bidi="ar-SA"/>
        </w:rPr>
        <w:t>委托人要求”的文件。</w:t>
      </w:r>
    </w:p>
    <w:p w14:paraId="4C9E5F85">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1.1.1.7咨询服务方案：指咨询人在投标文件中的咨询服务方案。</w:t>
      </w:r>
    </w:p>
    <w:p w14:paraId="54E4AC15">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1.1.1.8咨询服务费用清单：指咨询人投标文件中的咨询服务费用清单。</w:t>
      </w:r>
    </w:p>
    <w:p w14:paraId="68FB529E">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1.1.1.9其他合同文件：指经合同双方当事人确认构成合同文件的其他文件。</w:t>
      </w:r>
    </w:p>
    <w:p w14:paraId="4FE17B5A">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1.1.2</w:t>
      </w:r>
      <w:r>
        <w:rPr>
          <w:rFonts w:hint="eastAsia" w:ascii="宋体" w:hAnsi="宋体" w:eastAsia="宋体" w:cs="宋体"/>
          <w:b w:val="0"/>
          <w:bCs w:val="0"/>
          <w:color w:val="auto"/>
          <w:spacing w:val="1"/>
          <w:sz w:val="24"/>
          <w:szCs w:val="24"/>
          <w:highlight w:val="none"/>
          <w:lang w:val="en-US" w:eastAsia="zh-CN" w:bidi="ar-SA"/>
        </w:rPr>
        <w:t>合同当事人和人员</w:t>
      </w:r>
    </w:p>
    <w:p w14:paraId="0BBF8B9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1.1.2.1合同当事人：指委托人和（或）咨询人。</w:t>
      </w:r>
    </w:p>
    <w:p w14:paraId="2D5FB034">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1.1.2.2委托人：指与咨询人签订合同协议书的当事人，及其合法继承人。</w:t>
      </w:r>
    </w:p>
    <w:p w14:paraId="5EF3ABB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1.1.2.3咨询人：指与委托人签订合同协议书的当事人，及其合法继承人。</w:t>
      </w:r>
    </w:p>
    <w:p w14:paraId="536F331F">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1.1.2.4</w:t>
      </w:r>
      <w:r>
        <w:rPr>
          <w:rFonts w:hint="eastAsia" w:ascii="宋体" w:hAnsi="宋体" w:eastAsia="宋体" w:cs="宋体"/>
          <w:b w:val="0"/>
          <w:bCs w:val="0"/>
          <w:color w:val="auto"/>
          <w:spacing w:val="-1"/>
          <w:sz w:val="24"/>
          <w:szCs w:val="24"/>
          <w:highlight w:val="none"/>
          <w:lang w:val="en-US" w:eastAsia="zh-CN" w:bidi="ar-SA"/>
        </w:rPr>
        <w:t>委托人代表：指由委托人任命，并在授权范围和期限内代表委托人行使权利和履行</w:t>
      </w:r>
      <w:r>
        <w:rPr>
          <w:rFonts w:hint="eastAsia" w:ascii="宋体" w:hAnsi="宋体" w:eastAsia="宋体" w:cs="宋体"/>
          <w:b w:val="0"/>
          <w:bCs w:val="0"/>
          <w:color w:val="auto"/>
          <w:sz w:val="24"/>
          <w:szCs w:val="24"/>
          <w:highlight w:val="none"/>
          <w:lang w:val="en-US" w:eastAsia="zh-CN" w:bidi="ar-SA"/>
        </w:rPr>
        <w:t>义务的全权负责人。</w:t>
      </w:r>
    </w:p>
    <w:p w14:paraId="5C972295">
      <w:pPr>
        <w:pageBreakBefore w:val="0"/>
        <w:kinsoku/>
        <w:wordWrap/>
        <w:overflowPunct/>
        <w:topLinePunct w:val="0"/>
        <w:autoSpaceDE/>
        <w:autoSpaceDN/>
        <w:bidi w:val="0"/>
        <w:spacing w:before="0" w:after="0" w:line="440" w:lineRule="exact"/>
        <w:ind w:firstLine="476"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1.1.2.5 项目负责人：指由咨询人任命，在咨询人授权范围内代表咨询人行使权利和履行义务且按照法律和招标文件规定具有相应资格的负责人。</w:t>
      </w:r>
    </w:p>
    <w:p w14:paraId="7365076B">
      <w:pPr>
        <w:pageBreakBefore w:val="0"/>
        <w:kinsoku/>
        <w:wordWrap/>
        <w:overflowPunct/>
        <w:topLinePunct w:val="0"/>
        <w:autoSpaceDE/>
        <w:autoSpaceDN/>
        <w:bidi w:val="0"/>
        <w:spacing w:before="0" w:after="0" w:line="440" w:lineRule="exact"/>
        <w:ind w:firstLine="476" w:firstLineChars="200"/>
        <w:jc w:val="both"/>
        <w:rPr>
          <w:rFonts w:hint="eastAsia" w:ascii="宋体" w:hAnsi="宋体" w:eastAsia="宋体" w:cs="宋体"/>
          <w:b w:val="0"/>
          <w:bCs w:val="0"/>
          <w:color w:val="auto"/>
          <w:spacing w:val="-1"/>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1.1.2.6分包人：指从咨询人处分包合同中某一部分工作，并与其签订分包合同的且按照法律和招标文件规定具有相应资格的分包人。</w:t>
      </w:r>
    </w:p>
    <w:p w14:paraId="0F79F82D">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1.1.3</w:t>
      </w:r>
      <w:r>
        <w:rPr>
          <w:rFonts w:hint="eastAsia" w:ascii="宋体" w:hAnsi="宋体" w:eastAsia="宋体" w:cs="宋体"/>
          <w:b w:val="0"/>
          <w:bCs w:val="0"/>
          <w:color w:val="auto"/>
          <w:spacing w:val="1"/>
          <w:sz w:val="24"/>
          <w:szCs w:val="24"/>
          <w:highlight w:val="none"/>
          <w:lang w:val="en-US" w:eastAsia="zh-CN" w:bidi="ar-SA"/>
        </w:rPr>
        <w:t>咨询服务</w:t>
      </w:r>
    </w:p>
    <w:p w14:paraId="11107296">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1.1.3.1</w:t>
      </w:r>
      <w:r>
        <w:rPr>
          <w:rFonts w:hint="eastAsia" w:ascii="宋体" w:hAnsi="宋体" w:eastAsia="宋体" w:cs="宋体"/>
          <w:b w:val="0"/>
          <w:bCs w:val="0"/>
          <w:color w:val="auto"/>
          <w:spacing w:val="-1"/>
          <w:sz w:val="24"/>
          <w:szCs w:val="24"/>
          <w:highlight w:val="none"/>
          <w:lang w:val="en-US" w:eastAsia="zh-CN" w:bidi="ar-SA"/>
        </w:rPr>
        <w:t>咨询服务项目：</w:t>
      </w:r>
      <w:r>
        <w:rPr>
          <w:rFonts w:hint="eastAsia" w:ascii="宋体" w:hAnsi="宋体" w:eastAsia="宋体" w:cs="宋体"/>
          <w:b w:val="0"/>
          <w:bCs w:val="0"/>
          <w:color w:val="auto"/>
          <w:sz w:val="24"/>
          <w:szCs w:val="24"/>
          <w:highlight w:val="none"/>
          <w:lang w:val="en-US" w:eastAsia="zh-CN" w:bidi="ar-SA"/>
        </w:rPr>
        <w:t>指专用合同条款中指明进行咨询服务招标的咨询服务。</w:t>
      </w:r>
    </w:p>
    <w:p w14:paraId="00EBAAAA">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1.1.3.2</w:t>
      </w:r>
      <w:r>
        <w:rPr>
          <w:rFonts w:hint="eastAsia" w:ascii="宋体" w:hAnsi="宋体" w:eastAsia="宋体" w:cs="宋体"/>
          <w:b w:val="0"/>
          <w:bCs w:val="0"/>
          <w:color w:val="auto"/>
          <w:spacing w:val="-1"/>
          <w:sz w:val="24"/>
          <w:szCs w:val="24"/>
          <w:highlight w:val="none"/>
          <w:lang w:val="en-US" w:eastAsia="zh-CN" w:bidi="ar-SA"/>
        </w:rPr>
        <w:t>咨询服务：指咨询人按照合同约定履行合同义务，应完成的咨询服务</w:t>
      </w:r>
      <w:r>
        <w:rPr>
          <w:rFonts w:hint="eastAsia" w:ascii="宋体" w:hAnsi="宋体" w:eastAsia="宋体" w:cs="宋体"/>
          <w:b w:val="0"/>
          <w:bCs w:val="0"/>
          <w:color w:val="auto"/>
          <w:sz w:val="24"/>
          <w:szCs w:val="24"/>
          <w:highlight w:val="none"/>
          <w:lang w:val="en-US" w:eastAsia="zh-CN" w:bidi="ar-SA"/>
        </w:rPr>
        <w:t>。</w:t>
      </w:r>
    </w:p>
    <w:p w14:paraId="44267773">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1.1.3.3</w:t>
      </w:r>
      <w:r>
        <w:rPr>
          <w:rFonts w:hint="eastAsia" w:ascii="宋体" w:hAnsi="宋体" w:eastAsia="宋体" w:cs="宋体"/>
          <w:b w:val="0"/>
          <w:bCs w:val="0"/>
          <w:color w:val="auto"/>
          <w:spacing w:val="-1"/>
          <w:sz w:val="24"/>
          <w:szCs w:val="24"/>
          <w:highlight w:val="none"/>
          <w:lang w:val="en-US" w:eastAsia="zh-CN" w:bidi="ar-SA"/>
        </w:rPr>
        <w:t>委托人提供的资料：是委托人按合同约定向咨询人提供的，用于完成咨询服务范围与内容所</w:t>
      </w:r>
      <w:r>
        <w:rPr>
          <w:rFonts w:hint="eastAsia" w:ascii="宋体" w:hAnsi="宋体" w:eastAsia="宋体" w:cs="宋体"/>
          <w:b w:val="0"/>
          <w:bCs w:val="0"/>
          <w:color w:val="auto"/>
          <w:sz w:val="24"/>
          <w:szCs w:val="24"/>
          <w:highlight w:val="none"/>
          <w:lang w:val="en-US" w:eastAsia="zh-CN" w:bidi="ar-SA"/>
        </w:rPr>
        <w:t>需要的资料。</w:t>
      </w:r>
    </w:p>
    <w:p w14:paraId="67367E68">
      <w:pPr>
        <w:pageBreakBefore w:val="0"/>
        <w:kinsoku/>
        <w:wordWrap/>
        <w:overflowPunct/>
        <w:topLinePunct w:val="0"/>
        <w:autoSpaceDE/>
        <w:autoSpaceDN/>
        <w:bidi w:val="0"/>
        <w:spacing w:before="0" w:after="0" w:line="440" w:lineRule="exact"/>
        <w:ind w:firstLine="476" w:firstLineChars="200"/>
        <w:jc w:val="both"/>
        <w:rPr>
          <w:rFonts w:hint="eastAsia" w:ascii="宋体" w:hAnsi="宋体" w:eastAsia="宋体" w:cs="宋体"/>
          <w:b w:val="0"/>
          <w:bCs w:val="0"/>
          <w:color w:val="auto"/>
          <w:spacing w:val="-1"/>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1.1.3.4咨询服务成果文件：指咨询人按合同约定的格式和载体向委托人提交的体现咨询服务过程和结果的文件，包括阶段性文件和最终文件。</w:t>
      </w:r>
    </w:p>
    <w:p w14:paraId="57F6D9C5">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1.1.4</w:t>
      </w:r>
      <w:r>
        <w:rPr>
          <w:rFonts w:hint="eastAsia" w:ascii="宋体" w:hAnsi="宋体" w:eastAsia="宋体" w:cs="宋体"/>
          <w:b w:val="0"/>
          <w:bCs w:val="0"/>
          <w:color w:val="auto"/>
          <w:spacing w:val="1"/>
          <w:sz w:val="24"/>
          <w:szCs w:val="24"/>
          <w:highlight w:val="none"/>
          <w:lang w:val="en-US" w:eastAsia="zh-CN" w:bidi="ar-SA"/>
        </w:rPr>
        <w:t>日期</w:t>
      </w:r>
    </w:p>
    <w:p w14:paraId="7229009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1.1.4.1开始咨询服务通知：指委托人按第6.1款通知咨询人开始咨询服务日期的函件。</w:t>
      </w:r>
    </w:p>
    <w:p w14:paraId="0A0E595E">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1.1.4.2开始咨询服务日期：指委托人按第6.1款发出的开始咨询服务通知中写明的开始咨询服务日期。</w:t>
      </w:r>
    </w:p>
    <w:p w14:paraId="070113A7">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1.1.4.3咨询服务期限：指咨询人在合同协议书中约定的完成合同咨询服务所需的期限，包括按第6.2款、第6.4款和第6.6款约定所做的调整。</w:t>
      </w:r>
    </w:p>
    <w:p w14:paraId="56C2B968">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1.1.4.4完成咨询服务日期：指第1.1.4.3目约定咨询服务期限届满时的日期。</w:t>
      </w:r>
    </w:p>
    <w:p w14:paraId="5A900656">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1.1.4.5基准日：指投标截止时间前</w:t>
      </w:r>
      <w:r>
        <w:rPr>
          <w:rFonts w:hint="eastAsia" w:ascii="宋体" w:hAnsi="宋体" w:eastAsia="宋体" w:cs="宋体"/>
          <w:b w:val="0"/>
          <w:bCs w:val="0"/>
          <w:color w:val="auto"/>
          <w:spacing w:val="-2"/>
          <w:sz w:val="24"/>
          <w:szCs w:val="24"/>
          <w:highlight w:val="none"/>
          <w:lang w:val="en-US" w:eastAsia="zh-CN" w:bidi="ar-SA"/>
        </w:rPr>
        <w:t>28</w:t>
      </w:r>
      <w:r>
        <w:rPr>
          <w:rFonts w:hint="eastAsia" w:ascii="宋体" w:hAnsi="宋体" w:eastAsia="宋体" w:cs="宋体"/>
          <w:b w:val="0"/>
          <w:bCs w:val="0"/>
          <w:color w:val="auto"/>
          <w:sz w:val="24"/>
          <w:szCs w:val="24"/>
          <w:highlight w:val="none"/>
          <w:lang w:val="en-US" w:eastAsia="zh-CN" w:bidi="ar-SA"/>
        </w:rPr>
        <w:t>天的日期。</w:t>
      </w:r>
    </w:p>
    <w:p w14:paraId="0D5B98EA">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1.1.4.6</w:t>
      </w:r>
      <w:r>
        <w:rPr>
          <w:rFonts w:hint="eastAsia" w:ascii="宋体" w:hAnsi="宋体" w:eastAsia="宋体" w:cs="宋体"/>
          <w:b w:val="0"/>
          <w:bCs w:val="0"/>
          <w:color w:val="auto"/>
          <w:spacing w:val="-1"/>
          <w:sz w:val="24"/>
          <w:szCs w:val="24"/>
          <w:highlight w:val="none"/>
          <w:lang w:val="en-US" w:eastAsia="zh-CN" w:bidi="ar-SA"/>
        </w:rPr>
        <w:t>天：除特别指明外，指日历天。合同中按天计算时间的，开始当天不计入，从次日</w:t>
      </w:r>
      <w:r>
        <w:rPr>
          <w:rFonts w:hint="eastAsia" w:ascii="宋体" w:hAnsi="宋体" w:eastAsia="宋体" w:cs="宋体"/>
          <w:b w:val="0"/>
          <w:bCs w:val="0"/>
          <w:color w:val="auto"/>
          <w:sz w:val="24"/>
          <w:szCs w:val="24"/>
          <w:highlight w:val="none"/>
          <w:lang w:val="en-US" w:eastAsia="zh-CN" w:bidi="ar-SA"/>
        </w:rPr>
        <w:t>开始计算。期限最后一天的截止时间为当天24:00。</w:t>
      </w:r>
    </w:p>
    <w:p w14:paraId="3D3CFBA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1.1.5</w:t>
      </w:r>
      <w:r>
        <w:rPr>
          <w:rFonts w:hint="eastAsia" w:ascii="宋体" w:hAnsi="宋体" w:eastAsia="宋体" w:cs="宋体"/>
          <w:b w:val="0"/>
          <w:bCs w:val="0"/>
          <w:color w:val="auto"/>
          <w:spacing w:val="1"/>
          <w:sz w:val="24"/>
          <w:szCs w:val="24"/>
          <w:highlight w:val="none"/>
          <w:lang w:val="en-US" w:eastAsia="zh-CN" w:bidi="ar-SA"/>
        </w:rPr>
        <w:t>合同价格和费用</w:t>
      </w:r>
    </w:p>
    <w:p w14:paraId="6E07CA48">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1.1.5.1签约合同价：指签订合同时合同协议书中载明的咨询服务费用总金额。</w:t>
      </w:r>
    </w:p>
    <w:p w14:paraId="5E0A5CCE">
      <w:pPr>
        <w:pageBreakBefore w:val="0"/>
        <w:kinsoku/>
        <w:wordWrap/>
        <w:overflowPunct/>
        <w:topLinePunct w:val="0"/>
        <w:autoSpaceDE/>
        <w:autoSpaceDN/>
        <w:bidi w:val="0"/>
        <w:spacing w:before="0" w:after="0" w:line="440" w:lineRule="exact"/>
        <w:ind w:firstLine="476" w:firstLineChars="200"/>
        <w:jc w:val="both"/>
        <w:rPr>
          <w:rFonts w:hint="eastAsia" w:ascii="宋体" w:hAnsi="宋体" w:eastAsia="宋体" w:cs="宋体"/>
          <w:b w:val="0"/>
          <w:bCs w:val="0"/>
          <w:color w:val="auto"/>
          <w:spacing w:val="-1"/>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1.1.5.2合同价格：指咨询人按合同约定完成了全部咨询服务工作后，委托人应付给咨询人的金额，包括在履行合同过程中按合同约定发生的价格变化。</w:t>
      </w:r>
    </w:p>
    <w:p w14:paraId="261E0BA2">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1.1.5.3</w:t>
      </w:r>
      <w:r>
        <w:rPr>
          <w:rFonts w:hint="eastAsia" w:ascii="宋体" w:hAnsi="宋体" w:eastAsia="宋体" w:cs="宋体"/>
          <w:b w:val="0"/>
          <w:bCs w:val="0"/>
          <w:color w:val="auto"/>
          <w:spacing w:val="-1"/>
          <w:sz w:val="24"/>
          <w:szCs w:val="24"/>
          <w:highlight w:val="none"/>
          <w:lang w:val="en-US" w:eastAsia="zh-CN" w:bidi="ar-SA"/>
        </w:rPr>
        <w:t>费用：指为履行合同所发生的或将要发生的所有必要开支，包括管理费和应分摊的</w:t>
      </w:r>
      <w:r>
        <w:rPr>
          <w:rFonts w:hint="eastAsia" w:ascii="宋体" w:hAnsi="宋体" w:eastAsia="宋体" w:cs="宋体"/>
          <w:b w:val="0"/>
          <w:bCs w:val="0"/>
          <w:color w:val="auto"/>
          <w:sz w:val="24"/>
          <w:szCs w:val="24"/>
          <w:highlight w:val="none"/>
          <w:lang w:val="en-US" w:eastAsia="zh-CN" w:bidi="ar-SA"/>
        </w:rPr>
        <w:t>其他费用，但不包括利润。</w:t>
      </w:r>
    </w:p>
    <w:p w14:paraId="0A3AD3AF">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1.1.6</w:t>
      </w:r>
      <w:r>
        <w:rPr>
          <w:rFonts w:hint="eastAsia" w:ascii="宋体" w:hAnsi="宋体" w:eastAsia="宋体" w:cs="宋体"/>
          <w:b w:val="0"/>
          <w:bCs w:val="0"/>
          <w:color w:val="auto"/>
          <w:spacing w:val="1"/>
          <w:sz w:val="24"/>
          <w:szCs w:val="24"/>
          <w:highlight w:val="none"/>
          <w:lang w:val="en-US" w:eastAsia="zh-CN" w:bidi="ar-SA"/>
        </w:rPr>
        <w:t>其他</w:t>
      </w:r>
    </w:p>
    <w:p w14:paraId="2ABA07F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1.1.6.1</w:t>
      </w:r>
      <w:r>
        <w:rPr>
          <w:rFonts w:hint="eastAsia" w:ascii="宋体" w:hAnsi="宋体" w:eastAsia="宋体" w:cs="宋体"/>
          <w:b w:val="0"/>
          <w:bCs w:val="0"/>
          <w:color w:val="auto"/>
          <w:spacing w:val="-1"/>
          <w:sz w:val="24"/>
          <w:szCs w:val="24"/>
          <w:highlight w:val="none"/>
          <w:lang w:val="en-US" w:eastAsia="zh-CN" w:bidi="ar-SA"/>
        </w:rPr>
        <w:t>书面形式：指合同文件、信件和数据电文（包括电报、电传、传真、电子数据交换</w:t>
      </w:r>
      <w:r>
        <w:rPr>
          <w:rFonts w:hint="eastAsia" w:ascii="宋体" w:hAnsi="宋体" w:eastAsia="宋体" w:cs="宋体"/>
          <w:b w:val="0"/>
          <w:bCs w:val="0"/>
          <w:color w:val="auto"/>
          <w:sz w:val="24"/>
          <w:szCs w:val="24"/>
          <w:highlight w:val="none"/>
          <w:lang w:val="en-US" w:eastAsia="zh-CN" w:bidi="ar-SA"/>
        </w:rPr>
        <w:t>和电子邮件）等可以有形地表现所载内容的形式。</w:t>
      </w:r>
    </w:p>
    <w:p w14:paraId="6CCCBED6">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284" w:name="_Toc506006061"/>
      <w:bookmarkStart w:id="285" w:name="_Toc508200342"/>
      <w:bookmarkStart w:id="286" w:name="_Toc508201279"/>
      <w:r>
        <w:rPr>
          <w:rFonts w:hint="eastAsia" w:ascii="宋体" w:hAnsi="宋体" w:eastAsia="宋体" w:cs="宋体"/>
          <w:b w:val="0"/>
          <w:bCs w:val="0"/>
          <w:color w:val="auto"/>
          <w:sz w:val="24"/>
          <w:szCs w:val="24"/>
          <w:highlight w:val="none"/>
          <w:lang w:val="en-US" w:eastAsia="zh-CN" w:bidi="ar-SA"/>
        </w:rPr>
        <w:t>1.2 语言文字</w:t>
      </w:r>
      <w:bookmarkEnd w:id="284"/>
      <w:bookmarkEnd w:id="285"/>
      <w:bookmarkEnd w:id="286"/>
    </w:p>
    <w:p w14:paraId="7AAD055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合同使用的语言文字为简体中文。专用术语使用外文的，应附有简体中文注释，汉语为优先解释和说明合同的语言。</w:t>
      </w:r>
    </w:p>
    <w:p w14:paraId="56F6A711">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287" w:name="_Toc508200343"/>
      <w:bookmarkStart w:id="288" w:name="_Toc506006062"/>
      <w:bookmarkStart w:id="289" w:name="_Toc508201280"/>
      <w:r>
        <w:rPr>
          <w:rFonts w:hint="eastAsia" w:ascii="宋体" w:hAnsi="宋体" w:eastAsia="宋体" w:cs="宋体"/>
          <w:b w:val="0"/>
          <w:bCs w:val="0"/>
          <w:color w:val="auto"/>
          <w:sz w:val="24"/>
          <w:szCs w:val="24"/>
          <w:highlight w:val="none"/>
          <w:lang w:val="en-US" w:eastAsia="zh-CN" w:bidi="ar-SA"/>
        </w:rPr>
        <w:t>1.3 适用法律</w:t>
      </w:r>
      <w:bookmarkEnd w:id="287"/>
      <w:bookmarkEnd w:id="288"/>
      <w:bookmarkEnd w:id="289"/>
    </w:p>
    <w:p w14:paraId="076712C4">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适用于合同的法律包括中华人民共和国法律、行政法规、部门规章，以及工程所在地的地</w:t>
      </w:r>
      <w:r>
        <w:rPr>
          <w:rFonts w:hint="eastAsia" w:ascii="宋体" w:hAnsi="宋体" w:eastAsia="宋体" w:cs="宋体"/>
          <w:b w:val="0"/>
          <w:bCs w:val="0"/>
          <w:color w:val="auto"/>
          <w:sz w:val="24"/>
          <w:szCs w:val="24"/>
          <w:highlight w:val="none"/>
          <w:lang w:val="en-US" w:eastAsia="zh-CN" w:bidi="ar-SA"/>
        </w:rPr>
        <w:t>方性法规、自治条例、单行条例和地方政府规章。</w:t>
      </w:r>
    </w:p>
    <w:p w14:paraId="5BB7066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本合同适用的其他规范性文件，可在专用合同条款中约定。</w:t>
      </w:r>
    </w:p>
    <w:p w14:paraId="4283A50A">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290" w:name="_Toc508200344"/>
      <w:bookmarkStart w:id="291" w:name="_Toc506006063"/>
      <w:bookmarkStart w:id="292" w:name="_Toc508201281"/>
      <w:r>
        <w:rPr>
          <w:rFonts w:hint="eastAsia" w:ascii="宋体" w:hAnsi="宋体" w:eastAsia="宋体" w:cs="宋体"/>
          <w:b w:val="0"/>
          <w:bCs w:val="0"/>
          <w:color w:val="auto"/>
          <w:sz w:val="24"/>
          <w:szCs w:val="24"/>
          <w:highlight w:val="none"/>
          <w:lang w:val="en-US" w:eastAsia="zh-CN" w:bidi="ar-SA"/>
        </w:rPr>
        <w:t>1.4合同文件的优先顺序</w:t>
      </w:r>
      <w:bookmarkEnd w:id="290"/>
      <w:bookmarkEnd w:id="291"/>
      <w:bookmarkEnd w:id="292"/>
    </w:p>
    <w:p w14:paraId="756470FE">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组成合同的各项文件应互相解释，互为说明。除专用合同条款另有约定外，解释合同文件的优先顺序如下：</w:t>
      </w:r>
    </w:p>
    <w:p w14:paraId="60FEDD32">
      <w:pPr>
        <w:pageBreakBefore w:val="0"/>
        <w:kinsoku/>
        <w:wordWrap/>
        <w:overflowPunct/>
        <w:topLinePunct w:val="0"/>
        <w:autoSpaceDE/>
        <w:autoSpaceDN/>
        <w:bidi w:val="0"/>
        <w:spacing w:before="0" w:after="0" w:line="440" w:lineRule="exact"/>
        <w:ind w:left="42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）合同协议书；</w:t>
      </w:r>
    </w:p>
    <w:p w14:paraId="03B088A4">
      <w:pPr>
        <w:pageBreakBefore w:val="0"/>
        <w:kinsoku/>
        <w:wordWrap/>
        <w:overflowPunct/>
        <w:topLinePunct w:val="0"/>
        <w:autoSpaceDE/>
        <w:autoSpaceDN/>
        <w:bidi w:val="0"/>
        <w:spacing w:before="0" w:after="0" w:line="440" w:lineRule="exact"/>
        <w:ind w:left="42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）中标通知书；</w:t>
      </w:r>
    </w:p>
    <w:p w14:paraId="3F71F725">
      <w:pPr>
        <w:pageBreakBefore w:val="0"/>
        <w:kinsoku/>
        <w:wordWrap/>
        <w:overflowPunct/>
        <w:topLinePunct w:val="0"/>
        <w:autoSpaceDE/>
        <w:autoSpaceDN/>
        <w:bidi w:val="0"/>
        <w:spacing w:before="0" w:after="0" w:line="440" w:lineRule="exact"/>
        <w:ind w:left="42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bidi="ar-SA"/>
        </w:rPr>
        <w:t>）投标函及投标函附录；</w:t>
      </w:r>
    </w:p>
    <w:p w14:paraId="7A38029C">
      <w:pPr>
        <w:pageBreakBefore w:val="0"/>
        <w:kinsoku/>
        <w:wordWrap/>
        <w:overflowPunct/>
        <w:topLinePunct w:val="0"/>
        <w:autoSpaceDE/>
        <w:autoSpaceDN/>
        <w:bidi w:val="0"/>
        <w:spacing w:before="0" w:after="0" w:line="440" w:lineRule="exact"/>
        <w:ind w:left="42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（4</w:t>
      </w:r>
      <w:r>
        <w:rPr>
          <w:rFonts w:hint="eastAsia" w:ascii="宋体" w:hAnsi="宋体" w:eastAsia="宋体" w:cs="宋体"/>
          <w:b w:val="0"/>
          <w:bCs w:val="0"/>
          <w:color w:val="auto"/>
          <w:sz w:val="24"/>
          <w:szCs w:val="24"/>
          <w:highlight w:val="none"/>
          <w:lang w:val="en-US" w:eastAsia="zh-CN" w:bidi="ar-SA"/>
        </w:rPr>
        <w:t>）专用合同条款；</w:t>
      </w:r>
    </w:p>
    <w:p w14:paraId="110123AF">
      <w:pPr>
        <w:pageBreakBefore w:val="0"/>
        <w:kinsoku/>
        <w:wordWrap/>
        <w:overflowPunct/>
        <w:topLinePunct w:val="0"/>
        <w:autoSpaceDE/>
        <w:autoSpaceDN/>
        <w:bidi w:val="0"/>
        <w:spacing w:before="0" w:after="0" w:line="440" w:lineRule="exact"/>
        <w:ind w:left="42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zh-CN" w:bidi="ar-SA"/>
        </w:rPr>
        <w:t>）通用合同条款；</w:t>
      </w:r>
    </w:p>
    <w:p w14:paraId="31BECC33">
      <w:pPr>
        <w:pageBreakBefore w:val="0"/>
        <w:kinsoku/>
        <w:wordWrap/>
        <w:overflowPunct/>
        <w:topLinePunct w:val="0"/>
        <w:autoSpaceDE/>
        <w:autoSpaceDN/>
        <w:bidi w:val="0"/>
        <w:spacing w:before="0" w:after="0" w:line="440" w:lineRule="exact"/>
        <w:ind w:left="42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zh-CN" w:bidi="ar-SA"/>
        </w:rPr>
        <w:t>）委托人要求；</w:t>
      </w:r>
    </w:p>
    <w:p w14:paraId="05355C56">
      <w:pPr>
        <w:pageBreakBefore w:val="0"/>
        <w:kinsoku/>
        <w:wordWrap/>
        <w:overflowPunct/>
        <w:topLinePunct w:val="0"/>
        <w:autoSpaceDE/>
        <w:autoSpaceDN/>
        <w:bidi w:val="0"/>
        <w:spacing w:before="0" w:after="0" w:line="440" w:lineRule="exact"/>
        <w:ind w:left="42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（7</w:t>
      </w:r>
      <w:r>
        <w:rPr>
          <w:rFonts w:hint="eastAsia" w:ascii="宋体" w:hAnsi="宋体" w:eastAsia="宋体" w:cs="宋体"/>
          <w:b w:val="0"/>
          <w:bCs w:val="0"/>
          <w:color w:val="auto"/>
          <w:sz w:val="24"/>
          <w:szCs w:val="24"/>
          <w:highlight w:val="none"/>
          <w:lang w:val="en-US" w:eastAsia="zh-CN" w:bidi="ar-SA"/>
        </w:rPr>
        <w:t>）咨询服务费用清单；</w:t>
      </w:r>
    </w:p>
    <w:p w14:paraId="0577A165">
      <w:pPr>
        <w:pageBreakBefore w:val="0"/>
        <w:kinsoku/>
        <w:wordWrap/>
        <w:overflowPunct/>
        <w:topLinePunct w:val="0"/>
        <w:autoSpaceDE/>
        <w:autoSpaceDN/>
        <w:bidi w:val="0"/>
        <w:spacing w:before="0" w:after="0" w:line="440" w:lineRule="exact"/>
        <w:ind w:left="42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zh-CN" w:bidi="ar-SA"/>
        </w:rPr>
        <w:t>）咨询服务方案；</w:t>
      </w:r>
    </w:p>
    <w:p w14:paraId="52557F41">
      <w:pPr>
        <w:pageBreakBefore w:val="0"/>
        <w:kinsoku/>
        <w:wordWrap/>
        <w:overflowPunct/>
        <w:topLinePunct w:val="0"/>
        <w:autoSpaceDE/>
        <w:autoSpaceDN/>
        <w:bidi w:val="0"/>
        <w:spacing w:before="0" w:after="0" w:line="440" w:lineRule="exact"/>
        <w:ind w:left="42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（9</w:t>
      </w:r>
      <w:r>
        <w:rPr>
          <w:rFonts w:hint="eastAsia" w:ascii="宋体" w:hAnsi="宋体" w:eastAsia="宋体" w:cs="宋体"/>
          <w:b w:val="0"/>
          <w:bCs w:val="0"/>
          <w:color w:val="auto"/>
          <w:sz w:val="24"/>
          <w:szCs w:val="24"/>
          <w:highlight w:val="none"/>
          <w:lang w:val="en-US" w:eastAsia="zh-CN" w:bidi="ar-SA"/>
        </w:rPr>
        <w:t>）其他合同文件。</w:t>
      </w:r>
    </w:p>
    <w:p w14:paraId="0C833AB6">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293" w:name="_Toc508201282"/>
      <w:bookmarkStart w:id="294" w:name="_Toc506006064"/>
      <w:bookmarkStart w:id="295" w:name="_Toc508200345"/>
      <w:r>
        <w:rPr>
          <w:rFonts w:hint="eastAsia" w:ascii="宋体" w:hAnsi="宋体" w:eastAsia="宋体" w:cs="宋体"/>
          <w:b w:val="0"/>
          <w:bCs w:val="0"/>
          <w:color w:val="auto"/>
          <w:sz w:val="24"/>
          <w:szCs w:val="24"/>
          <w:highlight w:val="none"/>
          <w:lang w:val="en-US" w:eastAsia="zh-CN" w:bidi="ar-SA"/>
        </w:rPr>
        <w:t>1.5合同协议书</w:t>
      </w:r>
      <w:bookmarkEnd w:id="293"/>
      <w:bookmarkEnd w:id="294"/>
      <w:bookmarkEnd w:id="295"/>
    </w:p>
    <w:p w14:paraId="44090270">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pacing w:val="1"/>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咨询人按中标通知书规定的时间与委托人签订合同协议书。除法律另有规定或合同另有约定外，自委托人和咨询人的法定代表人或其委托代理人在合同协议书上签字并加盖单位章之日起，合同生效。</w:t>
      </w:r>
    </w:p>
    <w:p w14:paraId="4D09BACE">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296" w:name="_Toc508201283"/>
      <w:bookmarkStart w:id="297" w:name="_Toc506006065"/>
      <w:bookmarkStart w:id="298" w:name="_Toc508200346"/>
      <w:r>
        <w:rPr>
          <w:rFonts w:hint="eastAsia" w:ascii="宋体" w:hAnsi="宋体" w:eastAsia="宋体" w:cs="宋体"/>
          <w:b w:val="0"/>
          <w:bCs w:val="0"/>
          <w:color w:val="auto"/>
          <w:sz w:val="24"/>
          <w:szCs w:val="24"/>
          <w:highlight w:val="none"/>
          <w:lang w:val="en-US" w:eastAsia="zh-CN" w:bidi="ar-SA"/>
        </w:rPr>
        <w:t>1.6 文件的提供</w:t>
      </w:r>
      <w:bookmarkEnd w:id="296"/>
      <w:bookmarkEnd w:id="297"/>
      <w:bookmarkEnd w:id="298"/>
    </w:p>
    <w:p w14:paraId="04E5E67E">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1.6.1</w:t>
      </w:r>
      <w:r>
        <w:rPr>
          <w:rFonts w:hint="eastAsia" w:ascii="宋体" w:hAnsi="宋体" w:eastAsia="宋体" w:cs="宋体"/>
          <w:b w:val="0"/>
          <w:bCs w:val="0"/>
          <w:color w:val="auto"/>
          <w:spacing w:val="1"/>
          <w:sz w:val="24"/>
          <w:szCs w:val="24"/>
          <w:highlight w:val="none"/>
          <w:lang w:val="en-US" w:eastAsia="zh-CN" w:bidi="ar-SA"/>
        </w:rPr>
        <w:t>咨询服务成果文件的提供</w:t>
      </w:r>
    </w:p>
    <w:p w14:paraId="63CB9A38">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pacing w:val="1"/>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咨询人应在合同约定的期限内按照合同约定的数量向委托人提供咨询服务成果文件。合同约定咨询服务成果文件应经委托人批复的，委托人应当在合同约定的期限内批复或提出修改意见。</w:t>
      </w:r>
    </w:p>
    <w:p w14:paraId="7D206462">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1.6.2</w:t>
      </w:r>
      <w:r>
        <w:rPr>
          <w:rFonts w:hint="eastAsia" w:ascii="宋体" w:hAnsi="宋体" w:eastAsia="宋体" w:cs="宋体"/>
          <w:b w:val="0"/>
          <w:bCs w:val="0"/>
          <w:color w:val="auto"/>
          <w:spacing w:val="1"/>
          <w:sz w:val="24"/>
          <w:szCs w:val="24"/>
          <w:highlight w:val="none"/>
          <w:lang w:val="en-US" w:eastAsia="zh-CN" w:bidi="ar-SA"/>
        </w:rPr>
        <w:t>委托人提供的文件</w:t>
      </w:r>
    </w:p>
    <w:p w14:paraId="344355B1">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pacing w:val="1"/>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按专用合同条款约定由委托人提供的文件，包括基础资料、咨询服务任务书等，委托人应按约定的期限和数量交给咨询人。由于委托人未按时提供文件造成咨询服务期限延误的，按第6.2款约定执行。</w:t>
      </w:r>
    </w:p>
    <w:p w14:paraId="5E2CD0E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1.6.3</w:t>
      </w:r>
      <w:r>
        <w:rPr>
          <w:rFonts w:hint="eastAsia" w:ascii="宋体" w:hAnsi="宋体" w:eastAsia="宋体" w:cs="宋体"/>
          <w:b w:val="0"/>
          <w:bCs w:val="0"/>
          <w:color w:val="auto"/>
          <w:spacing w:val="1"/>
          <w:sz w:val="24"/>
          <w:szCs w:val="24"/>
          <w:highlight w:val="none"/>
          <w:lang w:val="en-US" w:eastAsia="zh-CN" w:bidi="ar-SA"/>
        </w:rPr>
        <w:t>文件错误的通知</w:t>
      </w:r>
    </w:p>
    <w:p w14:paraId="76E695CD">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任何一方当事人发现文件中存在的明显错误或疏忽，均应及时书面通知对方当事人，并应立即</w:t>
      </w:r>
      <w:r>
        <w:rPr>
          <w:rFonts w:hint="eastAsia" w:ascii="宋体" w:hAnsi="宋体" w:eastAsia="宋体" w:cs="宋体"/>
          <w:b w:val="0"/>
          <w:bCs w:val="0"/>
          <w:color w:val="auto"/>
          <w:sz w:val="24"/>
          <w:szCs w:val="24"/>
          <w:highlight w:val="none"/>
          <w:lang w:val="en-US" w:eastAsia="zh-CN" w:bidi="ar-SA"/>
        </w:rPr>
        <w:t>采取适当的措施防止损失扩大。</w:t>
      </w:r>
    </w:p>
    <w:p w14:paraId="0E7349B9">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299" w:name="_Toc508201284"/>
      <w:bookmarkStart w:id="300" w:name="_Toc508200347"/>
      <w:bookmarkStart w:id="301" w:name="_Toc506006066"/>
      <w:r>
        <w:rPr>
          <w:rFonts w:hint="eastAsia" w:ascii="宋体" w:hAnsi="宋体" w:eastAsia="宋体" w:cs="宋体"/>
          <w:b w:val="0"/>
          <w:bCs w:val="0"/>
          <w:color w:val="auto"/>
          <w:sz w:val="24"/>
          <w:szCs w:val="24"/>
          <w:highlight w:val="none"/>
          <w:lang w:val="en-US" w:eastAsia="zh-CN" w:bidi="ar-SA"/>
        </w:rPr>
        <w:t>1.7 联络</w:t>
      </w:r>
      <w:bookmarkEnd w:id="299"/>
      <w:bookmarkEnd w:id="300"/>
      <w:bookmarkEnd w:id="301"/>
    </w:p>
    <w:p w14:paraId="3187656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1.7.1</w:t>
      </w:r>
      <w:r>
        <w:rPr>
          <w:rFonts w:hint="eastAsia" w:ascii="宋体" w:hAnsi="宋体" w:eastAsia="宋体" w:cs="宋体"/>
          <w:b w:val="0"/>
          <w:bCs w:val="0"/>
          <w:color w:val="auto"/>
          <w:spacing w:val="-2"/>
          <w:sz w:val="24"/>
          <w:szCs w:val="24"/>
          <w:highlight w:val="none"/>
          <w:lang w:val="en-US" w:eastAsia="zh-CN" w:bidi="ar-SA"/>
        </w:rPr>
        <w:t>与合同有关的通知、批准、证明、证书、指示、要求、请求、同意、意见、确定和决</w:t>
      </w:r>
      <w:r>
        <w:rPr>
          <w:rFonts w:hint="eastAsia" w:ascii="宋体" w:hAnsi="宋体" w:eastAsia="宋体" w:cs="宋体"/>
          <w:b w:val="0"/>
          <w:bCs w:val="0"/>
          <w:color w:val="auto"/>
          <w:sz w:val="24"/>
          <w:szCs w:val="24"/>
          <w:highlight w:val="none"/>
          <w:lang w:val="en-US" w:eastAsia="zh-CN" w:bidi="ar-SA"/>
        </w:rPr>
        <w:t>定等，均应采用书面形式。</w:t>
      </w:r>
    </w:p>
    <w:p w14:paraId="0B0AAF7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1.7.2</w:t>
      </w:r>
      <w:r>
        <w:rPr>
          <w:rFonts w:hint="eastAsia" w:ascii="宋体" w:hAnsi="宋体" w:eastAsia="宋体" w:cs="宋体"/>
          <w:b w:val="0"/>
          <w:bCs w:val="0"/>
          <w:color w:val="auto"/>
          <w:spacing w:val="-2"/>
          <w:sz w:val="24"/>
          <w:szCs w:val="24"/>
          <w:highlight w:val="none"/>
          <w:lang w:val="en-US" w:eastAsia="zh-CN" w:bidi="ar-SA"/>
        </w:rPr>
        <w:t>上述通知、批准、证明、证书、指示、要求、请求、同意、意见、确定和决定等来往</w:t>
      </w:r>
      <w:r>
        <w:rPr>
          <w:rFonts w:hint="eastAsia" w:ascii="宋体" w:hAnsi="宋体" w:eastAsia="宋体" w:cs="宋体"/>
          <w:b w:val="0"/>
          <w:bCs w:val="0"/>
          <w:color w:val="auto"/>
          <w:sz w:val="24"/>
          <w:szCs w:val="24"/>
          <w:highlight w:val="none"/>
          <w:lang w:val="en-US" w:eastAsia="zh-CN" w:bidi="ar-SA"/>
        </w:rPr>
        <w:t>函件，均应在合同约定的期限内送达指定的地点和指定的接收人，并办理签收手续。</w:t>
      </w:r>
    </w:p>
    <w:p w14:paraId="04F5E80D">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02" w:name="_Toc508201285"/>
      <w:bookmarkStart w:id="303" w:name="_Toc506006067"/>
      <w:bookmarkStart w:id="304" w:name="_Toc508200348"/>
      <w:r>
        <w:rPr>
          <w:rFonts w:hint="eastAsia" w:ascii="宋体" w:hAnsi="宋体" w:eastAsia="宋体" w:cs="宋体"/>
          <w:b w:val="0"/>
          <w:bCs w:val="0"/>
          <w:color w:val="auto"/>
          <w:sz w:val="24"/>
          <w:szCs w:val="24"/>
          <w:highlight w:val="none"/>
          <w:lang w:val="en-US" w:eastAsia="zh-CN" w:bidi="ar-SA"/>
        </w:rPr>
        <w:t>1.8 转让</w:t>
      </w:r>
      <w:bookmarkEnd w:id="302"/>
      <w:bookmarkEnd w:id="303"/>
      <w:bookmarkEnd w:id="304"/>
    </w:p>
    <w:p w14:paraId="104E5B20">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除专用合同条款另有约定外，未经对方当事人同意，一方当事人不得将合同权利全部或部</w:t>
      </w:r>
      <w:r>
        <w:rPr>
          <w:rFonts w:hint="eastAsia" w:ascii="宋体" w:hAnsi="宋体" w:eastAsia="宋体" w:cs="宋体"/>
          <w:b w:val="0"/>
          <w:bCs w:val="0"/>
          <w:color w:val="auto"/>
          <w:sz w:val="24"/>
          <w:szCs w:val="24"/>
          <w:highlight w:val="none"/>
          <w:lang w:val="en-US" w:eastAsia="zh-CN" w:bidi="ar-SA"/>
        </w:rPr>
        <w:t>分转让给第三人，也不得全部或部分转移合同义务。</w:t>
      </w:r>
    </w:p>
    <w:p w14:paraId="75736097">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05" w:name="_Toc506006068"/>
      <w:bookmarkStart w:id="306" w:name="_Toc508200349"/>
      <w:bookmarkStart w:id="307" w:name="_Toc508201286"/>
      <w:r>
        <w:rPr>
          <w:rFonts w:hint="eastAsia" w:ascii="宋体" w:hAnsi="宋体" w:eastAsia="宋体" w:cs="宋体"/>
          <w:b w:val="0"/>
          <w:bCs w:val="0"/>
          <w:color w:val="auto"/>
          <w:sz w:val="24"/>
          <w:szCs w:val="24"/>
          <w:highlight w:val="none"/>
          <w:lang w:val="en-US" w:eastAsia="zh-CN" w:bidi="ar-SA"/>
        </w:rPr>
        <w:t>1.9 严禁贿赂</w:t>
      </w:r>
      <w:bookmarkEnd w:id="305"/>
      <w:bookmarkEnd w:id="306"/>
      <w:bookmarkEnd w:id="307"/>
    </w:p>
    <w:p w14:paraId="694DE023">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合同双方当事人不得以贿赂或变相贿赂的方式，谋取不当利益或损害对方权益。因贿赂造</w:t>
      </w:r>
      <w:r>
        <w:rPr>
          <w:rFonts w:hint="eastAsia" w:ascii="宋体" w:hAnsi="宋体" w:eastAsia="宋体" w:cs="宋体"/>
          <w:b w:val="0"/>
          <w:bCs w:val="0"/>
          <w:color w:val="auto"/>
          <w:sz w:val="24"/>
          <w:szCs w:val="24"/>
          <w:highlight w:val="none"/>
          <w:lang w:val="en-US" w:eastAsia="zh-CN" w:bidi="ar-SA"/>
        </w:rPr>
        <w:t>成对方当事人损失的，行为人应当赔偿损失，并承担相应的法律责任。</w:t>
      </w:r>
    </w:p>
    <w:p w14:paraId="6D159E79">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08" w:name="_Toc506006069"/>
      <w:bookmarkStart w:id="309" w:name="_Toc508200350"/>
      <w:bookmarkStart w:id="310" w:name="_Toc508201287"/>
      <w:r>
        <w:rPr>
          <w:rFonts w:hint="eastAsia" w:ascii="宋体" w:hAnsi="宋体" w:eastAsia="宋体" w:cs="宋体"/>
          <w:b w:val="0"/>
          <w:bCs w:val="0"/>
          <w:color w:val="auto"/>
          <w:sz w:val="24"/>
          <w:szCs w:val="24"/>
          <w:highlight w:val="none"/>
          <w:lang w:val="en-US" w:eastAsia="zh-CN" w:bidi="ar-SA"/>
        </w:rPr>
        <w:t>1.10 知识产权</w:t>
      </w:r>
      <w:bookmarkEnd w:id="308"/>
      <w:bookmarkEnd w:id="309"/>
      <w:bookmarkEnd w:id="310"/>
    </w:p>
    <w:p w14:paraId="63CCB5E9">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1.10.1</w:t>
      </w:r>
      <w:r>
        <w:rPr>
          <w:rFonts w:hint="eastAsia" w:ascii="宋体" w:hAnsi="宋体" w:eastAsia="宋体" w:cs="宋体"/>
          <w:b w:val="0"/>
          <w:bCs w:val="0"/>
          <w:color w:val="auto"/>
          <w:spacing w:val="1"/>
          <w:sz w:val="24"/>
          <w:szCs w:val="24"/>
          <w:highlight w:val="none"/>
          <w:lang w:val="en-US" w:eastAsia="zh-CN" w:bidi="ar-SA"/>
        </w:rPr>
        <w:t>除专用合同条款另有约定外，咨询人完成的咨询服务工作成果，除署名权以外的著作权</w:t>
      </w:r>
      <w:r>
        <w:rPr>
          <w:rFonts w:hint="eastAsia" w:ascii="宋体" w:hAnsi="宋体" w:eastAsia="宋体" w:cs="宋体"/>
          <w:b w:val="0"/>
          <w:bCs w:val="0"/>
          <w:color w:val="auto"/>
          <w:sz w:val="24"/>
          <w:szCs w:val="24"/>
          <w:highlight w:val="none"/>
          <w:lang w:val="en-US" w:eastAsia="zh-CN" w:bidi="ar-SA"/>
        </w:rPr>
        <w:t>和其他知识产权均归委托人享有。</w:t>
      </w:r>
    </w:p>
    <w:p w14:paraId="20871076">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1.10.2</w:t>
      </w:r>
      <w:r>
        <w:rPr>
          <w:rFonts w:hint="eastAsia" w:ascii="宋体" w:hAnsi="宋体" w:eastAsia="宋体" w:cs="宋体"/>
          <w:b w:val="0"/>
          <w:bCs w:val="0"/>
          <w:color w:val="auto"/>
          <w:spacing w:val="1"/>
          <w:sz w:val="24"/>
          <w:szCs w:val="24"/>
          <w:highlight w:val="none"/>
          <w:lang w:val="en-US" w:eastAsia="zh-CN" w:bidi="ar-SA"/>
        </w:rPr>
        <w:t>咨询人在从事咨询服务活动时，不得侵犯他人的知识产权。因侵犯专利权或其他知识产权所引起的责任，由咨询人自行承担。因委托人提供的咨询服务资料导致侵权的，由委托人承担责任。</w:t>
      </w:r>
    </w:p>
    <w:p w14:paraId="75D34D32">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1.10.3</w:t>
      </w:r>
      <w:r>
        <w:rPr>
          <w:rFonts w:hint="eastAsia" w:ascii="宋体" w:hAnsi="宋体" w:eastAsia="宋体" w:cs="宋体"/>
          <w:b w:val="0"/>
          <w:bCs w:val="0"/>
          <w:color w:val="auto"/>
          <w:spacing w:val="1"/>
          <w:sz w:val="24"/>
          <w:szCs w:val="24"/>
          <w:highlight w:val="none"/>
          <w:lang w:val="en-US" w:eastAsia="zh-CN" w:bidi="ar-SA"/>
        </w:rPr>
        <w:t>咨询人在投标文件中采用专利技术、专有技术的，相应的使用费视为已包含在投标报价之中。</w:t>
      </w:r>
    </w:p>
    <w:p w14:paraId="33E24998">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11" w:name="_Toc508200351"/>
      <w:bookmarkStart w:id="312" w:name="_Toc508201288"/>
      <w:bookmarkStart w:id="313" w:name="_Toc506006070"/>
      <w:r>
        <w:rPr>
          <w:rFonts w:hint="eastAsia" w:ascii="宋体" w:hAnsi="宋体" w:eastAsia="宋体" w:cs="宋体"/>
          <w:b w:val="0"/>
          <w:bCs w:val="0"/>
          <w:color w:val="auto"/>
          <w:sz w:val="24"/>
          <w:szCs w:val="24"/>
          <w:highlight w:val="none"/>
          <w:lang w:val="en-US" w:eastAsia="zh-CN" w:bidi="ar-SA"/>
        </w:rPr>
        <w:t>1.11 文件及信息的保密</w:t>
      </w:r>
      <w:bookmarkEnd w:id="311"/>
      <w:bookmarkEnd w:id="312"/>
      <w:bookmarkEnd w:id="313"/>
    </w:p>
    <w:p w14:paraId="5E83329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pacing w:val="1"/>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除法律规定或合同另有约定外，未经对方同意，任何一方当事人不得将对方提供的有关文件、技术秘密、声明需要保密的资料和信息泄露给第三方或公开发表与引用。</w:t>
      </w:r>
    </w:p>
    <w:p w14:paraId="2340B35F">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14" w:name="_Toc508201289"/>
      <w:bookmarkStart w:id="315" w:name="_Toc506006071"/>
      <w:bookmarkStart w:id="316" w:name="_Toc508200352"/>
      <w:r>
        <w:rPr>
          <w:rFonts w:hint="eastAsia" w:ascii="宋体" w:hAnsi="宋体" w:eastAsia="宋体" w:cs="宋体"/>
          <w:b w:val="0"/>
          <w:bCs w:val="0"/>
          <w:color w:val="auto"/>
          <w:sz w:val="24"/>
          <w:szCs w:val="24"/>
          <w:highlight w:val="none"/>
          <w:lang w:val="en-US" w:eastAsia="zh-CN" w:bidi="ar-SA"/>
        </w:rPr>
        <w:t>1.12 委托人要求</w:t>
      </w:r>
      <w:bookmarkEnd w:id="314"/>
      <w:bookmarkEnd w:id="315"/>
      <w:bookmarkEnd w:id="316"/>
    </w:p>
    <w:p w14:paraId="5CE16E2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1.12.1</w:t>
      </w:r>
      <w:r>
        <w:rPr>
          <w:rFonts w:hint="eastAsia" w:ascii="宋体" w:hAnsi="宋体" w:eastAsia="宋体" w:cs="宋体"/>
          <w:b w:val="0"/>
          <w:bCs w:val="0"/>
          <w:color w:val="auto"/>
          <w:spacing w:val="1"/>
          <w:sz w:val="24"/>
          <w:szCs w:val="24"/>
          <w:highlight w:val="none"/>
          <w:lang w:val="en-US" w:eastAsia="zh-CN" w:bidi="ar-SA"/>
        </w:rPr>
        <w:t>咨询人应认真阅读、复核委托人要求，发现错误的，应及时书面通知委托人。无论</w:t>
      </w:r>
      <w:r>
        <w:rPr>
          <w:rFonts w:hint="eastAsia" w:ascii="宋体" w:hAnsi="宋体" w:eastAsia="宋体" w:cs="宋体"/>
          <w:b w:val="0"/>
          <w:bCs w:val="0"/>
          <w:color w:val="auto"/>
          <w:sz w:val="24"/>
          <w:szCs w:val="24"/>
          <w:highlight w:val="none"/>
          <w:lang w:val="en-US" w:eastAsia="zh-CN" w:bidi="ar-SA"/>
        </w:rPr>
        <w:t>是否存在错误，委托人均有权修改委托人要求，并在修改后3天内通知咨询人。除专用合同条</w:t>
      </w:r>
      <w:r>
        <w:rPr>
          <w:rFonts w:hint="eastAsia" w:ascii="宋体" w:hAnsi="宋体" w:eastAsia="宋体" w:cs="宋体"/>
          <w:b w:val="0"/>
          <w:bCs w:val="0"/>
          <w:color w:val="auto"/>
          <w:spacing w:val="-1"/>
          <w:sz w:val="24"/>
          <w:szCs w:val="24"/>
          <w:highlight w:val="none"/>
          <w:lang w:val="en-US" w:eastAsia="zh-CN" w:bidi="ar-SA"/>
        </w:rPr>
        <w:t>款另有约定外，由此导致咨询人费用增加和</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b w:val="0"/>
          <w:bCs w:val="0"/>
          <w:color w:val="auto"/>
          <w:spacing w:val="1"/>
          <w:sz w:val="24"/>
          <w:szCs w:val="24"/>
          <w:highlight w:val="none"/>
          <w:lang w:val="en-US" w:eastAsia="zh-CN" w:bidi="ar-SA"/>
        </w:rPr>
        <w:t>或</w:t>
      </w:r>
      <w:r>
        <w:rPr>
          <w:rFonts w:hint="eastAsia" w:ascii="宋体" w:hAnsi="宋体" w:eastAsia="宋体" w:cs="宋体"/>
          <w:b w:val="0"/>
          <w:bCs w:val="0"/>
          <w:color w:val="auto"/>
          <w:spacing w:val="-3"/>
          <w:sz w:val="24"/>
          <w:szCs w:val="24"/>
          <w:highlight w:val="none"/>
          <w:lang w:val="en-US" w:eastAsia="zh-CN" w:bidi="ar-SA"/>
        </w:rPr>
        <w:t>)</w:t>
      </w:r>
      <w:r>
        <w:rPr>
          <w:rFonts w:hint="eastAsia" w:ascii="宋体" w:hAnsi="宋体" w:eastAsia="宋体" w:cs="宋体"/>
          <w:b w:val="0"/>
          <w:bCs w:val="0"/>
          <w:color w:val="auto"/>
          <w:spacing w:val="-1"/>
          <w:sz w:val="24"/>
          <w:szCs w:val="24"/>
          <w:highlight w:val="none"/>
          <w:lang w:val="en-US" w:eastAsia="zh-CN" w:bidi="ar-SA"/>
        </w:rPr>
        <w:t>周期延误的，委托人应当相应地增加费用和</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b w:val="0"/>
          <w:bCs w:val="0"/>
          <w:color w:val="auto"/>
          <w:spacing w:val="1"/>
          <w:sz w:val="24"/>
          <w:szCs w:val="24"/>
          <w:highlight w:val="none"/>
          <w:lang w:val="en-US" w:eastAsia="zh-CN" w:bidi="ar-SA"/>
        </w:rPr>
        <w:t>或</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b w:val="0"/>
          <w:bCs w:val="0"/>
          <w:color w:val="auto"/>
          <w:spacing w:val="1"/>
          <w:sz w:val="24"/>
          <w:szCs w:val="24"/>
          <w:highlight w:val="none"/>
          <w:lang w:val="en-US" w:eastAsia="zh-CN" w:bidi="ar-SA"/>
        </w:rPr>
        <w:t>延长周期。</w:t>
      </w:r>
    </w:p>
    <w:p w14:paraId="4247F028">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1.12.2</w:t>
      </w:r>
      <w:r>
        <w:rPr>
          <w:rFonts w:hint="eastAsia" w:ascii="宋体" w:hAnsi="宋体" w:eastAsia="宋体" w:cs="宋体"/>
          <w:b w:val="0"/>
          <w:bCs w:val="0"/>
          <w:color w:val="auto"/>
          <w:spacing w:val="1"/>
          <w:sz w:val="24"/>
          <w:szCs w:val="24"/>
          <w:highlight w:val="none"/>
          <w:lang w:val="en-US" w:eastAsia="zh-CN" w:bidi="ar-SA"/>
        </w:rPr>
        <w:t>如果委托人要求违反法律规定，咨询人应在发现后及时书面通知委托人，要求其改正。委托人收到通知书后不予改正或不予答复的，咨询人有权拒绝履行合同义务并解除合同。除专用合同条款另有约定外，由此导致的咨询人的全部损失由委托人承担。</w:t>
      </w:r>
    </w:p>
    <w:p w14:paraId="2AFCC372">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1.12.3</w:t>
      </w:r>
      <w:r>
        <w:rPr>
          <w:rFonts w:hint="eastAsia" w:ascii="宋体" w:hAnsi="宋体" w:eastAsia="宋体" w:cs="宋体"/>
          <w:b w:val="0"/>
          <w:bCs w:val="0"/>
          <w:color w:val="auto"/>
          <w:spacing w:val="1"/>
          <w:sz w:val="24"/>
          <w:szCs w:val="24"/>
          <w:highlight w:val="none"/>
          <w:lang w:val="en-US" w:eastAsia="zh-CN" w:bidi="ar-SA"/>
        </w:rPr>
        <w:t>委托人要求采用国外规范和标准进行咨询服务时，应由委托人负责提供该规范和标准的</w:t>
      </w:r>
      <w:r>
        <w:rPr>
          <w:rFonts w:hint="eastAsia" w:ascii="宋体" w:hAnsi="宋体" w:eastAsia="宋体" w:cs="宋体"/>
          <w:b w:val="0"/>
          <w:bCs w:val="0"/>
          <w:color w:val="auto"/>
          <w:sz w:val="24"/>
          <w:szCs w:val="24"/>
          <w:highlight w:val="none"/>
          <w:lang w:val="en-US" w:eastAsia="zh-CN" w:bidi="ar-SA"/>
        </w:rPr>
        <w:t>外国文本和中文译本，提供的时间、份数和其他要求在专用合同条款中约定。</w:t>
      </w:r>
    </w:p>
    <w:p w14:paraId="6C6720A9">
      <w:pPr>
        <w:pageBreakBefore w:val="0"/>
        <w:kinsoku/>
        <w:wordWrap/>
        <w:overflowPunct/>
        <w:topLinePunct w:val="0"/>
        <w:autoSpaceDE/>
        <w:autoSpaceDN/>
        <w:bidi w:val="0"/>
        <w:spacing w:before="0" w:after="0" w:line="440" w:lineRule="exact"/>
        <w:jc w:val="both"/>
        <w:outlineLvl w:val="1"/>
        <w:rPr>
          <w:rFonts w:hint="eastAsia" w:ascii="宋体" w:hAnsi="宋体" w:eastAsia="宋体" w:cs="宋体"/>
          <w:b w:val="0"/>
          <w:bCs w:val="0"/>
          <w:color w:val="auto"/>
          <w:spacing w:val="1"/>
          <w:sz w:val="24"/>
          <w:szCs w:val="24"/>
          <w:highlight w:val="none"/>
          <w:lang w:val="en-US" w:eastAsia="zh-CN" w:bidi="ar-SA"/>
        </w:rPr>
      </w:pPr>
      <w:bookmarkStart w:id="317" w:name="_Toc508200353"/>
      <w:bookmarkStart w:id="318" w:name="_Toc513817602"/>
      <w:bookmarkStart w:id="319" w:name="_Toc508201290"/>
      <w:bookmarkStart w:id="320" w:name="_Toc506006072"/>
      <w:r>
        <w:rPr>
          <w:rFonts w:hint="eastAsia" w:ascii="宋体" w:hAnsi="宋体" w:eastAsia="宋体" w:cs="宋体"/>
          <w:b w:val="0"/>
          <w:bCs w:val="0"/>
          <w:color w:val="auto"/>
          <w:spacing w:val="1"/>
          <w:sz w:val="24"/>
          <w:szCs w:val="24"/>
          <w:highlight w:val="none"/>
          <w:lang w:val="en-US" w:eastAsia="zh-CN" w:bidi="ar-SA"/>
        </w:rPr>
        <w:t>2. 委托人义务</w:t>
      </w:r>
      <w:bookmarkEnd w:id="317"/>
      <w:bookmarkEnd w:id="318"/>
      <w:bookmarkEnd w:id="319"/>
      <w:bookmarkEnd w:id="320"/>
    </w:p>
    <w:p w14:paraId="12C930E8">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21" w:name="_Toc508200354"/>
      <w:bookmarkStart w:id="322" w:name="_Toc508201291"/>
      <w:bookmarkStart w:id="323" w:name="_Toc506006073"/>
      <w:r>
        <w:rPr>
          <w:rFonts w:hint="eastAsia" w:ascii="宋体" w:hAnsi="宋体" w:eastAsia="宋体" w:cs="宋体"/>
          <w:b w:val="0"/>
          <w:bCs w:val="0"/>
          <w:color w:val="auto"/>
          <w:sz w:val="24"/>
          <w:szCs w:val="24"/>
          <w:highlight w:val="none"/>
          <w:lang w:val="en-US" w:eastAsia="zh-CN" w:bidi="ar-SA"/>
        </w:rPr>
        <w:t>2.1 遵守法律</w:t>
      </w:r>
      <w:bookmarkEnd w:id="321"/>
      <w:bookmarkEnd w:id="322"/>
      <w:bookmarkEnd w:id="323"/>
    </w:p>
    <w:p w14:paraId="0302ED13">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委托人在履行合同过程中应遵守法律，并保证咨询人免于承担因委托人违反法律而引起的任何责任。</w:t>
      </w:r>
    </w:p>
    <w:p w14:paraId="4EB13815">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24" w:name="_Toc508201292"/>
      <w:bookmarkStart w:id="325" w:name="_Toc508200355"/>
      <w:bookmarkStart w:id="326" w:name="_Toc506006074"/>
      <w:r>
        <w:rPr>
          <w:rFonts w:hint="eastAsia" w:ascii="宋体" w:hAnsi="宋体" w:eastAsia="宋体" w:cs="宋体"/>
          <w:b w:val="0"/>
          <w:bCs w:val="0"/>
          <w:color w:val="auto"/>
          <w:sz w:val="24"/>
          <w:szCs w:val="24"/>
          <w:highlight w:val="none"/>
          <w:lang w:val="en-US" w:eastAsia="zh-CN" w:bidi="ar-SA"/>
        </w:rPr>
        <w:t>2.2 发出开始咨询服务通知</w:t>
      </w:r>
      <w:bookmarkEnd w:id="324"/>
      <w:bookmarkEnd w:id="325"/>
      <w:bookmarkEnd w:id="326"/>
    </w:p>
    <w:p w14:paraId="06A17DC8">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委托人应按第</w:t>
      </w:r>
      <w:r>
        <w:rPr>
          <w:rFonts w:hint="eastAsia" w:ascii="宋体" w:hAnsi="宋体" w:eastAsia="宋体" w:cs="宋体"/>
          <w:b w:val="0"/>
          <w:bCs w:val="0"/>
          <w:color w:val="auto"/>
          <w:spacing w:val="-1"/>
          <w:sz w:val="24"/>
          <w:szCs w:val="24"/>
          <w:highlight w:val="none"/>
          <w:lang w:val="en-US" w:eastAsia="zh-CN" w:bidi="ar-SA"/>
        </w:rPr>
        <w:t>6.1</w:t>
      </w:r>
      <w:r>
        <w:rPr>
          <w:rFonts w:hint="eastAsia" w:ascii="宋体" w:hAnsi="宋体" w:eastAsia="宋体" w:cs="宋体"/>
          <w:b w:val="0"/>
          <w:bCs w:val="0"/>
          <w:color w:val="auto"/>
          <w:sz w:val="24"/>
          <w:szCs w:val="24"/>
          <w:highlight w:val="none"/>
          <w:lang w:val="en-US" w:eastAsia="zh-CN" w:bidi="ar-SA"/>
        </w:rPr>
        <w:t>款的约定向咨询人发出开始咨询服务通知。</w:t>
      </w:r>
    </w:p>
    <w:p w14:paraId="72B64708">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27" w:name="_Toc508200356"/>
      <w:bookmarkStart w:id="328" w:name="_Toc508201293"/>
      <w:bookmarkStart w:id="329" w:name="_Toc506006075"/>
      <w:r>
        <w:rPr>
          <w:rFonts w:hint="eastAsia" w:ascii="宋体" w:hAnsi="宋体" w:eastAsia="宋体" w:cs="宋体"/>
          <w:b w:val="0"/>
          <w:bCs w:val="0"/>
          <w:color w:val="auto"/>
          <w:sz w:val="24"/>
          <w:szCs w:val="24"/>
          <w:highlight w:val="none"/>
          <w:lang w:val="en-US" w:eastAsia="zh-CN" w:bidi="ar-SA"/>
        </w:rPr>
        <w:t>2.3 办理证件和批件</w:t>
      </w:r>
      <w:bookmarkEnd w:id="327"/>
      <w:bookmarkEnd w:id="328"/>
      <w:bookmarkEnd w:id="329"/>
    </w:p>
    <w:p w14:paraId="4AB5D8A5">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法律规定和（或）合同约定由委托人负责办理的工程建设项目必须履行的各类审批、核准</w:t>
      </w:r>
      <w:r>
        <w:rPr>
          <w:rFonts w:hint="eastAsia" w:ascii="宋体" w:hAnsi="宋体" w:eastAsia="宋体" w:cs="宋体"/>
          <w:b w:val="0"/>
          <w:bCs w:val="0"/>
          <w:color w:val="auto"/>
          <w:sz w:val="24"/>
          <w:szCs w:val="24"/>
          <w:highlight w:val="none"/>
          <w:lang w:val="en-US" w:eastAsia="zh-CN" w:bidi="ar-SA"/>
        </w:rPr>
        <w:t>或备案手续，委托人应当按时办理，咨询人应给予必要的协助。</w:t>
      </w:r>
    </w:p>
    <w:p w14:paraId="37A866D8">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法律规定和（或）合同约定由咨询人负责办理的咨询服务所需的证件和批件，委托人应给予必要的协助。</w:t>
      </w:r>
    </w:p>
    <w:p w14:paraId="192C14A8">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30" w:name="_Toc508200357"/>
      <w:bookmarkStart w:id="331" w:name="_Toc508201294"/>
      <w:bookmarkStart w:id="332" w:name="_Toc506006076"/>
      <w:r>
        <w:rPr>
          <w:rFonts w:hint="eastAsia" w:ascii="宋体" w:hAnsi="宋体" w:eastAsia="宋体" w:cs="宋体"/>
          <w:b w:val="0"/>
          <w:bCs w:val="0"/>
          <w:color w:val="auto"/>
          <w:sz w:val="24"/>
          <w:szCs w:val="24"/>
          <w:highlight w:val="none"/>
          <w:lang w:val="en-US" w:eastAsia="zh-CN" w:bidi="ar-SA"/>
        </w:rPr>
        <w:t>2.4 支付合同价款</w:t>
      </w:r>
      <w:bookmarkEnd w:id="330"/>
      <w:bookmarkEnd w:id="331"/>
      <w:bookmarkEnd w:id="332"/>
    </w:p>
    <w:p w14:paraId="1133437A">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委托人应按合同约定向咨询人及时支付合同价款。</w:t>
      </w:r>
    </w:p>
    <w:p w14:paraId="37D56E3D">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33" w:name="_Toc508200358"/>
      <w:bookmarkStart w:id="334" w:name="_Toc506006077"/>
      <w:bookmarkStart w:id="335" w:name="_Toc508201295"/>
      <w:r>
        <w:rPr>
          <w:rFonts w:hint="eastAsia" w:ascii="宋体" w:hAnsi="宋体" w:eastAsia="宋体" w:cs="宋体"/>
          <w:b w:val="0"/>
          <w:bCs w:val="0"/>
          <w:color w:val="auto"/>
          <w:sz w:val="24"/>
          <w:szCs w:val="24"/>
          <w:highlight w:val="none"/>
          <w:lang w:val="en-US" w:eastAsia="zh-CN" w:bidi="ar-SA"/>
        </w:rPr>
        <w:t>2.5 提供咨询服务资料</w:t>
      </w:r>
      <w:bookmarkEnd w:id="333"/>
      <w:bookmarkEnd w:id="334"/>
      <w:bookmarkEnd w:id="335"/>
    </w:p>
    <w:p w14:paraId="112C4175">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委托人应按第1.6.2项的约定向咨询人提供咨询服务资料。</w:t>
      </w:r>
    </w:p>
    <w:p w14:paraId="59C2C8DB">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36" w:name="_Toc508200359"/>
      <w:bookmarkStart w:id="337" w:name="_Toc506006078"/>
      <w:bookmarkStart w:id="338" w:name="_Toc508201296"/>
      <w:r>
        <w:rPr>
          <w:rFonts w:hint="eastAsia" w:ascii="宋体" w:hAnsi="宋体" w:eastAsia="宋体" w:cs="宋体"/>
          <w:b w:val="0"/>
          <w:bCs w:val="0"/>
          <w:color w:val="auto"/>
          <w:sz w:val="24"/>
          <w:szCs w:val="24"/>
          <w:highlight w:val="none"/>
          <w:lang w:val="en-US" w:eastAsia="zh-CN" w:bidi="ar-SA"/>
        </w:rPr>
        <w:t xml:space="preserve">2.6协调配合义务 </w:t>
      </w:r>
    </w:p>
    <w:p w14:paraId="43BCA096">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咨询人为履行合同需要建设项目施工承包人和(或）监理人配合的，委托人应协调施工承包人和(或）监理人予以配合。</w:t>
      </w:r>
    </w:p>
    <w:p w14:paraId="1C646F49">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2.7 其他义务</w:t>
      </w:r>
      <w:bookmarkEnd w:id="336"/>
      <w:bookmarkEnd w:id="337"/>
      <w:bookmarkEnd w:id="338"/>
    </w:p>
    <w:p w14:paraId="3BFB3E43">
      <w:pPr>
        <w:pageBreakBefore w:val="0"/>
        <w:kinsoku/>
        <w:wordWrap/>
        <w:overflowPunct/>
        <w:topLinePunct w:val="0"/>
        <w:autoSpaceDE/>
        <w:autoSpaceDN/>
        <w:bidi w:val="0"/>
        <w:spacing w:before="60" w:after="6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委托人应履行合同约定的其他义务。</w:t>
      </w:r>
    </w:p>
    <w:p w14:paraId="5CF80091">
      <w:pPr>
        <w:pageBreakBefore w:val="0"/>
        <w:kinsoku/>
        <w:wordWrap/>
        <w:overflowPunct/>
        <w:topLinePunct w:val="0"/>
        <w:autoSpaceDE/>
        <w:autoSpaceDN/>
        <w:bidi w:val="0"/>
        <w:spacing w:before="0" w:after="0" w:line="440" w:lineRule="exact"/>
        <w:jc w:val="both"/>
        <w:outlineLvl w:val="1"/>
        <w:rPr>
          <w:rFonts w:hint="eastAsia" w:ascii="宋体" w:hAnsi="宋体" w:eastAsia="宋体" w:cs="宋体"/>
          <w:b w:val="0"/>
          <w:bCs w:val="0"/>
          <w:color w:val="auto"/>
          <w:spacing w:val="1"/>
          <w:sz w:val="24"/>
          <w:szCs w:val="24"/>
          <w:highlight w:val="none"/>
          <w:lang w:val="en-US" w:eastAsia="zh-CN" w:bidi="ar-SA"/>
        </w:rPr>
      </w:pPr>
      <w:bookmarkStart w:id="339" w:name="_Toc506006079"/>
      <w:bookmarkStart w:id="340" w:name="_Toc508200360"/>
      <w:bookmarkStart w:id="341" w:name="_Toc513817603"/>
      <w:bookmarkStart w:id="342" w:name="_Toc508201297"/>
      <w:r>
        <w:rPr>
          <w:rFonts w:hint="eastAsia" w:ascii="宋体" w:hAnsi="宋体" w:eastAsia="宋体" w:cs="宋体"/>
          <w:b w:val="0"/>
          <w:bCs w:val="0"/>
          <w:color w:val="auto"/>
          <w:spacing w:val="1"/>
          <w:sz w:val="24"/>
          <w:szCs w:val="24"/>
          <w:highlight w:val="none"/>
          <w:lang w:val="en-US" w:eastAsia="zh-CN" w:bidi="ar-SA"/>
        </w:rPr>
        <w:t>3. 委托人管理</w:t>
      </w:r>
      <w:bookmarkEnd w:id="339"/>
      <w:bookmarkEnd w:id="340"/>
      <w:bookmarkEnd w:id="341"/>
      <w:bookmarkEnd w:id="342"/>
    </w:p>
    <w:p w14:paraId="60DF48CA">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43" w:name="_Toc508201298"/>
      <w:bookmarkStart w:id="344" w:name="_Toc508200361"/>
      <w:bookmarkStart w:id="345" w:name="_Toc506006080"/>
      <w:r>
        <w:rPr>
          <w:rFonts w:hint="eastAsia" w:ascii="宋体" w:hAnsi="宋体" w:eastAsia="宋体" w:cs="宋体"/>
          <w:b w:val="0"/>
          <w:bCs w:val="0"/>
          <w:color w:val="auto"/>
          <w:sz w:val="24"/>
          <w:szCs w:val="24"/>
          <w:highlight w:val="none"/>
          <w:lang w:val="en-US" w:eastAsia="zh-CN" w:bidi="ar-SA"/>
        </w:rPr>
        <w:t>3.1 委托人代表</w:t>
      </w:r>
      <w:bookmarkEnd w:id="343"/>
      <w:bookmarkEnd w:id="344"/>
      <w:bookmarkEnd w:id="345"/>
    </w:p>
    <w:p w14:paraId="29ABEFFC">
      <w:pPr>
        <w:pageBreakBefore w:val="0"/>
        <w:kinsoku/>
        <w:wordWrap/>
        <w:overflowPunct/>
        <w:topLinePunct w:val="0"/>
        <w:autoSpaceDE/>
        <w:autoSpaceDN/>
        <w:bidi w:val="0"/>
        <w:spacing w:before="60" w:after="6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 xml:space="preserve">3.1.1 </w:t>
      </w:r>
      <w:r>
        <w:rPr>
          <w:rFonts w:hint="eastAsia" w:ascii="宋体" w:hAnsi="宋体" w:eastAsia="宋体" w:cs="宋体"/>
          <w:b w:val="0"/>
          <w:bCs w:val="0"/>
          <w:color w:val="auto"/>
          <w:spacing w:val="-3"/>
          <w:sz w:val="24"/>
          <w:szCs w:val="24"/>
          <w:highlight w:val="none"/>
          <w:lang w:val="en-US" w:eastAsia="zh-CN" w:bidi="ar-SA"/>
        </w:rPr>
        <w:t>除专用合同条款另有约定外，委托人应在合同签订后</w:t>
      </w:r>
      <w:r>
        <w:rPr>
          <w:rFonts w:hint="eastAsia" w:ascii="宋体" w:hAnsi="宋体" w:eastAsia="宋体" w:cs="宋体"/>
          <w:b w:val="0"/>
          <w:bCs w:val="0"/>
          <w:color w:val="auto"/>
          <w:spacing w:val="1"/>
          <w:sz w:val="24"/>
          <w:szCs w:val="24"/>
          <w:highlight w:val="none"/>
          <w:lang w:val="en-US" w:eastAsia="zh-CN" w:bidi="ar-SA"/>
        </w:rPr>
        <w:t>14</w:t>
      </w:r>
      <w:r>
        <w:rPr>
          <w:rFonts w:hint="eastAsia" w:ascii="宋体" w:hAnsi="宋体" w:eastAsia="宋体" w:cs="宋体"/>
          <w:b w:val="0"/>
          <w:bCs w:val="0"/>
          <w:color w:val="auto"/>
          <w:spacing w:val="-5"/>
          <w:sz w:val="24"/>
          <w:szCs w:val="24"/>
          <w:highlight w:val="none"/>
          <w:lang w:val="en-US" w:eastAsia="zh-CN" w:bidi="ar-SA"/>
        </w:rPr>
        <w:t>天内，将委托人代表的姓名、</w:t>
      </w:r>
      <w:r>
        <w:rPr>
          <w:rFonts w:hint="eastAsia" w:ascii="宋体" w:hAnsi="宋体" w:eastAsia="宋体" w:cs="宋体"/>
          <w:b w:val="0"/>
          <w:bCs w:val="0"/>
          <w:color w:val="auto"/>
          <w:spacing w:val="1"/>
          <w:sz w:val="24"/>
          <w:szCs w:val="24"/>
          <w:highlight w:val="none"/>
          <w:lang w:val="en-US" w:eastAsia="zh-CN" w:bidi="ar-SA"/>
        </w:rPr>
        <w:t>职务、联系方式、授权范围和授权期限书面通知咨询人，由委托人代表在其授权范围和授权期限内，代表委托人行使权利、履行义务和处理合同履行中的具体事宜。委托人代表在授权范围</w:t>
      </w:r>
      <w:r>
        <w:rPr>
          <w:rFonts w:hint="eastAsia" w:ascii="宋体" w:hAnsi="宋体" w:eastAsia="宋体" w:cs="宋体"/>
          <w:b w:val="0"/>
          <w:bCs w:val="0"/>
          <w:color w:val="auto"/>
          <w:sz w:val="24"/>
          <w:szCs w:val="24"/>
          <w:highlight w:val="none"/>
          <w:lang w:val="en-US" w:eastAsia="zh-CN" w:bidi="ar-SA"/>
        </w:rPr>
        <w:t>内的行为由委托人承担法律责任。</w:t>
      </w:r>
    </w:p>
    <w:p w14:paraId="78352A8D">
      <w:pPr>
        <w:pageBreakBefore w:val="0"/>
        <w:kinsoku/>
        <w:wordWrap/>
        <w:overflowPunct/>
        <w:topLinePunct w:val="0"/>
        <w:autoSpaceDE/>
        <w:autoSpaceDN/>
        <w:bidi w:val="0"/>
        <w:spacing w:before="60" w:after="6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3.1.2</w:t>
      </w:r>
      <w:r>
        <w:rPr>
          <w:rFonts w:hint="eastAsia" w:ascii="宋体" w:hAnsi="宋体" w:eastAsia="宋体" w:cs="宋体"/>
          <w:b w:val="0"/>
          <w:bCs w:val="0"/>
          <w:color w:val="auto"/>
          <w:spacing w:val="-1"/>
          <w:sz w:val="24"/>
          <w:szCs w:val="24"/>
          <w:highlight w:val="none"/>
          <w:lang w:val="en-US" w:eastAsia="zh-CN" w:bidi="ar-SA"/>
        </w:rPr>
        <w:t>委托人代表违反法律法规、违背职业道德守则或者不按合同约定履行职责及义务，导</w:t>
      </w:r>
      <w:r>
        <w:rPr>
          <w:rFonts w:hint="eastAsia" w:ascii="宋体" w:hAnsi="宋体" w:eastAsia="宋体" w:cs="宋体"/>
          <w:b w:val="0"/>
          <w:bCs w:val="0"/>
          <w:color w:val="auto"/>
          <w:sz w:val="24"/>
          <w:szCs w:val="24"/>
          <w:highlight w:val="none"/>
          <w:lang w:val="en-US" w:eastAsia="zh-CN" w:bidi="ar-SA"/>
        </w:rPr>
        <w:t>致合同无法继续正常履行的，咨询人有权通知委托人更换委托人代表。委托人收到通知后7天内，应当核实完毕并将处理结果通知咨询人。</w:t>
      </w:r>
    </w:p>
    <w:p w14:paraId="117BFD4A">
      <w:pPr>
        <w:pageBreakBefore w:val="0"/>
        <w:kinsoku/>
        <w:wordWrap/>
        <w:overflowPunct/>
        <w:topLinePunct w:val="0"/>
        <w:autoSpaceDE/>
        <w:autoSpaceDN/>
        <w:bidi w:val="0"/>
        <w:spacing w:before="60" w:after="6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3.1.3委托人更换委托人代表的，应提前</w:t>
      </w:r>
      <w:r>
        <w:rPr>
          <w:rFonts w:hint="eastAsia" w:ascii="宋体" w:hAnsi="宋体" w:eastAsia="宋体" w:cs="宋体"/>
          <w:b w:val="0"/>
          <w:bCs w:val="0"/>
          <w:color w:val="auto"/>
          <w:spacing w:val="1"/>
          <w:sz w:val="24"/>
          <w:szCs w:val="24"/>
          <w:highlight w:val="none"/>
          <w:lang w:val="en-US" w:eastAsia="zh-CN" w:bidi="ar-SA"/>
        </w:rPr>
        <w:t>14</w:t>
      </w:r>
      <w:r>
        <w:rPr>
          <w:rFonts w:hint="eastAsia" w:ascii="宋体" w:hAnsi="宋体" w:eastAsia="宋体" w:cs="宋体"/>
          <w:b w:val="0"/>
          <w:bCs w:val="0"/>
          <w:color w:val="auto"/>
          <w:sz w:val="24"/>
          <w:szCs w:val="24"/>
          <w:highlight w:val="none"/>
          <w:lang w:val="en-US" w:eastAsia="zh-CN" w:bidi="ar-SA"/>
        </w:rPr>
        <w:t>天将更换人员的姓名、职务、联系方式、授权范围和授权期限书面通知咨询人。</w:t>
      </w:r>
    </w:p>
    <w:p w14:paraId="32A5D566">
      <w:pPr>
        <w:pageBreakBefore w:val="0"/>
        <w:kinsoku/>
        <w:wordWrap/>
        <w:overflowPunct/>
        <w:topLinePunct w:val="0"/>
        <w:autoSpaceDE/>
        <w:autoSpaceDN/>
        <w:bidi w:val="0"/>
        <w:spacing w:before="60" w:after="6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3.1.4 委托人代表可以授权委托人的其他人员负责执行其指派的一项或多项工作。委托人代表应将被授权人员的姓名、职务、联系方式、授权范围和授权期限书面通知咨询人。被授权人员在授权范围内发出的指示视为已得到委托人代表的同意，与委托人代表发出的指示具有同等效力。</w:t>
      </w:r>
    </w:p>
    <w:p w14:paraId="226B5BD6">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46" w:name="_Toc506006081"/>
      <w:bookmarkStart w:id="347" w:name="_Toc508201299"/>
      <w:bookmarkStart w:id="348" w:name="_Toc508200362"/>
      <w:r>
        <w:rPr>
          <w:rFonts w:hint="eastAsia" w:ascii="宋体" w:hAnsi="宋体" w:eastAsia="宋体" w:cs="宋体"/>
          <w:b w:val="0"/>
          <w:bCs w:val="0"/>
          <w:color w:val="auto"/>
          <w:sz w:val="24"/>
          <w:szCs w:val="24"/>
          <w:highlight w:val="none"/>
          <w:lang w:val="en-US" w:eastAsia="zh-CN" w:bidi="ar-SA"/>
        </w:rPr>
        <w:t>3.2</w:t>
      </w:r>
      <w:bookmarkEnd w:id="346"/>
      <w:bookmarkStart w:id="349" w:name="_Toc506006082"/>
      <w:r>
        <w:rPr>
          <w:rFonts w:hint="eastAsia" w:ascii="宋体" w:hAnsi="宋体" w:eastAsia="宋体" w:cs="宋体"/>
          <w:b w:val="0"/>
          <w:bCs w:val="0"/>
          <w:color w:val="auto"/>
          <w:sz w:val="24"/>
          <w:szCs w:val="24"/>
          <w:highlight w:val="none"/>
          <w:lang w:val="en-US" w:eastAsia="zh-CN" w:bidi="ar-SA"/>
        </w:rPr>
        <w:t>委托人的指示</w:t>
      </w:r>
      <w:bookmarkEnd w:id="347"/>
      <w:bookmarkEnd w:id="348"/>
      <w:bookmarkEnd w:id="349"/>
    </w:p>
    <w:p w14:paraId="05E1CCC8">
      <w:pPr>
        <w:pageBreakBefore w:val="0"/>
        <w:kinsoku/>
        <w:wordWrap/>
        <w:overflowPunct/>
        <w:topLinePunct w:val="0"/>
        <w:autoSpaceDE/>
        <w:autoSpaceDN/>
        <w:bidi w:val="0"/>
        <w:spacing w:before="60" w:after="6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3.2.1</w:t>
      </w:r>
      <w:r>
        <w:rPr>
          <w:rFonts w:hint="eastAsia" w:ascii="宋体" w:hAnsi="宋体" w:eastAsia="宋体" w:cs="宋体"/>
          <w:b w:val="0"/>
          <w:bCs w:val="0"/>
          <w:color w:val="auto"/>
          <w:spacing w:val="-2"/>
          <w:sz w:val="24"/>
          <w:szCs w:val="24"/>
          <w:highlight w:val="none"/>
          <w:lang w:val="en-US" w:eastAsia="zh-CN" w:bidi="ar-SA"/>
        </w:rPr>
        <w:t>委托人应按合同约定向咨询人发出指示，委托人的指示应盖有委托人单位章，并由委托人</w:t>
      </w:r>
      <w:r>
        <w:rPr>
          <w:rFonts w:hint="eastAsia" w:ascii="宋体" w:hAnsi="宋体" w:eastAsia="宋体" w:cs="宋体"/>
          <w:b w:val="0"/>
          <w:bCs w:val="0"/>
          <w:color w:val="auto"/>
          <w:sz w:val="24"/>
          <w:szCs w:val="24"/>
          <w:highlight w:val="none"/>
          <w:lang w:val="en-US" w:eastAsia="zh-CN" w:bidi="ar-SA"/>
        </w:rPr>
        <w:t>代表签字确认。</w:t>
      </w:r>
    </w:p>
    <w:p w14:paraId="58A71B87">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3.2.2咨询人收到委托人作出的指示后应遵照执行。指示构成变更的，应按第</w:t>
      </w:r>
      <w:r>
        <w:rPr>
          <w:rFonts w:hint="eastAsia" w:ascii="宋体" w:hAnsi="宋体" w:eastAsia="宋体" w:cs="宋体"/>
          <w:b w:val="0"/>
          <w:bCs w:val="0"/>
          <w:color w:val="auto"/>
          <w:spacing w:val="-7"/>
          <w:sz w:val="24"/>
          <w:szCs w:val="24"/>
          <w:highlight w:val="none"/>
          <w:lang w:val="en-US" w:eastAsia="zh-CN" w:bidi="ar-SA"/>
        </w:rPr>
        <w:t>11</w:t>
      </w:r>
      <w:r>
        <w:rPr>
          <w:rFonts w:hint="eastAsia" w:ascii="宋体" w:hAnsi="宋体" w:eastAsia="宋体" w:cs="宋体"/>
          <w:b w:val="0"/>
          <w:bCs w:val="0"/>
          <w:color w:val="auto"/>
          <w:sz w:val="24"/>
          <w:szCs w:val="24"/>
          <w:highlight w:val="none"/>
          <w:lang w:val="en-US" w:eastAsia="zh-CN" w:bidi="ar-SA"/>
        </w:rPr>
        <w:t>条执行。</w:t>
      </w:r>
    </w:p>
    <w:p w14:paraId="69B7B183">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3.2.3</w:t>
      </w:r>
      <w:r>
        <w:rPr>
          <w:rFonts w:hint="eastAsia" w:ascii="宋体" w:hAnsi="宋体" w:eastAsia="宋体" w:cs="宋体"/>
          <w:b w:val="0"/>
          <w:bCs w:val="0"/>
          <w:color w:val="auto"/>
          <w:spacing w:val="-2"/>
          <w:sz w:val="24"/>
          <w:szCs w:val="24"/>
          <w:highlight w:val="none"/>
          <w:lang w:val="en-US" w:eastAsia="zh-CN" w:bidi="ar-SA"/>
        </w:rPr>
        <w:t>在紧急情况下，委托人代表或其授权人员可以当场签发临时书面指示，咨询人应遵照执行。委托人代表应在临时书面指示发出后24小时内发出书面确认函，逾期未发出书面确认函</w:t>
      </w:r>
      <w:r>
        <w:rPr>
          <w:rFonts w:hint="eastAsia" w:ascii="宋体" w:hAnsi="宋体" w:eastAsia="宋体" w:cs="宋体"/>
          <w:b w:val="0"/>
          <w:bCs w:val="0"/>
          <w:color w:val="auto"/>
          <w:sz w:val="24"/>
          <w:szCs w:val="24"/>
          <w:highlight w:val="none"/>
          <w:lang w:val="en-US" w:eastAsia="zh-CN" w:bidi="ar-SA"/>
        </w:rPr>
        <w:t>的，该临时书面指示应被视为委托人的正式指示。</w:t>
      </w:r>
    </w:p>
    <w:p w14:paraId="218F83B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3.2.4</w:t>
      </w:r>
      <w:r>
        <w:rPr>
          <w:rFonts w:hint="eastAsia" w:ascii="宋体" w:hAnsi="宋体" w:eastAsia="宋体" w:cs="宋体"/>
          <w:b w:val="0"/>
          <w:bCs w:val="0"/>
          <w:color w:val="auto"/>
          <w:spacing w:val="-2"/>
          <w:sz w:val="24"/>
          <w:szCs w:val="24"/>
          <w:highlight w:val="none"/>
          <w:lang w:val="en-US" w:eastAsia="zh-CN" w:bidi="ar-SA"/>
        </w:rPr>
        <w:t>除专用合同条款另有约定外，咨询人只从委托人代表或按第3.1.4项约定的委托人代表授权人员处取得指示。</w:t>
      </w:r>
    </w:p>
    <w:p w14:paraId="6EC7928E">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3.2.5</w:t>
      </w:r>
      <w:r>
        <w:rPr>
          <w:rFonts w:hint="eastAsia" w:ascii="宋体" w:hAnsi="宋体" w:eastAsia="宋体" w:cs="宋体"/>
          <w:b w:val="0"/>
          <w:bCs w:val="0"/>
          <w:color w:val="auto"/>
          <w:spacing w:val="-2"/>
          <w:sz w:val="24"/>
          <w:szCs w:val="24"/>
          <w:highlight w:val="none"/>
          <w:lang w:val="en-US" w:eastAsia="zh-CN" w:bidi="ar-SA"/>
        </w:rPr>
        <w:t>由于委托人未能按合同约定发出指示、指示延误或指示错误而导致咨询人费用增加和</w:t>
      </w:r>
      <w:r>
        <w:rPr>
          <w:rFonts w:hint="eastAsia" w:ascii="宋体" w:hAnsi="宋体" w:eastAsia="宋体" w:cs="宋体"/>
          <w:b w:val="0"/>
          <w:bCs w:val="0"/>
          <w:color w:val="auto"/>
          <w:sz w:val="24"/>
          <w:szCs w:val="24"/>
          <w:highlight w:val="none"/>
          <w:lang w:val="en-US" w:eastAsia="zh-CN" w:bidi="ar-SA"/>
        </w:rPr>
        <w:t>（或）周期延误的，委托人应承担由此增加的费用和（或）周期延误。</w:t>
      </w:r>
    </w:p>
    <w:p w14:paraId="7F8EDD13">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50" w:name="_Toc508200363"/>
      <w:bookmarkStart w:id="351" w:name="_Toc506006083"/>
      <w:bookmarkStart w:id="352" w:name="_Toc508201300"/>
      <w:r>
        <w:rPr>
          <w:rFonts w:hint="eastAsia" w:ascii="宋体" w:hAnsi="宋体" w:eastAsia="宋体" w:cs="宋体"/>
          <w:b w:val="0"/>
          <w:bCs w:val="0"/>
          <w:color w:val="auto"/>
          <w:sz w:val="24"/>
          <w:szCs w:val="24"/>
          <w:highlight w:val="none"/>
          <w:lang w:val="en-US" w:eastAsia="zh-CN" w:bidi="ar-SA"/>
        </w:rPr>
        <w:t>3.3决定或答复</w:t>
      </w:r>
      <w:bookmarkEnd w:id="350"/>
      <w:bookmarkEnd w:id="351"/>
      <w:bookmarkEnd w:id="352"/>
    </w:p>
    <w:p w14:paraId="6E0220A6">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3.3.1</w:t>
      </w:r>
      <w:r>
        <w:rPr>
          <w:rFonts w:hint="eastAsia" w:ascii="宋体" w:hAnsi="宋体" w:eastAsia="宋体" w:cs="宋体"/>
          <w:b w:val="0"/>
          <w:bCs w:val="0"/>
          <w:color w:val="auto"/>
          <w:spacing w:val="2"/>
          <w:sz w:val="24"/>
          <w:szCs w:val="24"/>
          <w:highlight w:val="none"/>
          <w:lang w:val="en-US" w:eastAsia="zh-CN" w:bidi="ar-SA"/>
        </w:rPr>
        <w:t>委托人在法律允许的范围内有权对咨询人的咨询服务工作和（或）咨询服务成果文件作出处理决定，</w:t>
      </w:r>
      <w:r>
        <w:rPr>
          <w:rFonts w:hint="eastAsia" w:ascii="宋体" w:hAnsi="宋体" w:eastAsia="宋体" w:cs="宋体"/>
          <w:b w:val="0"/>
          <w:bCs w:val="0"/>
          <w:color w:val="auto"/>
          <w:sz w:val="24"/>
          <w:szCs w:val="24"/>
          <w:highlight w:val="none"/>
          <w:lang w:val="en-US" w:eastAsia="zh-CN" w:bidi="ar-SA"/>
        </w:rPr>
        <w:t>咨询人应按照委托人的决定执行，涉及咨询服务期限或咨询服务费用等问题按第</w:t>
      </w:r>
      <w:r>
        <w:rPr>
          <w:rFonts w:hint="eastAsia" w:ascii="宋体" w:hAnsi="宋体" w:eastAsia="宋体" w:cs="宋体"/>
          <w:b w:val="0"/>
          <w:bCs w:val="0"/>
          <w:color w:val="auto"/>
          <w:spacing w:val="-4"/>
          <w:sz w:val="24"/>
          <w:szCs w:val="24"/>
          <w:highlight w:val="none"/>
          <w:lang w:val="en-US" w:eastAsia="zh-CN" w:bidi="ar-SA"/>
        </w:rPr>
        <w:t>11</w:t>
      </w:r>
      <w:r>
        <w:rPr>
          <w:rFonts w:hint="eastAsia" w:ascii="宋体" w:hAnsi="宋体" w:eastAsia="宋体" w:cs="宋体"/>
          <w:b w:val="0"/>
          <w:bCs w:val="0"/>
          <w:color w:val="auto"/>
          <w:spacing w:val="2"/>
          <w:sz w:val="24"/>
          <w:szCs w:val="24"/>
          <w:highlight w:val="none"/>
          <w:lang w:val="en-US" w:eastAsia="zh-CN" w:bidi="ar-SA"/>
        </w:rPr>
        <w:t>条的约定处理。</w:t>
      </w:r>
    </w:p>
    <w:p w14:paraId="04FCD483">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3.3.2</w:t>
      </w:r>
      <w:r>
        <w:rPr>
          <w:rFonts w:hint="eastAsia" w:ascii="宋体" w:hAnsi="宋体" w:eastAsia="宋体" w:cs="宋体"/>
          <w:b w:val="0"/>
          <w:bCs w:val="0"/>
          <w:color w:val="auto"/>
          <w:spacing w:val="1"/>
          <w:sz w:val="24"/>
          <w:szCs w:val="24"/>
          <w:highlight w:val="none"/>
          <w:lang w:val="en-US" w:eastAsia="zh-CN" w:bidi="ar-SA"/>
        </w:rPr>
        <w:t>委托人应在专用合同条款约定的时间之内，对咨询人书面提出的事项作出书面答复；</w:t>
      </w:r>
      <w:r>
        <w:rPr>
          <w:rFonts w:hint="eastAsia" w:ascii="宋体" w:hAnsi="宋体" w:eastAsia="宋体" w:cs="宋体"/>
          <w:b w:val="0"/>
          <w:bCs w:val="0"/>
          <w:color w:val="auto"/>
          <w:sz w:val="24"/>
          <w:szCs w:val="24"/>
          <w:highlight w:val="none"/>
          <w:lang w:val="en-US" w:eastAsia="zh-CN" w:bidi="ar-SA"/>
        </w:rPr>
        <w:t>逾期没有做出答复的，视为已获得委托人的批准。</w:t>
      </w:r>
      <w:bookmarkStart w:id="353" w:name="_Toc508201301"/>
      <w:bookmarkStart w:id="354" w:name="_Toc506006084"/>
      <w:bookmarkStart w:id="355" w:name="_Toc513817604"/>
      <w:bookmarkStart w:id="356" w:name="_Toc508200364"/>
    </w:p>
    <w:p w14:paraId="440F0487">
      <w:pPr>
        <w:pageBreakBefore w:val="0"/>
        <w:kinsoku/>
        <w:wordWrap/>
        <w:overflowPunct/>
        <w:topLinePunct w:val="0"/>
        <w:autoSpaceDE/>
        <w:autoSpaceDN/>
        <w:bidi w:val="0"/>
        <w:spacing w:before="0" w:after="0" w:line="440" w:lineRule="exact"/>
        <w:jc w:val="both"/>
        <w:rPr>
          <w:rFonts w:hint="eastAsia" w:ascii="宋体" w:hAnsi="宋体" w:eastAsia="宋体" w:cs="宋体"/>
          <w:b w:val="0"/>
          <w:bCs w:val="0"/>
          <w:color w:val="auto"/>
          <w:spacing w:val="1"/>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4. 咨询人义务</w:t>
      </w:r>
      <w:bookmarkEnd w:id="353"/>
      <w:bookmarkEnd w:id="354"/>
      <w:bookmarkEnd w:id="355"/>
      <w:bookmarkEnd w:id="356"/>
    </w:p>
    <w:p w14:paraId="1103D964">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57" w:name="_Toc508200365"/>
      <w:bookmarkStart w:id="358" w:name="_Toc506006085"/>
      <w:bookmarkStart w:id="359" w:name="_Toc508201302"/>
      <w:r>
        <w:rPr>
          <w:rFonts w:hint="eastAsia" w:ascii="宋体" w:hAnsi="宋体" w:eastAsia="宋体" w:cs="宋体"/>
          <w:b w:val="0"/>
          <w:bCs w:val="0"/>
          <w:color w:val="auto"/>
          <w:sz w:val="24"/>
          <w:szCs w:val="24"/>
          <w:highlight w:val="none"/>
          <w:lang w:val="en-US" w:eastAsia="zh-CN" w:bidi="ar-SA"/>
        </w:rPr>
        <w:t>4.1 咨询人的一般义务</w:t>
      </w:r>
      <w:bookmarkEnd w:id="357"/>
      <w:bookmarkEnd w:id="358"/>
      <w:bookmarkEnd w:id="359"/>
    </w:p>
    <w:p w14:paraId="0684509D">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4.1.1</w:t>
      </w:r>
      <w:r>
        <w:rPr>
          <w:rFonts w:hint="eastAsia" w:ascii="宋体" w:hAnsi="宋体" w:eastAsia="宋体" w:cs="宋体"/>
          <w:b w:val="0"/>
          <w:bCs w:val="0"/>
          <w:color w:val="auto"/>
          <w:spacing w:val="1"/>
          <w:sz w:val="24"/>
          <w:szCs w:val="24"/>
          <w:highlight w:val="none"/>
          <w:lang w:val="en-US" w:eastAsia="zh-CN" w:bidi="ar-SA"/>
        </w:rPr>
        <w:t>遵守法律</w:t>
      </w:r>
    </w:p>
    <w:p w14:paraId="0061FDAC">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咨询人在履行合同过程中应遵守法律，并保证委托人免于承担因咨询人违反法律而引起的任何责任。</w:t>
      </w:r>
    </w:p>
    <w:p w14:paraId="740380C1">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4.1.2</w:t>
      </w:r>
      <w:r>
        <w:rPr>
          <w:rFonts w:hint="eastAsia" w:ascii="宋体" w:hAnsi="宋体" w:eastAsia="宋体" w:cs="宋体"/>
          <w:b w:val="0"/>
          <w:bCs w:val="0"/>
          <w:color w:val="auto"/>
          <w:spacing w:val="1"/>
          <w:sz w:val="24"/>
          <w:szCs w:val="24"/>
          <w:highlight w:val="none"/>
          <w:lang w:val="en-US" w:eastAsia="zh-CN" w:bidi="ar-SA"/>
        </w:rPr>
        <w:t>依法纳税</w:t>
      </w:r>
    </w:p>
    <w:p w14:paraId="772CB556">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咨询人应按有关法律规定纳税，应缴纳的税金（含增值税</w:t>
      </w:r>
      <w:r>
        <w:rPr>
          <w:rFonts w:hint="eastAsia" w:ascii="宋体" w:hAnsi="宋体" w:eastAsia="宋体" w:cs="宋体"/>
          <w:b w:val="0"/>
          <w:bCs w:val="0"/>
          <w:color w:val="auto"/>
          <w:sz w:val="24"/>
          <w:szCs w:val="24"/>
          <w:highlight w:val="none"/>
          <w:u w:val="single"/>
          <w:lang w:val="en-US" w:eastAsia="zh-CN" w:bidi="ar-SA"/>
        </w:rPr>
        <w:t xml:space="preserve">  </w:t>
      </w:r>
      <w:r>
        <w:rPr>
          <w:rFonts w:hint="eastAsia" w:ascii="宋体" w:hAnsi="宋体" w:eastAsia="宋体" w:cs="宋体"/>
          <w:b w:val="0"/>
          <w:bCs w:val="0"/>
          <w:color w:val="auto"/>
          <w:sz w:val="24"/>
          <w:szCs w:val="24"/>
          <w:highlight w:val="none"/>
          <w:lang w:val="en-US" w:eastAsia="zh-CN" w:bidi="ar-SA"/>
        </w:rPr>
        <w:t>%）包括在合同价格之中。</w:t>
      </w:r>
    </w:p>
    <w:p w14:paraId="4CDC2FAD">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4.1.3</w:t>
      </w:r>
      <w:r>
        <w:rPr>
          <w:rFonts w:hint="eastAsia" w:ascii="宋体" w:hAnsi="宋体" w:eastAsia="宋体" w:cs="宋体"/>
          <w:b w:val="0"/>
          <w:bCs w:val="0"/>
          <w:color w:val="auto"/>
          <w:spacing w:val="1"/>
          <w:sz w:val="24"/>
          <w:szCs w:val="24"/>
          <w:highlight w:val="none"/>
          <w:lang w:val="en-US" w:eastAsia="zh-CN" w:bidi="ar-SA"/>
        </w:rPr>
        <w:t>完成全部咨询服务工作</w:t>
      </w:r>
    </w:p>
    <w:p w14:paraId="1D2FAEFF">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咨询人应按合同约定以及委托人要求，完成合同约定的全部工作，并对工作中的任何缺陷进行整改、完善和修补，使其满足合同约定的目的。咨询人应按合同约定提供咨询服务成果文件及咨询服务相关工作</w:t>
      </w:r>
      <w:r>
        <w:rPr>
          <w:rFonts w:hint="eastAsia" w:ascii="宋体" w:hAnsi="宋体" w:eastAsia="宋体" w:cs="宋体"/>
          <w:b w:val="0"/>
          <w:bCs w:val="0"/>
          <w:color w:val="auto"/>
          <w:sz w:val="24"/>
          <w:szCs w:val="24"/>
          <w:highlight w:val="none"/>
          <w:lang w:val="en-US" w:eastAsia="zh-CN" w:bidi="ar-SA"/>
        </w:rPr>
        <w:t>等。</w:t>
      </w:r>
    </w:p>
    <w:p w14:paraId="6987B3D1">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4.1.4</w:t>
      </w:r>
      <w:r>
        <w:rPr>
          <w:rFonts w:hint="eastAsia" w:ascii="宋体" w:hAnsi="宋体" w:eastAsia="宋体" w:cs="宋体"/>
          <w:b w:val="0"/>
          <w:bCs w:val="0"/>
          <w:color w:val="auto"/>
          <w:spacing w:val="1"/>
          <w:sz w:val="24"/>
          <w:szCs w:val="24"/>
          <w:highlight w:val="none"/>
          <w:lang w:val="en-US" w:eastAsia="zh-CN" w:bidi="ar-SA"/>
        </w:rPr>
        <w:t>其他义务</w:t>
      </w:r>
    </w:p>
    <w:p w14:paraId="7921B46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咨询人应履行合同约定的其他义务。</w:t>
      </w:r>
    </w:p>
    <w:p w14:paraId="71C6A0B6">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60" w:name="_Toc508201303"/>
      <w:bookmarkStart w:id="361" w:name="_Toc506006086"/>
      <w:bookmarkStart w:id="362" w:name="_Toc508200366"/>
      <w:r>
        <w:rPr>
          <w:rFonts w:hint="eastAsia" w:ascii="宋体" w:hAnsi="宋体" w:eastAsia="宋体" w:cs="宋体"/>
          <w:b w:val="0"/>
          <w:bCs w:val="0"/>
          <w:color w:val="auto"/>
          <w:sz w:val="24"/>
          <w:szCs w:val="24"/>
          <w:highlight w:val="none"/>
          <w:lang w:val="en-US" w:eastAsia="zh-CN" w:bidi="ar-SA"/>
        </w:rPr>
        <w:t>4.2 履约保证金</w:t>
      </w:r>
      <w:bookmarkEnd w:id="360"/>
      <w:bookmarkEnd w:id="361"/>
      <w:bookmarkEnd w:id="362"/>
    </w:p>
    <w:p w14:paraId="20F49329">
      <w:pPr>
        <w:pageBreakBefore w:val="0"/>
        <w:kinsoku/>
        <w:wordWrap/>
        <w:overflowPunct/>
        <w:topLinePunct w:val="0"/>
        <w:autoSpaceDE/>
        <w:autoSpaceDN/>
        <w:bidi w:val="0"/>
        <w:spacing w:before="0" w:after="0" w:line="440" w:lineRule="exact"/>
        <w:ind w:firstLine="472" w:firstLineChars="200"/>
        <w:jc w:val="both"/>
        <w:rPr>
          <w:rFonts w:hint="eastAsia" w:ascii="宋体" w:hAnsi="宋体" w:eastAsia="宋体" w:cs="宋体"/>
          <w:b w:val="0"/>
          <w:bCs w:val="0"/>
          <w:color w:val="auto"/>
          <w:spacing w:val="-2"/>
          <w:sz w:val="24"/>
          <w:szCs w:val="24"/>
          <w:highlight w:val="none"/>
          <w:lang w:val="en-US" w:eastAsia="zh-CN" w:bidi="ar-SA"/>
        </w:rPr>
      </w:pPr>
      <w:r>
        <w:rPr>
          <w:rFonts w:hint="eastAsia" w:ascii="宋体" w:hAnsi="宋体" w:eastAsia="宋体" w:cs="宋体"/>
          <w:b w:val="0"/>
          <w:bCs w:val="0"/>
          <w:color w:val="auto"/>
          <w:spacing w:val="-2"/>
          <w:sz w:val="24"/>
          <w:szCs w:val="24"/>
          <w:highlight w:val="none"/>
          <w:lang w:val="en-US" w:eastAsia="zh-CN" w:bidi="ar-SA"/>
        </w:rPr>
        <w:t>委托人需要咨询人提交履约保证金的，由合同当事人在专用合同条款中约定履约保证金的方式、金额和期限。</w:t>
      </w:r>
    </w:p>
    <w:p w14:paraId="7E7DF935">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除专用合同条款另有约定外，履约保证金自合同生效之日起生效，在委托人签收最后一批</w:t>
      </w:r>
      <w:r>
        <w:rPr>
          <w:rFonts w:hint="eastAsia" w:ascii="宋体" w:hAnsi="宋体" w:eastAsia="宋体" w:cs="宋体"/>
          <w:b w:val="0"/>
          <w:bCs w:val="0"/>
          <w:color w:val="auto"/>
          <w:sz w:val="24"/>
          <w:szCs w:val="24"/>
          <w:highlight w:val="none"/>
          <w:lang w:val="en-US" w:eastAsia="zh-CN" w:bidi="ar-SA"/>
        </w:rPr>
        <w:t>咨询服务成果文件之日起</w:t>
      </w:r>
      <w:r>
        <w:rPr>
          <w:rFonts w:hint="eastAsia" w:ascii="宋体" w:hAnsi="宋体" w:eastAsia="宋体" w:cs="宋体"/>
          <w:b w:val="0"/>
          <w:bCs w:val="0"/>
          <w:color w:val="auto"/>
          <w:spacing w:val="1"/>
          <w:sz w:val="24"/>
          <w:szCs w:val="24"/>
          <w:highlight w:val="none"/>
          <w:lang w:val="en-US" w:eastAsia="zh-CN" w:bidi="ar-SA"/>
        </w:rPr>
        <w:t>28</w:t>
      </w:r>
      <w:r>
        <w:rPr>
          <w:rFonts w:hint="eastAsia" w:ascii="宋体" w:hAnsi="宋体" w:eastAsia="宋体" w:cs="宋体"/>
          <w:b w:val="0"/>
          <w:bCs w:val="0"/>
          <w:color w:val="auto"/>
          <w:spacing w:val="-2"/>
          <w:sz w:val="24"/>
          <w:szCs w:val="24"/>
          <w:highlight w:val="none"/>
          <w:lang w:val="en-US" w:eastAsia="zh-CN" w:bidi="ar-SA"/>
        </w:rPr>
        <w:t>天后失效。如果咨询人不履行合同约定的义务或其履行不符合合同的约</w:t>
      </w:r>
      <w:r>
        <w:rPr>
          <w:rFonts w:hint="eastAsia" w:ascii="宋体" w:hAnsi="宋体" w:eastAsia="宋体" w:cs="宋体"/>
          <w:b w:val="0"/>
          <w:bCs w:val="0"/>
          <w:color w:val="auto"/>
          <w:sz w:val="24"/>
          <w:szCs w:val="24"/>
          <w:highlight w:val="none"/>
          <w:lang w:val="en-US" w:eastAsia="zh-CN" w:bidi="ar-SA"/>
        </w:rPr>
        <w:t>定，委托人有权扣划相应金额的履约保证金。</w:t>
      </w:r>
    </w:p>
    <w:p w14:paraId="6C8CED95">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若在合同实施期间发现受托人提供了虚假资料，委托人有权从合同价款或履约保证金中扣除不超过5%签约合同价的金额作为违约金。同时委托人将受托人上述弄虚作假行为上报省级交通运输主管部门，作为不良记录纳入公路建设市场信用信息管理系统。</w:t>
      </w:r>
    </w:p>
    <w:p w14:paraId="62D7D41E">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63" w:name="_Toc508201304"/>
      <w:bookmarkStart w:id="364" w:name="_Toc506006087"/>
      <w:bookmarkStart w:id="365" w:name="_Toc508200367"/>
      <w:r>
        <w:rPr>
          <w:rFonts w:hint="eastAsia" w:ascii="宋体" w:hAnsi="宋体" w:eastAsia="宋体" w:cs="宋体"/>
          <w:b w:val="0"/>
          <w:bCs w:val="0"/>
          <w:color w:val="auto"/>
          <w:sz w:val="24"/>
          <w:szCs w:val="24"/>
          <w:highlight w:val="none"/>
          <w:lang w:val="en-US" w:eastAsia="zh-CN" w:bidi="ar-SA"/>
        </w:rPr>
        <w:t>4.3 分包和不得转包</w:t>
      </w:r>
      <w:bookmarkEnd w:id="363"/>
      <w:bookmarkEnd w:id="364"/>
      <w:bookmarkEnd w:id="365"/>
    </w:p>
    <w:p w14:paraId="4D12DD07">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pacing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4.3.1咨询人不得将其咨询服务</w:t>
      </w:r>
      <w:r>
        <w:rPr>
          <w:rFonts w:hint="eastAsia" w:ascii="宋体" w:hAnsi="宋体" w:eastAsia="宋体" w:cs="宋体"/>
          <w:b w:val="0"/>
          <w:bCs w:val="0"/>
          <w:color w:val="auto"/>
          <w:spacing w:val="-2"/>
          <w:sz w:val="24"/>
          <w:szCs w:val="24"/>
          <w:highlight w:val="none"/>
          <w:lang w:val="en-US" w:eastAsia="zh-CN" w:bidi="ar-SA"/>
        </w:rPr>
        <w:t>的全部工作转包给第三人，或将其承包的全部咨询服务工程肢解后以分包的名义转包给第三人。</w:t>
      </w:r>
    </w:p>
    <w:p w14:paraId="6DB092F9">
      <w:pPr>
        <w:pageBreakBefore w:val="0"/>
        <w:kinsoku/>
        <w:wordWrap/>
        <w:overflowPunct/>
        <w:topLinePunct w:val="0"/>
        <w:autoSpaceDE/>
        <w:autoSpaceDN/>
        <w:bidi w:val="0"/>
        <w:spacing w:before="0" w:after="0" w:line="440" w:lineRule="exact"/>
        <w:ind w:firstLine="472" w:firstLineChars="200"/>
        <w:jc w:val="both"/>
        <w:rPr>
          <w:rFonts w:hint="eastAsia" w:ascii="宋体" w:hAnsi="宋体" w:eastAsia="宋体" w:cs="宋体"/>
          <w:b w:val="0"/>
          <w:bCs w:val="0"/>
          <w:color w:val="auto"/>
          <w:spacing w:val="-2"/>
          <w:sz w:val="24"/>
          <w:szCs w:val="24"/>
          <w:highlight w:val="none"/>
          <w:lang w:val="en-US" w:eastAsia="zh-CN" w:bidi="ar-SA"/>
        </w:rPr>
      </w:pPr>
      <w:r>
        <w:rPr>
          <w:rFonts w:hint="eastAsia" w:ascii="宋体" w:hAnsi="宋体" w:eastAsia="宋体" w:cs="宋体"/>
          <w:b w:val="0"/>
          <w:bCs w:val="0"/>
          <w:color w:val="auto"/>
          <w:spacing w:val="-2"/>
          <w:sz w:val="24"/>
          <w:szCs w:val="24"/>
          <w:highlight w:val="none"/>
          <w:lang w:val="en-US" w:eastAsia="zh-CN" w:bidi="ar-SA"/>
        </w:rPr>
        <w:t>咨询人不得将咨询服务的主要、关键性工作分包给第三人。除专用合同条款另有约定外，未经委托人同意，咨询人也不得将非主要、非关键性工作分包给第三人。具体可分包的咨询服务内容及要求在专用合同条款中约定。</w:t>
      </w:r>
    </w:p>
    <w:p w14:paraId="65DE2469">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4.3.3</w:t>
      </w:r>
      <w:r>
        <w:rPr>
          <w:rFonts w:hint="eastAsia" w:ascii="宋体" w:hAnsi="宋体" w:eastAsia="宋体" w:cs="宋体"/>
          <w:b w:val="0"/>
          <w:bCs w:val="0"/>
          <w:color w:val="auto"/>
          <w:spacing w:val="-2"/>
          <w:sz w:val="24"/>
          <w:szCs w:val="24"/>
          <w:highlight w:val="none"/>
          <w:lang w:val="en-US" w:eastAsia="zh-CN" w:bidi="ar-SA"/>
        </w:rPr>
        <w:t>委托人同意咨询人分包工作的，咨询人应向委托人提交</w:t>
      </w:r>
      <w:r>
        <w:rPr>
          <w:rFonts w:hint="eastAsia" w:ascii="宋体" w:hAnsi="宋体" w:eastAsia="宋体" w:cs="宋体"/>
          <w:b w:val="0"/>
          <w:bCs w:val="0"/>
          <w:color w:val="auto"/>
          <w:sz w:val="24"/>
          <w:szCs w:val="24"/>
          <w:highlight w:val="none"/>
          <w:lang w:val="en-US" w:eastAsia="zh-CN" w:bidi="ar-SA"/>
        </w:rPr>
        <w:t>1</w:t>
      </w:r>
      <w:r>
        <w:rPr>
          <w:rFonts w:hint="eastAsia" w:ascii="宋体" w:hAnsi="宋体" w:eastAsia="宋体" w:cs="宋体"/>
          <w:b w:val="0"/>
          <w:bCs w:val="0"/>
          <w:color w:val="auto"/>
          <w:spacing w:val="-3"/>
          <w:sz w:val="24"/>
          <w:szCs w:val="24"/>
          <w:highlight w:val="none"/>
          <w:lang w:val="en-US" w:eastAsia="zh-CN" w:bidi="ar-SA"/>
        </w:rPr>
        <w:t>份分包合同副本，并对分包</w:t>
      </w:r>
      <w:r>
        <w:rPr>
          <w:rFonts w:hint="eastAsia" w:ascii="宋体" w:hAnsi="宋体" w:eastAsia="宋体" w:cs="宋体"/>
          <w:b w:val="0"/>
          <w:bCs w:val="0"/>
          <w:color w:val="auto"/>
          <w:spacing w:val="1"/>
          <w:sz w:val="24"/>
          <w:szCs w:val="24"/>
          <w:highlight w:val="none"/>
          <w:lang w:val="en-US" w:eastAsia="zh-CN" w:bidi="ar-SA"/>
        </w:rPr>
        <w:t>咨询服务工作质量承担连带责任。除专用合同条款另有约定外，分包人的咨询服务费用由咨询</w:t>
      </w:r>
      <w:r>
        <w:rPr>
          <w:rFonts w:hint="eastAsia" w:ascii="宋体" w:hAnsi="宋体" w:eastAsia="宋体" w:cs="宋体"/>
          <w:b w:val="0"/>
          <w:bCs w:val="0"/>
          <w:color w:val="auto"/>
          <w:spacing w:val="-2"/>
          <w:sz w:val="24"/>
          <w:szCs w:val="24"/>
          <w:highlight w:val="none"/>
          <w:lang w:val="en-US" w:eastAsia="zh-CN" w:bidi="ar-SA"/>
        </w:rPr>
        <w:t>人与分包人自行支付。生效法律文书要求委托人向分包人支付分包合同价款的，委托人有权从应付咨询人工程款中扣除该部分款项。</w:t>
      </w:r>
    </w:p>
    <w:p w14:paraId="06D84368">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4.3.4</w:t>
      </w:r>
      <w:r>
        <w:rPr>
          <w:rFonts w:hint="eastAsia" w:ascii="宋体" w:hAnsi="宋体" w:eastAsia="宋体" w:cs="宋体"/>
          <w:b w:val="0"/>
          <w:bCs w:val="0"/>
          <w:color w:val="auto"/>
          <w:spacing w:val="-5"/>
          <w:sz w:val="24"/>
          <w:szCs w:val="24"/>
          <w:highlight w:val="none"/>
          <w:lang w:val="en-US" w:eastAsia="zh-CN" w:bidi="ar-SA"/>
        </w:rPr>
        <w:t>分包人的资格能力应与其分包工作的标准和规模相适应，包括必要的企业资质、人员、</w:t>
      </w:r>
      <w:r>
        <w:rPr>
          <w:rFonts w:hint="eastAsia" w:ascii="宋体" w:hAnsi="宋体" w:eastAsia="宋体" w:cs="宋体"/>
          <w:b w:val="0"/>
          <w:bCs w:val="0"/>
          <w:color w:val="auto"/>
          <w:sz w:val="24"/>
          <w:szCs w:val="24"/>
          <w:highlight w:val="none"/>
          <w:lang w:val="en-US" w:eastAsia="zh-CN" w:bidi="ar-SA"/>
        </w:rPr>
        <w:t>设备和类似业绩等。</w:t>
      </w:r>
    </w:p>
    <w:p w14:paraId="55E6D6BF">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66" w:name="_Toc508201305"/>
      <w:bookmarkStart w:id="367" w:name="_Toc508200368"/>
      <w:bookmarkStart w:id="368" w:name="_Toc506006088"/>
      <w:r>
        <w:rPr>
          <w:rFonts w:hint="eastAsia" w:ascii="宋体" w:hAnsi="宋体" w:eastAsia="宋体" w:cs="宋体"/>
          <w:b w:val="0"/>
          <w:bCs w:val="0"/>
          <w:color w:val="auto"/>
          <w:sz w:val="24"/>
          <w:szCs w:val="24"/>
          <w:highlight w:val="none"/>
          <w:lang w:val="en-US" w:eastAsia="zh-CN" w:bidi="ar-SA"/>
        </w:rPr>
        <w:t>4.4 联合体</w:t>
      </w:r>
      <w:bookmarkEnd w:id="366"/>
      <w:bookmarkEnd w:id="367"/>
      <w:bookmarkEnd w:id="368"/>
    </w:p>
    <w:p w14:paraId="0195EA79">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4.4.1联合体各方应共同与委托人签订合同。联合体各方应为履行合同承担连带责任。</w:t>
      </w:r>
    </w:p>
    <w:p w14:paraId="374B6969">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4.4.2</w:t>
      </w:r>
      <w:r>
        <w:rPr>
          <w:rFonts w:hint="eastAsia" w:ascii="宋体" w:hAnsi="宋体" w:eastAsia="宋体" w:cs="宋体"/>
          <w:b w:val="0"/>
          <w:bCs w:val="0"/>
          <w:color w:val="auto"/>
          <w:spacing w:val="-2"/>
          <w:sz w:val="24"/>
          <w:szCs w:val="24"/>
          <w:highlight w:val="none"/>
          <w:lang w:val="en-US" w:eastAsia="zh-CN" w:bidi="ar-SA"/>
        </w:rPr>
        <w:t>联合体协议经委托人确认后作为合同附件。在履行合同过程中，未经委托人同意，不</w:t>
      </w:r>
      <w:r>
        <w:rPr>
          <w:rFonts w:hint="eastAsia" w:ascii="宋体" w:hAnsi="宋体" w:eastAsia="宋体" w:cs="宋体"/>
          <w:b w:val="0"/>
          <w:bCs w:val="0"/>
          <w:color w:val="auto"/>
          <w:sz w:val="24"/>
          <w:szCs w:val="24"/>
          <w:highlight w:val="none"/>
          <w:lang w:val="en-US" w:eastAsia="zh-CN" w:bidi="ar-SA"/>
        </w:rPr>
        <w:t>得修改联合体协议。</w:t>
      </w:r>
    </w:p>
    <w:p w14:paraId="26FB9BC9">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4.4.3</w:t>
      </w:r>
      <w:r>
        <w:rPr>
          <w:rFonts w:hint="eastAsia" w:ascii="宋体" w:hAnsi="宋体" w:eastAsia="宋体" w:cs="宋体"/>
          <w:b w:val="0"/>
          <w:bCs w:val="0"/>
          <w:color w:val="auto"/>
          <w:spacing w:val="-2"/>
          <w:sz w:val="24"/>
          <w:szCs w:val="24"/>
          <w:highlight w:val="none"/>
          <w:lang w:val="en-US" w:eastAsia="zh-CN" w:bidi="ar-SA"/>
        </w:rPr>
        <w:t>联合体牵头人负责与委托人联系，并接受指示，负责组织联合体</w:t>
      </w:r>
      <w:r>
        <w:rPr>
          <w:rFonts w:hint="eastAsia" w:ascii="宋体" w:hAnsi="宋体" w:eastAsia="宋体" w:cs="宋体"/>
          <w:b w:val="0"/>
          <w:bCs w:val="0"/>
          <w:color w:val="auto"/>
          <w:sz w:val="24"/>
          <w:szCs w:val="24"/>
          <w:highlight w:val="none"/>
          <w:lang w:val="en-US" w:eastAsia="zh-CN" w:bidi="ar-SA"/>
        </w:rPr>
        <w:t>各成员全面履行合同。</w:t>
      </w:r>
    </w:p>
    <w:p w14:paraId="40B51BF1">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69" w:name="_Toc508200369"/>
      <w:bookmarkStart w:id="370" w:name="_Toc508201306"/>
      <w:bookmarkStart w:id="371" w:name="_Toc506006089"/>
      <w:r>
        <w:rPr>
          <w:rFonts w:hint="eastAsia" w:ascii="宋体" w:hAnsi="宋体" w:eastAsia="宋体" w:cs="宋体"/>
          <w:b w:val="0"/>
          <w:bCs w:val="0"/>
          <w:color w:val="auto"/>
          <w:sz w:val="24"/>
          <w:szCs w:val="24"/>
          <w:highlight w:val="none"/>
          <w:lang w:val="en-US" w:eastAsia="zh-CN" w:bidi="ar-SA"/>
        </w:rPr>
        <w:t>4.5 项目负责人</w:t>
      </w:r>
      <w:bookmarkEnd w:id="369"/>
      <w:bookmarkEnd w:id="370"/>
      <w:bookmarkEnd w:id="371"/>
    </w:p>
    <w:p w14:paraId="765FCBAD">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4.5.1</w:t>
      </w:r>
      <w:r>
        <w:rPr>
          <w:rFonts w:hint="eastAsia" w:ascii="宋体" w:hAnsi="宋体" w:eastAsia="宋体" w:cs="宋体"/>
          <w:b w:val="0"/>
          <w:bCs w:val="0"/>
          <w:color w:val="auto"/>
          <w:spacing w:val="-2"/>
          <w:sz w:val="24"/>
          <w:szCs w:val="24"/>
          <w:highlight w:val="none"/>
          <w:lang w:val="en-US" w:eastAsia="zh-CN" w:bidi="ar-SA"/>
        </w:rPr>
        <w:t>咨询人应按合同协议书的约定指派项目负责人，并在约定的期限内到职。咨询人更换</w:t>
      </w:r>
      <w:r>
        <w:rPr>
          <w:rFonts w:hint="eastAsia" w:ascii="宋体" w:hAnsi="宋体" w:eastAsia="宋体" w:cs="宋体"/>
          <w:b w:val="0"/>
          <w:bCs w:val="0"/>
          <w:color w:val="auto"/>
          <w:spacing w:val="-3"/>
          <w:sz w:val="24"/>
          <w:szCs w:val="24"/>
          <w:highlight w:val="none"/>
          <w:lang w:val="en-US" w:eastAsia="zh-CN" w:bidi="ar-SA"/>
        </w:rPr>
        <w:t>项目负责人应事先征得委托人同意，并应在更换</w:t>
      </w:r>
      <w:r>
        <w:rPr>
          <w:rFonts w:hint="eastAsia" w:ascii="宋体" w:hAnsi="宋体" w:eastAsia="宋体" w:cs="宋体"/>
          <w:b w:val="0"/>
          <w:bCs w:val="0"/>
          <w:color w:val="auto"/>
          <w:spacing w:val="1"/>
          <w:sz w:val="24"/>
          <w:szCs w:val="24"/>
          <w:highlight w:val="none"/>
          <w:lang w:val="en-US" w:eastAsia="zh-CN" w:bidi="ar-SA"/>
        </w:rPr>
        <w:t>14</w:t>
      </w:r>
      <w:r>
        <w:rPr>
          <w:rFonts w:hint="eastAsia" w:ascii="宋体" w:hAnsi="宋体" w:eastAsia="宋体" w:cs="宋体"/>
          <w:b w:val="0"/>
          <w:bCs w:val="0"/>
          <w:color w:val="auto"/>
          <w:sz w:val="24"/>
          <w:szCs w:val="24"/>
          <w:highlight w:val="none"/>
          <w:lang w:val="en-US" w:eastAsia="zh-CN" w:bidi="ar-SA"/>
        </w:rPr>
        <w:t>天前将拟更换的项目负责人的姓名和详细资料提交委托人。项目负责人2天内不能履行职责的，应事先征得委托人同意，并委派代表代行其职责。</w:t>
      </w:r>
    </w:p>
    <w:p w14:paraId="46FB1BC6">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4.5.2</w:t>
      </w:r>
      <w:r>
        <w:rPr>
          <w:rFonts w:hint="eastAsia" w:ascii="宋体" w:hAnsi="宋体" w:eastAsia="宋体" w:cs="宋体"/>
          <w:b w:val="0"/>
          <w:bCs w:val="0"/>
          <w:color w:val="auto"/>
          <w:spacing w:val="-1"/>
          <w:sz w:val="24"/>
          <w:szCs w:val="24"/>
          <w:highlight w:val="none"/>
          <w:lang w:val="en-US" w:eastAsia="zh-CN" w:bidi="ar-SA"/>
        </w:rPr>
        <w:t>项目负责人应按合同约定以及委托人要求，负责组织合同工作的实施。在情况紧急且</w:t>
      </w:r>
      <w:r>
        <w:rPr>
          <w:rFonts w:hint="eastAsia" w:ascii="宋体" w:hAnsi="宋体" w:eastAsia="宋体" w:cs="宋体"/>
          <w:b w:val="0"/>
          <w:bCs w:val="0"/>
          <w:color w:val="auto"/>
          <w:spacing w:val="1"/>
          <w:sz w:val="24"/>
          <w:szCs w:val="24"/>
          <w:highlight w:val="none"/>
          <w:lang w:val="en-US" w:eastAsia="zh-CN" w:bidi="ar-SA"/>
        </w:rPr>
        <w:t>无法与委托人取得联系时，可采取保证工程和人员生命财产安全的紧急措施，并在采取措施后24</w:t>
      </w:r>
      <w:r>
        <w:rPr>
          <w:rFonts w:hint="eastAsia" w:ascii="宋体" w:hAnsi="宋体" w:eastAsia="宋体" w:cs="宋体"/>
          <w:b w:val="0"/>
          <w:bCs w:val="0"/>
          <w:color w:val="auto"/>
          <w:sz w:val="24"/>
          <w:szCs w:val="24"/>
          <w:highlight w:val="none"/>
          <w:lang w:val="en-US" w:eastAsia="zh-CN" w:bidi="ar-SA"/>
        </w:rPr>
        <w:t>小时内向委托人提交书面报告。</w:t>
      </w:r>
    </w:p>
    <w:p w14:paraId="2B839095">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4.5.3</w:t>
      </w:r>
      <w:r>
        <w:rPr>
          <w:rFonts w:hint="eastAsia" w:ascii="宋体" w:hAnsi="宋体" w:eastAsia="宋体" w:cs="宋体"/>
          <w:b w:val="0"/>
          <w:bCs w:val="0"/>
          <w:color w:val="auto"/>
          <w:spacing w:val="-2"/>
          <w:sz w:val="24"/>
          <w:szCs w:val="24"/>
          <w:highlight w:val="none"/>
          <w:lang w:val="en-US" w:eastAsia="zh-CN" w:bidi="ar-SA"/>
        </w:rPr>
        <w:t>咨询人为履行合同发出的一切函件均应盖有咨询人单位章，并由咨询人的项目负责人</w:t>
      </w:r>
      <w:r>
        <w:rPr>
          <w:rFonts w:hint="eastAsia" w:ascii="宋体" w:hAnsi="宋体" w:eastAsia="宋体" w:cs="宋体"/>
          <w:b w:val="0"/>
          <w:bCs w:val="0"/>
          <w:color w:val="auto"/>
          <w:spacing w:val="1"/>
          <w:sz w:val="24"/>
          <w:szCs w:val="24"/>
          <w:highlight w:val="none"/>
          <w:lang w:val="en-US" w:eastAsia="zh-CN" w:bidi="ar-SA"/>
        </w:rPr>
        <w:t>签字确认。</w:t>
      </w:r>
    </w:p>
    <w:p w14:paraId="3FDF97B2">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 xml:space="preserve">4.5.4 </w:t>
      </w:r>
      <w:r>
        <w:rPr>
          <w:rFonts w:hint="eastAsia" w:ascii="宋体" w:hAnsi="宋体" w:eastAsia="宋体" w:cs="宋体"/>
          <w:b w:val="0"/>
          <w:bCs w:val="0"/>
          <w:color w:val="auto"/>
          <w:spacing w:val="-2"/>
          <w:sz w:val="24"/>
          <w:szCs w:val="24"/>
          <w:highlight w:val="none"/>
          <w:lang w:val="en-US" w:eastAsia="zh-CN" w:bidi="ar-SA"/>
        </w:rPr>
        <w:t>按</w:t>
      </w:r>
      <w:r>
        <w:rPr>
          <w:rFonts w:hint="eastAsia" w:ascii="宋体" w:hAnsi="宋体" w:eastAsia="宋体" w:cs="宋体"/>
          <w:b w:val="0"/>
          <w:bCs w:val="0"/>
          <w:color w:val="auto"/>
          <w:sz w:val="24"/>
          <w:szCs w:val="24"/>
          <w:highlight w:val="none"/>
          <w:lang w:val="en-US" w:eastAsia="zh-CN" w:bidi="ar-SA"/>
        </w:rPr>
        <w:t>照专用合同条款约定，项目负责人可以授权其下属人员履行其某项职责，但事先应将这些人员的姓名、职务、联系方式、授权范围和授权期限书面通知委托人。</w:t>
      </w:r>
    </w:p>
    <w:p w14:paraId="658F0015">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72" w:name="_Toc508200370"/>
      <w:bookmarkStart w:id="373" w:name="_Toc506006090"/>
      <w:bookmarkStart w:id="374" w:name="_Toc508201307"/>
      <w:r>
        <w:rPr>
          <w:rFonts w:hint="eastAsia" w:ascii="宋体" w:hAnsi="宋体" w:eastAsia="宋体" w:cs="宋体"/>
          <w:b w:val="0"/>
          <w:bCs w:val="0"/>
          <w:color w:val="auto"/>
          <w:sz w:val="24"/>
          <w:szCs w:val="24"/>
          <w:highlight w:val="none"/>
          <w:lang w:val="en-US" w:eastAsia="zh-CN" w:bidi="ar-SA"/>
        </w:rPr>
        <w:t>4.6 咨询人员的管理</w:t>
      </w:r>
      <w:bookmarkEnd w:id="372"/>
      <w:bookmarkEnd w:id="373"/>
      <w:bookmarkEnd w:id="374"/>
    </w:p>
    <w:p w14:paraId="007DEFC6">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4.6.1咨询人应在接到开始咨询服务通知之日起7</w:t>
      </w:r>
      <w:r>
        <w:rPr>
          <w:rFonts w:hint="eastAsia" w:ascii="宋体" w:hAnsi="宋体" w:eastAsia="宋体" w:cs="宋体"/>
          <w:b w:val="0"/>
          <w:bCs w:val="0"/>
          <w:color w:val="auto"/>
          <w:spacing w:val="-4"/>
          <w:sz w:val="24"/>
          <w:szCs w:val="24"/>
          <w:highlight w:val="none"/>
          <w:lang w:val="en-US" w:eastAsia="zh-CN" w:bidi="ar-SA"/>
        </w:rPr>
        <w:t>天内，向委托人提交咨询服务项目机构以及人员安</w:t>
      </w:r>
      <w:r>
        <w:rPr>
          <w:rFonts w:hint="eastAsia" w:ascii="宋体" w:hAnsi="宋体" w:eastAsia="宋体" w:cs="宋体"/>
          <w:b w:val="0"/>
          <w:bCs w:val="0"/>
          <w:color w:val="auto"/>
          <w:spacing w:val="1"/>
          <w:sz w:val="24"/>
          <w:szCs w:val="24"/>
          <w:highlight w:val="none"/>
          <w:lang w:val="en-US" w:eastAsia="zh-CN" w:bidi="ar-SA"/>
        </w:rPr>
        <w:t>排的报告，其内容应包括项目机构设置、主要咨询人员和其他人员的名单及资格条件。主要咨询人</w:t>
      </w:r>
      <w:r>
        <w:rPr>
          <w:rFonts w:hint="eastAsia" w:ascii="宋体" w:hAnsi="宋体" w:eastAsia="宋体" w:cs="宋体"/>
          <w:b w:val="0"/>
          <w:bCs w:val="0"/>
          <w:color w:val="auto"/>
          <w:spacing w:val="-1"/>
          <w:sz w:val="24"/>
          <w:szCs w:val="24"/>
          <w:highlight w:val="none"/>
          <w:lang w:val="en-US" w:eastAsia="zh-CN" w:bidi="ar-SA"/>
        </w:rPr>
        <w:t>员应相对稳定，更换主要咨询人员的，应取得委托人的同意</w:t>
      </w:r>
      <w:r>
        <w:rPr>
          <w:rFonts w:hint="eastAsia" w:ascii="宋体" w:hAnsi="宋体" w:eastAsia="宋体" w:cs="宋体"/>
          <w:b w:val="0"/>
          <w:bCs w:val="0"/>
          <w:color w:val="auto"/>
          <w:spacing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bidi="ar-SA"/>
        </w:rPr>
        <w:t>并向委托人提交继任人员的资格、管理经验等资料。项目负责人的更换，应按照本章第4.5.1项规定执行。</w:t>
      </w:r>
    </w:p>
    <w:p w14:paraId="7F68FB8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4.6.2</w:t>
      </w:r>
      <w:r>
        <w:rPr>
          <w:rFonts w:hint="eastAsia" w:ascii="宋体" w:hAnsi="宋体" w:eastAsia="宋体" w:cs="宋体"/>
          <w:b w:val="0"/>
          <w:bCs w:val="0"/>
          <w:color w:val="auto"/>
          <w:spacing w:val="1"/>
          <w:sz w:val="24"/>
          <w:szCs w:val="24"/>
          <w:highlight w:val="none"/>
          <w:lang w:val="en-US" w:eastAsia="zh-CN" w:bidi="ar-SA"/>
        </w:rPr>
        <w:t>除专用合同条款另有约定外，主要咨询人员包括项目负责人、专业负责人、审核人、</w:t>
      </w:r>
      <w:r>
        <w:rPr>
          <w:rFonts w:hint="eastAsia" w:ascii="宋体" w:hAnsi="宋体" w:eastAsia="宋体" w:cs="宋体"/>
          <w:b w:val="0"/>
          <w:bCs w:val="0"/>
          <w:color w:val="auto"/>
          <w:sz w:val="24"/>
          <w:szCs w:val="24"/>
          <w:highlight w:val="none"/>
          <w:lang w:val="en-US" w:eastAsia="zh-CN" w:bidi="ar-SA"/>
        </w:rPr>
        <w:t>审定人等；其他人员包括各专业的咨询人员、管理人员等。</w:t>
      </w:r>
    </w:p>
    <w:p w14:paraId="128F5A2D">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4.6.3</w:t>
      </w:r>
      <w:r>
        <w:rPr>
          <w:rFonts w:hint="eastAsia" w:ascii="宋体" w:hAnsi="宋体" w:eastAsia="宋体" w:cs="宋体"/>
          <w:b w:val="0"/>
          <w:bCs w:val="0"/>
          <w:color w:val="auto"/>
          <w:spacing w:val="-1"/>
          <w:sz w:val="24"/>
          <w:szCs w:val="24"/>
          <w:highlight w:val="none"/>
          <w:lang w:val="en-US" w:eastAsia="zh-CN" w:bidi="ar-SA"/>
        </w:rPr>
        <w:t>咨询人应保证其主要咨询人员（含分包人）在合同期限内的任何时候，都能按时参加</w:t>
      </w:r>
      <w:r>
        <w:rPr>
          <w:rFonts w:hint="eastAsia" w:ascii="宋体" w:hAnsi="宋体" w:eastAsia="宋体" w:cs="宋体"/>
          <w:b w:val="0"/>
          <w:bCs w:val="0"/>
          <w:color w:val="auto"/>
          <w:sz w:val="24"/>
          <w:szCs w:val="24"/>
          <w:highlight w:val="none"/>
          <w:lang w:val="en-US" w:eastAsia="zh-CN" w:bidi="ar-SA"/>
        </w:rPr>
        <w:t>委托人组织的工作会议。</w:t>
      </w:r>
    </w:p>
    <w:p w14:paraId="4E209DA1">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4.6.4</w:t>
      </w:r>
      <w:r>
        <w:rPr>
          <w:rFonts w:hint="eastAsia" w:ascii="宋体" w:hAnsi="宋体" w:eastAsia="宋体" w:cs="宋体"/>
          <w:b w:val="0"/>
          <w:bCs w:val="0"/>
          <w:color w:val="auto"/>
          <w:spacing w:val="1"/>
          <w:sz w:val="24"/>
          <w:szCs w:val="24"/>
          <w:highlight w:val="none"/>
          <w:lang w:val="en-US" w:eastAsia="zh-CN" w:bidi="ar-SA"/>
        </w:rPr>
        <w:t>国家规定应当持证上岗的工作人员均应持有相应的资格证明，委托人有权随时检查。</w:t>
      </w:r>
      <w:r>
        <w:rPr>
          <w:rFonts w:hint="eastAsia" w:ascii="宋体" w:hAnsi="宋体" w:eastAsia="宋体" w:cs="宋体"/>
          <w:b w:val="0"/>
          <w:bCs w:val="0"/>
          <w:color w:val="auto"/>
          <w:sz w:val="24"/>
          <w:szCs w:val="24"/>
          <w:highlight w:val="none"/>
          <w:lang w:val="en-US" w:eastAsia="zh-CN" w:bidi="ar-SA"/>
        </w:rPr>
        <w:t>委托人认为有必要时，可以进行现场考核。</w:t>
      </w:r>
    </w:p>
    <w:p w14:paraId="665C3E22">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75" w:name="_Toc506006091"/>
      <w:bookmarkStart w:id="376" w:name="_Toc508200371"/>
      <w:bookmarkStart w:id="377" w:name="_Toc508201308"/>
      <w:r>
        <w:rPr>
          <w:rFonts w:hint="eastAsia" w:ascii="宋体" w:hAnsi="宋体" w:eastAsia="宋体" w:cs="宋体"/>
          <w:b w:val="0"/>
          <w:bCs w:val="0"/>
          <w:color w:val="auto"/>
          <w:sz w:val="24"/>
          <w:szCs w:val="24"/>
          <w:highlight w:val="none"/>
          <w:lang w:val="en-US" w:eastAsia="zh-CN" w:bidi="ar-SA"/>
        </w:rPr>
        <w:t>4.7 撤换项目负责人和其他人员</w:t>
      </w:r>
      <w:bookmarkEnd w:id="375"/>
      <w:bookmarkEnd w:id="376"/>
      <w:bookmarkEnd w:id="377"/>
    </w:p>
    <w:p w14:paraId="69298CC8">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咨询人应对其项目负责人和其他人员进行有效管理。委托人要求撤换不能胜任本职工作、行为不端或玩忽职守的项目负责人和其他人员的，咨询人应予以撤换。</w:t>
      </w:r>
    </w:p>
    <w:p w14:paraId="73593103">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78" w:name="_Toc508201309"/>
      <w:bookmarkStart w:id="379" w:name="_Toc508200372"/>
      <w:bookmarkStart w:id="380" w:name="_Toc506006092"/>
      <w:r>
        <w:rPr>
          <w:rFonts w:hint="eastAsia" w:ascii="宋体" w:hAnsi="宋体" w:eastAsia="宋体" w:cs="宋体"/>
          <w:b w:val="0"/>
          <w:bCs w:val="0"/>
          <w:color w:val="auto"/>
          <w:sz w:val="24"/>
          <w:szCs w:val="24"/>
          <w:highlight w:val="none"/>
          <w:lang w:val="en-US" w:eastAsia="zh-CN" w:bidi="ar-SA"/>
        </w:rPr>
        <w:t>4.8 保障人员的合法权益</w:t>
      </w:r>
      <w:bookmarkEnd w:id="378"/>
      <w:bookmarkEnd w:id="379"/>
      <w:bookmarkEnd w:id="380"/>
    </w:p>
    <w:p w14:paraId="7CEF0969">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4.8.1咨询人应与其雇用的人员签订劳动合同，并按时发放工资。</w:t>
      </w:r>
    </w:p>
    <w:p w14:paraId="470DC10E">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4.8.2</w:t>
      </w:r>
      <w:r>
        <w:rPr>
          <w:rFonts w:hint="eastAsia" w:ascii="宋体" w:hAnsi="宋体" w:eastAsia="宋体" w:cs="宋体"/>
          <w:b w:val="0"/>
          <w:bCs w:val="0"/>
          <w:color w:val="auto"/>
          <w:spacing w:val="-2"/>
          <w:sz w:val="24"/>
          <w:szCs w:val="24"/>
          <w:highlight w:val="none"/>
          <w:lang w:val="en-US" w:eastAsia="zh-CN" w:bidi="ar-SA"/>
        </w:rPr>
        <w:t>咨询人应按劳动法的规定安排工作时间，保证其雇</w:t>
      </w:r>
      <w:r>
        <w:rPr>
          <w:rFonts w:hint="eastAsia" w:ascii="宋体" w:hAnsi="宋体" w:eastAsia="宋体" w:cs="宋体"/>
          <w:b w:val="0"/>
          <w:bCs w:val="0"/>
          <w:color w:val="auto"/>
          <w:sz w:val="24"/>
          <w:szCs w:val="24"/>
          <w:highlight w:val="none"/>
          <w:lang w:val="en-US" w:eastAsia="zh-CN" w:bidi="ar-SA"/>
        </w:rPr>
        <w:t>用</w:t>
      </w:r>
      <w:r>
        <w:rPr>
          <w:rFonts w:hint="eastAsia" w:ascii="宋体" w:hAnsi="宋体" w:eastAsia="宋体" w:cs="宋体"/>
          <w:b w:val="0"/>
          <w:bCs w:val="0"/>
          <w:color w:val="auto"/>
          <w:spacing w:val="-2"/>
          <w:sz w:val="24"/>
          <w:szCs w:val="24"/>
          <w:highlight w:val="none"/>
          <w:lang w:val="en-US" w:eastAsia="zh-CN" w:bidi="ar-SA"/>
        </w:rPr>
        <w:t>人员享有休息和休假的权利。因</w:t>
      </w:r>
      <w:r>
        <w:rPr>
          <w:rFonts w:hint="eastAsia" w:ascii="宋体" w:hAnsi="宋体" w:eastAsia="宋体" w:cs="宋体"/>
          <w:b w:val="0"/>
          <w:bCs w:val="0"/>
          <w:color w:val="auto"/>
          <w:spacing w:val="1"/>
          <w:sz w:val="24"/>
          <w:szCs w:val="24"/>
          <w:highlight w:val="none"/>
          <w:lang w:val="en-US" w:eastAsia="zh-CN" w:bidi="ar-SA"/>
        </w:rPr>
        <w:t>咨询服务需要占用休假日或延长工作时间的，应不超过法律规定的限度，并按法律规定给予补休或付酬。</w:t>
      </w:r>
    </w:p>
    <w:p w14:paraId="595DBA3F">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4.8.3咨询人应按有关法律规定和合同约定，为其雇用人员办理保险。</w:t>
      </w:r>
    </w:p>
    <w:p w14:paraId="6592014C">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81" w:name="_Toc508201310"/>
      <w:bookmarkStart w:id="382" w:name="_Toc508200373"/>
      <w:bookmarkStart w:id="383" w:name="_Toc506006093"/>
      <w:r>
        <w:rPr>
          <w:rFonts w:hint="eastAsia" w:ascii="宋体" w:hAnsi="宋体" w:eastAsia="宋体" w:cs="宋体"/>
          <w:b w:val="0"/>
          <w:bCs w:val="0"/>
          <w:color w:val="auto"/>
          <w:sz w:val="24"/>
          <w:szCs w:val="24"/>
          <w:highlight w:val="none"/>
          <w:lang w:val="en-US" w:eastAsia="zh-CN" w:bidi="ar-SA"/>
        </w:rPr>
        <w:t>4.9 合同价款应专款专用</w:t>
      </w:r>
      <w:bookmarkEnd w:id="381"/>
      <w:bookmarkEnd w:id="382"/>
      <w:bookmarkEnd w:id="383"/>
    </w:p>
    <w:p w14:paraId="3924E95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委托人按合同约定支付给咨询人的各项价款，应专用于合同咨询服务工作。</w:t>
      </w:r>
    </w:p>
    <w:p w14:paraId="1FAB37F9">
      <w:pPr>
        <w:pageBreakBefore w:val="0"/>
        <w:kinsoku/>
        <w:wordWrap/>
        <w:overflowPunct/>
        <w:topLinePunct w:val="0"/>
        <w:autoSpaceDE/>
        <w:autoSpaceDN/>
        <w:bidi w:val="0"/>
        <w:spacing w:before="0" w:after="0" w:line="440" w:lineRule="exact"/>
        <w:jc w:val="both"/>
        <w:outlineLvl w:val="1"/>
        <w:rPr>
          <w:rFonts w:hint="eastAsia" w:ascii="宋体" w:hAnsi="宋体" w:eastAsia="宋体" w:cs="宋体"/>
          <w:b w:val="0"/>
          <w:bCs w:val="0"/>
          <w:color w:val="auto"/>
          <w:spacing w:val="1"/>
          <w:sz w:val="24"/>
          <w:szCs w:val="24"/>
          <w:highlight w:val="none"/>
          <w:lang w:val="en-US" w:eastAsia="zh-CN" w:bidi="ar-SA"/>
        </w:rPr>
      </w:pPr>
      <w:bookmarkStart w:id="384" w:name="_Toc508201311"/>
      <w:bookmarkStart w:id="385" w:name="_Toc508200374"/>
      <w:bookmarkStart w:id="386" w:name="_Toc513817605"/>
      <w:bookmarkStart w:id="387" w:name="_Toc506006094"/>
      <w:r>
        <w:rPr>
          <w:rFonts w:hint="eastAsia" w:ascii="宋体" w:hAnsi="宋体" w:eastAsia="宋体" w:cs="宋体"/>
          <w:b w:val="0"/>
          <w:bCs w:val="0"/>
          <w:color w:val="auto"/>
          <w:spacing w:val="1"/>
          <w:sz w:val="24"/>
          <w:szCs w:val="24"/>
          <w:highlight w:val="none"/>
          <w:lang w:val="en-US" w:eastAsia="zh-CN" w:bidi="ar-SA"/>
        </w:rPr>
        <w:t>5. 咨询服务要求</w:t>
      </w:r>
      <w:bookmarkEnd w:id="384"/>
      <w:bookmarkEnd w:id="385"/>
      <w:bookmarkEnd w:id="386"/>
      <w:bookmarkEnd w:id="387"/>
    </w:p>
    <w:p w14:paraId="407CAFF1">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88" w:name="_Toc508200375"/>
      <w:bookmarkStart w:id="389" w:name="_Toc506006095"/>
      <w:bookmarkStart w:id="390" w:name="_Toc508201312"/>
      <w:r>
        <w:rPr>
          <w:rFonts w:hint="eastAsia" w:ascii="宋体" w:hAnsi="宋体" w:eastAsia="宋体" w:cs="宋体"/>
          <w:b w:val="0"/>
          <w:bCs w:val="0"/>
          <w:color w:val="auto"/>
          <w:sz w:val="24"/>
          <w:szCs w:val="24"/>
          <w:highlight w:val="none"/>
          <w:lang w:val="en-US" w:eastAsia="zh-CN" w:bidi="ar-SA"/>
        </w:rPr>
        <w:t>5.1 一般要求</w:t>
      </w:r>
      <w:bookmarkEnd w:id="388"/>
      <w:bookmarkEnd w:id="389"/>
      <w:bookmarkEnd w:id="390"/>
    </w:p>
    <w:p w14:paraId="116BCAD8">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5.1.1</w:t>
      </w:r>
      <w:r>
        <w:rPr>
          <w:rFonts w:hint="eastAsia" w:ascii="宋体" w:hAnsi="宋体" w:eastAsia="宋体" w:cs="宋体"/>
          <w:b w:val="0"/>
          <w:bCs w:val="0"/>
          <w:color w:val="auto"/>
          <w:spacing w:val="1"/>
          <w:sz w:val="24"/>
          <w:szCs w:val="24"/>
          <w:highlight w:val="none"/>
          <w:lang w:val="en-US" w:eastAsia="zh-CN" w:bidi="ar-SA"/>
        </w:rPr>
        <w:t>委托人应当遵守法律和规范标准，不得以任何理由要求咨询人违反法律和工程质量、</w:t>
      </w:r>
      <w:r>
        <w:rPr>
          <w:rFonts w:hint="eastAsia" w:ascii="宋体" w:hAnsi="宋体" w:eastAsia="宋体" w:cs="宋体"/>
          <w:b w:val="0"/>
          <w:bCs w:val="0"/>
          <w:color w:val="auto"/>
          <w:sz w:val="24"/>
          <w:szCs w:val="24"/>
          <w:highlight w:val="none"/>
          <w:lang w:val="en-US" w:eastAsia="zh-CN" w:bidi="ar-SA"/>
        </w:rPr>
        <w:t>安全标准、环保标准进行咨询服务，降低工程质量。</w:t>
      </w:r>
    </w:p>
    <w:p w14:paraId="37ECDB89">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5.1.2</w:t>
      </w:r>
      <w:r>
        <w:rPr>
          <w:rFonts w:hint="eastAsia" w:ascii="宋体" w:hAnsi="宋体" w:eastAsia="宋体" w:cs="宋体"/>
          <w:b w:val="0"/>
          <w:bCs w:val="0"/>
          <w:color w:val="auto"/>
          <w:spacing w:val="-2"/>
          <w:sz w:val="24"/>
          <w:szCs w:val="24"/>
          <w:highlight w:val="none"/>
          <w:lang w:val="en-US" w:eastAsia="zh-CN" w:bidi="ar-SA"/>
        </w:rPr>
        <w:t>咨询人应按照法律规定，以及国家、行业和地方的规范和标准完成咨询服务工作，并应符</w:t>
      </w:r>
      <w:r>
        <w:rPr>
          <w:rFonts w:hint="eastAsia" w:ascii="宋体" w:hAnsi="宋体" w:eastAsia="宋体" w:cs="宋体"/>
          <w:b w:val="0"/>
          <w:bCs w:val="0"/>
          <w:color w:val="auto"/>
          <w:spacing w:val="1"/>
          <w:sz w:val="24"/>
          <w:szCs w:val="24"/>
          <w:highlight w:val="none"/>
          <w:lang w:val="en-US" w:eastAsia="zh-CN" w:bidi="ar-SA"/>
        </w:rPr>
        <w:t>合委托人要求。各项规范、标准和委托人要求之间如对同一内容的描述不一致时，应以描述更</w:t>
      </w:r>
      <w:r>
        <w:rPr>
          <w:rFonts w:hint="eastAsia" w:ascii="宋体" w:hAnsi="宋体" w:eastAsia="宋体" w:cs="宋体"/>
          <w:b w:val="0"/>
          <w:bCs w:val="0"/>
          <w:color w:val="auto"/>
          <w:sz w:val="24"/>
          <w:szCs w:val="24"/>
          <w:highlight w:val="none"/>
          <w:lang w:val="en-US" w:eastAsia="zh-CN" w:bidi="ar-SA"/>
        </w:rPr>
        <w:t>为严格的内容为准。</w:t>
      </w:r>
    </w:p>
    <w:p w14:paraId="4363FD5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5.1.3</w:t>
      </w:r>
      <w:r>
        <w:rPr>
          <w:rFonts w:hint="eastAsia" w:ascii="宋体" w:hAnsi="宋体" w:eastAsia="宋体" w:cs="宋体"/>
          <w:b w:val="0"/>
          <w:bCs w:val="0"/>
          <w:color w:val="auto"/>
          <w:spacing w:val="1"/>
          <w:sz w:val="24"/>
          <w:szCs w:val="24"/>
          <w:highlight w:val="none"/>
          <w:lang w:val="en-US" w:eastAsia="zh-CN" w:bidi="ar-SA"/>
        </w:rPr>
        <w:t>除专用合同条款另有约定外，咨询人完成咨询服务工作所应遵守的法律规定，以及国家、行业和地方的规范和标准，均应视为在基准日适用的版本。基准日之后，前述版本发生重大变化，或者有新的法律，以及国家、行业和地方的规范和标准实施的，咨询人应向委托人提出遵</w:t>
      </w:r>
      <w:r>
        <w:rPr>
          <w:rFonts w:hint="eastAsia" w:ascii="宋体" w:hAnsi="宋体" w:eastAsia="宋体" w:cs="宋体"/>
          <w:b w:val="0"/>
          <w:bCs w:val="0"/>
          <w:color w:val="auto"/>
          <w:sz w:val="24"/>
          <w:szCs w:val="24"/>
          <w:highlight w:val="none"/>
          <w:lang w:val="en-US" w:eastAsia="zh-CN" w:bidi="ar-SA"/>
        </w:rPr>
        <w:t>守新规定的建议。委托人应在收到建议后7天内发出是否遵守新规定的指示。委托人指示遵守新规定的，按照第</w:t>
      </w:r>
      <w:r>
        <w:rPr>
          <w:rFonts w:hint="eastAsia" w:ascii="宋体" w:hAnsi="宋体" w:eastAsia="宋体" w:cs="宋体"/>
          <w:b w:val="0"/>
          <w:bCs w:val="0"/>
          <w:color w:val="auto"/>
          <w:spacing w:val="-7"/>
          <w:sz w:val="24"/>
          <w:szCs w:val="24"/>
          <w:highlight w:val="none"/>
          <w:lang w:val="en-US" w:eastAsia="zh-CN" w:bidi="ar-SA"/>
        </w:rPr>
        <w:t>11</w:t>
      </w:r>
      <w:r>
        <w:rPr>
          <w:rFonts w:hint="eastAsia" w:ascii="宋体" w:hAnsi="宋体" w:eastAsia="宋体" w:cs="宋体"/>
          <w:b w:val="0"/>
          <w:bCs w:val="0"/>
          <w:color w:val="auto"/>
          <w:sz w:val="24"/>
          <w:szCs w:val="24"/>
          <w:highlight w:val="none"/>
          <w:lang w:val="en-US" w:eastAsia="zh-CN" w:bidi="ar-SA"/>
        </w:rPr>
        <w:t>条约定执行。</w:t>
      </w:r>
    </w:p>
    <w:p w14:paraId="37AAA77A">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5.1.4</w:t>
      </w:r>
      <w:r>
        <w:rPr>
          <w:rFonts w:hint="eastAsia" w:ascii="宋体" w:hAnsi="宋体" w:eastAsia="宋体" w:cs="宋体"/>
          <w:b w:val="0"/>
          <w:bCs w:val="0"/>
          <w:color w:val="auto"/>
          <w:spacing w:val="-2"/>
          <w:sz w:val="24"/>
          <w:szCs w:val="24"/>
          <w:highlight w:val="none"/>
          <w:lang w:val="en-US" w:eastAsia="zh-CN" w:bidi="ar-SA"/>
        </w:rPr>
        <w:t>咨询人在咨询服务中选用的材料、设备，应当注明其规格、型号、性能等技术指标及</w:t>
      </w:r>
      <w:r>
        <w:rPr>
          <w:rFonts w:hint="eastAsia" w:ascii="宋体" w:hAnsi="宋体" w:eastAsia="宋体" w:cs="宋体"/>
          <w:b w:val="0"/>
          <w:bCs w:val="0"/>
          <w:color w:val="auto"/>
          <w:sz w:val="24"/>
          <w:szCs w:val="24"/>
          <w:highlight w:val="none"/>
          <w:lang w:val="en-US" w:eastAsia="zh-CN" w:bidi="ar-SA"/>
        </w:rPr>
        <w:t>适应性，满足质量、安全、节能、环保等要求。</w:t>
      </w:r>
    </w:p>
    <w:p w14:paraId="04F1A556">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91" w:name="_Toc508201313"/>
      <w:bookmarkStart w:id="392" w:name="_Toc506006096"/>
      <w:bookmarkStart w:id="393" w:name="_Toc508200376"/>
      <w:r>
        <w:rPr>
          <w:rFonts w:hint="eastAsia" w:ascii="宋体" w:hAnsi="宋体" w:eastAsia="宋体" w:cs="宋体"/>
          <w:b w:val="0"/>
          <w:bCs w:val="0"/>
          <w:color w:val="auto"/>
          <w:sz w:val="24"/>
          <w:szCs w:val="24"/>
          <w:highlight w:val="none"/>
          <w:lang w:val="en-US" w:eastAsia="zh-CN" w:bidi="ar-SA"/>
        </w:rPr>
        <w:t>5.2 咨询服务依据</w:t>
      </w:r>
      <w:bookmarkEnd w:id="391"/>
      <w:bookmarkEnd w:id="392"/>
      <w:bookmarkEnd w:id="393"/>
    </w:p>
    <w:p w14:paraId="0EF79F82">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除专用合同条款另有约定外，本工程的咨询服务依据如下：</w:t>
      </w:r>
    </w:p>
    <w:p w14:paraId="6B00A29F">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）适用的法律、行政法规及部门规章；</w:t>
      </w:r>
    </w:p>
    <w:p w14:paraId="0F883066">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）相关的规范、标准、规程；</w:t>
      </w:r>
    </w:p>
    <w:p w14:paraId="6B2BC247">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bidi="ar-SA"/>
        </w:rPr>
        <w:t>）基础资料及其他文件；</w:t>
      </w:r>
    </w:p>
    <w:p w14:paraId="296CDBAD">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（4）本咨询服务合同及补充合同（如有）；</w:t>
      </w:r>
    </w:p>
    <w:p w14:paraId="0184729A">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zh-CN" w:bidi="ar-SA"/>
        </w:rPr>
        <w:t>）本工程前期成果文件；</w:t>
      </w:r>
    </w:p>
    <w:p w14:paraId="385A129D">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zh-CN" w:bidi="ar-SA"/>
        </w:rPr>
        <w:t>）合同履行中与咨询服务有关的来往函件；</w:t>
      </w:r>
    </w:p>
    <w:p w14:paraId="489462F2">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（7</w:t>
      </w:r>
      <w:r>
        <w:rPr>
          <w:rFonts w:hint="eastAsia" w:ascii="宋体" w:hAnsi="宋体" w:eastAsia="宋体" w:cs="宋体"/>
          <w:b w:val="0"/>
          <w:bCs w:val="0"/>
          <w:color w:val="auto"/>
          <w:sz w:val="24"/>
          <w:szCs w:val="24"/>
          <w:highlight w:val="none"/>
          <w:lang w:val="en-US" w:eastAsia="zh-CN" w:bidi="ar-SA"/>
        </w:rPr>
        <w:t>）其他咨询服务依据。</w:t>
      </w:r>
    </w:p>
    <w:p w14:paraId="259C547B">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94" w:name="_Toc506006097"/>
      <w:bookmarkStart w:id="395" w:name="_Toc508200377"/>
      <w:bookmarkStart w:id="396" w:name="_Toc508201314"/>
      <w:r>
        <w:rPr>
          <w:rFonts w:hint="eastAsia" w:ascii="宋体" w:hAnsi="宋体" w:eastAsia="宋体" w:cs="宋体"/>
          <w:b w:val="0"/>
          <w:bCs w:val="0"/>
          <w:color w:val="auto"/>
          <w:sz w:val="24"/>
          <w:szCs w:val="24"/>
          <w:highlight w:val="none"/>
          <w:lang w:val="en-US" w:eastAsia="zh-CN" w:bidi="ar-SA"/>
        </w:rPr>
        <w:t>5.3 咨询服务范围</w:t>
      </w:r>
      <w:bookmarkEnd w:id="394"/>
      <w:bookmarkEnd w:id="395"/>
      <w:bookmarkEnd w:id="396"/>
    </w:p>
    <w:p w14:paraId="4C5DE661">
      <w:pPr>
        <w:pageBreakBefore w:val="0"/>
        <w:kinsoku/>
        <w:wordWrap/>
        <w:overflowPunct/>
        <w:topLinePunct w:val="0"/>
        <w:autoSpaceDE/>
        <w:autoSpaceDN/>
        <w:bidi w:val="0"/>
        <w:spacing w:before="0" w:after="0" w:line="440" w:lineRule="exact"/>
        <w:ind w:firstLine="472"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2"/>
          <w:sz w:val="24"/>
          <w:szCs w:val="24"/>
          <w:highlight w:val="none"/>
          <w:lang w:val="en-US" w:eastAsia="zh-CN" w:bidi="ar-SA"/>
        </w:rPr>
        <w:t>本合同的咨询服务范围</w:t>
      </w:r>
      <w:r>
        <w:rPr>
          <w:rFonts w:hint="eastAsia" w:ascii="宋体" w:hAnsi="宋体" w:eastAsia="宋体" w:cs="宋体"/>
          <w:b w:val="0"/>
          <w:bCs w:val="0"/>
          <w:color w:val="auto"/>
          <w:sz w:val="24"/>
          <w:szCs w:val="24"/>
          <w:highlight w:val="none"/>
          <w:lang w:val="en-US" w:eastAsia="zh-CN" w:bidi="ar-SA"/>
        </w:rPr>
        <w:t>具体范围在专用合同条款中约定。</w:t>
      </w:r>
    </w:p>
    <w:p w14:paraId="28A23AFE">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397" w:name="_Toc506006098"/>
      <w:bookmarkStart w:id="398" w:name="_Toc508201315"/>
      <w:bookmarkStart w:id="399" w:name="_Toc508200378"/>
      <w:r>
        <w:rPr>
          <w:rFonts w:hint="eastAsia" w:ascii="宋体" w:hAnsi="宋体" w:eastAsia="宋体" w:cs="宋体"/>
          <w:b w:val="0"/>
          <w:bCs w:val="0"/>
          <w:color w:val="auto"/>
          <w:sz w:val="24"/>
          <w:szCs w:val="24"/>
          <w:highlight w:val="none"/>
          <w:lang w:val="en-US" w:eastAsia="zh-CN" w:bidi="ar-SA"/>
        </w:rPr>
        <w:t>5.4 咨询服务成果文件要求</w:t>
      </w:r>
      <w:bookmarkEnd w:id="397"/>
      <w:bookmarkEnd w:id="398"/>
      <w:bookmarkEnd w:id="399"/>
    </w:p>
    <w:p w14:paraId="56DBD4B2">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5.4.1</w:t>
      </w:r>
      <w:r>
        <w:rPr>
          <w:rFonts w:hint="eastAsia" w:ascii="宋体" w:hAnsi="宋体" w:eastAsia="宋体" w:cs="宋体"/>
          <w:b w:val="0"/>
          <w:bCs w:val="0"/>
          <w:color w:val="auto"/>
          <w:spacing w:val="-2"/>
          <w:sz w:val="24"/>
          <w:szCs w:val="24"/>
          <w:highlight w:val="none"/>
          <w:lang w:val="en-US" w:eastAsia="zh-CN" w:bidi="ar-SA"/>
        </w:rPr>
        <w:t>咨询服务成果文件的编制应符合法律法规、规范标准的强制性规定和委托人要求，咨询服务依</w:t>
      </w:r>
      <w:r>
        <w:rPr>
          <w:rFonts w:hint="eastAsia" w:ascii="宋体" w:hAnsi="宋体" w:eastAsia="宋体" w:cs="宋体"/>
          <w:b w:val="0"/>
          <w:bCs w:val="0"/>
          <w:color w:val="auto"/>
          <w:sz w:val="24"/>
          <w:szCs w:val="24"/>
          <w:highlight w:val="none"/>
          <w:lang w:val="en-US" w:eastAsia="zh-CN" w:bidi="ar-SA"/>
        </w:rPr>
        <w:t>据应完整、准确、可靠，咨询服务方案论证充分，计算成果规范可靠，并能够实施。</w:t>
      </w:r>
    </w:p>
    <w:p w14:paraId="2644BBD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5.4.2</w:t>
      </w:r>
      <w:r>
        <w:rPr>
          <w:rFonts w:hint="eastAsia" w:ascii="宋体" w:hAnsi="宋体" w:eastAsia="宋体" w:cs="宋体"/>
          <w:b w:val="0"/>
          <w:bCs w:val="0"/>
          <w:color w:val="auto"/>
          <w:spacing w:val="-1"/>
          <w:sz w:val="24"/>
          <w:szCs w:val="24"/>
          <w:highlight w:val="none"/>
          <w:lang w:val="en-US" w:eastAsia="zh-CN" w:bidi="ar-SA"/>
        </w:rPr>
        <w:t>咨询服务应当根据法律、规范标准和委托人要求，并</w:t>
      </w:r>
      <w:r>
        <w:rPr>
          <w:rFonts w:hint="eastAsia" w:ascii="宋体" w:hAnsi="宋体" w:eastAsia="宋体" w:cs="宋体"/>
          <w:b w:val="0"/>
          <w:bCs w:val="0"/>
          <w:color w:val="auto"/>
          <w:sz w:val="24"/>
          <w:szCs w:val="24"/>
          <w:highlight w:val="none"/>
          <w:lang w:val="en-US" w:eastAsia="zh-CN" w:bidi="ar-SA"/>
        </w:rPr>
        <w:t>在咨询服务成果文件中予以注明。</w:t>
      </w:r>
    </w:p>
    <w:p w14:paraId="45A2CF15">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5.4.3</w:t>
      </w:r>
      <w:r>
        <w:rPr>
          <w:rFonts w:hint="eastAsia" w:ascii="宋体" w:hAnsi="宋体" w:eastAsia="宋体" w:cs="宋体"/>
          <w:b w:val="0"/>
          <w:bCs w:val="0"/>
          <w:color w:val="auto"/>
          <w:spacing w:val="-2"/>
          <w:sz w:val="24"/>
          <w:szCs w:val="24"/>
          <w:highlight w:val="none"/>
          <w:lang w:val="en-US" w:eastAsia="zh-CN" w:bidi="ar-SA"/>
        </w:rPr>
        <w:t>咨询服务成果文件的深度应满足本合同相应咨询服务阶段的规定要求，满足委托人的下步工作需要，</w:t>
      </w:r>
      <w:r>
        <w:rPr>
          <w:rFonts w:hint="eastAsia" w:ascii="宋体" w:hAnsi="宋体" w:eastAsia="宋体" w:cs="宋体"/>
          <w:b w:val="0"/>
          <w:bCs w:val="0"/>
          <w:color w:val="auto"/>
          <w:sz w:val="24"/>
          <w:szCs w:val="24"/>
          <w:highlight w:val="none"/>
          <w:lang w:val="en-US" w:eastAsia="zh-CN" w:bidi="ar-SA"/>
        </w:rPr>
        <w:t>并应符合国家和行业现行规定。</w:t>
      </w:r>
    </w:p>
    <w:p w14:paraId="66C0EE51">
      <w:pPr>
        <w:pageBreakBefore w:val="0"/>
        <w:kinsoku/>
        <w:wordWrap/>
        <w:overflowPunct/>
        <w:topLinePunct w:val="0"/>
        <w:autoSpaceDE/>
        <w:autoSpaceDN/>
        <w:bidi w:val="0"/>
        <w:spacing w:before="0" w:after="0" w:line="440" w:lineRule="exact"/>
        <w:jc w:val="both"/>
        <w:outlineLvl w:val="1"/>
        <w:rPr>
          <w:rFonts w:hint="eastAsia" w:ascii="宋体" w:hAnsi="宋体" w:eastAsia="宋体" w:cs="宋体"/>
          <w:b w:val="0"/>
          <w:bCs w:val="0"/>
          <w:color w:val="auto"/>
          <w:spacing w:val="1"/>
          <w:sz w:val="24"/>
          <w:szCs w:val="24"/>
          <w:highlight w:val="none"/>
          <w:lang w:val="en-US" w:eastAsia="zh-CN" w:bidi="ar-SA"/>
        </w:rPr>
      </w:pPr>
      <w:bookmarkStart w:id="400" w:name="_Toc506006099"/>
      <w:bookmarkStart w:id="401" w:name="_Toc508200379"/>
      <w:bookmarkStart w:id="402" w:name="_Toc513817606"/>
      <w:bookmarkStart w:id="403" w:name="_Toc508201316"/>
      <w:r>
        <w:rPr>
          <w:rFonts w:hint="eastAsia" w:ascii="宋体" w:hAnsi="宋体" w:eastAsia="宋体" w:cs="宋体"/>
          <w:b w:val="0"/>
          <w:bCs w:val="0"/>
          <w:color w:val="auto"/>
          <w:spacing w:val="1"/>
          <w:sz w:val="24"/>
          <w:szCs w:val="24"/>
          <w:highlight w:val="none"/>
          <w:lang w:val="en-US" w:eastAsia="zh-CN" w:bidi="ar-SA"/>
        </w:rPr>
        <w:t>6. 开始咨询服务和完成</w:t>
      </w:r>
      <w:bookmarkEnd w:id="400"/>
      <w:r>
        <w:rPr>
          <w:rFonts w:hint="eastAsia" w:ascii="宋体" w:hAnsi="宋体" w:eastAsia="宋体" w:cs="宋体"/>
          <w:b w:val="0"/>
          <w:bCs w:val="0"/>
          <w:color w:val="auto"/>
          <w:spacing w:val="1"/>
          <w:sz w:val="24"/>
          <w:szCs w:val="24"/>
          <w:highlight w:val="none"/>
          <w:lang w:val="en-US" w:eastAsia="zh-CN" w:bidi="ar-SA"/>
        </w:rPr>
        <w:t>咨询服务</w:t>
      </w:r>
      <w:bookmarkEnd w:id="401"/>
      <w:bookmarkEnd w:id="402"/>
      <w:bookmarkEnd w:id="403"/>
    </w:p>
    <w:p w14:paraId="69469171">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04" w:name="_Toc506006100"/>
      <w:bookmarkStart w:id="405" w:name="_Toc508201317"/>
      <w:bookmarkStart w:id="406" w:name="_Toc508200380"/>
      <w:r>
        <w:rPr>
          <w:rFonts w:hint="eastAsia" w:ascii="宋体" w:hAnsi="宋体" w:eastAsia="宋体" w:cs="宋体"/>
          <w:b w:val="0"/>
          <w:bCs w:val="0"/>
          <w:color w:val="auto"/>
          <w:sz w:val="24"/>
          <w:szCs w:val="24"/>
          <w:highlight w:val="none"/>
          <w:lang w:val="en-US" w:eastAsia="zh-CN" w:bidi="ar-SA"/>
        </w:rPr>
        <w:t>6.1 开始</w:t>
      </w:r>
      <w:bookmarkEnd w:id="404"/>
      <w:r>
        <w:rPr>
          <w:rFonts w:hint="eastAsia" w:ascii="宋体" w:hAnsi="宋体" w:eastAsia="宋体" w:cs="宋体"/>
          <w:b w:val="0"/>
          <w:bCs w:val="0"/>
          <w:color w:val="auto"/>
          <w:sz w:val="24"/>
          <w:szCs w:val="24"/>
          <w:highlight w:val="none"/>
          <w:lang w:val="en-US" w:eastAsia="zh-CN" w:bidi="ar-SA"/>
        </w:rPr>
        <w:t>咨询服务</w:t>
      </w:r>
      <w:bookmarkEnd w:id="405"/>
      <w:bookmarkEnd w:id="406"/>
    </w:p>
    <w:p w14:paraId="0FB11579">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6.1.1</w:t>
      </w:r>
      <w:r>
        <w:rPr>
          <w:rFonts w:hint="eastAsia" w:ascii="宋体" w:hAnsi="宋体" w:eastAsia="宋体" w:cs="宋体"/>
          <w:b w:val="0"/>
          <w:bCs w:val="0"/>
          <w:color w:val="auto"/>
          <w:spacing w:val="-1"/>
          <w:sz w:val="24"/>
          <w:szCs w:val="24"/>
          <w:highlight w:val="none"/>
          <w:lang w:val="en-US" w:eastAsia="zh-CN" w:bidi="ar-SA"/>
        </w:rPr>
        <w:t>符合专用合同条款约定的开始咨询服务条件的，委托人应提前</w:t>
      </w:r>
      <w:r>
        <w:rPr>
          <w:rFonts w:hint="eastAsia" w:ascii="宋体" w:hAnsi="宋体" w:eastAsia="宋体" w:cs="宋体"/>
          <w:b w:val="0"/>
          <w:bCs w:val="0"/>
          <w:color w:val="auto"/>
          <w:sz w:val="24"/>
          <w:szCs w:val="24"/>
          <w:highlight w:val="none"/>
          <w:lang w:val="en-US" w:eastAsia="zh-CN" w:bidi="ar-SA"/>
        </w:rPr>
        <w:t>7天向咨询人发出开始咨询服务通知。咨询服务期限自开始咨询服务通知中载明的开始咨询服务日期起计算。</w:t>
      </w:r>
    </w:p>
    <w:p w14:paraId="7521192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6.1.2除专用合同条款另有约定外，因委托人原因造成合同签订之日起</w:t>
      </w:r>
      <w:r>
        <w:rPr>
          <w:rFonts w:hint="eastAsia" w:ascii="宋体" w:hAnsi="宋体" w:eastAsia="宋体" w:cs="宋体"/>
          <w:b w:val="0"/>
          <w:bCs w:val="0"/>
          <w:color w:val="auto"/>
          <w:spacing w:val="1"/>
          <w:sz w:val="24"/>
          <w:szCs w:val="24"/>
          <w:highlight w:val="none"/>
          <w:lang w:val="en-US" w:eastAsia="zh-CN" w:bidi="ar-SA"/>
        </w:rPr>
        <w:t>90</w:t>
      </w:r>
      <w:r>
        <w:rPr>
          <w:rFonts w:hint="eastAsia" w:ascii="宋体" w:hAnsi="宋体" w:eastAsia="宋体" w:cs="宋体"/>
          <w:b w:val="0"/>
          <w:bCs w:val="0"/>
          <w:color w:val="auto"/>
          <w:sz w:val="24"/>
          <w:szCs w:val="24"/>
          <w:highlight w:val="none"/>
          <w:lang w:val="en-US" w:eastAsia="zh-CN" w:bidi="ar-SA"/>
        </w:rPr>
        <w:t>天内未能发出开</w:t>
      </w:r>
      <w:r>
        <w:rPr>
          <w:rFonts w:hint="eastAsia" w:ascii="宋体" w:hAnsi="宋体" w:eastAsia="宋体" w:cs="宋体"/>
          <w:b w:val="0"/>
          <w:bCs w:val="0"/>
          <w:color w:val="auto"/>
          <w:spacing w:val="1"/>
          <w:sz w:val="24"/>
          <w:szCs w:val="24"/>
          <w:highlight w:val="none"/>
          <w:lang w:val="en-US" w:eastAsia="zh-CN" w:bidi="ar-SA"/>
        </w:rPr>
        <w:t>始咨询服务通知的，咨询人有权提出价格调整要求，或者解除合同。委托人应当承担由此增加的费</w:t>
      </w:r>
      <w:r>
        <w:rPr>
          <w:rFonts w:hint="eastAsia" w:ascii="宋体" w:hAnsi="宋体" w:eastAsia="宋体" w:cs="宋体"/>
          <w:b w:val="0"/>
          <w:bCs w:val="0"/>
          <w:color w:val="auto"/>
          <w:sz w:val="24"/>
          <w:szCs w:val="24"/>
          <w:highlight w:val="none"/>
          <w:lang w:val="en-US" w:eastAsia="zh-CN" w:bidi="ar-SA"/>
        </w:rPr>
        <w:t>用和（或）周期延误。</w:t>
      </w:r>
    </w:p>
    <w:p w14:paraId="6181B6EA">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07" w:name="_Toc508200381"/>
      <w:bookmarkStart w:id="408" w:name="_Toc506006101"/>
      <w:bookmarkStart w:id="409" w:name="_Toc508201318"/>
      <w:r>
        <w:rPr>
          <w:rFonts w:hint="eastAsia" w:ascii="宋体" w:hAnsi="宋体" w:eastAsia="宋体" w:cs="宋体"/>
          <w:b w:val="0"/>
          <w:bCs w:val="0"/>
          <w:color w:val="auto"/>
          <w:sz w:val="24"/>
          <w:szCs w:val="24"/>
          <w:highlight w:val="none"/>
          <w:lang w:val="en-US" w:eastAsia="zh-CN" w:bidi="ar-SA"/>
        </w:rPr>
        <w:t>6.2 委托人引起的周期延误</w:t>
      </w:r>
      <w:bookmarkEnd w:id="407"/>
      <w:bookmarkEnd w:id="408"/>
      <w:bookmarkEnd w:id="409"/>
    </w:p>
    <w:p w14:paraId="1E22DACC">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在履行合同过程中，由于委托人的下列原因造成咨询服务期限延误的，委托人应当延长咨询服务</w:t>
      </w:r>
      <w:r>
        <w:rPr>
          <w:rFonts w:hint="eastAsia" w:ascii="宋体" w:hAnsi="宋体" w:eastAsia="宋体" w:cs="宋体"/>
          <w:b w:val="0"/>
          <w:bCs w:val="0"/>
          <w:color w:val="auto"/>
          <w:sz w:val="24"/>
          <w:szCs w:val="24"/>
          <w:highlight w:val="none"/>
          <w:lang w:val="en-US" w:eastAsia="zh-CN" w:bidi="ar-SA"/>
        </w:rPr>
        <w:t>期限并增加咨询服务费用，具体方法在专用合同条款中约定。</w:t>
      </w:r>
    </w:p>
    <w:p w14:paraId="75FC693E">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）合同变更；</w:t>
      </w:r>
    </w:p>
    <w:p w14:paraId="5F01F78B">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）未按合同约定期限及时答复咨询服务事项；</w:t>
      </w:r>
    </w:p>
    <w:p w14:paraId="3C778EDF">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bidi="ar-SA"/>
        </w:rPr>
        <w:t>）因委托人原因导致的暂停咨询服务；</w:t>
      </w:r>
    </w:p>
    <w:p w14:paraId="4D3A9781">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（4</w:t>
      </w:r>
      <w:r>
        <w:rPr>
          <w:rFonts w:hint="eastAsia" w:ascii="宋体" w:hAnsi="宋体" w:eastAsia="宋体" w:cs="宋体"/>
          <w:b w:val="0"/>
          <w:bCs w:val="0"/>
          <w:color w:val="auto"/>
          <w:sz w:val="24"/>
          <w:szCs w:val="24"/>
          <w:highlight w:val="none"/>
          <w:lang w:val="en-US" w:eastAsia="zh-CN" w:bidi="ar-SA"/>
        </w:rPr>
        <w:t>）未按合同约定及时支付咨询服务费用；</w:t>
      </w:r>
    </w:p>
    <w:p w14:paraId="5CFCBD7A">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zh-CN" w:bidi="ar-SA"/>
        </w:rPr>
        <w:t>）委托人提供的基准资料错误；</w:t>
      </w:r>
    </w:p>
    <w:p w14:paraId="43BC8523">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zh-CN" w:bidi="ar-SA"/>
        </w:rPr>
        <w:t>）未及时按照履行合同约定的相关义务；</w:t>
      </w:r>
    </w:p>
    <w:p w14:paraId="52601C6E">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（7</w:t>
      </w:r>
      <w:r>
        <w:rPr>
          <w:rFonts w:hint="eastAsia" w:ascii="宋体" w:hAnsi="宋体" w:eastAsia="宋体" w:cs="宋体"/>
          <w:b w:val="0"/>
          <w:bCs w:val="0"/>
          <w:color w:val="auto"/>
          <w:sz w:val="24"/>
          <w:szCs w:val="24"/>
          <w:highlight w:val="none"/>
          <w:lang w:val="en-US" w:eastAsia="zh-CN" w:bidi="ar-SA"/>
        </w:rPr>
        <w:t>）未能按照合同约定期限对咨询服务成果文件进行审查；</w:t>
      </w:r>
    </w:p>
    <w:p w14:paraId="56496246">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zh-CN" w:bidi="ar-SA"/>
        </w:rPr>
        <w:t>）委托人造成周期延误的其他原因。</w:t>
      </w:r>
    </w:p>
    <w:p w14:paraId="3693EA06">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10" w:name="_Toc506006102"/>
      <w:bookmarkStart w:id="411" w:name="_Toc508201319"/>
      <w:bookmarkStart w:id="412" w:name="_Toc508200382"/>
      <w:r>
        <w:rPr>
          <w:rFonts w:hint="eastAsia" w:ascii="宋体" w:hAnsi="宋体" w:eastAsia="宋体" w:cs="宋体"/>
          <w:b w:val="0"/>
          <w:bCs w:val="0"/>
          <w:color w:val="auto"/>
          <w:sz w:val="24"/>
          <w:szCs w:val="24"/>
          <w:highlight w:val="none"/>
          <w:lang w:val="en-US" w:eastAsia="zh-CN" w:bidi="ar-SA"/>
        </w:rPr>
        <w:t>6.3 咨询人引起的周期延误</w:t>
      </w:r>
      <w:bookmarkEnd w:id="410"/>
      <w:bookmarkEnd w:id="411"/>
      <w:bookmarkEnd w:id="412"/>
    </w:p>
    <w:p w14:paraId="1E41585D">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由于咨询人原因造成周期延误，咨询人应支付逾期违约金。逾期违约金的计算方法和最高</w:t>
      </w:r>
      <w:r>
        <w:rPr>
          <w:rFonts w:hint="eastAsia" w:ascii="宋体" w:hAnsi="宋体" w:eastAsia="宋体" w:cs="宋体"/>
          <w:b w:val="0"/>
          <w:bCs w:val="0"/>
          <w:color w:val="auto"/>
          <w:sz w:val="24"/>
          <w:szCs w:val="24"/>
          <w:highlight w:val="none"/>
          <w:lang w:val="en-US" w:eastAsia="zh-CN" w:bidi="ar-SA"/>
        </w:rPr>
        <w:t>限额在专用合同条款中约定。</w:t>
      </w:r>
    </w:p>
    <w:p w14:paraId="24B27545">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13" w:name="_Toc508200383"/>
      <w:bookmarkStart w:id="414" w:name="_Toc508201320"/>
      <w:bookmarkStart w:id="415" w:name="_Toc506006103"/>
      <w:r>
        <w:rPr>
          <w:rFonts w:hint="eastAsia" w:ascii="宋体" w:hAnsi="宋体" w:eastAsia="宋体" w:cs="宋体"/>
          <w:b w:val="0"/>
          <w:bCs w:val="0"/>
          <w:color w:val="auto"/>
          <w:sz w:val="24"/>
          <w:szCs w:val="24"/>
          <w:highlight w:val="none"/>
          <w:lang w:val="en-US" w:eastAsia="zh-CN" w:bidi="ar-SA"/>
        </w:rPr>
        <w:t>6.4 第三人引起的周期延误</w:t>
      </w:r>
      <w:bookmarkEnd w:id="413"/>
      <w:bookmarkEnd w:id="414"/>
      <w:bookmarkEnd w:id="415"/>
    </w:p>
    <w:p w14:paraId="45F2CF34">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由于行政管理部门审查或其他第三人原因造成费用增加和（或）周期延误的，由委托人承担。</w:t>
      </w:r>
    </w:p>
    <w:p w14:paraId="31AF7A17">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16" w:name="_Toc506006104"/>
      <w:bookmarkStart w:id="417" w:name="_Toc508201321"/>
      <w:bookmarkStart w:id="418" w:name="_Toc508200384"/>
      <w:r>
        <w:rPr>
          <w:rFonts w:hint="eastAsia" w:ascii="宋体" w:hAnsi="宋体" w:eastAsia="宋体" w:cs="宋体"/>
          <w:b w:val="0"/>
          <w:bCs w:val="0"/>
          <w:color w:val="auto"/>
          <w:sz w:val="24"/>
          <w:szCs w:val="24"/>
          <w:highlight w:val="none"/>
          <w:lang w:val="en-US" w:eastAsia="zh-CN" w:bidi="ar-SA"/>
        </w:rPr>
        <w:t>6.5 完成</w:t>
      </w:r>
      <w:bookmarkEnd w:id="416"/>
      <w:r>
        <w:rPr>
          <w:rFonts w:hint="eastAsia" w:ascii="宋体" w:hAnsi="宋体" w:eastAsia="宋体" w:cs="宋体"/>
          <w:b w:val="0"/>
          <w:bCs w:val="0"/>
          <w:color w:val="auto"/>
          <w:sz w:val="24"/>
          <w:szCs w:val="24"/>
          <w:highlight w:val="none"/>
          <w:lang w:val="en-US" w:eastAsia="zh-CN" w:bidi="ar-SA"/>
        </w:rPr>
        <w:t>咨询服务</w:t>
      </w:r>
      <w:bookmarkEnd w:id="417"/>
      <w:bookmarkEnd w:id="418"/>
    </w:p>
    <w:p w14:paraId="435C66F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6.5.1</w:t>
      </w:r>
      <w:r>
        <w:rPr>
          <w:rFonts w:hint="eastAsia" w:ascii="宋体" w:hAnsi="宋体" w:eastAsia="宋体" w:cs="宋体"/>
          <w:b w:val="0"/>
          <w:bCs w:val="0"/>
          <w:color w:val="auto"/>
          <w:spacing w:val="-2"/>
          <w:sz w:val="24"/>
          <w:szCs w:val="24"/>
          <w:highlight w:val="none"/>
          <w:lang w:val="en-US" w:eastAsia="zh-CN" w:bidi="ar-SA"/>
        </w:rPr>
        <w:t>咨询人完成咨询服务之后，应当根据法律、规范标准、合同约定和委托人要求提交咨询服务成果文件</w:t>
      </w:r>
      <w:r>
        <w:rPr>
          <w:rFonts w:hint="eastAsia" w:ascii="宋体" w:hAnsi="宋体" w:eastAsia="宋体" w:cs="宋体"/>
          <w:b w:val="0"/>
          <w:bCs w:val="0"/>
          <w:color w:val="auto"/>
          <w:sz w:val="24"/>
          <w:szCs w:val="24"/>
          <w:highlight w:val="none"/>
          <w:lang w:val="en-US" w:eastAsia="zh-CN" w:bidi="ar-SA"/>
        </w:rPr>
        <w:t>。</w:t>
      </w:r>
    </w:p>
    <w:p w14:paraId="5F3DC3D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6.5.2</w:t>
      </w:r>
      <w:r>
        <w:rPr>
          <w:rFonts w:hint="eastAsia" w:ascii="宋体" w:hAnsi="宋体" w:eastAsia="宋体" w:cs="宋体"/>
          <w:b w:val="0"/>
          <w:bCs w:val="0"/>
          <w:color w:val="auto"/>
          <w:spacing w:val="-2"/>
          <w:sz w:val="24"/>
          <w:szCs w:val="24"/>
          <w:highlight w:val="none"/>
          <w:lang w:val="en-US" w:eastAsia="zh-CN" w:bidi="ar-SA"/>
        </w:rPr>
        <w:t>咨询服务成果文件是工程咨询服务的最终成果之一，应当根据本工程的咨询服务内容和不</w:t>
      </w:r>
      <w:r>
        <w:rPr>
          <w:rFonts w:hint="eastAsia" w:ascii="宋体" w:hAnsi="宋体" w:eastAsia="宋体" w:cs="宋体"/>
          <w:b w:val="0"/>
          <w:bCs w:val="0"/>
          <w:color w:val="auto"/>
          <w:spacing w:val="1"/>
          <w:sz w:val="24"/>
          <w:szCs w:val="24"/>
          <w:highlight w:val="none"/>
          <w:lang w:val="en-US" w:eastAsia="zh-CN" w:bidi="ar-SA"/>
        </w:rPr>
        <w:t>同阶段的咨询服务任务、目的和要求等进行编制。</w:t>
      </w:r>
    </w:p>
    <w:p w14:paraId="1F06BCA3">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6.5.3</w:t>
      </w:r>
      <w:r>
        <w:rPr>
          <w:rFonts w:hint="eastAsia" w:ascii="宋体" w:hAnsi="宋体" w:eastAsia="宋体" w:cs="宋体"/>
          <w:b w:val="0"/>
          <w:bCs w:val="0"/>
          <w:color w:val="auto"/>
          <w:spacing w:val="-2"/>
          <w:sz w:val="24"/>
          <w:szCs w:val="24"/>
          <w:highlight w:val="none"/>
          <w:lang w:val="en-US" w:eastAsia="zh-CN" w:bidi="ar-SA"/>
        </w:rPr>
        <w:t>除专用合同条款另有约定外，咨询服务成果文件包括纸质文件和电子文件两</w:t>
      </w:r>
      <w:r>
        <w:rPr>
          <w:rFonts w:hint="eastAsia" w:ascii="宋体" w:hAnsi="宋体" w:eastAsia="宋体" w:cs="宋体"/>
          <w:b w:val="0"/>
          <w:bCs w:val="0"/>
          <w:color w:val="auto"/>
          <w:spacing w:val="1"/>
          <w:sz w:val="24"/>
          <w:szCs w:val="24"/>
          <w:highlight w:val="none"/>
          <w:lang w:val="en-US" w:eastAsia="zh-CN" w:bidi="ar-SA"/>
        </w:rPr>
        <w:t>种形式，内容应当一致。两者</w:t>
      </w:r>
      <w:r>
        <w:rPr>
          <w:rFonts w:hint="eastAsia" w:ascii="宋体" w:hAnsi="宋体" w:eastAsia="宋体" w:cs="宋体"/>
          <w:b w:val="0"/>
          <w:bCs w:val="0"/>
          <w:color w:val="auto"/>
          <w:spacing w:val="-2"/>
          <w:sz w:val="24"/>
          <w:szCs w:val="24"/>
          <w:highlight w:val="none"/>
          <w:lang w:val="en-US" w:eastAsia="zh-CN" w:bidi="ar-SA"/>
        </w:rPr>
        <w:t>若有</w:t>
      </w:r>
      <w:r>
        <w:rPr>
          <w:rFonts w:hint="eastAsia" w:ascii="宋体" w:hAnsi="宋体" w:eastAsia="宋体" w:cs="宋体"/>
          <w:b w:val="0"/>
          <w:bCs w:val="0"/>
          <w:color w:val="auto"/>
          <w:spacing w:val="1"/>
          <w:sz w:val="24"/>
          <w:szCs w:val="24"/>
          <w:highlight w:val="none"/>
          <w:lang w:val="en-US" w:eastAsia="zh-CN" w:bidi="ar-SA"/>
        </w:rPr>
        <w:t>不一致时，应以纸质文件为准。纸质文件一式八份，应当加盖单位章和项目负责人注册执业印</w:t>
      </w:r>
      <w:r>
        <w:rPr>
          <w:rFonts w:hint="eastAsia" w:ascii="宋体" w:hAnsi="宋体" w:eastAsia="宋体" w:cs="宋体"/>
          <w:b w:val="0"/>
          <w:bCs w:val="0"/>
          <w:color w:val="auto"/>
          <w:sz w:val="24"/>
          <w:szCs w:val="24"/>
          <w:highlight w:val="none"/>
          <w:lang w:val="en-US" w:eastAsia="zh-CN" w:bidi="ar-SA"/>
        </w:rPr>
        <w:t>章；电子文件中的文字为WORD格式、图形为</w:t>
      </w:r>
      <w:r>
        <w:rPr>
          <w:rFonts w:hint="eastAsia" w:ascii="宋体" w:hAnsi="宋体" w:eastAsia="宋体" w:cs="宋体"/>
          <w:b w:val="0"/>
          <w:bCs w:val="0"/>
          <w:color w:val="auto"/>
          <w:spacing w:val="-1"/>
          <w:sz w:val="24"/>
          <w:szCs w:val="24"/>
          <w:highlight w:val="none"/>
          <w:lang w:val="en-US" w:eastAsia="zh-CN" w:bidi="ar-SA"/>
        </w:rPr>
        <w:t>CAD</w:t>
      </w:r>
      <w:r>
        <w:rPr>
          <w:rFonts w:hint="eastAsia" w:ascii="宋体" w:hAnsi="宋体" w:eastAsia="宋体" w:cs="宋体"/>
          <w:b w:val="0"/>
          <w:bCs w:val="0"/>
          <w:color w:val="auto"/>
          <w:spacing w:val="3"/>
          <w:sz w:val="24"/>
          <w:szCs w:val="24"/>
          <w:highlight w:val="none"/>
          <w:lang w:val="en-US" w:eastAsia="zh-CN" w:bidi="ar-SA"/>
        </w:rPr>
        <w:t>、JPG等</w:t>
      </w:r>
      <w:r>
        <w:rPr>
          <w:rFonts w:hint="eastAsia" w:ascii="宋体" w:hAnsi="宋体" w:eastAsia="宋体" w:cs="宋体"/>
          <w:b w:val="0"/>
          <w:bCs w:val="0"/>
          <w:color w:val="auto"/>
          <w:sz w:val="24"/>
          <w:szCs w:val="24"/>
          <w:highlight w:val="none"/>
          <w:lang w:val="en-US" w:eastAsia="zh-CN" w:bidi="ar-SA"/>
        </w:rPr>
        <w:t>格式，并应使用光盘和U盘分别贮存。</w:t>
      </w:r>
    </w:p>
    <w:p w14:paraId="56286ED9">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19" w:name="_Toc506006105"/>
      <w:bookmarkStart w:id="420" w:name="_Toc508200385"/>
      <w:bookmarkStart w:id="421" w:name="_Toc508201322"/>
      <w:r>
        <w:rPr>
          <w:rFonts w:hint="eastAsia" w:ascii="宋体" w:hAnsi="宋体" w:eastAsia="宋体" w:cs="宋体"/>
          <w:b w:val="0"/>
          <w:bCs w:val="0"/>
          <w:color w:val="auto"/>
          <w:sz w:val="24"/>
          <w:szCs w:val="24"/>
          <w:highlight w:val="none"/>
          <w:lang w:val="en-US" w:eastAsia="zh-CN" w:bidi="ar-SA"/>
        </w:rPr>
        <w:t>6.6 提前完成</w:t>
      </w:r>
      <w:bookmarkEnd w:id="419"/>
      <w:r>
        <w:rPr>
          <w:rFonts w:hint="eastAsia" w:ascii="宋体" w:hAnsi="宋体" w:eastAsia="宋体" w:cs="宋体"/>
          <w:b w:val="0"/>
          <w:bCs w:val="0"/>
          <w:color w:val="auto"/>
          <w:sz w:val="24"/>
          <w:szCs w:val="24"/>
          <w:highlight w:val="none"/>
          <w:lang w:val="en-US" w:eastAsia="zh-CN" w:bidi="ar-SA"/>
        </w:rPr>
        <w:t>咨询服务</w:t>
      </w:r>
      <w:bookmarkEnd w:id="420"/>
      <w:bookmarkEnd w:id="421"/>
    </w:p>
    <w:p w14:paraId="0C1C434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6.6.1</w:t>
      </w:r>
      <w:r>
        <w:rPr>
          <w:rFonts w:hint="eastAsia" w:ascii="宋体" w:hAnsi="宋体" w:eastAsia="宋体" w:cs="宋体"/>
          <w:b w:val="0"/>
          <w:bCs w:val="0"/>
          <w:color w:val="auto"/>
          <w:spacing w:val="-2"/>
          <w:sz w:val="24"/>
          <w:szCs w:val="24"/>
          <w:highlight w:val="none"/>
          <w:lang w:val="en-US" w:eastAsia="zh-CN" w:bidi="ar-SA"/>
        </w:rPr>
        <w:t>根据委托人要求或者基于专业能力判断，咨询人认为能够提前完成咨询服务的，可向委托人</w:t>
      </w:r>
      <w:r>
        <w:rPr>
          <w:rFonts w:hint="eastAsia" w:ascii="宋体" w:hAnsi="宋体" w:eastAsia="宋体" w:cs="宋体"/>
          <w:b w:val="0"/>
          <w:bCs w:val="0"/>
          <w:color w:val="auto"/>
          <w:spacing w:val="1"/>
          <w:sz w:val="24"/>
          <w:szCs w:val="24"/>
          <w:highlight w:val="none"/>
          <w:lang w:val="en-US" w:eastAsia="zh-CN" w:bidi="ar-SA"/>
        </w:rPr>
        <w:t>递交一份提前完成咨询服务建议书，包括实施方案、提前时间、咨询服务费用变动等内容。除专用合同条款另有约定之外，委托人接受建议书的，不因提前完成咨询服务而减少咨询服务费用；增加咨询服务费</w:t>
      </w:r>
      <w:r>
        <w:rPr>
          <w:rFonts w:hint="eastAsia" w:ascii="宋体" w:hAnsi="宋体" w:eastAsia="宋体" w:cs="宋体"/>
          <w:b w:val="0"/>
          <w:bCs w:val="0"/>
          <w:color w:val="auto"/>
          <w:sz w:val="24"/>
          <w:szCs w:val="24"/>
          <w:highlight w:val="none"/>
          <w:lang w:val="en-US" w:eastAsia="zh-CN" w:bidi="ar-SA"/>
        </w:rPr>
        <w:t>用的，所增费用由委托人承担。</w:t>
      </w:r>
    </w:p>
    <w:p w14:paraId="52B5F372">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6.6.2</w:t>
      </w:r>
      <w:r>
        <w:rPr>
          <w:rFonts w:hint="eastAsia" w:ascii="宋体" w:hAnsi="宋体" w:eastAsia="宋体" w:cs="宋体"/>
          <w:b w:val="0"/>
          <w:bCs w:val="0"/>
          <w:color w:val="auto"/>
          <w:spacing w:val="-2"/>
          <w:sz w:val="24"/>
          <w:szCs w:val="24"/>
          <w:highlight w:val="none"/>
          <w:lang w:val="en-US" w:eastAsia="zh-CN" w:bidi="ar-SA"/>
        </w:rPr>
        <w:t>委托人要求提前完成咨询服务但咨询人认为无法实施的，应在收到委托人书面指示后</w:t>
      </w:r>
      <w:r>
        <w:rPr>
          <w:rFonts w:hint="eastAsia" w:ascii="宋体" w:hAnsi="宋体" w:eastAsia="宋体" w:cs="宋体"/>
          <w:b w:val="0"/>
          <w:bCs w:val="0"/>
          <w:color w:val="auto"/>
          <w:sz w:val="24"/>
          <w:szCs w:val="24"/>
          <w:highlight w:val="none"/>
          <w:lang w:val="en-US" w:eastAsia="zh-CN" w:bidi="ar-SA"/>
        </w:rPr>
        <w:t>7天</w:t>
      </w:r>
      <w:r>
        <w:rPr>
          <w:rFonts w:hint="eastAsia" w:ascii="宋体" w:hAnsi="宋体" w:eastAsia="宋体" w:cs="宋体"/>
          <w:b w:val="0"/>
          <w:bCs w:val="0"/>
          <w:color w:val="auto"/>
          <w:spacing w:val="-4"/>
          <w:sz w:val="24"/>
          <w:szCs w:val="24"/>
          <w:highlight w:val="none"/>
          <w:lang w:val="en-US" w:eastAsia="zh-CN" w:bidi="ar-SA"/>
        </w:rPr>
        <w:t>内提出书面异议，说明不能提前完成的理由。委托人应在收到异议后</w:t>
      </w:r>
      <w:r>
        <w:rPr>
          <w:rFonts w:hint="eastAsia" w:ascii="宋体" w:hAnsi="宋体" w:eastAsia="宋体" w:cs="宋体"/>
          <w:b w:val="0"/>
          <w:bCs w:val="0"/>
          <w:color w:val="auto"/>
          <w:sz w:val="24"/>
          <w:szCs w:val="24"/>
          <w:highlight w:val="none"/>
          <w:lang w:val="en-US" w:eastAsia="zh-CN" w:bidi="ar-SA"/>
        </w:rPr>
        <w:t>7</w:t>
      </w:r>
      <w:r>
        <w:rPr>
          <w:rFonts w:hint="eastAsia" w:ascii="宋体" w:hAnsi="宋体" w:eastAsia="宋体" w:cs="宋体"/>
          <w:b w:val="0"/>
          <w:bCs w:val="0"/>
          <w:color w:val="auto"/>
          <w:spacing w:val="-5"/>
          <w:sz w:val="24"/>
          <w:szCs w:val="24"/>
          <w:highlight w:val="none"/>
          <w:lang w:val="en-US" w:eastAsia="zh-CN" w:bidi="ar-SA"/>
        </w:rPr>
        <w:t>天内予以答复。任何情况下，</w:t>
      </w:r>
      <w:r>
        <w:rPr>
          <w:rFonts w:hint="eastAsia" w:ascii="宋体" w:hAnsi="宋体" w:eastAsia="宋体" w:cs="宋体"/>
          <w:b w:val="0"/>
          <w:bCs w:val="0"/>
          <w:color w:val="auto"/>
          <w:sz w:val="24"/>
          <w:szCs w:val="24"/>
          <w:highlight w:val="none"/>
          <w:lang w:val="en-US" w:eastAsia="zh-CN" w:bidi="ar-SA"/>
        </w:rPr>
        <w:t>委托人不得压缩合理的咨询服务期限。</w:t>
      </w:r>
    </w:p>
    <w:p w14:paraId="05AD6565">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6.6.3</w:t>
      </w:r>
      <w:r>
        <w:rPr>
          <w:rFonts w:hint="eastAsia" w:ascii="宋体" w:hAnsi="宋体" w:eastAsia="宋体" w:cs="宋体"/>
          <w:b w:val="0"/>
          <w:bCs w:val="0"/>
          <w:color w:val="auto"/>
          <w:spacing w:val="-2"/>
          <w:sz w:val="24"/>
          <w:szCs w:val="24"/>
          <w:highlight w:val="none"/>
          <w:lang w:val="en-US" w:eastAsia="zh-CN" w:bidi="ar-SA"/>
        </w:rPr>
        <w:t>由于咨询人提前完成咨询服务而给委托人带来经济效益的，委托人可以在专用合同条款中</w:t>
      </w:r>
      <w:r>
        <w:rPr>
          <w:rFonts w:hint="eastAsia" w:ascii="宋体" w:hAnsi="宋体" w:eastAsia="宋体" w:cs="宋体"/>
          <w:b w:val="0"/>
          <w:bCs w:val="0"/>
          <w:color w:val="auto"/>
          <w:sz w:val="24"/>
          <w:szCs w:val="24"/>
          <w:highlight w:val="none"/>
          <w:lang w:val="en-US" w:eastAsia="zh-CN" w:bidi="ar-SA"/>
        </w:rPr>
        <w:t>约定咨询人因此获得的奖励内容。</w:t>
      </w:r>
    </w:p>
    <w:p w14:paraId="1B4CF682">
      <w:pPr>
        <w:pageBreakBefore w:val="0"/>
        <w:kinsoku/>
        <w:wordWrap/>
        <w:overflowPunct/>
        <w:topLinePunct w:val="0"/>
        <w:autoSpaceDE/>
        <w:autoSpaceDN/>
        <w:bidi w:val="0"/>
        <w:spacing w:before="0" w:after="0" w:line="440" w:lineRule="exact"/>
        <w:ind w:firstLine="484" w:firstLineChars="200"/>
        <w:jc w:val="both"/>
        <w:outlineLvl w:val="1"/>
        <w:rPr>
          <w:rFonts w:hint="eastAsia" w:ascii="宋体" w:hAnsi="宋体" w:eastAsia="宋体" w:cs="宋体"/>
          <w:b w:val="0"/>
          <w:bCs w:val="0"/>
          <w:color w:val="auto"/>
          <w:spacing w:val="1"/>
          <w:sz w:val="24"/>
          <w:szCs w:val="24"/>
          <w:highlight w:val="none"/>
          <w:lang w:val="en-US" w:eastAsia="zh-CN" w:bidi="ar-SA"/>
        </w:rPr>
      </w:pPr>
      <w:bookmarkStart w:id="422" w:name="_Toc506006106"/>
      <w:bookmarkStart w:id="423" w:name="_Toc508200386"/>
      <w:bookmarkStart w:id="424" w:name="_Toc513817607"/>
      <w:bookmarkStart w:id="425" w:name="_Toc508201323"/>
      <w:r>
        <w:rPr>
          <w:rFonts w:hint="eastAsia" w:ascii="宋体" w:hAnsi="宋体" w:eastAsia="宋体" w:cs="宋体"/>
          <w:b w:val="0"/>
          <w:bCs w:val="0"/>
          <w:color w:val="auto"/>
          <w:spacing w:val="1"/>
          <w:sz w:val="24"/>
          <w:szCs w:val="24"/>
          <w:highlight w:val="none"/>
          <w:lang w:val="en-US" w:eastAsia="zh-CN" w:bidi="ar-SA"/>
        </w:rPr>
        <w:t>7. 暂停</w:t>
      </w:r>
      <w:bookmarkEnd w:id="422"/>
      <w:r>
        <w:rPr>
          <w:rFonts w:hint="eastAsia" w:ascii="宋体" w:hAnsi="宋体" w:eastAsia="宋体" w:cs="宋体"/>
          <w:b w:val="0"/>
          <w:bCs w:val="0"/>
          <w:color w:val="auto"/>
          <w:spacing w:val="1"/>
          <w:sz w:val="24"/>
          <w:szCs w:val="24"/>
          <w:highlight w:val="none"/>
          <w:lang w:val="en-US" w:eastAsia="zh-CN" w:bidi="ar-SA"/>
        </w:rPr>
        <w:t>咨询服务</w:t>
      </w:r>
      <w:bookmarkEnd w:id="423"/>
      <w:bookmarkEnd w:id="424"/>
      <w:bookmarkEnd w:id="425"/>
    </w:p>
    <w:p w14:paraId="63628005">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26" w:name="_Toc506006107"/>
      <w:bookmarkStart w:id="427" w:name="_Toc508200387"/>
      <w:bookmarkStart w:id="428" w:name="_Toc508201324"/>
      <w:r>
        <w:rPr>
          <w:rFonts w:hint="eastAsia" w:ascii="宋体" w:hAnsi="宋体" w:eastAsia="宋体" w:cs="宋体"/>
          <w:b w:val="0"/>
          <w:bCs w:val="0"/>
          <w:color w:val="auto"/>
          <w:sz w:val="24"/>
          <w:szCs w:val="24"/>
          <w:highlight w:val="none"/>
          <w:lang w:val="en-US" w:eastAsia="zh-CN" w:bidi="ar-SA"/>
        </w:rPr>
        <w:t>7.1 委托人原因暂停</w:t>
      </w:r>
      <w:bookmarkEnd w:id="426"/>
      <w:r>
        <w:rPr>
          <w:rFonts w:hint="eastAsia" w:ascii="宋体" w:hAnsi="宋体" w:eastAsia="宋体" w:cs="宋体"/>
          <w:b w:val="0"/>
          <w:bCs w:val="0"/>
          <w:color w:val="auto"/>
          <w:sz w:val="24"/>
          <w:szCs w:val="24"/>
          <w:highlight w:val="none"/>
          <w:lang w:val="en-US" w:eastAsia="zh-CN" w:bidi="ar-SA"/>
        </w:rPr>
        <w:t>咨询服务</w:t>
      </w:r>
      <w:bookmarkEnd w:id="427"/>
      <w:bookmarkEnd w:id="428"/>
    </w:p>
    <w:p w14:paraId="217FA35E">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合同履行中发生下列情形之一的，咨询人可向委托人发出通知，要求委托人采取有效措施</w:t>
      </w:r>
      <w:r>
        <w:rPr>
          <w:rFonts w:hint="eastAsia" w:ascii="宋体" w:hAnsi="宋体" w:eastAsia="宋体" w:cs="宋体"/>
          <w:b w:val="0"/>
          <w:bCs w:val="0"/>
          <w:color w:val="auto"/>
          <w:spacing w:val="-2"/>
          <w:sz w:val="24"/>
          <w:szCs w:val="24"/>
          <w:highlight w:val="none"/>
          <w:lang w:val="en-US" w:eastAsia="zh-CN" w:bidi="ar-SA"/>
        </w:rPr>
        <w:t>予以纠正。委托人收到咨询人通知后的28天内仍不履行合同义务时，咨询人有权暂停咨询服务并通</w:t>
      </w:r>
      <w:r>
        <w:rPr>
          <w:rFonts w:hint="eastAsia" w:ascii="宋体" w:hAnsi="宋体" w:eastAsia="宋体" w:cs="宋体"/>
          <w:b w:val="0"/>
          <w:bCs w:val="0"/>
          <w:color w:val="auto"/>
          <w:sz w:val="24"/>
          <w:szCs w:val="24"/>
          <w:highlight w:val="none"/>
          <w:lang w:val="en-US" w:eastAsia="zh-CN" w:bidi="ar-SA"/>
        </w:rPr>
        <w:t>知委托人；委托人应承担由此导致的费用增加和（或）周期延误。</w:t>
      </w:r>
    </w:p>
    <w:p w14:paraId="19413BCE">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）委托人违约；</w:t>
      </w:r>
    </w:p>
    <w:p w14:paraId="15741519">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）委托人确定暂停咨询服务；</w:t>
      </w:r>
    </w:p>
    <w:p w14:paraId="21F33345">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bidi="ar-SA"/>
        </w:rPr>
        <w:t>）合同约定由委托人承担责任的其他情形。</w:t>
      </w:r>
    </w:p>
    <w:p w14:paraId="5C32E80A">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29" w:name="_Toc506006108"/>
      <w:bookmarkStart w:id="430" w:name="_Toc508201325"/>
      <w:bookmarkStart w:id="431" w:name="_Toc508200388"/>
      <w:r>
        <w:rPr>
          <w:rFonts w:hint="eastAsia" w:ascii="宋体" w:hAnsi="宋体" w:eastAsia="宋体" w:cs="宋体"/>
          <w:b w:val="0"/>
          <w:bCs w:val="0"/>
          <w:color w:val="auto"/>
          <w:sz w:val="24"/>
          <w:szCs w:val="24"/>
          <w:highlight w:val="none"/>
          <w:lang w:val="en-US" w:eastAsia="zh-CN" w:bidi="ar-SA"/>
        </w:rPr>
        <w:t>7.2 咨询人原因暂停</w:t>
      </w:r>
      <w:bookmarkEnd w:id="429"/>
      <w:r>
        <w:rPr>
          <w:rFonts w:hint="eastAsia" w:ascii="宋体" w:hAnsi="宋体" w:eastAsia="宋体" w:cs="宋体"/>
          <w:b w:val="0"/>
          <w:bCs w:val="0"/>
          <w:color w:val="auto"/>
          <w:sz w:val="24"/>
          <w:szCs w:val="24"/>
          <w:highlight w:val="none"/>
          <w:lang w:val="en-US" w:eastAsia="zh-CN" w:bidi="ar-SA"/>
        </w:rPr>
        <w:t>咨询服务</w:t>
      </w:r>
      <w:bookmarkEnd w:id="430"/>
      <w:bookmarkEnd w:id="431"/>
    </w:p>
    <w:p w14:paraId="12601D8F">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合同履行中发生下列情形之一的，委托人可向咨询人发出通知暂停咨询服务，由此造成费用的</w:t>
      </w:r>
      <w:r>
        <w:rPr>
          <w:rFonts w:hint="eastAsia" w:ascii="宋体" w:hAnsi="宋体" w:eastAsia="宋体" w:cs="宋体"/>
          <w:b w:val="0"/>
          <w:bCs w:val="0"/>
          <w:color w:val="auto"/>
          <w:sz w:val="24"/>
          <w:szCs w:val="24"/>
          <w:highlight w:val="none"/>
          <w:lang w:val="en-US" w:eastAsia="zh-CN" w:bidi="ar-SA"/>
        </w:rPr>
        <w:t>增加和（或）周期延误由咨询人承担：</w:t>
      </w:r>
    </w:p>
    <w:p w14:paraId="551DAD62">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）咨询人违约；</w:t>
      </w:r>
    </w:p>
    <w:p w14:paraId="566D6E22">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）咨询人擅自暂停咨询服务；</w:t>
      </w:r>
    </w:p>
    <w:p w14:paraId="0FD5113D">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bidi="ar-SA"/>
        </w:rPr>
        <w:t>）合同约定由咨询人承担责任的其他情形。</w:t>
      </w:r>
    </w:p>
    <w:p w14:paraId="36C46A83">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32" w:name="_Toc506006109"/>
      <w:bookmarkStart w:id="433" w:name="_Toc508200389"/>
      <w:bookmarkStart w:id="434" w:name="_Toc508201326"/>
      <w:r>
        <w:rPr>
          <w:rFonts w:hint="eastAsia" w:ascii="宋体" w:hAnsi="宋体" w:eastAsia="宋体" w:cs="宋体"/>
          <w:b w:val="0"/>
          <w:bCs w:val="0"/>
          <w:color w:val="auto"/>
          <w:sz w:val="24"/>
          <w:szCs w:val="24"/>
          <w:highlight w:val="none"/>
          <w:lang w:val="en-US" w:eastAsia="zh-CN" w:bidi="ar-SA"/>
        </w:rPr>
        <w:t>7.3 暂停期间的文件照管</w:t>
      </w:r>
      <w:bookmarkEnd w:id="432"/>
      <w:bookmarkEnd w:id="433"/>
      <w:bookmarkEnd w:id="434"/>
    </w:p>
    <w:p w14:paraId="18D4FECE">
      <w:pPr>
        <w:pageBreakBefore w:val="0"/>
        <w:kinsoku/>
        <w:wordWrap/>
        <w:overflowPunct/>
        <w:topLinePunct w:val="0"/>
        <w:autoSpaceDE/>
        <w:autoSpaceDN/>
        <w:bidi w:val="0"/>
        <w:spacing w:before="0" w:after="0" w:line="440" w:lineRule="exact"/>
        <w:ind w:firstLine="472"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2"/>
          <w:sz w:val="24"/>
          <w:szCs w:val="24"/>
          <w:highlight w:val="none"/>
          <w:lang w:val="en-US" w:eastAsia="zh-CN" w:bidi="ar-SA"/>
        </w:rPr>
        <w:t>不论由于何种原因引起暂停咨询服务的，暂停期间咨询人应负责妥善保护已完部分的咨询服务成果文件，</w:t>
      </w:r>
      <w:r>
        <w:rPr>
          <w:rFonts w:hint="eastAsia" w:ascii="宋体" w:hAnsi="宋体" w:eastAsia="宋体" w:cs="宋体"/>
          <w:b w:val="0"/>
          <w:bCs w:val="0"/>
          <w:color w:val="auto"/>
          <w:sz w:val="24"/>
          <w:szCs w:val="24"/>
          <w:highlight w:val="none"/>
          <w:lang w:val="en-US" w:eastAsia="zh-CN" w:bidi="ar-SA"/>
        </w:rPr>
        <w:t>由此增加的费用由责任方承担。</w:t>
      </w:r>
    </w:p>
    <w:p w14:paraId="5D9D293B">
      <w:pPr>
        <w:pageBreakBefore w:val="0"/>
        <w:kinsoku/>
        <w:wordWrap/>
        <w:overflowPunct/>
        <w:topLinePunct w:val="0"/>
        <w:autoSpaceDE/>
        <w:autoSpaceDN/>
        <w:bidi w:val="0"/>
        <w:spacing w:before="0" w:after="0" w:line="440" w:lineRule="exact"/>
        <w:ind w:firstLine="484" w:firstLineChars="200"/>
        <w:jc w:val="both"/>
        <w:outlineLvl w:val="1"/>
        <w:rPr>
          <w:rFonts w:hint="eastAsia" w:ascii="宋体" w:hAnsi="宋体" w:eastAsia="宋体" w:cs="宋体"/>
          <w:b w:val="0"/>
          <w:bCs w:val="0"/>
          <w:color w:val="auto"/>
          <w:spacing w:val="1"/>
          <w:sz w:val="24"/>
          <w:szCs w:val="24"/>
          <w:highlight w:val="none"/>
          <w:lang w:val="en-US" w:eastAsia="zh-CN" w:bidi="ar-SA"/>
        </w:rPr>
      </w:pPr>
      <w:bookmarkStart w:id="435" w:name="_Toc506006110"/>
      <w:bookmarkStart w:id="436" w:name="_Toc513817608"/>
      <w:bookmarkStart w:id="437" w:name="_Toc508201327"/>
      <w:bookmarkStart w:id="438" w:name="_Toc508200390"/>
      <w:r>
        <w:rPr>
          <w:rFonts w:hint="eastAsia" w:ascii="宋体" w:hAnsi="宋体" w:eastAsia="宋体" w:cs="宋体"/>
          <w:b w:val="0"/>
          <w:bCs w:val="0"/>
          <w:color w:val="auto"/>
          <w:spacing w:val="1"/>
          <w:sz w:val="24"/>
          <w:szCs w:val="24"/>
          <w:highlight w:val="none"/>
          <w:lang w:val="en-US" w:eastAsia="zh-CN" w:bidi="ar-SA"/>
        </w:rPr>
        <w:t xml:space="preserve">8. </w:t>
      </w:r>
      <w:bookmarkEnd w:id="435"/>
      <w:r>
        <w:rPr>
          <w:rFonts w:hint="eastAsia" w:ascii="宋体" w:hAnsi="宋体" w:eastAsia="宋体" w:cs="宋体"/>
          <w:b w:val="0"/>
          <w:bCs w:val="0"/>
          <w:color w:val="auto"/>
          <w:spacing w:val="1"/>
          <w:sz w:val="24"/>
          <w:szCs w:val="24"/>
          <w:highlight w:val="none"/>
          <w:lang w:val="en-US" w:eastAsia="zh-CN" w:bidi="ar-SA"/>
        </w:rPr>
        <w:t>咨询服务成果文件</w:t>
      </w:r>
      <w:bookmarkEnd w:id="436"/>
      <w:bookmarkEnd w:id="437"/>
      <w:bookmarkEnd w:id="438"/>
    </w:p>
    <w:p w14:paraId="7978197B">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39" w:name="_Toc506006111"/>
      <w:bookmarkStart w:id="440" w:name="_Toc508201328"/>
      <w:bookmarkStart w:id="441" w:name="_Toc508200391"/>
      <w:r>
        <w:rPr>
          <w:rFonts w:hint="eastAsia" w:ascii="宋体" w:hAnsi="宋体" w:eastAsia="宋体" w:cs="宋体"/>
          <w:b w:val="0"/>
          <w:bCs w:val="0"/>
          <w:color w:val="auto"/>
          <w:sz w:val="24"/>
          <w:szCs w:val="24"/>
          <w:highlight w:val="none"/>
          <w:lang w:val="en-US" w:eastAsia="zh-CN" w:bidi="ar-SA"/>
        </w:rPr>
        <w:t>8.1 咨询服务成果文件接收</w:t>
      </w:r>
      <w:bookmarkEnd w:id="439"/>
      <w:bookmarkEnd w:id="440"/>
      <w:bookmarkEnd w:id="441"/>
    </w:p>
    <w:p w14:paraId="5BA3E221">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8.1.1</w:t>
      </w:r>
      <w:r>
        <w:rPr>
          <w:rFonts w:hint="eastAsia" w:ascii="宋体" w:hAnsi="宋体" w:eastAsia="宋体" w:cs="宋体"/>
          <w:b w:val="0"/>
          <w:bCs w:val="0"/>
          <w:color w:val="auto"/>
          <w:spacing w:val="-2"/>
          <w:sz w:val="24"/>
          <w:szCs w:val="24"/>
          <w:highlight w:val="none"/>
          <w:lang w:val="en-US" w:eastAsia="zh-CN" w:bidi="ar-SA"/>
        </w:rPr>
        <w:t>委托人应当及时接收咨询人提交的咨询服务成果文件。如无正当理由拒收的，视为委托人已经</w:t>
      </w:r>
      <w:r>
        <w:rPr>
          <w:rFonts w:hint="eastAsia" w:ascii="宋体" w:hAnsi="宋体" w:eastAsia="宋体" w:cs="宋体"/>
          <w:b w:val="0"/>
          <w:bCs w:val="0"/>
          <w:color w:val="auto"/>
          <w:sz w:val="24"/>
          <w:szCs w:val="24"/>
          <w:highlight w:val="none"/>
          <w:lang w:val="en-US" w:eastAsia="zh-CN" w:bidi="ar-SA"/>
        </w:rPr>
        <w:t>接收咨询服务成果文件。</w:t>
      </w:r>
    </w:p>
    <w:p w14:paraId="01DB6FC1">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8.1.2</w:t>
      </w:r>
      <w:r>
        <w:rPr>
          <w:rFonts w:hint="eastAsia" w:ascii="宋体" w:hAnsi="宋体" w:eastAsia="宋体" w:cs="宋体"/>
          <w:b w:val="0"/>
          <w:bCs w:val="0"/>
          <w:color w:val="auto"/>
          <w:spacing w:val="-2"/>
          <w:sz w:val="24"/>
          <w:szCs w:val="24"/>
          <w:highlight w:val="none"/>
          <w:lang w:val="en-US" w:eastAsia="zh-CN" w:bidi="ar-SA"/>
        </w:rPr>
        <w:t>委托人接收咨询服务成果文件时，应向咨询人出具文件签收凭证</w:t>
      </w:r>
      <w:r>
        <w:rPr>
          <w:rFonts w:hint="eastAsia" w:ascii="宋体" w:hAnsi="宋体" w:eastAsia="宋体" w:cs="宋体"/>
          <w:b w:val="0"/>
          <w:bCs w:val="0"/>
          <w:color w:val="auto"/>
          <w:sz w:val="24"/>
          <w:szCs w:val="24"/>
          <w:highlight w:val="none"/>
          <w:lang w:val="en-US" w:eastAsia="zh-CN" w:bidi="ar-SA"/>
        </w:rPr>
        <w:t>。</w:t>
      </w:r>
    </w:p>
    <w:p w14:paraId="2DFF6CAE">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8.1.3</w:t>
      </w:r>
      <w:r>
        <w:rPr>
          <w:rFonts w:hint="eastAsia" w:ascii="宋体" w:hAnsi="宋体" w:eastAsia="宋体" w:cs="宋体"/>
          <w:b w:val="0"/>
          <w:bCs w:val="0"/>
          <w:color w:val="auto"/>
          <w:spacing w:val="-2"/>
          <w:sz w:val="24"/>
          <w:szCs w:val="24"/>
          <w:highlight w:val="none"/>
          <w:lang w:val="en-US" w:eastAsia="zh-CN" w:bidi="ar-SA"/>
        </w:rPr>
        <w:t>咨询服务成果文件提交的份数、内容、纸幅、装订格式、电子文件</w:t>
      </w:r>
      <w:r>
        <w:rPr>
          <w:rFonts w:hint="eastAsia" w:ascii="宋体" w:hAnsi="宋体" w:eastAsia="宋体" w:cs="宋体"/>
          <w:b w:val="0"/>
          <w:bCs w:val="0"/>
          <w:color w:val="auto"/>
          <w:sz w:val="24"/>
          <w:szCs w:val="24"/>
          <w:highlight w:val="none"/>
          <w:lang w:val="en-US" w:eastAsia="zh-CN" w:bidi="ar-SA"/>
        </w:rPr>
        <w:t>要求，在专用合同条款中约定。</w:t>
      </w:r>
    </w:p>
    <w:p w14:paraId="3F8EF61E">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42" w:name="_Toc506006112"/>
      <w:bookmarkStart w:id="443" w:name="_Toc508201329"/>
      <w:bookmarkStart w:id="444" w:name="_Toc508200392"/>
      <w:r>
        <w:rPr>
          <w:rFonts w:hint="eastAsia" w:ascii="宋体" w:hAnsi="宋体" w:eastAsia="宋体" w:cs="宋体"/>
          <w:b w:val="0"/>
          <w:bCs w:val="0"/>
          <w:color w:val="auto"/>
          <w:sz w:val="24"/>
          <w:szCs w:val="24"/>
          <w:highlight w:val="none"/>
          <w:lang w:val="en-US" w:eastAsia="zh-CN" w:bidi="ar-SA"/>
        </w:rPr>
        <w:t>8.2 委托人审查</w:t>
      </w:r>
      <w:bookmarkEnd w:id="442"/>
      <w:r>
        <w:rPr>
          <w:rFonts w:hint="eastAsia" w:ascii="宋体" w:hAnsi="宋体" w:eastAsia="宋体" w:cs="宋体"/>
          <w:b w:val="0"/>
          <w:bCs w:val="0"/>
          <w:color w:val="auto"/>
          <w:sz w:val="24"/>
          <w:szCs w:val="24"/>
          <w:highlight w:val="none"/>
          <w:lang w:val="en-US" w:eastAsia="zh-CN" w:bidi="ar-SA"/>
        </w:rPr>
        <w:t>咨询服务成果文件</w:t>
      </w:r>
      <w:bookmarkEnd w:id="443"/>
      <w:bookmarkEnd w:id="444"/>
    </w:p>
    <w:p w14:paraId="5407BAB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8.2.1</w:t>
      </w:r>
      <w:r>
        <w:rPr>
          <w:rFonts w:hint="eastAsia" w:ascii="宋体" w:hAnsi="宋体" w:eastAsia="宋体" w:cs="宋体"/>
          <w:b w:val="0"/>
          <w:bCs w:val="0"/>
          <w:color w:val="auto"/>
          <w:spacing w:val="-5"/>
          <w:sz w:val="24"/>
          <w:szCs w:val="24"/>
          <w:highlight w:val="none"/>
          <w:lang w:val="en-US" w:eastAsia="zh-CN" w:bidi="ar-SA"/>
        </w:rPr>
        <w:t>委托人接收咨询服务成果文件之后，可以自行或者组织专家会进行审查，咨询人应当给予配合。</w:t>
      </w:r>
      <w:r>
        <w:rPr>
          <w:rFonts w:hint="eastAsia" w:ascii="宋体" w:hAnsi="宋体" w:eastAsia="宋体" w:cs="宋体"/>
          <w:b w:val="0"/>
          <w:bCs w:val="0"/>
          <w:color w:val="auto"/>
          <w:spacing w:val="1"/>
          <w:sz w:val="24"/>
          <w:szCs w:val="24"/>
          <w:highlight w:val="none"/>
          <w:lang w:val="en-US" w:eastAsia="zh-CN" w:bidi="ar-SA"/>
        </w:rPr>
        <w:t>审查标准应当符合法律、规范标准、合同约定和委托人要求等；审查的具体范围、明细内容和</w:t>
      </w:r>
      <w:r>
        <w:rPr>
          <w:rFonts w:hint="eastAsia" w:ascii="宋体" w:hAnsi="宋体" w:eastAsia="宋体" w:cs="宋体"/>
          <w:b w:val="0"/>
          <w:bCs w:val="0"/>
          <w:color w:val="auto"/>
          <w:sz w:val="24"/>
          <w:szCs w:val="24"/>
          <w:highlight w:val="none"/>
          <w:lang w:val="en-US" w:eastAsia="zh-CN" w:bidi="ar-SA"/>
        </w:rPr>
        <w:t>费用分担，在专用合同条款中约定。</w:t>
      </w:r>
    </w:p>
    <w:p w14:paraId="67EA52AA">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8.2.2</w:t>
      </w:r>
      <w:r>
        <w:rPr>
          <w:rFonts w:hint="eastAsia" w:ascii="宋体" w:hAnsi="宋体" w:eastAsia="宋体" w:cs="宋体"/>
          <w:b w:val="0"/>
          <w:bCs w:val="0"/>
          <w:color w:val="auto"/>
          <w:spacing w:val="-2"/>
          <w:sz w:val="24"/>
          <w:szCs w:val="24"/>
          <w:highlight w:val="none"/>
          <w:lang w:val="en-US" w:eastAsia="zh-CN" w:bidi="ar-SA"/>
        </w:rPr>
        <w:t>除专用合同条款另有约定外，委托人对于咨询服务成果文件的审查期限，自文件接收之日起不</w:t>
      </w:r>
      <w:r>
        <w:rPr>
          <w:rFonts w:hint="eastAsia" w:ascii="宋体" w:hAnsi="宋体" w:eastAsia="宋体" w:cs="宋体"/>
          <w:b w:val="0"/>
          <w:bCs w:val="0"/>
          <w:color w:val="auto"/>
          <w:sz w:val="24"/>
          <w:szCs w:val="24"/>
          <w:highlight w:val="none"/>
          <w:lang w:val="en-US" w:eastAsia="zh-CN" w:bidi="ar-SA"/>
        </w:rPr>
        <w:t>应超过</w:t>
      </w:r>
      <w:r>
        <w:rPr>
          <w:rFonts w:hint="eastAsia" w:ascii="宋体" w:hAnsi="宋体" w:eastAsia="宋体" w:cs="宋体"/>
          <w:b w:val="0"/>
          <w:bCs w:val="0"/>
          <w:color w:val="auto"/>
          <w:spacing w:val="1"/>
          <w:sz w:val="24"/>
          <w:szCs w:val="24"/>
          <w:highlight w:val="none"/>
          <w:lang w:val="en-US" w:eastAsia="zh-CN" w:bidi="ar-SA"/>
        </w:rPr>
        <w:t xml:space="preserve"> 14</w:t>
      </w:r>
      <w:r>
        <w:rPr>
          <w:rFonts w:hint="eastAsia" w:ascii="宋体" w:hAnsi="宋体" w:eastAsia="宋体" w:cs="宋体"/>
          <w:b w:val="0"/>
          <w:bCs w:val="0"/>
          <w:color w:val="auto"/>
          <w:spacing w:val="-2"/>
          <w:sz w:val="24"/>
          <w:szCs w:val="24"/>
          <w:highlight w:val="none"/>
          <w:lang w:val="en-US" w:eastAsia="zh-CN" w:bidi="ar-SA"/>
        </w:rPr>
        <w:t>天。委托人逾期未做出审查结论且未提出异议的，视为咨询人的咨询服务成果文件已经通过委托人</w:t>
      </w:r>
      <w:r>
        <w:rPr>
          <w:rFonts w:hint="eastAsia" w:ascii="宋体" w:hAnsi="宋体" w:eastAsia="宋体" w:cs="宋体"/>
          <w:b w:val="0"/>
          <w:bCs w:val="0"/>
          <w:color w:val="auto"/>
          <w:spacing w:val="1"/>
          <w:sz w:val="24"/>
          <w:szCs w:val="24"/>
          <w:highlight w:val="none"/>
          <w:lang w:val="en-US" w:eastAsia="zh-CN" w:bidi="ar-SA"/>
        </w:rPr>
        <w:t>审查。</w:t>
      </w:r>
    </w:p>
    <w:p w14:paraId="23E31787">
      <w:pPr>
        <w:pageBreakBefore w:val="0"/>
        <w:kinsoku/>
        <w:wordWrap/>
        <w:overflowPunct/>
        <w:topLinePunct w:val="0"/>
        <w:autoSpaceDE/>
        <w:autoSpaceDN/>
        <w:bidi w:val="0"/>
        <w:spacing w:before="0" w:after="0" w:line="440" w:lineRule="exact"/>
        <w:ind w:firstLine="480" w:firstLineChars="200"/>
        <w:jc w:val="both"/>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8.2.3</w:t>
      </w:r>
      <w:r>
        <w:rPr>
          <w:rFonts w:hint="eastAsia" w:ascii="宋体" w:hAnsi="宋体" w:eastAsia="宋体" w:cs="宋体"/>
          <w:b w:val="0"/>
          <w:bCs w:val="0"/>
          <w:color w:val="auto"/>
          <w:spacing w:val="-2"/>
          <w:sz w:val="24"/>
          <w:szCs w:val="24"/>
          <w:highlight w:val="none"/>
          <w:lang w:val="en-US" w:eastAsia="zh-CN" w:bidi="ar-SA"/>
        </w:rPr>
        <w:t>委托人审查后不同意咨询服务成果文件的，应以书面形式通知咨询人，说明审查不通过的理由</w:t>
      </w:r>
      <w:r>
        <w:rPr>
          <w:rFonts w:hint="eastAsia" w:ascii="宋体" w:hAnsi="宋体" w:eastAsia="宋体" w:cs="宋体"/>
          <w:b w:val="0"/>
          <w:bCs w:val="0"/>
          <w:color w:val="auto"/>
          <w:spacing w:val="1"/>
          <w:sz w:val="24"/>
          <w:szCs w:val="24"/>
          <w:highlight w:val="none"/>
          <w:lang w:val="en-US" w:eastAsia="zh-CN" w:bidi="ar-SA"/>
        </w:rPr>
        <w:t>及其具体内容。咨询人应根据委托人的审查意见修改完善咨询服务成果文件，并重新报送委托人审查，</w:t>
      </w:r>
      <w:r>
        <w:rPr>
          <w:rFonts w:hint="eastAsia" w:ascii="宋体" w:hAnsi="宋体" w:eastAsia="宋体" w:cs="宋体"/>
          <w:b w:val="0"/>
          <w:bCs w:val="0"/>
          <w:color w:val="auto"/>
          <w:sz w:val="24"/>
          <w:szCs w:val="24"/>
          <w:highlight w:val="none"/>
          <w:lang w:val="en-US" w:eastAsia="zh-CN" w:bidi="ar-SA"/>
        </w:rPr>
        <w:t>审查期限重新起算。</w:t>
      </w:r>
    </w:p>
    <w:p w14:paraId="787641FA">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45" w:name="_Toc506006113"/>
      <w:bookmarkStart w:id="446" w:name="_Toc508200393"/>
      <w:bookmarkStart w:id="447" w:name="_Toc508201330"/>
      <w:r>
        <w:rPr>
          <w:rFonts w:hint="eastAsia" w:ascii="宋体" w:hAnsi="宋体" w:eastAsia="宋体" w:cs="宋体"/>
          <w:b w:val="0"/>
          <w:bCs w:val="0"/>
          <w:color w:val="auto"/>
          <w:sz w:val="24"/>
          <w:szCs w:val="24"/>
          <w:highlight w:val="none"/>
          <w:lang w:val="en-US" w:eastAsia="zh-CN" w:bidi="ar-SA"/>
        </w:rPr>
        <w:t>8.3 审查机构审查</w:t>
      </w:r>
      <w:bookmarkEnd w:id="445"/>
      <w:r>
        <w:rPr>
          <w:rFonts w:hint="eastAsia" w:ascii="宋体" w:hAnsi="宋体" w:eastAsia="宋体" w:cs="宋体"/>
          <w:b w:val="0"/>
          <w:bCs w:val="0"/>
          <w:color w:val="auto"/>
          <w:sz w:val="24"/>
          <w:szCs w:val="24"/>
          <w:highlight w:val="none"/>
          <w:lang w:val="en-US" w:eastAsia="zh-CN" w:bidi="ar-SA"/>
        </w:rPr>
        <w:t>咨询服务成果文件</w:t>
      </w:r>
      <w:bookmarkEnd w:id="446"/>
      <w:bookmarkEnd w:id="447"/>
    </w:p>
    <w:p w14:paraId="5D2C05B8">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8.3.1</w:t>
      </w:r>
      <w:r>
        <w:rPr>
          <w:rFonts w:hint="eastAsia" w:ascii="宋体" w:hAnsi="宋体" w:eastAsia="宋体" w:cs="宋体"/>
          <w:b w:val="0"/>
          <w:bCs w:val="0"/>
          <w:color w:val="auto"/>
          <w:spacing w:val="-2"/>
          <w:sz w:val="24"/>
          <w:szCs w:val="24"/>
          <w:highlight w:val="none"/>
          <w:lang w:val="en-US" w:eastAsia="zh-CN" w:bidi="ar-SA"/>
        </w:rPr>
        <w:t>咨询服务成果文件需经政府有关部门审查或批准的，委托人应在审查同意后，按照有关主管部</w:t>
      </w:r>
      <w:r>
        <w:rPr>
          <w:rFonts w:hint="eastAsia" w:ascii="宋体" w:hAnsi="宋体" w:eastAsia="宋体" w:cs="宋体"/>
          <w:b w:val="0"/>
          <w:bCs w:val="0"/>
          <w:color w:val="auto"/>
          <w:spacing w:val="1"/>
          <w:sz w:val="24"/>
          <w:szCs w:val="24"/>
          <w:highlight w:val="none"/>
          <w:lang w:val="en-US" w:eastAsia="zh-CN" w:bidi="ar-SA"/>
        </w:rPr>
        <w:t>门要求，将咨询服务成果文件和相关资料报送</w:t>
      </w:r>
      <w:r>
        <w:rPr>
          <w:rFonts w:hint="eastAsia" w:ascii="宋体" w:hAnsi="宋体" w:eastAsia="宋体" w:cs="宋体"/>
          <w:b w:val="0"/>
          <w:bCs w:val="0"/>
          <w:color w:val="auto"/>
          <w:spacing w:val="-2"/>
          <w:sz w:val="24"/>
          <w:szCs w:val="24"/>
          <w:highlight w:val="none"/>
          <w:lang w:val="en-US" w:eastAsia="zh-CN" w:bidi="ar-SA"/>
        </w:rPr>
        <w:t>政府有关部门</w:t>
      </w:r>
      <w:r>
        <w:rPr>
          <w:rFonts w:hint="eastAsia" w:ascii="宋体" w:hAnsi="宋体" w:eastAsia="宋体" w:cs="宋体"/>
          <w:b w:val="0"/>
          <w:bCs w:val="0"/>
          <w:color w:val="auto"/>
          <w:spacing w:val="1"/>
          <w:sz w:val="24"/>
          <w:szCs w:val="24"/>
          <w:highlight w:val="none"/>
          <w:lang w:val="en-US" w:eastAsia="zh-CN" w:bidi="ar-SA"/>
        </w:rPr>
        <w:t>进行审查。委托人的审查和</w:t>
      </w:r>
      <w:r>
        <w:rPr>
          <w:rFonts w:hint="eastAsia" w:ascii="宋体" w:hAnsi="宋体" w:eastAsia="宋体" w:cs="宋体"/>
          <w:b w:val="0"/>
          <w:bCs w:val="0"/>
          <w:color w:val="auto"/>
          <w:spacing w:val="-2"/>
          <w:sz w:val="24"/>
          <w:szCs w:val="24"/>
          <w:highlight w:val="none"/>
          <w:lang w:val="en-US" w:eastAsia="zh-CN" w:bidi="ar-SA"/>
        </w:rPr>
        <w:t>审查机构</w:t>
      </w:r>
      <w:r>
        <w:rPr>
          <w:rFonts w:hint="eastAsia" w:ascii="宋体" w:hAnsi="宋体" w:eastAsia="宋体" w:cs="宋体"/>
          <w:b w:val="0"/>
          <w:bCs w:val="0"/>
          <w:color w:val="auto"/>
          <w:sz w:val="24"/>
          <w:szCs w:val="24"/>
          <w:highlight w:val="none"/>
          <w:lang w:val="en-US" w:eastAsia="zh-CN" w:bidi="ar-SA"/>
        </w:rPr>
        <w:t>的审查不减免咨询人因为服务质量问题而应承担的咨询服务责任。</w:t>
      </w:r>
    </w:p>
    <w:p w14:paraId="7CB391A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pacing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8.3.2</w:t>
      </w:r>
      <w:r>
        <w:rPr>
          <w:rFonts w:hint="eastAsia" w:ascii="宋体" w:hAnsi="宋体" w:eastAsia="宋体" w:cs="宋体"/>
          <w:b w:val="0"/>
          <w:bCs w:val="0"/>
          <w:color w:val="auto"/>
          <w:spacing w:val="-2"/>
          <w:sz w:val="24"/>
          <w:szCs w:val="24"/>
          <w:highlight w:val="none"/>
          <w:lang w:val="en-US" w:eastAsia="zh-CN" w:bidi="ar-SA"/>
        </w:rPr>
        <w:t>对于审查机构的审查意见，如不需要修改委托人要求的，应由咨询人按照审查意见修改完善咨询服务成果文件，由此导致的费用增加和（或）周期延误由咨询人承担；如需修改委托人要求的，则由委托人重新修改和提出委托人要求，再由咨询人根据新的委托人要求修改完善咨询服务成果文件，由此导致的费用增加和（或）周期延误由委托人承担。</w:t>
      </w:r>
    </w:p>
    <w:p w14:paraId="2A4948D6">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8.3.3</w:t>
      </w:r>
      <w:r>
        <w:rPr>
          <w:rFonts w:hint="eastAsia" w:ascii="宋体" w:hAnsi="宋体" w:eastAsia="宋体" w:cs="宋体"/>
          <w:b w:val="0"/>
          <w:bCs w:val="0"/>
          <w:color w:val="auto"/>
          <w:spacing w:val="-2"/>
          <w:sz w:val="24"/>
          <w:szCs w:val="24"/>
          <w:highlight w:val="none"/>
          <w:lang w:val="en-US" w:eastAsia="zh-CN" w:bidi="ar-SA"/>
        </w:rPr>
        <w:t>由于自身原因造成咨询服务成果文件未通过审查机构审查的，咨询人应当承担违约责任，采取</w:t>
      </w:r>
      <w:r>
        <w:rPr>
          <w:rFonts w:hint="eastAsia" w:ascii="宋体" w:hAnsi="宋体" w:eastAsia="宋体" w:cs="宋体"/>
          <w:b w:val="0"/>
          <w:bCs w:val="0"/>
          <w:color w:val="auto"/>
          <w:sz w:val="24"/>
          <w:szCs w:val="24"/>
          <w:highlight w:val="none"/>
          <w:lang w:val="en-US" w:eastAsia="zh-CN" w:bidi="ar-SA"/>
        </w:rPr>
        <w:t>补救措施直至达到合同约定的质量标准，并自行承担由此导致的费用增加和（或）周期延误。</w:t>
      </w:r>
    </w:p>
    <w:p w14:paraId="78BB0F86">
      <w:pPr>
        <w:pageBreakBefore w:val="0"/>
        <w:kinsoku/>
        <w:wordWrap/>
        <w:overflowPunct/>
        <w:topLinePunct w:val="0"/>
        <w:autoSpaceDE/>
        <w:autoSpaceDN/>
        <w:bidi w:val="0"/>
        <w:spacing w:before="0" w:after="0" w:line="440" w:lineRule="exact"/>
        <w:ind w:firstLine="484" w:firstLineChars="200"/>
        <w:jc w:val="both"/>
        <w:outlineLvl w:val="1"/>
        <w:rPr>
          <w:rFonts w:hint="eastAsia" w:ascii="宋体" w:hAnsi="宋体" w:eastAsia="宋体" w:cs="宋体"/>
          <w:b w:val="0"/>
          <w:bCs w:val="0"/>
          <w:color w:val="auto"/>
          <w:spacing w:val="1"/>
          <w:sz w:val="24"/>
          <w:szCs w:val="24"/>
          <w:highlight w:val="none"/>
          <w:lang w:val="en-US" w:eastAsia="zh-CN" w:bidi="ar-SA"/>
        </w:rPr>
      </w:pPr>
      <w:bookmarkStart w:id="448" w:name="_Toc508201331"/>
      <w:bookmarkStart w:id="449" w:name="_Toc506006114"/>
      <w:bookmarkStart w:id="450" w:name="_Toc508200394"/>
      <w:bookmarkStart w:id="451" w:name="_Toc513817609"/>
      <w:r>
        <w:rPr>
          <w:rFonts w:hint="eastAsia" w:ascii="宋体" w:hAnsi="宋体" w:eastAsia="宋体" w:cs="宋体"/>
          <w:b w:val="0"/>
          <w:bCs w:val="0"/>
          <w:color w:val="auto"/>
          <w:spacing w:val="1"/>
          <w:sz w:val="24"/>
          <w:szCs w:val="24"/>
          <w:highlight w:val="none"/>
          <w:lang w:val="en-US" w:eastAsia="zh-CN" w:bidi="ar-SA"/>
        </w:rPr>
        <w:t>9. 咨询服务责任与保险</w:t>
      </w:r>
      <w:bookmarkEnd w:id="448"/>
      <w:bookmarkEnd w:id="449"/>
      <w:bookmarkEnd w:id="450"/>
      <w:bookmarkEnd w:id="451"/>
    </w:p>
    <w:p w14:paraId="7294E724">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52" w:name="_Toc508200395"/>
      <w:bookmarkStart w:id="453" w:name="_Toc506006115"/>
      <w:bookmarkStart w:id="454" w:name="_Toc508201332"/>
      <w:r>
        <w:rPr>
          <w:rFonts w:hint="eastAsia" w:ascii="宋体" w:hAnsi="宋体" w:eastAsia="宋体" w:cs="宋体"/>
          <w:b w:val="0"/>
          <w:bCs w:val="0"/>
          <w:color w:val="auto"/>
          <w:sz w:val="24"/>
          <w:szCs w:val="24"/>
          <w:highlight w:val="none"/>
          <w:lang w:val="en-US" w:eastAsia="zh-CN" w:bidi="ar-SA"/>
        </w:rPr>
        <w:t>9.1 工作质量责任</w:t>
      </w:r>
      <w:bookmarkEnd w:id="452"/>
      <w:bookmarkEnd w:id="453"/>
      <w:bookmarkEnd w:id="454"/>
    </w:p>
    <w:p w14:paraId="625C76D5">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9.1.1咨询服务工作质量应满足法律规定、规范标准、合同约定和委托人要求等。</w:t>
      </w:r>
    </w:p>
    <w:p w14:paraId="5111987A">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9.1.2</w:t>
      </w:r>
      <w:r>
        <w:rPr>
          <w:rFonts w:hint="eastAsia" w:ascii="宋体" w:hAnsi="宋体" w:eastAsia="宋体" w:cs="宋体"/>
          <w:b w:val="0"/>
          <w:bCs w:val="0"/>
          <w:color w:val="auto"/>
          <w:spacing w:val="-2"/>
          <w:sz w:val="24"/>
          <w:szCs w:val="24"/>
          <w:highlight w:val="none"/>
          <w:lang w:val="en-US" w:eastAsia="zh-CN" w:bidi="ar-SA"/>
        </w:rPr>
        <w:t>咨询人应做好咨询服务的质量与技术管理工作，</w:t>
      </w:r>
      <w:r>
        <w:rPr>
          <w:rFonts w:hint="eastAsia" w:ascii="宋体" w:hAnsi="宋体" w:eastAsia="宋体" w:cs="宋体"/>
          <w:b w:val="0"/>
          <w:bCs w:val="0"/>
          <w:color w:val="auto"/>
          <w:spacing w:val="1"/>
          <w:sz w:val="24"/>
          <w:szCs w:val="24"/>
          <w:highlight w:val="none"/>
          <w:lang w:val="en-US" w:eastAsia="zh-CN" w:bidi="ar-SA"/>
        </w:rPr>
        <w:t>加强咨询服务全过程的质量控制，建立完整的咨询服务成果文件的咨询服务、复核、审核、会签和</w:t>
      </w:r>
      <w:r>
        <w:rPr>
          <w:rFonts w:hint="eastAsia" w:ascii="宋体" w:hAnsi="宋体" w:eastAsia="宋体" w:cs="宋体"/>
          <w:b w:val="0"/>
          <w:bCs w:val="0"/>
          <w:color w:val="auto"/>
          <w:sz w:val="24"/>
          <w:szCs w:val="24"/>
          <w:highlight w:val="none"/>
          <w:lang w:val="en-US" w:eastAsia="zh-CN" w:bidi="ar-SA"/>
        </w:rPr>
        <w:t>批准制度，明确各阶段的责任人。</w:t>
      </w:r>
    </w:p>
    <w:p w14:paraId="20C394CE">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9.1.3</w:t>
      </w:r>
      <w:r>
        <w:rPr>
          <w:rFonts w:hint="eastAsia" w:ascii="宋体" w:hAnsi="宋体" w:eastAsia="宋体" w:cs="宋体"/>
          <w:b w:val="0"/>
          <w:bCs w:val="0"/>
          <w:color w:val="auto"/>
          <w:spacing w:val="-2"/>
          <w:sz w:val="24"/>
          <w:szCs w:val="24"/>
          <w:highlight w:val="none"/>
          <w:lang w:val="en-US" w:eastAsia="zh-CN" w:bidi="ar-SA"/>
        </w:rPr>
        <w:t>咨询人应按合同约定对咨询服务进行全过程的质量检查和检验，并作详细记录，编制</w:t>
      </w:r>
      <w:r>
        <w:rPr>
          <w:rFonts w:hint="eastAsia" w:ascii="宋体" w:hAnsi="宋体" w:eastAsia="宋体" w:cs="宋体"/>
          <w:b w:val="0"/>
          <w:bCs w:val="0"/>
          <w:color w:val="auto"/>
          <w:sz w:val="24"/>
          <w:szCs w:val="24"/>
          <w:highlight w:val="none"/>
          <w:lang w:val="en-US" w:eastAsia="zh-CN" w:bidi="ar-SA"/>
        </w:rPr>
        <w:t>咨询服务工作质量报表，报送委托人审查。</w:t>
      </w:r>
    </w:p>
    <w:p w14:paraId="1E782F82">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9.1.4</w:t>
      </w:r>
      <w:r>
        <w:rPr>
          <w:rFonts w:hint="eastAsia" w:ascii="宋体" w:hAnsi="宋体" w:eastAsia="宋体" w:cs="宋体"/>
          <w:b w:val="0"/>
          <w:bCs w:val="0"/>
          <w:color w:val="auto"/>
          <w:spacing w:val="-2"/>
          <w:sz w:val="24"/>
          <w:szCs w:val="24"/>
          <w:highlight w:val="none"/>
          <w:lang w:val="en-US" w:eastAsia="zh-CN" w:bidi="ar-SA"/>
        </w:rPr>
        <w:t>委托人有权对咨询服务工作质量进行检查和审核。咨询人应为委托人的检查和检验提供方</w:t>
      </w:r>
      <w:r>
        <w:rPr>
          <w:rFonts w:hint="eastAsia" w:ascii="宋体" w:hAnsi="宋体" w:eastAsia="宋体" w:cs="宋体"/>
          <w:b w:val="0"/>
          <w:bCs w:val="0"/>
          <w:color w:val="auto"/>
          <w:spacing w:val="1"/>
          <w:sz w:val="24"/>
          <w:szCs w:val="24"/>
          <w:highlight w:val="none"/>
          <w:lang w:val="en-US" w:eastAsia="zh-CN" w:bidi="ar-SA"/>
        </w:rPr>
        <w:t>便，包括委托人到咨询服务场地或合同约定的其他地方进行察看，查阅、审核咨询服务的原始记录和其</w:t>
      </w:r>
      <w:r>
        <w:rPr>
          <w:rFonts w:hint="eastAsia" w:ascii="宋体" w:hAnsi="宋体" w:eastAsia="宋体" w:cs="宋体"/>
          <w:b w:val="0"/>
          <w:bCs w:val="0"/>
          <w:color w:val="auto"/>
          <w:sz w:val="24"/>
          <w:szCs w:val="24"/>
          <w:highlight w:val="none"/>
          <w:lang w:val="en-US" w:eastAsia="zh-CN" w:bidi="ar-SA"/>
        </w:rPr>
        <w:t>他文件。委托人的检查和审核，不免除咨询人按合同约定应负的责任。</w:t>
      </w:r>
    </w:p>
    <w:p w14:paraId="30C8EE7B">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55" w:name="_Toc508201333"/>
      <w:bookmarkStart w:id="456" w:name="_Toc506006116"/>
      <w:bookmarkStart w:id="457" w:name="_Toc508200396"/>
      <w:r>
        <w:rPr>
          <w:rFonts w:hint="eastAsia" w:ascii="宋体" w:hAnsi="宋体" w:eastAsia="宋体" w:cs="宋体"/>
          <w:b w:val="0"/>
          <w:bCs w:val="0"/>
          <w:color w:val="auto"/>
          <w:sz w:val="24"/>
          <w:szCs w:val="24"/>
          <w:highlight w:val="none"/>
          <w:lang w:val="en-US" w:eastAsia="zh-CN" w:bidi="ar-SA"/>
        </w:rPr>
        <w:t>9.2 咨询服务成果文件错误责任</w:t>
      </w:r>
      <w:bookmarkEnd w:id="455"/>
      <w:bookmarkEnd w:id="456"/>
      <w:bookmarkEnd w:id="457"/>
    </w:p>
    <w:p w14:paraId="3DB1FB7E">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9.2.1</w:t>
      </w:r>
      <w:r>
        <w:rPr>
          <w:rFonts w:hint="eastAsia" w:ascii="宋体" w:hAnsi="宋体" w:eastAsia="宋体" w:cs="宋体"/>
          <w:b w:val="0"/>
          <w:bCs w:val="0"/>
          <w:color w:val="auto"/>
          <w:spacing w:val="-2"/>
          <w:sz w:val="24"/>
          <w:szCs w:val="24"/>
          <w:highlight w:val="none"/>
          <w:lang w:val="en-US" w:eastAsia="zh-CN" w:bidi="ar-SA"/>
        </w:rPr>
        <w:t>咨询服务成果文件存在错误、遗漏、含混、矛盾、不充分之处或其他缺陷，无论咨询人是否通过了委托人审查或审查机构审查，咨询人均应自费对前述问题带来的缺陷和工程问题进行改正，</w:t>
      </w:r>
      <w:r>
        <w:rPr>
          <w:rFonts w:hint="eastAsia" w:ascii="宋体" w:hAnsi="宋体" w:eastAsia="宋体" w:cs="宋体"/>
          <w:b w:val="0"/>
          <w:bCs w:val="0"/>
          <w:color w:val="auto"/>
          <w:sz w:val="24"/>
          <w:szCs w:val="24"/>
          <w:highlight w:val="none"/>
          <w:lang w:val="en-US" w:eastAsia="zh-CN" w:bidi="ar-SA"/>
        </w:rPr>
        <w:t>但因第1.6.2项约定由委托人提供的文件错误导致的除外。</w:t>
      </w:r>
    </w:p>
    <w:p w14:paraId="51E0C1A7">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9.2.2</w:t>
      </w:r>
      <w:r>
        <w:rPr>
          <w:rFonts w:hint="eastAsia" w:ascii="宋体" w:hAnsi="宋体" w:eastAsia="宋体" w:cs="宋体"/>
          <w:b w:val="0"/>
          <w:bCs w:val="0"/>
          <w:color w:val="auto"/>
          <w:spacing w:val="-2"/>
          <w:sz w:val="24"/>
          <w:szCs w:val="24"/>
          <w:highlight w:val="none"/>
          <w:lang w:val="en-US" w:eastAsia="zh-CN" w:bidi="ar-SA"/>
        </w:rPr>
        <w:t>因咨询人原因造成咨询服务成果文件不合格的，委托人有权要求咨询人采取补救措施，直至达</w:t>
      </w:r>
      <w:r>
        <w:rPr>
          <w:rFonts w:hint="eastAsia" w:ascii="宋体" w:hAnsi="宋体" w:eastAsia="宋体" w:cs="宋体"/>
          <w:b w:val="0"/>
          <w:bCs w:val="0"/>
          <w:color w:val="auto"/>
          <w:sz w:val="24"/>
          <w:szCs w:val="24"/>
          <w:highlight w:val="none"/>
          <w:lang w:val="en-US" w:eastAsia="zh-CN" w:bidi="ar-SA"/>
        </w:rPr>
        <w:t>到合同要求的质量标准，并按第14.1款的约定承担责任。</w:t>
      </w:r>
    </w:p>
    <w:p w14:paraId="5CFB363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9.2.3</w:t>
      </w:r>
      <w:r>
        <w:rPr>
          <w:rFonts w:hint="eastAsia" w:ascii="宋体" w:hAnsi="宋体" w:eastAsia="宋体" w:cs="宋体"/>
          <w:b w:val="0"/>
          <w:bCs w:val="0"/>
          <w:color w:val="auto"/>
          <w:spacing w:val="-2"/>
          <w:sz w:val="24"/>
          <w:szCs w:val="24"/>
          <w:highlight w:val="none"/>
          <w:lang w:val="en-US" w:eastAsia="zh-CN" w:bidi="ar-SA"/>
        </w:rPr>
        <w:t>因委托人原因造成咨询服务成果文件不合格的，咨询人应当采取补救措施，直至达到合同要求</w:t>
      </w:r>
      <w:r>
        <w:rPr>
          <w:rFonts w:hint="eastAsia" w:ascii="宋体" w:hAnsi="宋体" w:eastAsia="宋体" w:cs="宋体"/>
          <w:b w:val="0"/>
          <w:bCs w:val="0"/>
          <w:color w:val="auto"/>
          <w:sz w:val="24"/>
          <w:szCs w:val="24"/>
          <w:highlight w:val="none"/>
          <w:lang w:val="en-US" w:eastAsia="zh-CN" w:bidi="ar-SA"/>
        </w:rPr>
        <w:t>的质量标准，由此造成的咨询服务费用增加和（或）咨询服务期限延误由委托人承担。</w:t>
      </w:r>
    </w:p>
    <w:p w14:paraId="1CDBAD74">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58" w:name="_Toc508200397"/>
      <w:bookmarkStart w:id="459" w:name="_Toc506006117"/>
      <w:bookmarkStart w:id="460" w:name="_Toc508201334"/>
      <w:r>
        <w:rPr>
          <w:rFonts w:hint="eastAsia" w:ascii="宋体" w:hAnsi="宋体" w:eastAsia="宋体" w:cs="宋体"/>
          <w:b w:val="0"/>
          <w:bCs w:val="0"/>
          <w:color w:val="auto"/>
          <w:sz w:val="24"/>
          <w:szCs w:val="24"/>
          <w:highlight w:val="none"/>
          <w:lang w:val="en-US" w:eastAsia="zh-CN" w:bidi="ar-SA"/>
        </w:rPr>
        <w:t>9.3 咨询服务责任主体</w:t>
      </w:r>
      <w:bookmarkEnd w:id="458"/>
      <w:bookmarkEnd w:id="459"/>
      <w:bookmarkEnd w:id="460"/>
    </w:p>
    <w:p w14:paraId="05548374">
      <w:pPr>
        <w:pageBreakBefore w:val="0"/>
        <w:kinsoku/>
        <w:wordWrap/>
        <w:overflowPunct/>
        <w:topLinePunct w:val="0"/>
        <w:autoSpaceDE/>
        <w:autoSpaceDN/>
        <w:bidi w:val="0"/>
        <w:spacing w:before="0" w:after="0" w:line="440" w:lineRule="exact"/>
        <w:ind w:firstLine="472"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2"/>
          <w:sz w:val="24"/>
          <w:szCs w:val="24"/>
          <w:highlight w:val="none"/>
          <w:lang w:val="en-US" w:eastAsia="zh-CN" w:bidi="ar-SA"/>
        </w:rPr>
        <w:t>咨询人应运用一切合理的专业技术、知识技能和项目经验，按照职业道德准则和行业</w:t>
      </w:r>
      <w:r>
        <w:rPr>
          <w:rFonts w:hint="eastAsia" w:ascii="宋体" w:hAnsi="宋体" w:eastAsia="宋体" w:cs="宋体"/>
          <w:b w:val="0"/>
          <w:bCs w:val="0"/>
          <w:color w:val="auto"/>
          <w:sz w:val="24"/>
          <w:szCs w:val="24"/>
          <w:highlight w:val="none"/>
          <w:lang w:val="en-US" w:eastAsia="zh-CN" w:bidi="ar-SA"/>
        </w:rPr>
        <w:t>公认标准尽其全部职责，勤勉、谨慎、公正地履行其在本合同项下的责任和义务。</w:t>
      </w:r>
    </w:p>
    <w:p w14:paraId="3FEEF125">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 xml:space="preserve">9.4 咨询保险 </w:t>
      </w:r>
    </w:p>
    <w:p w14:paraId="45A308BA">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 xml:space="preserve">除专用合同条款另有约定外，咨询人宜具有委托人认可的、履行本合同所需要的工程相关保险并使其于合同责任期内保持有效。 </w:t>
      </w:r>
    </w:p>
    <w:p w14:paraId="0D88AEDA">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工程相关保险应承担由于咨询人的疏忽或过失而引发的工程质量事故所造成的建设工程本身的物质损失以及第三者人身伤亡、财产损失或费用的赔偿责任。</w:t>
      </w:r>
    </w:p>
    <w:p w14:paraId="1DE30B19">
      <w:pPr>
        <w:pageBreakBefore w:val="0"/>
        <w:kinsoku/>
        <w:wordWrap/>
        <w:overflowPunct/>
        <w:topLinePunct w:val="0"/>
        <w:autoSpaceDE/>
        <w:autoSpaceDN/>
        <w:bidi w:val="0"/>
        <w:spacing w:before="0" w:after="0" w:line="440" w:lineRule="exact"/>
        <w:ind w:firstLine="484" w:firstLineChars="200"/>
        <w:jc w:val="both"/>
        <w:outlineLvl w:val="1"/>
        <w:rPr>
          <w:rFonts w:hint="eastAsia" w:ascii="宋体" w:hAnsi="宋体" w:eastAsia="宋体" w:cs="宋体"/>
          <w:b w:val="0"/>
          <w:bCs w:val="0"/>
          <w:color w:val="auto"/>
          <w:spacing w:val="1"/>
          <w:sz w:val="24"/>
          <w:szCs w:val="24"/>
          <w:highlight w:val="none"/>
          <w:lang w:val="en-US" w:eastAsia="zh-CN" w:bidi="ar-SA"/>
        </w:rPr>
      </w:pPr>
      <w:bookmarkStart w:id="461" w:name="_Toc506006119"/>
      <w:bookmarkStart w:id="462" w:name="_Toc508201335"/>
      <w:bookmarkStart w:id="463" w:name="_Toc513817610"/>
      <w:bookmarkStart w:id="464" w:name="_Toc508200398"/>
      <w:r>
        <w:rPr>
          <w:rFonts w:hint="eastAsia" w:ascii="宋体" w:hAnsi="宋体" w:eastAsia="宋体" w:cs="宋体"/>
          <w:b w:val="0"/>
          <w:bCs w:val="0"/>
          <w:color w:val="auto"/>
          <w:spacing w:val="1"/>
          <w:sz w:val="24"/>
          <w:szCs w:val="24"/>
          <w:highlight w:val="none"/>
          <w:lang w:val="en-US" w:eastAsia="zh-CN" w:bidi="ar-SA"/>
        </w:rPr>
        <w:t>10. 施工期间配合</w:t>
      </w:r>
      <w:bookmarkEnd w:id="461"/>
      <w:bookmarkEnd w:id="462"/>
      <w:bookmarkEnd w:id="463"/>
      <w:bookmarkEnd w:id="464"/>
    </w:p>
    <w:p w14:paraId="5EC479A1">
      <w:pPr>
        <w:pageBreakBefore w:val="0"/>
        <w:kinsoku/>
        <w:wordWrap/>
        <w:overflowPunct/>
        <w:topLinePunct w:val="0"/>
        <w:autoSpaceDE/>
        <w:autoSpaceDN/>
        <w:bidi w:val="0"/>
        <w:spacing w:before="0" w:after="0" w:line="440" w:lineRule="exact"/>
        <w:ind w:firstLine="472" w:firstLineChars="200"/>
        <w:jc w:val="both"/>
        <w:rPr>
          <w:rFonts w:hint="eastAsia" w:ascii="宋体" w:hAnsi="宋体" w:eastAsia="宋体" w:cs="宋体"/>
          <w:b w:val="0"/>
          <w:bCs w:val="0"/>
          <w:color w:val="auto"/>
          <w:spacing w:val="-2"/>
          <w:sz w:val="24"/>
          <w:szCs w:val="24"/>
          <w:highlight w:val="none"/>
          <w:lang w:val="en-US" w:eastAsia="zh-CN" w:bidi="ar-SA"/>
        </w:rPr>
      </w:pPr>
      <w:r>
        <w:rPr>
          <w:rFonts w:hint="eastAsia" w:ascii="宋体" w:hAnsi="宋体" w:eastAsia="宋体" w:cs="宋体"/>
          <w:b w:val="0"/>
          <w:bCs w:val="0"/>
          <w:color w:val="auto"/>
          <w:spacing w:val="-2"/>
          <w:sz w:val="24"/>
          <w:szCs w:val="24"/>
          <w:highlight w:val="none"/>
          <w:lang w:val="en-US" w:eastAsia="zh-CN" w:bidi="ar-SA"/>
        </w:rPr>
        <w:t>10.1 施工配合指咨询人配合施工承包人，在施工期间提供的咨询服务或其他配合工作，直至工程通过竣工验收为止。</w:t>
      </w:r>
    </w:p>
    <w:p w14:paraId="16B193D9">
      <w:pPr>
        <w:pageBreakBefore w:val="0"/>
        <w:kinsoku/>
        <w:wordWrap/>
        <w:overflowPunct/>
        <w:topLinePunct w:val="0"/>
        <w:autoSpaceDE/>
        <w:autoSpaceDN/>
        <w:bidi w:val="0"/>
        <w:spacing w:before="0" w:after="0" w:line="440" w:lineRule="exact"/>
        <w:ind w:firstLine="472" w:firstLineChars="200"/>
        <w:jc w:val="both"/>
        <w:rPr>
          <w:rFonts w:hint="eastAsia" w:ascii="宋体" w:hAnsi="宋体" w:eastAsia="宋体" w:cs="宋体"/>
          <w:b w:val="0"/>
          <w:bCs w:val="0"/>
          <w:color w:val="auto"/>
          <w:spacing w:val="-2"/>
          <w:sz w:val="24"/>
          <w:szCs w:val="24"/>
          <w:highlight w:val="none"/>
          <w:lang w:val="en-US" w:eastAsia="zh-CN" w:bidi="ar-SA"/>
        </w:rPr>
      </w:pPr>
      <w:r>
        <w:rPr>
          <w:rFonts w:hint="eastAsia" w:ascii="宋体" w:hAnsi="宋体" w:eastAsia="宋体" w:cs="宋体"/>
          <w:b w:val="0"/>
          <w:bCs w:val="0"/>
          <w:color w:val="auto"/>
          <w:spacing w:val="-2"/>
          <w:sz w:val="24"/>
          <w:szCs w:val="24"/>
          <w:highlight w:val="none"/>
          <w:lang w:val="en-US" w:eastAsia="zh-CN" w:bidi="ar-SA"/>
        </w:rPr>
        <w:t>10.2 除专用合同条款另有约定外，委托人应为咨询人派赴施工现场的工作人员，在施工期间提供办公房间、办公桌椅、互联网接口、冷暖设施、生活设施、进出现场交通服务和其他便利条件。</w:t>
      </w:r>
    </w:p>
    <w:p w14:paraId="4294D840">
      <w:pPr>
        <w:pageBreakBefore w:val="0"/>
        <w:kinsoku/>
        <w:wordWrap/>
        <w:overflowPunct/>
        <w:topLinePunct w:val="0"/>
        <w:autoSpaceDE/>
        <w:autoSpaceDN/>
        <w:bidi w:val="0"/>
        <w:spacing w:before="0" w:after="0" w:line="440" w:lineRule="exact"/>
        <w:ind w:firstLine="472" w:firstLineChars="200"/>
        <w:jc w:val="both"/>
        <w:rPr>
          <w:rFonts w:hint="eastAsia" w:ascii="宋体" w:hAnsi="宋体" w:eastAsia="宋体" w:cs="宋体"/>
          <w:b w:val="0"/>
          <w:bCs w:val="0"/>
          <w:color w:val="auto"/>
          <w:spacing w:val="-2"/>
          <w:sz w:val="24"/>
          <w:szCs w:val="24"/>
          <w:highlight w:val="none"/>
          <w:lang w:val="en-US" w:eastAsia="zh-CN" w:bidi="ar-SA"/>
        </w:rPr>
      </w:pPr>
      <w:r>
        <w:rPr>
          <w:rFonts w:hint="eastAsia" w:ascii="宋体" w:hAnsi="宋体" w:eastAsia="宋体" w:cs="宋体"/>
          <w:b w:val="0"/>
          <w:bCs w:val="0"/>
          <w:color w:val="auto"/>
          <w:spacing w:val="-2"/>
          <w:sz w:val="24"/>
          <w:szCs w:val="24"/>
          <w:highlight w:val="none"/>
          <w:lang w:val="en-US" w:eastAsia="zh-CN" w:bidi="ar-SA"/>
        </w:rPr>
        <w:t>10.3咨询人应在本工程的施工期间，积极提供咨询服务，包括并不限于咨询服务技术交底、施工现场咨询服务、参与施工过程验收、参与投产试车（试运行）、参与工程竣工验收等工作。</w:t>
      </w:r>
    </w:p>
    <w:p w14:paraId="73E18D78">
      <w:pPr>
        <w:pageBreakBefore w:val="0"/>
        <w:kinsoku/>
        <w:wordWrap/>
        <w:overflowPunct/>
        <w:topLinePunct w:val="0"/>
        <w:autoSpaceDE/>
        <w:autoSpaceDN/>
        <w:bidi w:val="0"/>
        <w:spacing w:before="0" w:after="0" w:line="440" w:lineRule="exact"/>
        <w:ind w:firstLine="472" w:firstLineChars="200"/>
        <w:jc w:val="both"/>
        <w:rPr>
          <w:rFonts w:hint="eastAsia" w:ascii="宋体" w:hAnsi="宋体" w:eastAsia="宋体" w:cs="宋体"/>
          <w:b w:val="0"/>
          <w:bCs w:val="0"/>
          <w:color w:val="auto"/>
          <w:spacing w:val="-2"/>
          <w:sz w:val="24"/>
          <w:szCs w:val="24"/>
          <w:highlight w:val="none"/>
          <w:lang w:val="en-US" w:eastAsia="zh-CN" w:bidi="ar-SA"/>
        </w:rPr>
      </w:pPr>
      <w:r>
        <w:rPr>
          <w:rFonts w:hint="eastAsia" w:ascii="宋体" w:hAnsi="宋体" w:eastAsia="宋体" w:cs="宋体"/>
          <w:b w:val="0"/>
          <w:bCs w:val="0"/>
          <w:color w:val="auto"/>
          <w:spacing w:val="-2"/>
          <w:sz w:val="24"/>
          <w:szCs w:val="24"/>
          <w:highlight w:val="none"/>
          <w:lang w:val="en-US" w:eastAsia="zh-CN" w:bidi="ar-SA"/>
        </w:rPr>
        <w:t>10.4委托人应当组织咨询服务技术交底会，由咨询人向委托人、监理人和施工承包人等进行咨询服务交底，对本工程的咨询服务意图、咨询服务成果文件和施工要求等进行系统地说明和解释。</w:t>
      </w:r>
    </w:p>
    <w:p w14:paraId="0E06B585">
      <w:pPr>
        <w:pageBreakBefore w:val="0"/>
        <w:kinsoku/>
        <w:wordWrap/>
        <w:overflowPunct/>
        <w:topLinePunct w:val="0"/>
        <w:autoSpaceDE/>
        <w:autoSpaceDN/>
        <w:bidi w:val="0"/>
        <w:spacing w:before="0" w:after="0" w:line="440" w:lineRule="exact"/>
        <w:ind w:firstLine="472" w:firstLineChars="200"/>
        <w:jc w:val="both"/>
        <w:rPr>
          <w:rFonts w:hint="eastAsia" w:ascii="宋体" w:hAnsi="宋体" w:eastAsia="宋体" w:cs="宋体"/>
          <w:b w:val="0"/>
          <w:bCs w:val="0"/>
          <w:color w:val="auto"/>
          <w:spacing w:val="-2"/>
          <w:sz w:val="24"/>
          <w:szCs w:val="24"/>
          <w:highlight w:val="none"/>
          <w:lang w:val="en-US" w:eastAsia="zh-CN" w:bidi="ar-SA"/>
        </w:rPr>
      </w:pPr>
      <w:r>
        <w:rPr>
          <w:rFonts w:hint="eastAsia" w:ascii="宋体" w:hAnsi="宋体" w:eastAsia="宋体" w:cs="宋体"/>
          <w:b w:val="0"/>
          <w:bCs w:val="0"/>
          <w:color w:val="auto"/>
          <w:spacing w:val="-2"/>
          <w:sz w:val="24"/>
          <w:szCs w:val="24"/>
          <w:highlight w:val="none"/>
          <w:lang w:val="en-US" w:eastAsia="zh-CN" w:bidi="ar-SA"/>
        </w:rPr>
        <w:t>10.5工程施工完毕后，委托人应当组织投产试车（试运行）和工程竣工验收，咨询人参加验收并出具本单位的验收结论。如因咨询服务原因致使工程不合格的，咨询人应当承担违约责任，免费修改咨询服务成果文件和赔偿委托人由此产生的经济损失。</w:t>
      </w:r>
    </w:p>
    <w:p w14:paraId="01E487CB">
      <w:pPr>
        <w:pageBreakBefore w:val="0"/>
        <w:kinsoku/>
        <w:wordWrap/>
        <w:overflowPunct/>
        <w:topLinePunct w:val="0"/>
        <w:autoSpaceDE/>
        <w:autoSpaceDN/>
        <w:bidi w:val="0"/>
        <w:spacing w:before="0" w:after="0" w:line="440" w:lineRule="exact"/>
        <w:ind w:firstLine="484" w:firstLineChars="200"/>
        <w:jc w:val="both"/>
        <w:outlineLvl w:val="1"/>
        <w:rPr>
          <w:rFonts w:hint="eastAsia" w:ascii="宋体" w:hAnsi="宋体" w:eastAsia="宋体" w:cs="宋体"/>
          <w:b w:val="0"/>
          <w:bCs w:val="0"/>
          <w:color w:val="auto"/>
          <w:spacing w:val="1"/>
          <w:sz w:val="24"/>
          <w:szCs w:val="24"/>
          <w:highlight w:val="none"/>
          <w:lang w:val="en-US" w:eastAsia="zh-CN" w:bidi="ar-SA"/>
        </w:rPr>
      </w:pPr>
      <w:bookmarkStart w:id="465" w:name="_Toc508201336"/>
      <w:bookmarkStart w:id="466" w:name="_Toc513817611"/>
      <w:bookmarkStart w:id="467" w:name="_Toc506006120"/>
      <w:bookmarkStart w:id="468" w:name="_Toc508200399"/>
      <w:r>
        <w:rPr>
          <w:rFonts w:hint="eastAsia" w:ascii="宋体" w:hAnsi="宋体" w:eastAsia="宋体" w:cs="宋体"/>
          <w:b w:val="0"/>
          <w:bCs w:val="0"/>
          <w:color w:val="auto"/>
          <w:spacing w:val="1"/>
          <w:sz w:val="24"/>
          <w:szCs w:val="24"/>
          <w:highlight w:val="none"/>
          <w:lang w:val="en-US" w:eastAsia="zh-CN" w:bidi="ar-SA"/>
        </w:rPr>
        <w:t>11. 合同变更</w:t>
      </w:r>
      <w:bookmarkEnd w:id="465"/>
      <w:bookmarkEnd w:id="466"/>
      <w:bookmarkEnd w:id="467"/>
      <w:bookmarkEnd w:id="468"/>
    </w:p>
    <w:p w14:paraId="73368630">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69" w:name="_Toc506006121"/>
      <w:bookmarkStart w:id="470" w:name="_Toc508201337"/>
      <w:bookmarkStart w:id="471" w:name="_Toc508200400"/>
      <w:r>
        <w:rPr>
          <w:rFonts w:hint="eastAsia" w:ascii="宋体" w:hAnsi="宋体" w:eastAsia="宋体" w:cs="宋体"/>
          <w:b w:val="0"/>
          <w:bCs w:val="0"/>
          <w:color w:val="auto"/>
          <w:sz w:val="24"/>
          <w:szCs w:val="24"/>
          <w:highlight w:val="none"/>
          <w:lang w:val="en-US" w:eastAsia="zh-CN" w:bidi="ar-SA"/>
        </w:rPr>
        <w:t>11.1 变更情形</w:t>
      </w:r>
      <w:bookmarkEnd w:id="469"/>
      <w:bookmarkEnd w:id="470"/>
      <w:bookmarkEnd w:id="471"/>
    </w:p>
    <w:p w14:paraId="639DE1B1">
      <w:pPr>
        <w:pageBreakBefore w:val="0"/>
        <w:kinsoku/>
        <w:wordWrap/>
        <w:overflowPunct/>
        <w:topLinePunct w:val="0"/>
        <w:autoSpaceDE/>
        <w:autoSpaceDN/>
        <w:bidi w:val="0"/>
        <w:spacing w:before="0" w:after="0" w:line="440" w:lineRule="exact"/>
        <w:ind w:firstLine="476"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11.1.1</w:t>
      </w:r>
      <w:r>
        <w:rPr>
          <w:rFonts w:hint="eastAsia" w:ascii="宋体" w:hAnsi="宋体" w:eastAsia="宋体" w:cs="宋体"/>
          <w:b w:val="0"/>
          <w:bCs w:val="0"/>
          <w:color w:val="auto"/>
          <w:spacing w:val="1"/>
          <w:sz w:val="24"/>
          <w:szCs w:val="24"/>
          <w:highlight w:val="none"/>
          <w:lang w:val="en-US" w:eastAsia="zh-CN" w:bidi="ar-SA"/>
        </w:rPr>
        <w:t>合同履行中发生下述情形时，合同一方均可向对方提出变更请求，经双方协商一致</w:t>
      </w:r>
      <w:r>
        <w:rPr>
          <w:rFonts w:hint="eastAsia" w:ascii="宋体" w:hAnsi="宋体" w:eastAsia="宋体" w:cs="宋体"/>
          <w:b w:val="0"/>
          <w:bCs w:val="0"/>
          <w:color w:val="auto"/>
          <w:sz w:val="24"/>
          <w:szCs w:val="24"/>
          <w:highlight w:val="none"/>
          <w:lang w:val="en-US" w:eastAsia="zh-CN" w:bidi="ar-SA"/>
        </w:rPr>
        <w:t>后进行变更，咨询服务期限和咨询服务费用的调整方法在专用合同条款中约定。</w:t>
      </w:r>
    </w:p>
    <w:p w14:paraId="5C94DDD6">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）咨询服务范围发生变化；</w:t>
      </w:r>
    </w:p>
    <w:p w14:paraId="5CB0F4CB">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）除不可抗力外，非咨询人的原因引起的周期延误；</w:t>
      </w:r>
    </w:p>
    <w:p w14:paraId="0E17B2B9">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bidi="ar-SA"/>
        </w:rPr>
        <w:t>）非咨询人的原因，全部或部分重复进行咨询服务；</w:t>
      </w:r>
    </w:p>
    <w:p w14:paraId="09938FB6">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（4</w:t>
      </w:r>
      <w:r>
        <w:rPr>
          <w:rFonts w:hint="eastAsia" w:ascii="宋体" w:hAnsi="宋体" w:eastAsia="宋体" w:cs="宋体"/>
          <w:b w:val="0"/>
          <w:bCs w:val="0"/>
          <w:color w:val="auto"/>
          <w:sz w:val="24"/>
          <w:szCs w:val="24"/>
          <w:highlight w:val="none"/>
          <w:lang w:val="en-US" w:eastAsia="zh-CN" w:bidi="ar-SA"/>
        </w:rPr>
        <w:t>）非咨询人的原因，暂停咨询服务及恢复咨询服务。</w:t>
      </w:r>
    </w:p>
    <w:p w14:paraId="444FA21C">
      <w:pPr>
        <w:pageBreakBefore w:val="0"/>
        <w:kinsoku/>
        <w:wordWrap/>
        <w:overflowPunct/>
        <w:topLinePunct w:val="0"/>
        <w:autoSpaceDE/>
        <w:autoSpaceDN/>
        <w:bidi w:val="0"/>
        <w:spacing w:before="0" w:after="0" w:line="440" w:lineRule="exact"/>
        <w:ind w:firstLine="476"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11.1.2</w:t>
      </w:r>
      <w:r>
        <w:rPr>
          <w:rFonts w:hint="eastAsia" w:ascii="宋体" w:hAnsi="宋体" w:eastAsia="宋体" w:cs="宋体"/>
          <w:b w:val="0"/>
          <w:bCs w:val="0"/>
          <w:color w:val="auto"/>
          <w:spacing w:val="-5"/>
          <w:sz w:val="24"/>
          <w:szCs w:val="24"/>
          <w:highlight w:val="none"/>
          <w:lang w:val="en-US" w:eastAsia="zh-CN" w:bidi="ar-SA"/>
        </w:rPr>
        <w:t>基准日后，因颁布新的或修订原有法律、法规、规范和标准等引发合同变更情形的，</w:t>
      </w:r>
      <w:r>
        <w:rPr>
          <w:rFonts w:hint="eastAsia" w:ascii="宋体" w:hAnsi="宋体" w:eastAsia="宋体" w:cs="宋体"/>
          <w:b w:val="0"/>
          <w:bCs w:val="0"/>
          <w:color w:val="auto"/>
          <w:sz w:val="24"/>
          <w:szCs w:val="24"/>
          <w:highlight w:val="none"/>
          <w:lang w:val="en-US" w:eastAsia="zh-CN" w:bidi="ar-SA"/>
        </w:rPr>
        <w:t>按照上述约定进行调整。</w:t>
      </w:r>
    </w:p>
    <w:p w14:paraId="36AF9EE6">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72" w:name="_Toc508200401"/>
      <w:bookmarkStart w:id="473" w:name="_Toc508201338"/>
      <w:bookmarkStart w:id="474" w:name="_Toc506006122"/>
      <w:r>
        <w:rPr>
          <w:rFonts w:hint="eastAsia" w:ascii="宋体" w:hAnsi="宋体" w:eastAsia="宋体" w:cs="宋体"/>
          <w:b w:val="0"/>
          <w:bCs w:val="0"/>
          <w:color w:val="auto"/>
          <w:sz w:val="24"/>
          <w:szCs w:val="24"/>
          <w:highlight w:val="none"/>
          <w:lang w:val="en-US" w:eastAsia="zh-CN" w:bidi="ar-SA"/>
        </w:rPr>
        <w:t>11.2 合理化建议</w:t>
      </w:r>
      <w:bookmarkEnd w:id="472"/>
      <w:bookmarkEnd w:id="473"/>
      <w:bookmarkEnd w:id="474"/>
    </w:p>
    <w:p w14:paraId="7E89948C">
      <w:pPr>
        <w:pageBreakBefore w:val="0"/>
        <w:kinsoku/>
        <w:wordWrap/>
        <w:overflowPunct/>
        <w:topLinePunct w:val="0"/>
        <w:autoSpaceDE/>
        <w:autoSpaceDN/>
        <w:bidi w:val="0"/>
        <w:spacing w:before="0" w:after="0" w:line="440" w:lineRule="exact"/>
        <w:ind w:firstLine="476"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11.2.1</w:t>
      </w:r>
      <w:r>
        <w:rPr>
          <w:rFonts w:hint="eastAsia" w:ascii="宋体" w:hAnsi="宋体" w:eastAsia="宋体" w:cs="宋体"/>
          <w:b w:val="0"/>
          <w:bCs w:val="0"/>
          <w:color w:val="auto"/>
          <w:spacing w:val="1"/>
          <w:sz w:val="24"/>
          <w:szCs w:val="24"/>
          <w:highlight w:val="none"/>
          <w:lang w:val="en-US" w:eastAsia="zh-CN" w:bidi="ar-SA"/>
        </w:rPr>
        <w:t>合同履行中，咨询人可对委托人要求提出合理化建议。合理化建议应以书面形式提</w:t>
      </w:r>
      <w:r>
        <w:rPr>
          <w:rFonts w:hint="eastAsia" w:ascii="宋体" w:hAnsi="宋体" w:eastAsia="宋体" w:cs="宋体"/>
          <w:b w:val="0"/>
          <w:bCs w:val="0"/>
          <w:color w:val="auto"/>
          <w:sz w:val="24"/>
          <w:szCs w:val="24"/>
          <w:highlight w:val="none"/>
          <w:lang w:val="en-US" w:eastAsia="zh-CN" w:bidi="ar-SA"/>
        </w:rPr>
        <w:t>交委托人，被委托人采纳并构成变更的，执行第</w:t>
      </w:r>
      <w:r>
        <w:rPr>
          <w:rFonts w:hint="eastAsia" w:ascii="宋体" w:hAnsi="宋体" w:eastAsia="宋体" w:cs="宋体"/>
          <w:b w:val="0"/>
          <w:bCs w:val="0"/>
          <w:color w:val="auto"/>
          <w:spacing w:val="-3"/>
          <w:sz w:val="24"/>
          <w:szCs w:val="24"/>
          <w:highlight w:val="none"/>
          <w:lang w:val="en-US" w:eastAsia="zh-CN" w:bidi="ar-SA"/>
        </w:rPr>
        <w:t>11.1</w:t>
      </w:r>
      <w:r>
        <w:rPr>
          <w:rFonts w:hint="eastAsia" w:ascii="宋体" w:hAnsi="宋体" w:eastAsia="宋体" w:cs="宋体"/>
          <w:b w:val="0"/>
          <w:bCs w:val="0"/>
          <w:color w:val="auto"/>
          <w:sz w:val="24"/>
          <w:szCs w:val="24"/>
          <w:highlight w:val="none"/>
          <w:lang w:val="en-US" w:eastAsia="zh-CN" w:bidi="ar-SA"/>
        </w:rPr>
        <w:t>款约定。</w:t>
      </w:r>
    </w:p>
    <w:p w14:paraId="0C35F488">
      <w:pPr>
        <w:pageBreakBefore w:val="0"/>
        <w:kinsoku/>
        <w:wordWrap/>
        <w:overflowPunct/>
        <w:topLinePunct w:val="0"/>
        <w:autoSpaceDE/>
        <w:autoSpaceDN/>
        <w:bidi w:val="0"/>
        <w:spacing w:before="0" w:after="0" w:line="440" w:lineRule="exact"/>
        <w:ind w:firstLine="476"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11.2.2 咨询人提出的合理化建议能给委托人增加收益或减少损失的，委托人可以给与奖励，奖励</w:t>
      </w:r>
      <w:r>
        <w:rPr>
          <w:rFonts w:hint="eastAsia" w:ascii="宋体" w:hAnsi="宋体" w:eastAsia="宋体" w:cs="宋体"/>
          <w:b w:val="0"/>
          <w:bCs w:val="0"/>
          <w:color w:val="auto"/>
          <w:spacing w:val="1"/>
          <w:sz w:val="24"/>
          <w:szCs w:val="24"/>
          <w:highlight w:val="none"/>
          <w:lang w:val="en-US" w:eastAsia="zh-CN" w:bidi="ar-SA"/>
        </w:rPr>
        <w:t>的方式</w:t>
      </w:r>
      <w:r>
        <w:rPr>
          <w:rFonts w:hint="eastAsia" w:ascii="宋体" w:hAnsi="宋体" w:eastAsia="宋体" w:cs="宋体"/>
          <w:b w:val="0"/>
          <w:bCs w:val="0"/>
          <w:color w:val="auto"/>
          <w:sz w:val="24"/>
          <w:szCs w:val="24"/>
          <w:highlight w:val="none"/>
          <w:lang w:val="en-US" w:eastAsia="zh-CN" w:bidi="ar-SA"/>
        </w:rPr>
        <w:t>在专用合同条款中约定。</w:t>
      </w:r>
    </w:p>
    <w:p w14:paraId="5CE5AB51">
      <w:pPr>
        <w:pageBreakBefore w:val="0"/>
        <w:kinsoku/>
        <w:wordWrap/>
        <w:overflowPunct/>
        <w:topLinePunct w:val="0"/>
        <w:autoSpaceDE/>
        <w:autoSpaceDN/>
        <w:bidi w:val="0"/>
        <w:spacing w:before="0" w:after="0" w:line="440" w:lineRule="exact"/>
        <w:ind w:firstLine="484" w:firstLineChars="200"/>
        <w:jc w:val="both"/>
        <w:outlineLvl w:val="1"/>
        <w:rPr>
          <w:rFonts w:hint="eastAsia" w:ascii="宋体" w:hAnsi="宋体" w:eastAsia="宋体" w:cs="宋体"/>
          <w:b w:val="0"/>
          <w:bCs w:val="0"/>
          <w:color w:val="auto"/>
          <w:spacing w:val="1"/>
          <w:sz w:val="24"/>
          <w:szCs w:val="24"/>
          <w:highlight w:val="none"/>
          <w:lang w:val="en-US" w:eastAsia="zh-CN" w:bidi="ar-SA"/>
        </w:rPr>
      </w:pPr>
      <w:bookmarkStart w:id="475" w:name="_Toc513817612"/>
      <w:bookmarkStart w:id="476" w:name="_Toc506006123"/>
      <w:bookmarkStart w:id="477" w:name="_Toc508201339"/>
      <w:r>
        <w:rPr>
          <w:rFonts w:hint="eastAsia" w:ascii="宋体" w:hAnsi="宋体" w:eastAsia="宋体" w:cs="宋体"/>
          <w:b w:val="0"/>
          <w:bCs w:val="0"/>
          <w:color w:val="auto"/>
          <w:spacing w:val="1"/>
          <w:sz w:val="24"/>
          <w:szCs w:val="24"/>
          <w:highlight w:val="none"/>
          <w:lang w:val="en-US" w:eastAsia="zh-CN" w:bidi="ar-SA"/>
        </w:rPr>
        <w:t>12. 合同价格与支付</w:t>
      </w:r>
      <w:bookmarkEnd w:id="475"/>
      <w:bookmarkEnd w:id="476"/>
      <w:bookmarkEnd w:id="477"/>
    </w:p>
    <w:p w14:paraId="7551CB45">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78" w:name="_Toc506006124"/>
      <w:bookmarkStart w:id="479" w:name="_Toc508201340"/>
      <w:bookmarkStart w:id="480" w:name="_Toc508200402"/>
      <w:r>
        <w:rPr>
          <w:rFonts w:hint="eastAsia" w:ascii="宋体" w:hAnsi="宋体" w:eastAsia="宋体" w:cs="宋体"/>
          <w:b w:val="0"/>
          <w:bCs w:val="0"/>
          <w:color w:val="auto"/>
          <w:sz w:val="24"/>
          <w:szCs w:val="24"/>
          <w:highlight w:val="none"/>
          <w:lang w:val="en-US" w:eastAsia="zh-CN" w:bidi="ar-SA"/>
        </w:rPr>
        <w:t>12.1 合同价格</w:t>
      </w:r>
      <w:bookmarkEnd w:id="478"/>
      <w:bookmarkEnd w:id="479"/>
      <w:bookmarkEnd w:id="480"/>
    </w:p>
    <w:p w14:paraId="06708D4E">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12.1.1本合同的价款确定方式、调整方式和风险范围划分，在专用合同条款中约定。</w:t>
      </w:r>
    </w:p>
    <w:p w14:paraId="43F45728">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12.1.2</w:t>
      </w:r>
      <w:r>
        <w:rPr>
          <w:rFonts w:hint="eastAsia" w:ascii="宋体" w:hAnsi="宋体" w:eastAsia="宋体" w:cs="宋体"/>
          <w:b w:val="0"/>
          <w:bCs w:val="0"/>
          <w:color w:val="auto"/>
          <w:spacing w:val="1"/>
          <w:sz w:val="24"/>
          <w:szCs w:val="24"/>
          <w:highlight w:val="none"/>
          <w:lang w:val="en-US" w:eastAsia="zh-CN" w:bidi="ar-SA"/>
        </w:rPr>
        <w:t>咨询服务费用实行委托人签证制度，即咨询人完成咨询服务项目后通知委托人进行验收，通过验收后由委托人代表对实施的咨询服务项目、数量、质量和实施时间签字确认，以此作为计算咨询服务</w:t>
      </w:r>
      <w:r>
        <w:rPr>
          <w:rFonts w:hint="eastAsia" w:ascii="宋体" w:hAnsi="宋体" w:eastAsia="宋体" w:cs="宋体"/>
          <w:b w:val="0"/>
          <w:bCs w:val="0"/>
          <w:color w:val="auto"/>
          <w:sz w:val="24"/>
          <w:szCs w:val="24"/>
          <w:highlight w:val="none"/>
          <w:lang w:val="en-US" w:eastAsia="zh-CN" w:bidi="ar-SA"/>
        </w:rPr>
        <w:t>费用的依据之一。</w:t>
      </w:r>
    </w:p>
    <w:p w14:paraId="2CF51A4F">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12.1.3</w:t>
      </w:r>
      <w:r>
        <w:rPr>
          <w:rFonts w:hint="eastAsia" w:ascii="宋体" w:hAnsi="宋体" w:eastAsia="宋体" w:cs="宋体"/>
          <w:b w:val="0"/>
          <w:bCs w:val="0"/>
          <w:color w:val="auto"/>
          <w:spacing w:val="1"/>
          <w:sz w:val="24"/>
          <w:szCs w:val="24"/>
          <w:highlight w:val="none"/>
          <w:lang w:val="en-US" w:eastAsia="zh-CN" w:bidi="ar-SA"/>
        </w:rPr>
        <w:t>除专用合同条款另有约定外，合同价格应当包括收集资料，踏勘现场，进行咨询服务、</w:t>
      </w:r>
      <w:r>
        <w:rPr>
          <w:rFonts w:hint="eastAsia" w:ascii="宋体" w:hAnsi="宋体" w:eastAsia="宋体" w:cs="宋体"/>
          <w:b w:val="0"/>
          <w:bCs w:val="0"/>
          <w:color w:val="auto"/>
          <w:sz w:val="24"/>
          <w:szCs w:val="24"/>
          <w:highlight w:val="none"/>
          <w:lang w:val="en-US" w:eastAsia="zh-CN" w:bidi="ar-SA"/>
        </w:rPr>
        <w:t>评估、审查等，编制咨询服务成果文件，施工配合等全部费用和国家规定的增值税税金。</w:t>
      </w:r>
    </w:p>
    <w:p w14:paraId="2AC85087">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12.1.4</w:t>
      </w:r>
      <w:r>
        <w:rPr>
          <w:rFonts w:hint="eastAsia" w:ascii="宋体" w:hAnsi="宋体" w:eastAsia="宋体" w:cs="宋体"/>
          <w:b w:val="0"/>
          <w:bCs w:val="0"/>
          <w:color w:val="auto"/>
          <w:spacing w:val="1"/>
          <w:sz w:val="24"/>
          <w:szCs w:val="24"/>
          <w:highlight w:val="none"/>
          <w:lang w:val="en-US" w:eastAsia="zh-CN" w:bidi="ar-SA"/>
        </w:rPr>
        <w:t>委托人要求咨询人进行外出考察、试验检测、专项咨询或专家评审时，相应费用不</w:t>
      </w:r>
      <w:r>
        <w:rPr>
          <w:rFonts w:hint="eastAsia" w:ascii="宋体" w:hAnsi="宋体" w:eastAsia="宋体" w:cs="宋体"/>
          <w:b w:val="0"/>
          <w:bCs w:val="0"/>
          <w:color w:val="auto"/>
          <w:sz w:val="24"/>
          <w:szCs w:val="24"/>
          <w:highlight w:val="none"/>
          <w:lang w:val="en-US" w:eastAsia="zh-CN" w:bidi="ar-SA"/>
        </w:rPr>
        <w:t>含在合同价格之中，由委托人另行支付。</w:t>
      </w:r>
    </w:p>
    <w:p w14:paraId="682EEC77">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81" w:name="_Toc506006125"/>
      <w:bookmarkStart w:id="482" w:name="_Toc508201341"/>
      <w:bookmarkStart w:id="483" w:name="_Toc508200403"/>
      <w:r>
        <w:rPr>
          <w:rFonts w:hint="eastAsia" w:ascii="宋体" w:hAnsi="宋体" w:eastAsia="宋体" w:cs="宋体"/>
          <w:b w:val="0"/>
          <w:bCs w:val="0"/>
          <w:color w:val="auto"/>
          <w:sz w:val="24"/>
          <w:szCs w:val="24"/>
          <w:highlight w:val="none"/>
          <w:lang w:val="en-US" w:eastAsia="zh-CN" w:bidi="ar-SA"/>
        </w:rPr>
        <w:t>12.2 定金或预付款</w:t>
      </w:r>
      <w:bookmarkEnd w:id="481"/>
      <w:bookmarkEnd w:id="482"/>
      <w:bookmarkEnd w:id="483"/>
    </w:p>
    <w:p w14:paraId="2D131D31">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12.2.1</w:t>
      </w:r>
      <w:r>
        <w:rPr>
          <w:rFonts w:hint="eastAsia" w:ascii="宋体" w:hAnsi="宋体" w:eastAsia="宋体" w:cs="宋体"/>
          <w:b w:val="0"/>
          <w:bCs w:val="0"/>
          <w:color w:val="auto"/>
          <w:spacing w:val="1"/>
          <w:sz w:val="24"/>
          <w:szCs w:val="24"/>
          <w:highlight w:val="none"/>
          <w:lang w:val="en-US" w:eastAsia="zh-CN" w:bidi="ar-SA"/>
        </w:rPr>
        <w:t>定金或预付款应专用于本工程的咨询服务。定金或预付款的额度、支付方式及抵扣方式</w:t>
      </w:r>
      <w:r>
        <w:rPr>
          <w:rFonts w:hint="eastAsia" w:ascii="宋体" w:hAnsi="宋体" w:eastAsia="宋体" w:cs="宋体"/>
          <w:b w:val="0"/>
          <w:bCs w:val="0"/>
          <w:color w:val="auto"/>
          <w:sz w:val="24"/>
          <w:szCs w:val="24"/>
          <w:highlight w:val="none"/>
          <w:lang w:val="en-US" w:eastAsia="zh-CN" w:bidi="ar-SA"/>
        </w:rPr>
        <w:t>在专用合同条款中约定。</w:t>
      </w:r>
    </w:p>
    <w:p w14:paraId="7614C01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12.2.2委托人应在收到定金或预付款支付申请后</w:t>
      </w:r>
      <w:r>
        <w:rPr>
          <w:rFonts w:hint="eastAsia" w:ascii="宋体" w:hAnsi="宋体" w:eastAsia="宋体" w:cs="宋体"/>
          <w:b w:val="0"/>
          <w:bCs w:val="0"/>
          <w:color w:val="auto"/>
          <w:spacing w:val="1"/>
          <w:sz w:val="24"/>
          <w:szCs w:val="24"/>
          <w:highlight w:val="none"/>
          <w:lang w:val="en-US" w:eastAsia="zh-CN" w:bidi="ar-SA"/>
        </w:rPr>
        <w:t>28</w:t>
      </w:r>
      <w:r>
        <w:rPr>
          <w:rFonts w:hint="eastAsia" w:ascii="宋体" w:hAnsi="宋体" w:eastAsia="宋体" w:cs="宋体"/>
          <w:b w:val="0"/>
          <w:bCs w:val="0"/>
          <w:color w:val="auto"/>
          <w:sz w:val="24"/>
          <w:szCs w:val="24"/>
          <w:highlight w:val="none"/>
          <w:lang w:val="en-US" w:eastAsia="zh-CN" w:bidi="ar-SA"/>
        </w:rPr>
        <w:t>天内，将定金或预付款支付给咨询人；咨询人应当提供等额的增值税发票。</w:t>
      </w:r>
    </w:p>
    <w:p w14:paraId="064D1591">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12.2.3</w:t>
      </w:r>
      <w:r>
        <w:rPr>
          <w:rFonts w:hint="eastAsia" w:ascii="宋体" w:hAnsi="宋体" w:eastAsia="宋体" w:cs="宋体"/>
          <w:b w:val="0"/>
          <w:bCs w:val="0"/>
          <w:color w:val="auto"/>
          <w:spacing w:val="1"/>
          <w:sz w:val="24"/>
          <w:szCs w:val="24"/>
          <w:highlight w:val="none"/>
          <w:lang w:val="en-US" w:eastAsia="zh-CN" w:bidi="ar-SA"/>
        </w:rPr>
        <w:t>咨询服务完成之前，由于不可抗力或其他非咨询人的原因解除合同时，定金不予退还。</w:t>
      </w:r>
    </w:p>
    <w:p w14:paraId="4E354023">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84" w:name="_Toc508200404"/>
      <w:bookmarkStart w:id="485" w:name="_Toc508201342"/>
      <w:bookmarkStart w:id="486" w:name="_Toc506006126"/>
      <w:r>
        <w:rPr>
          <w:rFonts w:hint="eastAsia" w:ascii="宋体" w:hAnsi="宋体" w:eastAsia="宋体" w:cs="宋体"/>
          <w:b w:val="0"/>
          <w:bCs w:val="0"/>
          <w:color w:val="auto"/>
          <w:sz w:val="24"/>
          <w:szCs w:val="24"/>
          <w:highlight w:val="none"/>
          <w:lang w:val="en-US" w:eastAsia="zh-CN" w:bidi="ar-SA"/>
        </w:rPr>
        <w:t>12.3 中期支付</w:t>
      </w:r>
      <w:bookmarkEnd w:id="484"/>
      <w:bookmarkEnd w:id="485"/>
      <w:bookmarkEnd w:id="486"/>
    </w:p>
    <w:p w14:paraId="12C159A6">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12.3.1</w:t>
      </w:r>
      <w:r>
        <w:rPr>
          <w:rFonts w:hint="eastAsia" w:ascii="宋体" w:hAnsi="宋体" w:eastAsia="宋体" w:cs="宋体"/>
          <w:b w:val="0"/>
          <w:bCs w:val="0"/>
          <w:color w:val="auto"/>
          <w:spacing w:val="1"/>
          <w:sz w:val="24"/>
          <w:szCs w:val="24"/>
          <w:highlight w:val="none"/>
          <w:lang w:val="en-US" w:eastAsia="zh-CN" w:bidi="ar-SA"/>
        </w:rPr>
        <w:t>咨询人应按委托人批准或专用合同条款约定的格式及份数，向委托人提交中期支付</w:t>
      </w:r>
      <w:r>
        <w:rPr>
          <w:rFonts w:hint="eastAsia" w:ascii="宋体" w:hAnsi="宋体" w:eastAsia="宋体" w:cs="宋体"/>
          <w:b w:val="0"/>
          <w:bCs w:val="0"/>
          <w:color w:val="auto"/>
          <w:sz w:val="24"/>
          <w:szCs w:val="24"/>
          <w:highlight w:val="none"/>
          <w:lang w:val="en-US" w:eastAsia="zh-CN" w:bidi="ar-SA"/>
        </w:rPr>
        <w:t>申请，并附相应的支持性证明文件。</w:t>
      </w:r>
    </w:p>
    <w:p w14:paraId="2200C4FD">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12.3.2 委托人应在收到中期支付申请后的</w:t>
      </w:r>
      <w:r>
        <w:rPr>
          <w:rFonts w:hint="eastAsia" w:ascii="宋体" w:hAnsi="宋体" w:eastAsia="宋体" w:cs="宋体"/>
          <w:b w:val="0"/>
          <w:bCs w:val="0"/>
          <w:color w:val="auto"/>
          <w:spacing w:val="1"/>
          <w:sz w:val="24"/>
          <w:szCs w:val="24"/>
          <w:highlight w:val="none"/>
          <w:lang w:val="en-US" w:eastAsia="zh-CN" w:bidi="ar-SA"/>
        </w:rPr>
        <w:t xml:space="preserve"> 28</w:t>
      </w:r>
      <w:r>
        <w:rPr>
          <w:rFonts w:hint="eastAsia" w:ascii="宋体" w:hAnsi="宋体" w:eastAsia="宋体" w:cs="宋体"/>
          <w:b w:val="0"/>
          <w:bCs w:val="0"/>
          <w:color w:val="auto"/>
          <w:spacing w:val="-4"/>
          <w:sz w:val="24"/>
          <w:szCs w:val="24"/>
          <w:highlight w:val="none"/>
          <w:lang w:val="en-US" w:eastAsia="zh-CN" w:bidi="ar-SA"/>
        </w:rPr>
        <w:t>天内，将应付款项支付给咨询人；咨询人应当</w:t>
      </w:r>
      <w:r>
        <w:rPr>
          <w:rFonts w:hint="eastAsia" w:ascii="宋体" w:hAnsi="宋体" w:eastAsia="宋体" w:cs="宋体"/>
          <w:b w:val="0"/>
          <w:bCs w:val="0"/>
          <w:color w:val="auto"/>
          <w:spacing w:val="1"/>
          <w:sz w:val="24"/>
          <w:szCs w:val="24"/>
          <w:highlight w:val="none"/>
          <w:lang w:val="en-US" w:eastAsia="zh-CN" w:bidi="ar-SA"/>
        </w:rPr>
        <w:t>提供等额的增值税发票。委托人未能在前述时间内完成审批或不予答复的，视为委托人同意中</w:t>
      </w:r>
      <w:r>
        <w:rPr>
          <w:rFonts w:hint="eastAsia" w:ascii="宋体" w:hAnsi="宋体" w:eastAsia="宋体" w:cs="宋体"/>
          <w:b w:val="0"/>
          <w:bCs w:val="0"/>
          <w:color w:val="auto"/>
          <w:sz w:val="24"/>
          <w:szCs w:val="24"/>
          <w:highlight w:val="none"/>
          <w:lang w:val="en-US" w:eastAsia="zh-CN" w:bidi="ar-SA"/>
        </w:rPr>
        <w:t>期支付申请。委托人不按期支付的，按专用合同条款的约定支付逾期付款违约金。</w:t>
      </w:r>
    </w:p>
    <w:p w14:paraId="67C95EFA">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12.3.3</w:t>
      </w:r>
      <w:r>
        <w:rPr>
          <w:rFonts w:hint="eastAsia" w:ascii="宋体" w:hAnsi="宋体" w:eastAsia="宋体" w:cs="宋体"/>
          <w:b w:val="0"/>
          <w:bCs w:val="0"/>
          <w:color w:val="auto"/>
          <w:spacing w:val="1"/>
          <w:sz w:val="24"/>
          <w:szCs w:val="24"/>
          <w:highlight w:val="none"/>
          <w:lang w:val="en-US" w:eastAsia="zh-CN" w:bidi="ar-SA"/>
        </w:rPr>
        <w:t>中期支付涉及政府投资资金的，按照国库集中支付等国家相关规定和专用合同条款</w:t>
      </w:r>
      <w:r>
        <w:rPr>
          <w:rFonts w:hint="eastAsia" w:ascii="宋体" w:hAnsi="宋体" w:eastAsia="宋体" w:cs="宋体"/>
          <w:b w:val="0"/>
          <w:bCs w:val="0"/>
          <w:color w:val="auto"/>
          <w:sz w:val="24"/>
          <w:szCs w:val="24"/>
          <w:highlight w:val="none"/>
          <w:lang w:val="en-US" w:eastAsia="zh-CN" w:bidi="ar-SA"/>
        </w:rPr>
        <w:t>的约定执行。</w:t>
      </w:r>
    </w:p>
    <w:p w14:paraId="6707B46C">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87" w:name="_Toc506006127"/>
      <w:bookmarkStart w:id="488" w:name="_Toc508200405"/>
      <w:bookmarkStart w:id="489" w:name="_Toc508201343"/>
      <w:r>
        <w:rPr>
          <w:rFonts w:hint="eastAsia" w:ascii="宋体" w:hAnsi="宋体" w:eastAsia="宋体" w:cs="宋体"/>
          <w:b w:val="0"/>
          <w:bCs w:val="0"/>
          <w:color w:val="auto"/>
          <w:sz w:val="24"/>
          <w:szCs w:val="24"/>
          <w:highlight w:val="none"/>
          <w:lang w:val="en-US" w:eastAsia="zh-CN" w:bidi="ar-SA"/>
        </w:rPr>
        <w:t>12.4 费用结算</w:t>
      </w:r>
      <w:bookmarkEnd w:id="487"/>
      <w:bookmarkEnd w:id="488"/>
      <w:bookmarkEnd w:id="489"/>
    </w:p>
    <w:p w14:paraId="1B6D506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12.4.1提交咨询服务成果文件后，咨询</w:t>
      </w:r>
      <w:r>
        <w:rPr>
          <w:rFonts w:hint="eastAsia" w:ascii="宋体" w:hAnsi="宋体" w:eastAsia="宋体" w:cs="宋体"/>
          <w:b w:val="0"/>
          <w:bCs w:val="0"/>
          <w:color w:val="auto"/>
          <w:spacing w:val="1"/>
          <w:sz w:val="24"/>
          <w:szCs w:val="24"/>
          <w:highlight w:val="none"/>
          <w:lang w:val="en-US" w:eastAsia="zh-CN" w:bidi="ar-SA"/>
        </w:rPr>
        <w:t>人可按专用合同条款约定的份数和期限，向委托人提交咨询服务</w:t>
      </w:r>
      <w:r>
        <w:rPr>
          <w:rFonts w:hint="eastAsia" w:ascii="宋体" w:hAnsi="宋体" w:eastAsia="宋体" w:cs="宋体"/>
          <w:b w:val="0"/>
          <w:bCs w:val="0"/>
          <w:color w:val="auto"/>
          <w:sz w:val="24"/>
          <w:szCs w:val="24"/>
          <w:highlight w:val="none"/>
          <w:lang w:val="en-US" w:eastAsia="zh-CN" w:bidi="ar-SA"/>
        </w:rPr>
        <w:t>费用结算申请，并提供相关证明材料。</w:t>
      </w:r>
    </w:p>
    <w:p w14:paraId="7DF142A3">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12.4.2委托人应在收到费用结算申请后的28天内完成审批，委托人对费用结算申请内容有异议的，有权要求咨询人进行修正和提供补充资料，由咨询人重新提交。咨询人对此有异议的，按第15条的约定执行。费用结算申请完成审批或视为被同意的，自该日起14天内，委托人将应付款项支付给咨询人；咨询人应当提供等额的增值税发票。委托人未能在前述时间内完成审批或不予答复的，视为委托人同意费用结算申请。委托人不按期支付的，按专用合同条款的约定支付逾期付款违约金。</w:t>
      </w:r>
    </w:p>
    <w:p w14:paraId="4DB9E45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12.4.3最终结清付款涉及政府投资资金的，按第12.3.3项的约定执行。</w:t>
      </w:r>
    </w:p>
    <w:p w14:paraId="3A06B9F9">
      <w:pPr>
        <w:pageBreakBefore w:val="0"/>
        <w:kinsoku/>
        <w:wordWrap/>
        <w:overflowPunct/>
        <w:topLinePunct w:val="0"/>
        <w:autoSpaceDE/>
        <w:autoSpaceDN/>
        <w:bidi w:val="0"/>
        <w:spacing w:before="0" w:after="0" w:line="440" w:lineRule="exact"/>
        <w:jc w:val="both"/>
        <w:outlineLvl w:val="1"/>
        <w:rPr>
          <w:rFonts w:hint="eastAsia" w:ascii="宋体" w:hAnsi="宋体" w:eastAsia="宋体" w:cs="宋体"/>
          <w:b w:val="0"/>
          <w:bCs w:val="0"/>
          <w:color w:val="auto"/>
          <w:spacing w:val="1"/>
          <w:sz w:val="24"/>
          <w:szCs w:val="24"/>
          <w:highlight w:val="none"/>
          <w:lang w:val="en-US" w:eastAsia="zh-CN" w:bidi="ar-SA"/>
        </w:rPr>
      </w:pPr>
      <w:bookmarkStart w:id="490" w:name="_Toc508200406"/>
      <w:bookmarkStart w:id="491" w:name="_Toc506006128"/>
      <w:bookmarkStart w:id="492" w:name="_Toc513817613"/>
      <w:bookmarkStart w:id="493" w:name="_Toc508201344"/>
      <w:r>
        <w:rPr>
          <w:rFonts w:hint="eastAsia" w:ascii="宋体" w:hAnsi="宋体" w:eastAsia="宋体" w:cs="宋体"/>
          <w:b w:val="0"/>
          <w:bCs w:val="0"/>
          <w:color w:val="auto"/>
          <w:spacing w:val="1"/>
          <w:sz w:val="24"/>
          <w:szCs w:val="24"/>
          <w:highlight w:val="none"/>
          <w:lang w:val="en-US" w:eastAsia="zh-CN" w:bidi="ar-SA"/>
        </w:rPr>
        <w:t>13. 不可抗力</w:t>
      </w:r>
      <w:bookmarkEnd w:id="490"/>
      <w:bookmarkEnd w:id="491"/>
      <w:bookmarkEnd w:id="492"/>
      <w:bookmarkEnd w:id="493"/>
    </w:p>
    <w:p w14:paraId="38711660">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94" w:name="_Toc508201345"/>
      <w:bookmarkStart w:id="495" w:name="_Toc506006129"/>
      <w:bookmarkStart w:id="496" w:name="_Toc508200407"/>
      <w:r>
        <w:rPr>
          <w:rFonts w:hint="eastAsia" w:ascii="宋体" w:hAnsi="宋体" w:eastAsia="宋体" w:cs="宋体"/>
          <w:b w:val="0"/>
          <w:bCs w:val="0"/>
          <w:color w:val="auto"/>
          <w:sz w:val="24"/>
          <w:szCs w:val="24"/>
          <w:highlight w:val="none"/>
          <w:lang w:val="en-US" w:eastAsia="zh-CN" w:bidi="ar-SA"/>
        </w:rPr>
        <w:t>13.1 不可抗力的确认</w:t>
      </w:r>
      <w:bookmarkEnd w:id="494"/>
      <w:bookmarkEnd w:id="495"/>
      <w:bookmarkEnd w:id="496"/>
    </w:p>
    <w:p w14:paraId="637EF384">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13.1.1</w:t>
      </w:r>
      <w:r>
        <w:rPr>
          <w:rFonts w:hint="eastAsia" w:ascii="宋体" w:hAnsi="宋体" w:eastAsia="宋体" w:cs="宋体"/>
          <w:b w:val="0"/>
          <w:bCs w:val="0"/>
          <w:color w:val="auto"/>
          <w:spacing w:val="1"/>
          <w:sz w:val="24"/>
          <w:szCs w:val="24"/>
          <w:highlight w:val="none"/>
          <w:lang w:val="en-US" w:eastAsia="zh-CN" w:bidi="ar-SA"/>
        </w:rPr>
        <w:t>不可抗力是指咨询人和委托人在订立合同时不可预见，在履行合同过程中不可避免发生并不能克服的自然灾害和社会性突发事件，如地震、海啸、瘟疫、水灾、骚乱、暴动、战</w:t>
      </w:r>
      <w:r>
        <w:rPr>
          <w:rFonts w:hint="eastAsia" w:ascii="宋体" w:hAnsi="宋体" w:eastAsia="宋体" w:cs="宋体"/>
          <w:b w:val="0"/>
          <w:bCs w:val="0"/>
          <w:color w:val="auto"/>
          <w:sz w:val="24"/>
          <w:szCs w:val="24"/>
          <w:highlight w:val="none"/>
          <w:lang w:val="en-US" w:eastAsia="zh-CN" w:bidi="ar-SA"/>
        </w:rPr>
        <w:t>争和专用合同条款约定的其他情形。</w:t>
      </w:r>
    </w:p>
    <w:p w14:paraId="404982B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13.1.2</w:t>
      </w:r>
      <w:r>
        <w:rPr>
          <w:rFonts w:hint="eastAsia" w:ascii="宋体" w:hAnsi="宋体" w:eastAsia="宋体" w:cs="宋体"/>
          <w:b w:val="0"/>
          <w:bCs w:val="0"/>
          <w:color w:val="auto"/>
          <w:spacing w:val="1"/>
          <w:sz w:val="24"/>
          <w:szCs w:val="24"/>
          <w:highlight w:val="none"/>
          <w:lang w:val="en-US" w:eastAsia="zh-CN" w:bidi="ar-SA"/>
        </w:rPr>
        <w:t>不可抗力发生后，委托人和咨询人应及时认真统计所造成的损失，收集不可抗力造</w:t>
      </w:r>
      <w:r>
        <w:rPr>
          <w:rFonts w:hint="eastAsia" w:ascii="宋体" w:hAnsi="宋体" w:eastAsia="宋体" w:cs="宋体"/>
          <w:b w:val="0"/>
          <w:bCs w:val="0"/>
          <w:color w:val="auto"/>
          <w:spacing w:val="-4"/>
          <w:sz w:val="24"/>
          <w:szCs w:val="24"/>
          <w:highlight w:val="none"/>
          <w:lang w:val="en-US" w:eastAsia="zh-CN" w:bidi="ar-SA"/>
        </w:rPr>
        <w:t>成损失的证据。合同双方对是否属于不可抗力或其损失的意见不一致的，由合同双方协商确定。</w:t>
      </w:r>
    </w:p>
    <w:p w14:paraId="5C29BEA3">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497" w:name="_Toc508201346"/>
      <w:bookmarkStart w:id="498" w:name="_Toc508200408"/>
      <w:bookmarkStart w:id="499" w:name="_Toc506006130"/>
      <w:r>
        <w:rPr>
          <w:rFonts w:hint="eastAsia" w:ascii="宋体" w:hAnsi="宋体" w:eastAsia="宋体" w:cs="宋体"/>
          <w:b w:val="0"/>
          <w:bCs w:val="0"/>
          <w:color w:val="auto"/>
          <w:sz w:val="24"/>
          <w:szCs w:val="24"/>
          <w:highlight w:val="none"/>
          <w:lang w:val="en-US" w:eastAsia="zh-CN" w:bidi="ar-SA"/>
        </w:rPr>
        <w:t>13.2 不可抗力的通知</w:t>
      </w:r>
      <w:bookmarkEnd w:id="497"/>
      <w:bookmarkEnd w:id="498"/>
      <w:bookmarkEnd w:id="499"/>
    </w:p>
    <w:p w14:paraId="66EB911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13.2.1</w:t>
      </w:r>
      <w:r>
        <w:rPr>
          <w:rFonts w:hint="eastAsia" w:ascii="宋体" w:hAnsi="宋体" w:eastAsia="宋体" w:cs="宋体"/>
          <w:b w:val="0"/>
          <w:bCs w:val="0"/>
          <w:color w:val="auto"/>
          <w:spacing w:val="1"/>
          <w:sz w:val="24"/>
          <w:szCs w:val="24"/>
          <w:highlight w:val="none"/>
          <w:lang w:val="en-US" w:eastAsia="zh-CN" w:bidi="ar-SA"/>
        </w:rPr>
        <w:t>合同一方当事人遇到不可抗力事件，使其履行合同义务受到阻碍时，应立即通知合</w:t>
      </w:r>
      <w:r>
        <w:rPr>
          <w:rFonts w:hint="eastAsia" w:ascii="宋体" w:hAnsi="宋体" w:eastAsia="宋体" w:cs="宋体"/>
          <w:b w:val="0"/>
          <w:bCs w:val="0"/>
          <w:color w:val="auto"/>
          <w:sz w:val="24"/>
          <w:szCs w:val="24"/>
          <w:highlight w:val="none"/>
          <w:lang w:val="en-US" w:eastAsia="zh-CN" w:bidi="ar-SA"/>
        </w:rPr>
        <w:t>同另一方当事人，书面说明不可抗力和受阻碍的详细情况，并提供必要的证明。</w:t>
      </w:r>
    </w:p>
    <w:p w14:paraId="60316D27">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13.2.2</w:t>
      </w:r>
      <w:r>
        <w:rPr>
          <w:rFonts w:hint="eastAsia" w:ascii="宋体" w:hAnsi="宋体" w:eastAsia="宋体" w:cs="宋体"/>
          <w:b w:val="0"/>
          <w:bCs w:val="0"/>
          <w:color w:val="auto"/>
          <w:spacing w:val="1"/>
          <w:sz w:val="24"/>
          <w:szCs w:val="24"/>
          <w:highlight w:val="none"/>
          <w:lang w:val="en-US" w:eastAsia="zh-CN" w:bidi="ar-SA"/>
        </w:rPr>
        <w:t>如不可抗力持续发生，合同一方当事人应及时向合同另一方当事人提交中间报告，</w:t>
      </w:r>
      <w:r>
        <w:rPr>
          <w:rFonts w:hint="eastAsia" w:ascii="宋体" w:hAnsi="宋体" w:eastAsia="宋体" w:cs="宋体"/>
          <w:b w:val="0"/>
          <w:bCs w:val="0"/>
          <w:color w:val="auto"/>
          <w:spacing w:val="-3"/>
          <w:sz w:val="24"/>
          <w:szCs w:val="24"/>
          <w:highlight w:val="none"/>
          <w:lang w:val="en-US" w:eastAsia="zh-CN" w:bidi="ar-SA"/>
        </w:rPr>
        <w:t>说明不可抗力和履行合同受阻的情况，并于不可抗力事件结束后</w:t>
      </w:r>
      <w:r>
        <w:rPr>
          <w:rFonts w:hint="eastAsia" w:ascii="宋体" w:hAnsi="宋体" w:eastAsia="宋体" w:cs="宋体"/>
          <w:b w:val="0"/>
          <w:bCs w:val="0"/>
          <w:color w:val="auto"/>
          <w:spacing w:val="1"/>
          <w:sz w:val="24"/>
          <w:szCs w:val="24"/>
          <w:highlight w:val="none"/>
          <w:lang w:val="en-US" w:eastAsia="zh-CN" w:bidi="ar-SA"/>
        </w:rPr>
        <w:t>28</w:t>
      </w:r>
      <w:r>
        <w:rPr>
          <w:rFonts w:hint="eastAsia" w:ascii="宋体" w:hAnsi="宋体" w:eastAsia="宋体" w:cs="宋体"/>
          <w:b w:val="0"/>
          <w:bCs w:val="0"/>
          <w:color w:val="auto"/>
          <w:sz w:val="24"/>
          <w:szCs w:val="24"/>
          <w:highlight w:val="none"/>
          <w:lang w:val="en-US" w:eastAsia="zh-CN" w:bidi="ar-SA"/>
        </w:rPr>
        <w:t>天内提交最终报告及有关资</w:t>
      </w:r>
      <w:r>
        <w:rPr>
          <w:rFonts w:hint="eastAsia" w:ascii="宋体" w:hAnsi="宋体" w:eastAsia="宋体" w:cs="宋体"/>
          <w:b w:val="0"/>
          <w:bCs w:val="0"/>
          <w:color w:val="auto"/>
          <w:spacing w:val="1"/>
          <w:sz w:val="24"/>
          <w:szCs w:val="24"/>
          <w:highlight w:val="none"/>
          <w:lang w:val="en-US" w:eastAsia="zh-CN" w:bidi="ar-SA"/>
        </w:rPr>
        <w:t>料。</w:t>
      </w:r>
    </w:p>
    <w:p w14:paraId="5DF8A3CB">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500" w:name="_Toc508200409"/>
      <w:bookmarkStart w:id="501" w:name="_Toc506006131"/>
      <w:bookmarkStart w:id="502" w:name="_Toc508201347"/>
      <w:r>
        <w:rPr>
          <w:rFonts w:hint="eastAsia" w:ascii="宋体" w:hAnsi="宋体" w:eastAsia="宋体" w:cs="宋体"/>
          <w:b w:val="0"/>
          <w:bCs w:val="0"/>
          <w:color w:val="auto"/>
          <w:sz w:val="24"/>
          <w:szCs w:val="24"/>
          <w:highlight w:val="none"/>
          <w:lang w:val="en-US" w:eastAsia="zh-CN" w:bidi="ar-SA"/>
        </w:rPr>
        <w:t>13.3 不可抗力后果及其处理</w:t>
      </w:r>
      <w:bookmarkEnd w:id="500"/>
      <w:bookmarkEnd w:id="501"/>
      <w:bookmarkEnd w:id="502"/>
    </w:p>
    <w:p w14:paraId="520D37F9">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13.3.1</w:t>
      </w:r>
      <w:r>
        <w:rPr>
          <w:rFonts w:hint="eastAsia" w:ascii="宋体" w:hAnsi="宋体" w:eastAsia="宋体" w:cs="宋体"/>
          <w:b w:val="0"/>
          <w:bCs w:val="0"/>
          <w:color w:val="auto"/>
          <w:spacing w:val="1"/>
          <w:sz w:val="24"/>
          <w:szCs w:val="24"/>
          <w:highlight w:val="none"/>
          <w:lang w:val="en-US" w:eastAsia="zh-CN" w:bidi="ar-SA"/>
        </w:rPr>
        <w:t>不可抗力引起的后果及其损失，应由合同当事人依据法律规定各自承担。不可抗力</w:t>
      </w:r>
      <w:r>
        <w:rPr>
          <w:rFonts w:hint="eastAsia" w:ascii="宋体" w:hAnsi="宋体" w:eastAsia="宋体" w:cs="宋体"/>
          <w:b w:val="0"/>
          <w:bCs w:val="0"/>
          <w:color w:val="auto"/>
          <w:sz w:val="24"/>
          <w:szCs w:val="24"/>
          <w:highlight w:val="none"/>
          <w:lang w:val="en-US" w:eastAsia="zh-CN" w:bidi="ar-SA"/>
        </w:rPr>
        <w:t>发生前已完成的咨询服务工作，应当按照合同约定进行支付。</w:t>
      </w:r>
    </w:p>
    <w:p w14:paraId="783537F8">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13.3.2</w:t>
      </w:r>
      <w:r>
        <w:rPr>
          <w:rFonts w:hint="eastAsia" w:ascii="宋体" w:hAnsi="宋体" w:eastAsia="宋体" w:cs="宋体"/>
          <w:b w:val="0"/>
          <w:bCs w:val="0"/>
          <w:color w:val="auto"/>
          <w:spacing w:val="1"/>
          <w:sz w:val="24"/>
          <w:szCs w:val="24"/>
          <w:highlight w:val="none"/>
          <w:lang w:val="en-US" w:eastAsia="zh-CN" w:bidi="ar-SA"/>
        </w:rPr>
        <w:t>不可抗力发生后，合同当事人应当采取有效措施避免损失进一步扩大，如未采取有</w:t>
      </w:r>
      <w:r>
        <w:rPr>
          <w:rFonts w:hint="eastAsia" w:ascii="宋体" w:hAnsi="宋体" w:eastAsia="宋体" w:cs="宋体"/>
          <w:b w:val="0"/>
          <w:bCs w:val="0"/>
          <w:color w:val="auto"/>
          <w:sz w:val="24"/>
          <w:szCs w:val="24"/>
          <w:highlight w:val="none"/>
          <w:lang w:val="en-US" w:eastAsia="zh-CN" w:bidi="ar-SA"/>
        </w:rPr>
        <w:t>效措施致使损失扩大的，应当自行承担扩大部分的损失。</w:t>
      </w:r>
    </w:p>
    <w:p w14:paraId="25CFFCD4">
      <w:pPr>
        <w:pageBreakBefore w:val="0"/>
        <w:widowControl/>
        <w:kinsoku/>
        <w:wordWrap/>
        <w:overflowPunct/>
        <w:topLinePunct w:val="0"/>
        <w:autoSpaceDE/>
        <w:autoSpaceDN/>
        <w:bidi w:val="0"/>
        <w:spacing w:line="440" w:lineRule="exact"/>
        <w:ind w:firstLine="600" w:firstLineChars="25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13.3.3</w:t>
      </w:r>
      <w:r>
        <w:rPr>
          <w:rFonts w:hint="eastAsia" w:ascii="宋体" w:hAnsi="宋体" w:eastAsia="宋体" w:cs="宋体"/>
          <w:b w:val="0"/>
          <w:bCs w:val="0"/>
          <w:color w:val="auto"/>
          <w:kern w:val="0"/>
          <w:sz w:val="24"/>
          <w:szCs w:val="24"/>
          <w:highlight w:val="none"/>
        </w:rPr>
        <w:t>因一方当事人迟延履行合同义务，致使迟延履行期间遭遇不可抗力的，应由该当事人承担全部损失且不免除其违约责任。</w:t>
      </w:r>
    </w:p>
    <w:p w14:paraId="6ACD5ADB">
      <w:pPr>
        <w:pageBreakBefore w:val="0"/>
        <w:kinsoku/>
        <w:wordWrap/>
        <w:overflowPunct/>
        <w:topLinePunct w:val="0"/>
        <w:autoSpaceDE/>
        <w:autoSpaceDN/>
        <w:bidi w:val="0"/>
        <w:spacing w:before="0" w:after="0" w:line="440" w:lineRule="exact"/>
        <w:jc w:val="both"/>
        <w:outlineLvl w:val="1"/>
        <w:rPr>
          <w:rFonts w:hint="eastAsia" w:ascii="宋体" w:hAnsi="宋体" w:eastAsia="宋体" w:cs="宋体"/>
          <w:b w:val="0"/>
          <w:bCs w:val="0"/>
          <w:color w:val="auto"/>
          <w:spacing w:val="1"/>
          <w:sz w:val="24"/>
          <w:szCs w:val="24"/>
          <w:highlight w:val="none"/>
          <w:lang w:val="en-US" w:eastAsia="zh-CN" w:bidi="ar-SA"/>
        </w:rPr>
      </w:pPr>
      <w:bookmarkStart w:id="503" w:name="_Toc513817614"/>
      <w:bookmarkStart w:id="504" w:name="_Toc508201348"/>
      <w:bookmarkStart w:id="505" w:name="_Toc506006132"/>
      <w:bookmarkStart w:id="506" w:name="_Toc508200410"/>
      <w:r>
        <w:rPr>
          <w:rFonts w:hint="eastAsia" w:ascii="宋体" w:hAnsi="宋体" w:eastAsia="宋体" w:cs="宋体"/>
          <w:b w:val="0"/>
          <w:bCs w:val="0"/>
          <w:color w:val="auto"/>
          <w:spacing w:val="1"/>
          <w:sz w:val="24"/>
          <w:szCs w:val="24"/>
          <w:highlight w:val="none"/>
          <w:lang w:val="en-US" w:eastAsia="zh-CN" w:bidi="ar-SA"/>
        </w:rPr>
        <w:t>14. 违约</w:t>
      </w:r>
      <w:bookmarkEnd w:id="503"/>
      <w:bookmarkEnd w:id="504"/>
      <w:bookmarkEnd w:id="505"/>
      <w:bookmarkEnd w:id="506"/>
    </w:p>
    <w:p w14:paraId="0BEF442E">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507" w:name="_Toc506006133"/>
      <w:bookmarkStart w:id="508" w:name="_Toc508201349"/>
      <w:bookmarkStart w:id="509" w:name="_Toc508200411"/>
      <w:r>
        <w:rPr>
          <w:rFonts w:hint="eastAsia" w:ascii="宋体" w:hAnsi="宋体" w:eastAsia="宋体" w:cs="宋体"/>
          <w:b w:val="0"/>
          <w:bCs w:val="0"/>
          <w:color w:val="auto"/>
          <w:sz w:val="24"/>
          <w:szCs w:val="24"/>
          <w:highlight w:val="none"/>
          <w:lang w:val="en-US" w:eastAsia="zh-CN" w:bidi="ar-SA"/>
        </w:rPr>
        <w:t>14.1 咨询人违约</w:t>
      </w:r>
      <w:bookmarkEnd w:id="507"/>
      <w:bookmarkEnd w:id="508"/>
      <w:bookmarkEnd w:id="509"/>
    </w:p>
    <w:p w14:paraId="2D5C153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14.1.1合同履行中发生下列情况之一的，属咨询人违约：</w:t>
      </w:r>
    </w:p>
    <w:p w14:paraId="791BB0B3">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）咨询服务成果文件不符合法律以及合同约定；</w:t>
      </w:r>
    </w:p>
    <w:p w14:paraId="437A5022">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）咨询人转包、违法分包或者未经委托人同意擅自分包；</w:t>
      </w:r>
    </w:p>
    <w:p w14:paraId="69CEE864">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bidi="ar-SA"/>
        </w:rPr>
        <w:t>）咨询人未按合同计划完成咨询服务，从而造成工程损失；</w:t>
      </w:r>
    </w:p>
    <w:p w14:paraId="2EA27344">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（4）咨询人明确表示或以其行为表明不履行合同主要义务的；</w:t>
      </w:r>
    </w:p>
    <w:p w14:paraId="4151E3E9">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zh-CN" w:bidi="ar-SA"/>
        </w:rPr>
        <w:t>）咨询人不履行合同约定的其他义务。</w:t>
      </w:r>
    </w:p>
    <w:p w14:paraId="6BBF5C3B">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14.1.2</w:t>
      </w:r>
      <w:r>
        <w:rPr>
          <w:rFonts w:hint="eastAsia" w:ascii="宋体" w:hAnsi="宋体" w:eastAsia="宋体" w:cs="宋体"/>
          <w:b w:val="0"/>
          <w:bCs w:val="0"/>
          <w:color w:val="auto"/>
          <w:spacing w:val="1"/>
          <w:sz w:val="24"/>
          <w:szCs w:val="24"/>
          <w:highlight w:val="none"/>
          <w:lang w:val="en-US" w:eastAsia="zh-CN" w:bidi="ar-SA"/>
        </w:rPr>
        <w:t>咨询人发生违约情况时，委托人可向咨询人发出整改通知，要求其在限定期限内纠正；逾期仍不纠正的，委托人有权解除合同并向咨询人发出解除合同通知。咨询人应当承担由</w:t>
      </w:r>
      <w:r>
        <w:rPr>
          <w:rFonts w:hint="eastAsia" w:ascii="宋体" w:hAnsi="宋体" w:eastAsia="宋体" w:cs="宋体"/>
          <w:b w:val="0"/>
          <w:bCs w:val="0"/>
          <w:color w:val="auto"/>
          <w:sz w:val="24"/>
          <w:szCs w:val="24"/>
          <w:highlight w:val="none"/>
          <w:lang w:val="en-US" w:eastAsia="zh-CN" w:bidi="ar-SA"/>
        </w:rPr>
        <w:t>于违约所造成的费用增加、周期延误和委托人损失等。</w:t>
      </w:r>
    </w:p>
    <w:p w14:paraId="1A043BC4">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510" w:name="_Toc508201350"/>
      <w:bookmarkStart w:id="511" w:name="_Toc508200412"/>
      <w:bookmarkStart w:id="512" w:name="_Toc506006134"/>
      <w:r>
        <w:rPr>
          <w:rFonts w:hint="eastAsia" w:ascii="宋体" w:hAnsi="宋体" w:eastAsia="宋体" w:cs="宋体"/>
          <w:b w:val="0"/>
          <w:bCs w:val="0"/>
          <w:color w:val="auto"/>
          <w:sz w:val="24"/>
          <w:szCs w:val="24"/>
          <w:highlight w:val="none"/>
          <w:lang w:val="en-US" w:eastAsia="zh-CN" w:bidi="ar-SA"/>
        </w:rPr>
        <w:t>14.2 委托人违约</w:t>
      </w:r>
      <w:bookmarkEnd w:id="510"/>
      <w:bookmarkEnd w:id="511"/>
      <w:bookmarkEnd w:id="512"/>
    </w:p>
    <w:p w14:paraId="195F5B50">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14.2.1合同履行中发生下列情况之一的，属委托人违约：</w:t>
      </w:r>
    </w:p>
    <w:p w14:paraId="1B99251A">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）委托人未按合同约定支付咨询服务费用；</w:t>
      </w:r>
    </w:p>
    <w:p w14:paraId="448A525A">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）委托人原因造成咨询服务停止；</w:t>
      </w:r>
    </w:p>
    <w:p w14:paraId="36FFD137">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（3）委托人明确表示或以其行为表明不履行合同主要义务的；</w:t>
      </w:r>
    </w:p>
    <w:p w14:paraId="421C1C7F">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（4</w:t>
      </w:r>
      <w:r>
        <w:rPr>
          <w:rFonts w:hint="eastAsia" w:ascii="宋体" w:hAnsi="宋体" w:eastAsia="宋体" w:cs="宋体"/>
          <w:b w:val="0"/>
          <w:bCs w:val="0"/>
          <w:color w:val="auto"/>
          <w:sz w:val="24"/>
          <w:szCs w:val="24"/>
          <w:highlight w:val="none"/>
          <w:lang w:val="en-US" w:eastAsia="zh-CN" w:bidi="ar-SA"/>
        </w:rPr>
        <w:t>）委托人不履行合同约定的其他义务。</w:t>
      </w:r>
    </w:p>
    <w:p w14:paraId="78E2F02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14.2.2</w:t>
      </w:r>
      <w:r>
        <w:rPr>
          <w:rFonts w:hint="eastAsia" w:ascii="宋体" w:hAnsi="宋体" w:eastAsia="宋体" w:cs="宋体"/>
          <w:b w:val="0"/>
          <w:bCs w:val="0"/>
          <w:color w:val="auto"/>
          <w:spacing w:val="1"/>
          <w:sz w:val="24"/>
          <w:szCs w:val="24"/>
          <w:highlight w:val="none"/>
          <w:lang w:val="en-US" w:eastAsia="zh-CN" w:bidi="ar-SA"/>
        </w:rPr>
        <w:t>委托人发生违约情况时，咨询人可向委托人发出暂停咨询服务通知，要求其在限定期限内纠正；逾期仍不纠正的，咨询人有权解除合同并向委托人发出解除合同通知。委托人应当承</w:t>
      </w:r>
      <w:r>
        <w:rPr>
          <w:rFonts w:hint="eastAsia" w:ascii="宋体" w:hAnsi="宋体" w:eastAsia="宋体" w:cs="宋体"/>
          <w:b w:val="0"/>
          <w:bCs w:val="0"/>
          <w:color w:val="auto"/>
          <w:sz w:val="24"/>
          <w:szCs w:val="24"/>
          <w:highlight w:val="none"/>
          <w:lang w:val="en-US" w:eastAsia="zh-CN" w:bidi="ar-SA"/>
        </w:rPr>
        <w:t>担由于违约所造成的费用增加、周期延误和咨询人损失等。</w:t>
      </w:r>
    </w:p>
    <w:p w14:paraId="33D18590">
      <w:pPr>
        <w:pageBreakBefore w:val="0"/>
        <w:kinsoku/>
        <w:wordWrap/>
        <w:overflowPunct/>
        <w:topLinePunct w:val="0"/>
        <w:autoSpaceDE/>
        <w:autoSpaceDN/>
        <w:bidi w:val="0"/>
        <w:spacing w:before="0" w:after="0" w:line="440" w:lineRule="exact"/>
        <w:ind w:firstLine="480" w:firstLineChars="200"/>
        <w:jc w:val="both"/>
        <w:outlineLvl w:val="2"/>
        <w:rPr>
          <w:rFonts w:hint="eastAsia" w:ascii="宋体" w:hAnsi="宋体" w:eastAsia="宋体" w:cs="宋体"/>
          <w:b w:val="0"/>
          <w:bCs w:val="0"/>
          <w:color w:val="auto"/>
          <w:sz w:val="24"/>
          <w:szCs w:val="24"/>
          <w:highlight w:val="none"/>
          <w:lang w:val="en-US" w:eastAsia="zh-CN" w:bidi="ar-SA"/>
        </w:rPr>
      </w:pPr>
      <w:bookmarkStart w:id="513" w:name="_Toc508201351"/>
      <w:bookmarkStart w:id="514" w:name="_Toc506006135"/>
      <w:bookmarkStart w:id="515" w:name="_Toc508200413"/>
      <w:r>
        <w:rPr>
          <w:rFonts w:hint="eastAsia" w:ascii="宋体" w:hAnsi="宋体" w:eastAsia="宋体" w:cs="宋体"/>
          <w:b w:val="0"/>
          <w:bCs w:val="0"/>
          <w:color w:val="auto"/>
          <w:sz w:val="24"/>
          <w:szCs w:val="24"/>
          <w:highlight w:val="none"/>
          <w:lang w:val="en-US" w:eastAsia="zh-CN" w:bidi="ar-SA"/>
        </w:rPr>
        <w:t>14.3 第三人造成的违约</w:t>
      </w:r>
      <w:bookmarkEnd w:id="513"/>
      <w:bookmarkEnd w:id="514"/>
      <w:bookmarkEnd w:id="515"/>
    </w:p>
    <w:p w14:paraId="07D36701">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在履行合同过程中，一方当事人因第三人的原因造成违约的，应当向对方当事人承担违约</w:t>
      </w:r>
      <w:r>
        <w:rPr>
          <w:rFonts w:hint="eastAsia" w:ascii="宋体" w:hAnsi="宋体" w:eastAsia="宋体" w:cs="宋体"/>
          <w:b w:val="0"/>
          <w:bCs w:val="0"/>
          <w:color w:val="auto"/>
          <w:sz w:val="24"/>
          <w:szCs w:val="24"/>
          <w:highlight w:val="none"/>
          <w:lang w:val="en-US" w:eastAsia="zh-CN" w:bidi="ar-SA"/>
        </w:rPr>
        <w:t>责任。一方当事人和第三人之间的纠纷，依照法律规定或者按照约定解决。</w:t>
      </w:r>
    </w:p>
    <w:p w14:paraId="050A1B62">
      <w:pPr>
        <w:pageBreakBefore w:val="0"/>
        <w:kinsoku/>
        <w:wordWrap/>
        <w:overflowPunct/>
        <w:topLinePunct w:val="0"/>
        <w:autoSpaceDE/>
        <w:autoSpaceDN/>
        <w:bidi w:val="0"/>
        <w:spacing w:before="0" w:after="0" w:line="440" w:lineRule="exact"/>
        <w:jc w:val="both"/>
        <w:outlineLvl w:val="1"/>
        <w:rPr>
          <w:rFonts w:hint="eastAsia" w:ascii="宋体" w:hAnsi="宋体" w:eastAsia="宋体" w:cs="宋体"/>
          <w:b w:val="0"/>
          <w:bCs w:val="0"/>
          <w:color w:val="auto"/>
          <w:spacing w:val="1"/>
          <w:sz w:val="24"/>
          <w:szCs w:val="24"/>
          <w:highlight w:val="none"/>
          <w:lang w:val="en-US" w:eastAsia="zh-CN" w:bidi="ar-SA"/>
        </w:rPr>
      </w:pPr>
      <w:bookmarkStart w:id="516" w:name="_Toc508201352"/>
      <w:bookmarkStart w:id="517" w:name="_Toc508200414"/>
      <w:bookmarkStart w:id="518" w:name="_Toc513817615"/>
      <w:bookmarkStart w:id="519" w:name="_Toc506006136"/>
      <w:r>
        <w:rPr>
          <w:rFonts w:hint="eastAsia" w:ascii="宋体" w:hAnsi="宋体" w:eastAsia="宋体" w:cs="宋体"/>
          <w:b w:val="0"/>
          <w:bCs w:val="0"/>
          <w:color w:val="auto"/>
          <w:spacing w:val="1"/>
          <w:sz w:val="24"/>
          <w:szCs w:val="24"/>
          <w:highlight w:val="none"/>
          <w:lang w:val="en-US" w:eastAsia="zh-CN" w:bidi="ar-SA"/>
        </w:rPr>
        <w:t>15. 争议的解决</w:t>
      </w:r>
      <w:bookmarkEnd w:id="516"/>
      <w:bookmarkEnd w:id="517"/>
      <w:bookmarkEnd w:id="518"/>
      <w:bookmarkEnd w:id="519"/>
    </w:p>
    <w:p w14:paraId="582958BF">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委托人和咨询人在履行合同中发生争议的，可以友好协商解决。合同当事人友好协商解决</w:t>
      </w:r>
      <w:r>
        <w:rPr>
          <w:rFonts w:hint="eastAsia" w:ascii="宋体" w:hAnsi="宋体" w:eastAsia="宋体" w:cs="宋体"/>
          <w:b w:val="0"/>
          <w:bCs w:val="0"/>
          <w:color w:val="auto"/>
          <w:sz w:val="24"/>
          <w:szCs w:val="24"/>
          <w:highlight w:val="none"/>
          <w:lang w:val="en-US" w:eastAsia="zh-CN" w:bidi="ar-SA"/>
        </w:rPr>
        <w:t>不成的，可在专用合同条款中约定下列一种方式解决：</w:t>
      </w:r>
    </w:p>
    <w:p w14:paraId="17AC6DF1">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）向约定的仲裁委员会申请仲裁；</w:t>
      </w:r>
    </w:p>
    <w:p w14:paraId="7F002272">
      <w:pPr>
        <w:pageBreakBefore w:val="0"/>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）向有管辖权的人民法院提起诉讼。</w:t>
      </w:r>
    </w:p>
    <w:p w14:paraId="408DFF2F">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p>
    <w:p w14:paraId="36A880BC">
      <w:pPr>
        <w:pageBreakBefore w:val="0"/>
        <w:kinsoku/>
        <w:wordWrap/>
        <w:overflowPunct/>
        <w:topLinePunct w:val="0"/>
        <w:autoSpaceDE/>
        <w:autoSpaceDN/>
        <w:bidi w:val="0"/>
        <w:spacing w:before="0" w:after="0" w:line="440" w:lineRule="exact"/>
        <w:ind w:firstLine="480" w:firstLineChars="200"/>
        <w:jc w:val="both"/>
        <w:rPr>
          <w:rFonts w:hint="eastAsia" w:ascii="宋体" w:hAnsi="宋体" w:eastAsia="宋体" w:cs="宋体"/>
          <w:b w:val="0"/>
          <w:bCs w:val="0"/>
          <w:color w:val="auto"/>
          <w:sz w:val="24"/>
          <w:szCs w:val="24"/>
          <w:highlight w:val="none"/>
          <w:lang w:val="en-US" w:eastAsia="zh-CN" w:bidi="ar-SA"/>
        </w:rPr>
      </w:pPr>
    </w:p>
    <w:p w14:paraId="7CD72077">
      <w:pPr>
        <w:pageBreakBefore w:val="0"/>
        <w:widowControl/>
        <w:kinsoku/>
        <w:wordWrap/>
        <w:overflowPunct/>
        <w:topLinePunct w:val="0"/>
        <w:autoSpaceDE/>
        <w:autoSpaceDN/>
        <w:bidi w:val="0"/>
        <w:spacing w:line="440" w:lineRule="exact"/>
        <w:jc w:val="left"/>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z w:val="24"/>
          <w:szCs w:val="24"/>
          <w:highlight w:val="none"/>
        </w:rPr>
        <w:br w:type="page"/>
      </w:r>
    </w:p>
    <w:p w14:paraId="1D26D75A">
      <w:pPr>
        <w:pageBreakBefore w:val="0"/>
        <w:widowControl/>
        <w:kinsoku/>
        <w:wordWrap/>
        <w:overflowPunct/>
        <w:topLinePunct w:val="0"/>
        <w:autoSpaceDE/>
        <w:autoSpaceDN/>
        <w:bidi w:val="0"/>
        <w:spacing w:before="260" w:after="260" w:line="440" w:lineRule="exact"/>
        <w:jc w:val="center"/>
        <w:outlineLvl w:val="1"/>
        <w:rPr>
          <w:rFonts w:hint="eastAsia" w:ascii="宋体" w:hAnsi="宋体" w:eastAsia="宋体" w:cs="宋体"/>
          <w:b/>
          <w:bCs/>
          <w:color w:val="auto"/>
          <w:spacing w:val="1"/>
          <w:kern w:val="0"/>
          <w:sz w:val="32"/>
          <w:szCs w:val="32"/>
          <w:highlight w:val="none"/>
        </w:rPr>
      </w:pPr>
      <w:r>
        <w:rPr>
          <w:rFonts w:hint="eastAsia" w:ascii="宋体" w:hAnsi="宋体" w:eastAsia="宋体" w:cs="宋体"/>
          <w:b/>
          <w:bCs/>
          <w:color w:val="auto"/>
          <w:spacing w:val="1"/>
          <w:kern w:val="0"/>
          <w:sz w:val="32"/>
          <w:szCs w:val="32"/>
          <w:highlight w:val="none"/>
        </w:rPr>
        <w:t>第二节</w:t>
      </w:r>
      <w:r>
        <w:rPr>
          <w:rFonts w:hint="eastAsia" w:ascii="宋体" w:hAnsi="宋体" w:eastAsia="宋体" w:cs="宋体"/>
          <w:b/>
          <w:bCs/>
          <w:color w:val="auto"/>
          <w:spacing w:val="1"/>
          <w:kern w:val="0"/>
          <w:sz w:val="32"/>
          <w:szCs w:val="32"/>
          <w:highlight w:val="none"/>
          <w:lang w:val="en-US" w:eastAsia="zh-CN"/>
        </w:rPr>
        <w:t xml:space="preserve"> </w:t>
      </w:r>
      <w:r>
        <w:rPr>
          <w:rFonts w:hint="eastAsia" w:ascii="宋体" w:hAnsi="宋体" w:eastAsia="宋体" w:cs="宋体"/>
          <w:b/>
          <w:bCs/>
          <w:color w:val="auto"/>
          <w:spacing w:val="1"/>
          <w:kern w:val="0"/>
          <w:sz w:val="32"/>
          <w:szCs w:val="32"/>
          <w:highlight w:val="none"/>
        </w:rPr>
        <w:t>专用合同条款</w:t>
      </w:r>
    </w:p>
    <w:p w14:paraId="1403A5E8">
      <w:pPr>
        <w:pageBreakBefore w:val="0"/>
        <w:widowControl/>
        <w:kinsoku/>
        <w:wordWrap/>
        <w:overflowPunct/>
        <w:topLinePunct w:val="0"/>
        <w:autoSpaceDE/>
        <w:autoSpaceDN/>
        <w:bidi w:val="0"/>
        <w:spacing w:after="120"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本合同条款是对咨询服务通用合同条款中相关条款的补充、修改或增加。当专用合同条款与通用条款不一致时，以专用合同条款为准，通用合同条款中未作修改或增补的条款继续有效。</w:t>
      </w:r>
    </w:p>
    <w:bookmarkEnd w:id="279"/>
    <w:p w14:paraId="0ED4A99E">
      <w:pPr>
        <w:keepNext/>
        <w:pageBreakBefore w:val="0"/>
        <w:kinsoku/>
        <w:wordWrap/>
        <w:overflowPunct/>
        <w:topLinePunct w:val="0"/>
        <w:autoSpaceDE/>
        <w:autoSpaceDN/>
        <w:bidi w:val="0"/>
        <w:spacing w:before="60" w:beforeLines="25" w:after="60" w:afterLines="25" w:line="44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520" w:name="_Toc237230857"/>
      <w:bookmarkStart w:id="521" w:name="_Toc488236004"/>
      <w:bookmarkStart w:id="522" w:name="_Toc237061007"/>
      <w:bookmarkStart w:id="523" w:name="_Toc184635098"/>
      <w:bookmarkStart w:id="524" w:name="_Toc234833230"/>
      <w:r>
        <w:rPr>
          <w:rFonts w:hint="eastAsia" w:ascii="宋体" w:hAnsi="宋体" w:eastAsia="宋体" w:cs="宋体"/>
          <w:b w:val="0"/>
          <w:bCs w:val="0"/>
          <w:color w:val="auto"/>
          <w:kern w:val="2"/>
          <w:sz w:val="24"/>
          <w:szCs w:val="24"/>
          <w:highlight w:val="none"/>
          <w:lang w:val="en-US" w:eastAsia="zh-CN" w:bidi="ar-SA"/>
        </w:rPr>
        <w:t>1．一般约定</w:t>
      </w:r>
      <w:bookmarkEnd w:id="520"/>
      <w:bookmarkEnd w:id="521"/>
      <w:bookmarkEnd w:id="522"/>
      <w:bookmarkEnd w:id="523"/>
    </w:p>
    <w:p w14:paraId="38957EBF">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25" w:name="_Toc237230858"/>
      <w:r>
        <w:rPr>
          <w:rFonts w:hint="eastAsia" w:ascii="宋体" w:hAnsi="宋体" w:eastAsia="宋体" w:cs="宋体"/>
          <w:b w:val="0"/>
          <w:bCs w:val="0"/>
          <w:i w:val="0"/>
          <w:iCs/>
          <w:color w:val="auto"/>
          <w:kern w:val="2"/>
          <w:sz w:val="24"/>
          <w:szCs w:val="24"/>
          <w:highlight w:val="none"/>
          <w:lang w:val="en-US" w:eastAsia="zh-CN" w:bidi="ar-SA"/>
        </w:rPr>
        <w:t>1.1 词语定义</w:t>
      </w:r>
      <w:bookmarkEnd w:id="525"/>
    </w:p>
    <w:p w14:paraId="04A96C05">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合同条款的下列词语应具有本款所赋予的含义。</w:t>
      </w:r>
    </w:p>
    <w:p w14:paraId="6E8F137A">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 合同</w:t>
      </w:r>
    </w:p>
    <w:p w14:paraId="1AE990F3">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1.1.1.1 合同文件（或称合同）：指合同协议书、中标通知书、投标函（报价函）及投标函附录、合同条款、技术标准和要求，以及其他合同文件。</w:t>
      </w:r>
    </w:p>
    <w:p w14:paraId="052728C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1.1.1.2 合同协议书：指第1.5 款所指的合同协议书。</w:t>
      </w:r>
    </w:p>
    <w:p w14:paraId="559E5F0C">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1.1.1.3 中标通知书：指发包人通知承包人中标的函件。</w:t>
      </w:r>
    </w:p>
    <w:p w14:paraId="602093E0">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1.1.1.4 投标函（报价函）：指构成合同文件组成部分的由承包人填写并签署的投标函（报价函）。</w:t>
      </w:r>
    </w:p>
    <w:p w14:paraId="68DF05A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1.1.1.5 投标函（报价函）附录：指附在投标函（报价函）后构成合同文件的投标函附录。</w:t>
      </w:r>
    </w:p>
    <w:p w14:paraId="531A286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1.1.1.6 技术标准和要求：指构成合同文件组成部分的名为技术标准和要求的文件，包括合同双方当事人约定对其所作的修改或补充。</w:t>
      </w:r>
    </w:p>
    <w:p w14:paraId="0B7BDF10">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1.1.1.7 其他合同文件：指经合同双方当事人确认构成合同文件的其他文件。</w:t>
      </w:r>
    </w:p>
    <w:p w14:paraId="7C7077E9">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 合同当事人和人员</w:t>
      </w:r>
    </w:p>
    <w:p w14:paraId="32DD05EB">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1.1.2.1 合同当事人：指发包人和（或）承包人。</w:t>
      </w:r>
    </w:p>
    <w:p w14:paraId="3824738D">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1.1.2.2 发包人：指与承包人在合同协议书中签字的当事人，本项目指“湖南省新新张官高速公路建设开发有限公司</w:t>
      </w:r>
      <w:r>
        <w:rPr>
          <w:rFonts w:hint="eastAsia" w:ascii="宋体" w:hAnsi="宋体" w:eastAsia="宋体" w:cs="宋体"/>
          <w:b w:val="0"/>
          <w:bCs w:val="0"/>
          <w:color w:val="auto"/>
          <w:sz w:val="24"/>
          <w:szCs w:val="24"/>
          <w:highlight w:val="none"/>
          <w:lang w:val="en-US" w:eastAsia="zh-CN"/>
        </w:rPr>
        <w:t>张家界</w:t>
      </w:r>
      <w:r>
        <w:rPr>
          <w:rFonts w:hint="eastAsia" w:ascii="宋体" w:hAnsi="宋体" w:eastAsia="宋体" w:cs="宋体"/>
          <w:b w:val="0"/>
          <w:bCs w:val="0"/>
          <w:color w:val="auto"/>
          <w:sz w:val="24"/>
          <w:szCs w:val="24"/>
          <w:highlight w:val="none"/>
        </w:rPr>
        <w:t>分公司”。</w:t>
      </w:r>
    </w:p>
    <w:p w14:paraId="31EC4230">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1.1.2.3 承包人：指与发包人签订合同协议书的当事人，及其合法继承人。</w:t>
      </w:r>
    </w:p>
    <w:p w14:paraId="5C3EA91E">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1.1.2.4 承包人项目负责人：指由承包人任命，代表承包人行使权利和履行义务的全权负责人。</w:t>
      </w:r>
    </w:p>
    <w:p w14:paraId="7A381551">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1.1.2.5 分包人：指从承包人处分包合同中某一部分工程，并与其签订分包合同的分包人。</w:t>
      </w:r>
    </w:p>
    <w:p w14:paraId="14561C6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1.1.2.6 监理人：指受发包人委托对合同履行实施管理的法人或其他组织。本项目监理人已由发包人通过公开招标的方式选定。</w:t>
      </w:r>
    </w:p>
    <w:p w14:paraId="454CC6D0">
      <w:pPr>
        <w:pageBreakBefore w:val="0"/>
        <w:widowControl w:val="0"/>
        <w:kinsoku/>
        <w:wordWrap/>
        <w:overflowPunct/>
        <w:topLinePunct w:val="0"/>
        <w:autoSpaceDE/>
        <w:autoSpaceDN/>
        <w:bidi w:val="0"/>
        <w:spacing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1.1.2.7 行政管理部门：指交通运输主管部门或对本工程依法享有行政监督权的其他政府部门。</w:t>
      </w:r>
    </w:p>
    <w:p w14:paraId="044988F3">
      <w:pPr>
        <w:pageBreakBefore w:val="0"/>
        <w:widowControl/>
        <w:kinsoku/>
        <w:wordWrap/>
        <w:overflowPunct/>
        <w:topLinePunct w:val="0"/>
        <w:autoSpaceDE/>
        <w:autoSpaceDN/>
        <w:bidi w:val="0"/>
        <w:spacing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1.1.2.8 第三方：指除发包人、承包人之外与本工程建设相关的其他当事人。</w:t>
      </w:r>
    </w:p>
    <w:p w14:paraId="723A5C06">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 工程和设备</w:t>
      </w:r>
    </w:p>
    <w:p w14:paraId="4A3D122C">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1.1.3.1 工程：为完成项目所实施的一项或若干项永久或临时工程（包括向发包人提供的物资和设备）。</w:t>
      </w:r>
    </w:p>
    <w:p w14:paraId="7C5DD00F">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1.1.3.2 永久工程：指按合同约定建造并移交给发包人的工程，包括工程设备。</w:t>
      </w:r>
    </w:p>
    <w:p w14:paraId="0A036E0C">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1.1.3.3 临时工程：指为完成合同约定的永久工程所修建的各类临时性工程。</w:t>
      </w:r>
    </w:p>
    <w:p w14:paraId="5BA9594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1.1.3.4 工程设备：指构成或计划构成永久工程一部分的机电设备、金属结构设备、仪器装置及其他类似的设备和装置。</w:t>
      </w:r>
    </w:p>
    <w:p w14:paraId="14F58066">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1.1.3.5 试验检测设备：指为完成合同约定的各项工作所需的设备、器具和其他物品，不包括临时工程和材料。</w:t>
      </w:r>
    </w:p>
    <w:p w14:paraId="0B597AAF">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1.1.3.6 承包人设备：指承包人自带的试验检测设备。</w:t>
      </w:r>
    </w:p>
    <w:p w14:paraId="6880D550">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1.1.3.7 施工场地（或称工地、现场）：指用于合同工程试验检测的场所，以及在合同中指定作为试验检测场地组成部分的其他场所。</w:t>
      </w:r>
    </w:p>
    <w:p w14:paraId="49D096CD">
      <w:pPr>
        <w:pageBreakBefore w:val="0"/>
        <w:widowControl w:val="0"/>
        <w:kinsoku/>
        <w:wordWrap/>
        <w:overflowPunct/>
        <w:topLinePunct w:val="0"/>
        <w:autoSpaceDE/>
        <w:autoSpaceDN/>
        <w:bidi w:val="0"/>
        <w:spacing w:before="60" w:beforeLines="25" w:after="60" w:afterLines="25"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1.1.3.8 施工质量检测：承包人就本项目工程为发包人提供的服务。本合同施工质量检测包括</w:t>
      </w:r>
      <w:r>
        <w:rPr>
          <w:rFonts w:hint="eastAsia" w:ascii="宋体" w:hAnsi="宋体" w:eastAsia="宋体" w:cs="宋体"/>
          <w:b w:val="0"/>
          <w:bCs w:val="0"/>
          <w:color w:val="auto"/>
          <w:kern w:val="2"/>
          <w:sz w:val="24"/>
          <w:szCs w:val="24"/>
          <w:highlight w:val="none"/>
          <w:u w:val="single"/>
          <w:lang w:val="en-US" w:eastAsia="zh-CN" w:bidi="ar-SA"/>
        </w:rPr>
        <w:t xml:space="preserve">：G59呼北高速张家界至官庄段第二标段成桥动静载检测（桥梁）技术咨询服务 </w:t>
      </w:r>
      <w:r>
        <w:rPr>
          <w:rFonts w:hint="eastAsia" w:ascii="宋体" w:hAnsi="宋体" w:eastAsia="宋体" w:cs="宋体"/>
          <w:b w:val="0"/>
          <w:bCs w:val="0"/>
          <w:color w:val="auto"/>
          <w:kern w:val="2"/>
          <w:sz w:val="24"/>
          <w:szCs w:val="24"/>
          <w:highlight w:val="none"/>
          <w:lang w:val="en-US" w:eastAsia="zh-CN" w:bidi="ar-SA"/>
        </w:rPr>
        <w:t>。</w:t>
      </w:r>
    </w:p>
    <w:p w14:paraId="44D06E50">
      <w:pPr>
        <w:pageBreakBefore w:val="0"/>
        <w:widowControl w:val="0"/>
        <w:kinsoku/>
        <w:wordWrap/>
        <w:overflowPunct/>
        <w:topLinePunct w:val="0"/>
        <w:autoSpaceDE/>
        <w:autoSpaceDN/>
        <w:bidi w:val="0"/>
        <w:spacing w:before="60" w:beforeLines="25" w:after="60" w:afterLines="25"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1.1.3.9 成桥动静载检测（桥梁）技术咨询报告：指承包人在履行本合同技术咨询过程中，依据成桥动静载检测（桥梁）技术咨询结果出具的书面报告、通知、意见等文件。 </w:t>
      </w:r>
    </w:p>
    <w:p w14:paraId="57853454">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1.1.4 日期</w:t>
      </w:r>
    </w:p>
    <w:p w14:paraId="44C69AF5">
      <w:pPr>
        <w:pageBreakBefore w:val="0"/>
        <w:widowControl w:val="0"/>
        <w:kinsoku/>
        <w:wordWrap/>
        <w:overflowPunct/>
        <w:topLinePunct w:val="0"/>
        <w:autoSpaceDE/>
        <w:autoSpaceDN/>
        <w:bidi w:val="0"/>
        <w:spacing w:before="60" w:beforeLines="25" w:after="60" w:afterLines="25"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1.1.4.1 开始技术咨询通知：指发包人通知承包人开始成桥动静载检测（桥梁）技术咨询的函件。 </w:t>
      </w:r>
    </w:p>
    <w:p w14:paraId="36C2F3D6">
      <w:pPr>
        <w:pageBreakBefore w:val="0"/>
        <w:widowControl w:val="0"/>
        <w:kinsoku/>
        <w:wordWrap/>
        <w:overflowPunct/>
        <w:topLinePunct w:val="0"/>
        <w:autoSpaceDE/>
        <w:autoSpaceDN/>
        <w:bidi w:val="0"/>
        <w:spacing w:before="60" w:beforeLines="25" w:after="60" w:afterLines="25"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1.1.4.2 开始技术咨询日期：指发包人通知监理人开始成桥动静载检测（桥梁）技术咨询日期。</w:t>
      </w:r>
    </w:p>
    <w:p w14:paraId="7CA10E88">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1.1.4.3 服务期：指承包人在投标函中承诺的完成合同工程所需的期限，包括延长的</w:t>
      </w:r>
      <w:r>
        <w:rPr>
          <w:rFonts w:hint="eastAsia" w:ascii="宋体" w:hAnsi="宋体" w:eastAsia="宋体" w:cs="宋体"/>
          <w:b w:val="0"/>
          <w:bCs w:val="0"/>
          <w:color w:val="auto"/>
          <w:sz w:val="24"/>
          <w:szCs w:val="24"/>
          <w:highlight w:val="none"/>
          <w:lang w:val="en-US" w:eastAsia="zh-CN"/>
        </w:rPr>
        <w:t>成桥动静载检测（桥梁）</w:t>
      </w:r>
      <w:r>
        <w:rPr>
          <w:rFonts w:hint="eastAsia" w:ascii="宋体" w:hAnsi="宋体" w:eastAsia="宋体" w:cs="宋体"/>
          <w:b w:val="0"/>
          <w:bCs w:val="0"/>
          <w:color w:val="auto"/>
          <w:sz w:val="24"/>
          <w:szCs w:val="24"/>
          <w:highlight w:val="none"/>
        </w:rPr>
        <w:t>技术咨询服务期限。</w:t>
      </w:r>
    </w:p>
    <w:p w14:paraId="6C0A200D">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1.1.4.4 基准日期：指投标截止时间前28 天的日期。</w:t>
      </w:r>
    </w:p>
    <w:p w14:paraId="555586CC">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1.1.4.5 天：除特别指明外，指日历天。合同中按天计算时间的，开始当天不计入，从次日开始计算。期限最后一天的截止时间为当天24:00。</w:t>
      </w:r>
    </w:p>
    <w:p w14:paraId="0C2DDB2D">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 合同价格和费用</w:t>
      </w:r>
    </w:p>
    <w:p w14:paraId="7D3C964E">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1.1.5.1 签约合同价：指签订合同时合同协议书中写明的</w:t>
      </w:r>
      <w:r>
        <w:rPr>
          <w:rFonts w:hint="eastAsia" w:ascii="宋体" w:hAnsi="宋体" w:eastAsia="宋体" w:cs="宋体"/>
          <w:b w:val="0"/>
          <w:bCs w:val="0"/>
          <w:color w:val="auto"/>
          <w:sz w:val="24"/>
          <w:szCs w:val="24"/>
          <w:highlight w:val="none"/>
          <w:lang w:val="en-US" w:eastAsia="zh-CN"/>
        </w:rPr>
        <w:t>成桥动静载检测（桥梁）</w:t>
      </w:r>
      <w:r>
        <w:rPr>
          <w:rFonts w:hint="eastAsia" w:ascii="宋体" w:hAnsi="宋体" w:eastAsia="宋体" w:cs="宋体"/>
          <w:b w:val="0"/>
          <w:bCs w:val="0"/>
          <w:color w:val="auto"/>
          <w:sz w:val="24"/>
          <w:szCs w:val="24"/>
          <w:highlight w:val="none"/>
        </w:rPr>
        <w:t>技术咨询服务费总金额。</w:t>
      </w:r>
    </w:p>
    <w:p w14:paraId="4063BD55">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1.1.5.2 合同价格：指承包人按合同约定完成全部承包工作后，发包人应付给承包人的金额。</w:t>
      </w:r>
    </w:p>
    <w:p w14:paraId="3A05E30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1.1.5.3 费用：指为履行合同所发生的或将要发生的所有合理开支，包括管理费和应分摊的其他费用，但不包括利润。</w:t>
      </w:r>
    </w:p>
    <w:p w14:paraId="76F99400">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1.1.6 其他</w:t>
      </w:r>
    </w:p>
    <w:p w14:paraId="6AD91801">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1.1.6.1 书面形式：指合同文件、信函、电报、传真等可以有形地表现所载内容的形式。</w:t>
      </w:r>
    </w:p>
    <w:p w14:paraId="7C146E68">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26" w:name="_Toc237230859"/>
      <w:r>
        <w:rPr>
          <w:rFonts w:hint="eastAsia" w:ascii="宋体" w:hAnsi="宋体" w:eastAsia="宋体" w:cs="宋体"/>
          <w:b w:val="0"/>
          <w:bCs w:val="0"/>
          <w:i w:val="0"/>
          <w:iCs/>
          <w:color w:val="auto"/>
          <w:kern w:val="2"/>
          <w:sz w:val="24"/>
          <w:szCs w:val="24"/>
          <w:highlight w:val="none"/>
          <w:lang w:val="en-US" w:eastAsia="zh-CN" w:bidi="ar-SA"/>
        </w:rPr>
        <w:t>1.2 语言文字</w:t>
      </w:r>
      <w:bookmarkEnd w:id="526"/>
    </w:p>
    <w:p w14:paraId="4AC45175">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合同使用的语言文字为中文。必要时专用术语应附有中文注释。</w:t>
      </w:r>
    </w:p>
    <w:p w14:paraId="31DB5B9D">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27" w:name="_Toc237230860"/>
      <w:r>
        <w:rPr>
          <w:rFonts w:hint="eastAsia" w:ascii="宋体" w:hAnsi="宋体" w:eastAsia="宋体" w:cs="宋体"/>
          <w:b w:val="0"/>
          <w:bCs w:val="0"/>
          <w:i w:val="0"/>
          <w:iCs/>
          <w:color w:val="auto"/>
          <w:kern w:val="2"/>
          <w:sz w:val="24"/>
          <w:szCs w:val="24"/>
          <w:highlight w:val="none"/>
          <w:lang w:val="en-US" w:eastAsia="zh-CN" w:bidi="ar-SA"/>
        </w:rPr>
        <w:t>1.3 法律</w:t>
      </w:r>
      <w:bookmarkEnd w:id="527"/>
    </w:p>
    <w:p w14:paraId="193C2677">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适用于合同的法律包括中华人民共和国法律、行政法规、部门规章，以及工程所在地的地方法规、自治条例、单行条例和地方政府规章。</w:t>
      </w:r>
    </w:p>
    <w:p w14:paraId="5CBF73E2">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28" w:name="_Toc237230861"/>
      <w:r>
        <w:rPr>
          <w:rFonts w:hint="eastAsia" w:ascii="宋体" w:hAnsi="宋体" w:eastAsia="宋体" w:cs="宋体"/>
          <w:b w:val="0"/>
          <w:bCs w:val="0"/>
          <w:i w:val="0"/>
          <w:iCs/>
          <w:color w:val="auto"/>
          <w:kern w:val="2"/>
          <w:sz w:val="24"/>
          <w:szCs w:val="24"/>
          <w:highlight w:val="none"/>
          <w:lang w:val="en-US" w:eastAsia="zh-CN" w:bidi="ar-SA"/>
        </w:rPr>
        <w:t>1.4 合同文件的优先顺序</w:t>
      </w:r>
      <w:bookmarkEnd w:id="528"/>
    </w:p>
    <w:p w14:paraId="05647C10">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组成合同的各项文件应互相解释，互为说明。除专用合同条款另有约定外，解释合同文件的优先顺序如下：</w:t>
      </w:r>
    </w:p>
    <w:p w14:paraId="5B508A8B">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a.本协议书（含补遗书）承诺书及各种合同附件（含评标期间和合同谈判过程中的澄清文件和补充资料）；</w:t>
      </w:r>
    </w:p>
    <w:p w14:paraId="12EA9443">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b.中标通知书；</w:t>
      </w:r>
    </w:p>
    <w:p w14:paraId="0F2AFDD8">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c.投标函及投标函录；</w:t>
      </w:r>
    </w:p>
    <w:p w14:paraId="4DC15BB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d.承诺函；</w:t>
      </w:r>
    </w:p>
    <w:p w14:paraId="4ED8DB08">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e.</w:t>
      </w:r>
      <w:r>
        <w:rPr>
          <w:rFonts w:hint="eastAsia" w:ascii="宋体" w:hAnsi="宋体" w:eastAsia="宋体" w:cs="宋体"/>
          <w:b w:val="0"/>
          <w:bCs w:val="0"/>
          <w:color w:val="auto"/>
          <w:sz w:val="24"/>
          <w:szCs w:val="24"/>
          <w:highlight w:val="none"/>
          <w:lang w:val="en-US" w:eastAsia="zh-CN"/>
        </w:rPr>
        <w:t>试验检测</w:t>
      </w:r>
      <w:r>
        <w:rPr>
          <w:rFonts w:hint="eastAsia" w:ascii="宋体" w:hAnsi="宋体" w:eastAsia="宋体" w:cs="宋体"/>
          <w:b w:val="0"/>
          <w:bCs w:val="0"/>
          <w:color w:val="auto"/>
          <w:sz w:val="24"/>
          <w:szCs w:val="24"/>
          <w:highlight w:val="none"/>
        </w:rPr>
        <w:t>合同条款及其附件；</w:t>
      </w:r>
    </w:p>
    <w:p w14:paraId="3F2C6B85">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f.本项目建设管理办法（如有）；</w:t>
      </w:r>
    </w:p>
    <w:p w14:paraId="2C7959C0">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g.相关技术标准、规范、规程；</w:t>
      </w:r>
    </w:p>
    <w:p w14:paraId="77118DA3">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h.设计图表；</w:t>
      </w:r>
    </w:p>
    <w:p w14:paraId="294F0F1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i.</w:t>
      </w:r>
      <w:r>
        <w:rPr>
          <w:rFonts w:hint="eastAsia" w:ascii="宋体" w:hAnsi="宋体" w:eastAsia="宋体" w:cs="宋体"/>
          <w:b w:val="0"/>
          <w:bCs w:val="0"/>
          <w:color w:val="auto"/>
          <w:sz w:val="24"/>
          <w:szCs w:val="24"/>
          <w:highlight w:val="none"/>
          <w:lang w:val="en-US" w:eastAsia="zh-CN"/>
        </w:rPr>
        <w:t>试验检测</w:t>
      </w:r>
      <w:r>
        <w:rPr>
          <w:rFonts w:hint="eastAsia" w:ascii="宋体" w:hAnsi="宋体" w:eastAsia="宋体" w:cs="宋体"/>
          <w:b w:val="0"/>
          <w:bCs w:val="0"/>
          <w:color w:val="auto"/>
          <w:sz w:val="24"/>
          <w:szCs w:val="24"/>
          <w:highlight w:val="none"/>
        </w:rPr>
        <w:t>工程量清单；</w:t>
      </w:r>
    </w:p>
    <w:p w14:paraId="66669ED4">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j.承包人有关人员、仪器、设备投入的承诺及投标文件中的详细</w:t>
      </w:r>
      <w:r>
        <w:rPr>
          <w:rFonts w:hint="eastAsia" w:ascii="宋体" w:hAnsi="宋体" w:eastAsia="宋体" w:cs="Times New Roman"/>
          <w:color w:val="auto"/>
          <w:position w:val="0"/>
          <w:sz w:val="24"/>
          <w:szCs w:val="24"/>
          <w:highlight w:val="none"/>
        </w:rPr>
        <w:t>试验检测</w:t>
      </w:r>
      <w:r>
        <w:rPr>
          <w:rFonts w:hint="eastAsia" w:ascii="宋体" w:hAnsi="宋体" w:eastAsia="宋体" w:cs="宋体"/>
          <w:b w:val="0"/>
          <w:bCs w:val="0"/>
          <w:color w:val="auto"/>
          <w:sz w:val="24"/>
          <w:szCs w:val="24"/>
          <w:highlight w:val="none"/>
        </w:rPr>
        <w:t xml:space="preserve">方案； </w:t>
      </w:r>
    </w:p>
    <w:p w14:paraId="2962878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k.发包人相关试验检测管理制度；</w:t>
      </w:r>
    </w:p>
    <w:p w14:paraId="0DC82118">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l.其他合同文件。</w:t>
      </w:r>
    </w:p>
    <w:p w14:paraId="5B4D1D28">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对于同一类合同文件，以其最新版本或最新颁发者为准。</w:t>
      </w:r>
    </w:p>
    <w:p w14:paraId="4CBB9362">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29" w:name="_Toc237230862"/>
      <w:r>
        <w:rPr>
          <w:rFonts w:hint="eastAsia" w:ascii="宋体" w:hAnsi="宋体" w:eastAsia="宋体" w:cs="宋体"/>
          <w:b w:val="0"/>
          <w:bCs w:val="0"/>
          <w:i w:val="0"/>
          <w:iCs/>
          <w:color w:val="auto"/>
          <w:kern w:val="2"/>
          <w:sz w:val="24"/>
          <w:szCs w:val="24"/>
          <w:highlight w:val="none"/>
          <w:lang w:val="en-US" w:eastAsia="zh-CN" w:bidi="ar-SA"/>
        </w:rPr>
        <w:t>1.5 合同协议书</w:t>
      </w:r>
      <w:bookmarkEnd w:id="529"/>
    </w:p>
    <w:p w14:paraId="2EA6B5FB">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承包人按中标通知书规定的时间与发包人签订合同协议书并提交履约担保。除法律另有规定或合同另有约定外，发包人和承包人的法定代表人或其委托代理人在合同协议书上签字并盖单位章后，合同生效。</w:t>
      </w:r>
    </w:p>
    <w:p w14:paraId="28F0849F">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1.6 相关图纸资料的</w:t>
      </w:r>
    </w:p>
    <w:p w14:paraId="4C734BA7">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承包人进场后应向发包人提供完成承包工作所需的图纸资料清单明细，发包人应在14天内将其所拥有的资料提交给承包人，但发包人处没有的资料，承包人应自行收集，发包人对此不负任何责任。</w:t>
      </w:r>
    </w:p>
    <w:p w14:paraId="61D47917">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30" w:name="_Toc237230864"/>
      <w:r>
        <w:rPr>
          <w:rFonts w:hint="eastAsia" w:ascii="宋体" w:hAnsi="宋体" w:eastAsia="宋体" w:cs="宋体"/>
          <w:b w:val="0"/>
          <w:bCs w:val="0"/>
          <w:i w:val="0"/>
          <w:iCs/>
          <w:color w:val="auto"/>
          <w:kern w:val="2"/>
          <w:sz w:val="24"/>
          <w:szCs w:val="24"/>
          <w:highlight w:val="none"/>
          <w:lang w:val="en-US" w:eastAsia="zh-CN" w:bidi="ar-SA"/>
        </w:rPr>
        <w:t>1.7 联络</w:t>
      </w:r>
      <w:bookmarkEnd w:id="530"/>
    </w:p>
    <w:p w14:paraId="26AE4424">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1.7.1 与合同有关的通知、批准、证明、证书、指示、要求、请求、同意、意见、确定和决定等，均应采用书面形式。</w:t>
      </w:r>
    </w:p>
    <w:p w14:paraId="205AFC92">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1.7.2 第1.7.1 项中的通知、批准、证明、证书、指示、要求、请求、同意、意见、确定和决定等来往函件，均应在合同约定的期限内送达指定地点和接收人，并办理签收手续。</w:t>
      </w:r>
    </w:p>
    <w:p w14:paraId="567ECD92">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31" w:name="_Toc237230865"/>
      <w:r>
        <w:rPr>
          <w:rFonts w:hint="eastAsia" w:ascii="宋体" w:hAnsi="宋体" w:eastAsia="宋体" w:cs="宋体"/>
          <w:b w:val="0"/>
          <w:bCs w:val="0"/>
          <w:i w:val="0"/>
          <w:iCs/>
          <w:color w:val="auto"/>
          <w:kern w:val="2"/>
          <w:sz w:val="24"/>
          <w:szCs w:val="24"/>
          <w:highlight w:val="none"/>
          <w:lang w:val="en-US" w:eastAsia="zh-CN" w:bidi="ar-SA"/>
        </w:rPr>
        <w:t>1.8 转让</w:t>
      </w:r>
      <w:bookmarkEnd w:id="531"/>
    </w:p>
    <w:p w14:paraId="27FF41A7">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除合同另有约定外，未经对方当事人同意，一方当事人不得将合同权利全部或部分转让给第三人，也不得全部或部分转移合同义务。</w:t>
      </w:r>
    </w:p>
    <w:p w14:paraId="111AC2D1">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32" w:name="_Toc237230866"/>
      <w:r>
        <w:rPr>
          <w:rFonts w:hint="eastAsia" w:ascii="宋体" w:hAnsi="宋体" w:eastAsia="宋体" w:cs="宋体"/>
          <w:b w:val="0"/>
          <w:bCs w:val="0"/>
          <w:i w:val="0"/>
          <w:iCs/>
          <w:color w:val="auto"/>
          <w:kern w:val="2"/>
          <w:sz w:val="24"/>
          <w:szCs w:val="24"/>
          <w:highlight w:val="none"/>
          <w:lang w:val="en-US" w:eastAsia="zh-CN" w:bidi="ar-SA"/>
        </w:rPr>
        <w:t>1.9 严禁贿赂</w:t>
      </w:r>
      <w:bookmarkEnd w:id="532"/>
    </w:p>
    <w:p w14:paraId="10F5013C">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合同双方当事人不得以贿赂或变相贿赂的方式，谋取不当利益或损害对方权益。因贿赂造成对方损失的，行为人应赔偿损失，并承担相应的法律责任。</w:t>
      </w:r>
    </w:p>
    <w:p w14:paraId="411B979A">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33" w:name="_Toc237230868"/>
      <w:r>
        <w:rPr>
          <w:rFonts w:hint="eastAsia" w:ascii="宋体" w:hAnsi="宋体" w:eastAsia="宋体" w:cs="宋体"/>
          <w:b w:val="0"/>
          <w:bCs w:val="0"/>
          <w:i w:val="0"/>
          <w:iCs/>
          <w:color w:val="auto"/>
          <w:kern w:val="2"/>
          <w:sz w:val="24"/>
          <w:szCs w:val="24"/>
          <w:highlight w:val="none"/>
          <w:lang w:val="en-US" w:eastAsia="zh-CN" w:bidi="ar-SA"/>
        </w:rPr>
        <w:t>1.10 专利技术</w:t>
      </w:r>
      <w:bookmarkEnd w:id="533"/>
    </w:p>
    <w:p w14:paraId="2A6F8A6D">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1.10.1 承包人在使用任何材料、设备、技术，因侵犯专利权或其他知识产权所引起的责任，由承包人承担。</w:t>
      </w:r>
    </w:p>
    <w:p w14:paraId="219867C6">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1.10.2 承包人在投标文件中采用专利技术的，专利技术的使用费包含在投标报价（</w:t>
      </w:r>
      <w:r>
        <w:rPr>
          <w:rFonts w:hint="eastAsia" w:ascii="宋体" w:hAnsi="宋体" w:eastAsia="宋体" w:cs="宋体"/>
          <w:b w:val="0"/>
          <w:bCs w:val="0"/>
          <w:color w:val="auto"/>
          <w:sz w:val="24"/>
          <w:szCs w:val="24"/>
          <w:highlight w:val="none"/>
          <w:lang w:val="en-US" w:eastAsia="zh-CN"/>
        </w:rPr>
        <w:t>成桥动静载检测（桥梁）</w:t>
      </w:r>
      <w:r>
        <w:rPr>
          <w:rFonts w:hint="eastAsia" w:ascii="宋体" w:hAnsi="宋体" w:eastAsia="宋体" w:cs="宋体"/>
          <w:b w:val="0"/>
          <w:bCs w:val="0"/>
          <w:color w:val="auto"/>
          <w:sz w:val="24"/>
          <w:szCs w:val="24"/>
          <w:highlight w:val="none"/>
        </w:rPr>
        <w:t>技术咨询服务费）内。</w:t>
      </w:r>
    </w:p>
    <w:p w14:paraId="0647B38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1.10.3 承包人的技术秘密和声明需要保密的资料和信息，发包人和其他相关人不得为合同以外的目的泄露给他人。</w:t>
      </w:r>
    </w:p>
    <w:p w14:paraId="0E57CBA5">
      <w:pPr>
        <w:keepNext/>
        <w:pageBreakBefore w:val="0"/>
        <w:kinsoku/>
        <w:wordWrap/>
        <w:overflowPunct/>
        <w:topLinePunct w:val="0"/>
        <w:autoSpaceDE/>
        <w:autoSpaceDN/>
        <w:bidi w:val="0"/>
        <w:spacing w:before="60" w:beforeLines="25" w:after="60" w:afterLines="25" w:line="44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534" w:name="_Toc184635099"/>
      <w:bookmarkStart w:id="535" w:name="_Toc237230870"/>
      <w:bookmarkStart w:id="536" w:name="_Toc237061008"/>
      <w:bookmarkStart w:id="537" w:name="_Toc488236005"/>
      <w:r>
        <w:rPr>
          <w:rFonts w:hint="eastAsia" w:ascii="宋体" w:hAnsi="宋体" w:eastAsia="宋体" w:cs="宋体"/>
          <w:b w:val="0"/>
          <w:bCs w:val="0"/>
          <w:color w:val="auto"/>
          <w:kern w:val="2"/>
          <w:sz w:val="24"/>
          <w:szCs w:val="24"/>
          <w:highlight w:val="none"/>
          <w:lang w:val="en-US" w:eastAsia="zh-CN" w:bidi="ar-SA"/>
        </w:rPr>
        <w:t>2．发包人义务</w:t>
      </w:r>
      <w:bookmarkEnd w:id="534"/>
      <w:bookmarkEnd w:id="535"/>
      <w:bookmarkEnd w:id="536"/>
      <w:bookmarkEnd w:id="537"/>
    </w:p>
    <w:p w14:paraId="630779AE">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38" w:name="_Toc237230871"/>
      <w:r>
        <w:rPr>
          <w:rFonts w:hint="eastAsia" w:ascii="宋体" w:hAnsi="宋体" w:eastAsia="宋体" w:cs="宋体"/>
          <w:b w:val="0"/>
          <w:bCs w:val="0"/>
          <w:i w:val="0"/>
          <w:iCs/>
          <w:color w:val="auto"/>
          <w:kern w:val="2"/>
          <w:sz w:val="24"/>
          <w:szCs w:val="24"/>
          <w:highlight w:val="none"/>
          <w:lang w:val="en-US" w:eastAsia="zh-CN" w:bidi="ar-SA"/>
        </w:rPr>
        <w:t>2.1 遵守法律</w:t>
      </w:r>
      <w:bookmarkEnd w:id="538"/>
    </w:p>
    <w:p w14:paraId="02A8DA9B">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发包人在履行合同过程中应遵守法律，并保证承包人免于承担因发包人违反法律而引起的任何责任。</w:t>
      </w:r>
    </w:p>
    <w:p w14:paraId="53857A3F">
      <w:pPr>
        <w:pageBreakBefore w:val="0"/>
        <w:widowControl w:val="0"/>
        <w:kinsoku/>
        <w:wordWrap/>
        <w:overflowPunct/>
        <w:topLinePunct w:val="0"/>
        <w:autoSpaceDE/>
        <w:autoSpaceDN/>
        <w:bidi w:val="0"/>
        <w:spacing w:line="44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2.2 提供设备、设施</w:t>
      </w:r>
    </w:p>
    <w:p w14:paraId="2424A947">
      <w:pPr>
        <w:pageBreakBefore w:val="0"/>
        <w:widowControl w:val="0"/>
        <w:kinsoku/>
        <w:wordWrap/>
        <w:overflowPunct/>
        <w:topLinePunct w:val="0"/>
        <w:autoSpaceDE/>
        <w:autoSpaceDN/>
        <w:bidi w:val="0"/>
        <w:spacing w:before="60" w:beforeLines="25" w:after="60" w:afterLines="25"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在试验检测服务期间，发包人不为承包人提供现场人员所需的办公房间、办公桌椅、互联网接口、冷暖设施、生活设施、进出现场交通服务、设备实施和其他便利条件，所产生的费用视为包含在其投标报价中。</w:t>
      </w:r>
    </w:p>
    <w:p w14:paraId="3B195571">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39" w:name="_Toc237230874"/>
      <w:r>
        <w:rPr>
          <w:rFonts w:hint="eastAsia" w:ascii="宋体" w:hAnsi="宋体" w:eastAsia="宋体" w:cs="宋体"/>
          <w:b w:val="0"/>
          <w:bCs w:val="0"/>
          <w:i w:val="0"/>
          <w:iCs/>
          <w:color w:val="auto"/>
          <w:kern w:val="2"/>
          <w:sz w:val="24"/>
          <w:szCs w:val="24"/>
          <w:highlight w:val="none"/>
          <w:lang w:val="en-US" w:eastAsia="zh-CN" w:bidi="ar-SA"/>
        </w:rPr>
        <w:t>2.3 办理证件和批件</w:t>
      </w:r>
      <w:bookmarkEnd w:id="539"/>
    </w:p>
    <w:p w14:paraId="5438F53B">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法律规定和（或）合同约定由发包人负责办理的工程建设项目必须履行的各类审批、核准或备案手续，发包人应当按时办理，承包人应给予必要的协助。 </w:t>
      </w:r>
    </w:p>
    <w:p w14:paraId="018A156E">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法律规定和（或）合同约定由承包人负责办理所需的证件和批件，发包人应给予必要的协助。 </w:t>
      </w:r>
    </w:p>
    <w:p w14:paraId="5F71AAD2">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40" w:name="_Toc237230876"/>
      <w:r>
        <w:rPr>
          <w:rFonts w:hint="eastAsia" w:ascii="宋体" w:hAnsi="宋体" w:eastAsia="宋体" w:cs="宋体"/>
          <w:b w:val="0"/>
          <w:bCs w:val="0"/>
          <w:i w:val="0"/>
          <w:iCs/>
          <w:color w:val="auto"/>
          <w:kern w:val="2"/>
          <w:sz w:val="24"/>
          <w:szCs w:val="24"/>
          <w:highlight w:val="none"/>
          <w:lang w:val="en-US" w:eastAsia="zh-CN" w:bidi="ar-SA"/>
        </w:rPr>
        <w:t>2.4 支付合同价款</w:t>
      </w:r>
      <w:bookmarkEnd w:id="540"/>
    </w:p>
    <w:p w14:paraId="2BED287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发包人按合同约定向承包人支付合同价款，但</w:t>
      </w:r>
      <w:r>
        <w:rPr>
          <w:rFonts w:hint="eastAsia" w:ascii="宋体" w:hAnsi="宋体" w:eastAsia="宋体" w:cs="宋体"/>
          <w:b w:val="0"/>
          <w:bCs w:val="0"/>
          <w:color w:val="auto"/>
          <w:sz w:val="24"/>
          <w:szCs w:val="24"/>
          <w:highlight w:val="none"/>
          <w:lang w:val="en-US" w:eastAsia="zh-CN"/>
        </w:rPr>
        <w:t>成桥动静载检测（桥梁）</w:t>
      </w:r>
      <w:r>
        <w:rPr>
          <w:rFonts w:hint="eastAsia" w:ascii="宋体" w:hAnsi="宋体" w:eastAsia="宋体" w:cs="宋体"/>
          <w:b w:val="0"/>
          <w:bCs w:val="0"/>
          <w:color w:val="auto"/>
          <w:sz w:val="24"/>
          <w:szCs w:val="24"/>
          <w:highlight w:val="none"/>
        </w:rPr>
        <w:t>技术咨询费用由承包人承担，发包人在承包人工程进度款支付时予以扣除。</w:t>
      </w:r>
    </w:p>
    <w:p w14:paraId="03E2CF7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 提供文件和资料</w:t>
      </w:r>
    </w:p>
    <w:p w14:paraId="3F24E05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在本合同生效之日起，且在取得相关文件、资料 7 日内，向承包人免费提供下 述文件、资料： </w:t>
      </w:r>
    </w:p>
    <w:p w14:paraId="47B0E74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（1）发包人与承包人签订的合同 1 份电子版（如有）。 </w:t>
      </w:r>
    </w:p>
    <w:p w14:paraId="07D5202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（2）图纸和相关的标准图纸及说明 1 套（电子版）。 </w:t>
      </w:r>
    </w:p>
    <w:p w14:paraId="7B66654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技术规范、检验评定标准、操作规程、交通运输部和其他行政主管部门颁发的范本、技术规范、规程、标准等由承包人自行购买。 </w:t>
      </w:r>
    </w:p>
    <w:p w14:paraId="21E9197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任何一方当事人发现文件中存在的明显错误或疏忽，均应及时通知对方当事人，并应立即采取适当的措施防止损失扩大。</w:t>
      </w:r>
    </w:p>
    <w:p w14:paraId="6D43E1F7">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2.6 授权通知 </w:t>
      </w:r>
    </w:p>
    <w:p w14:paraId="07C00E28">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发包人必须将履行咨询服务的人员及发包人授予承包人的权力，及时用书面形式通知第三方。</w:t>
      </w:r>
    </w:p>
    <w:p w14:paraId="72D6273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2.7 发包人代表（若有）</w:t>
      </w:r>
    </w:p>
    <w:p w14:paraId="22B3C25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发包人应在合同签订后 14 天内将发包人代表的姓名、职务、联系方式、授权范围和授权期限书面通知承包人，与承包人建立工作联系。更换该代表或变更其授权时，必须提前 7 日通知承包人。</w:t>
      </w:r>
    </w:p>
    <w:p w14:paraId="4FF60DFF">
      <w:pPr>
        <w:pageBreakBefore w:val="0"/>
        <w:widowControl w:val="0"/>
        <w:kinsoku/>
        <w:wordWrap/>
        <w:overflowPunct/>
        <w:topLinePunct w:val="0"/>
        <w:autoSpaceDE/>
        <w:autoSpaceDN/>
        <w:bidi w:val="0"/>
        <w:snapToGrid/>
        <w:spacing w:line="420" w:lineRule="exact"/>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2.8 决定或答复 </w:t>
      </w:r>
    </w:p>
    <w:p w14:paraId="01DA5AD0">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发包人根据承包人有关针对本工程的工期、质量、进度、合同和安全等问题的请示及时予以决定。对上述请示给予书面答复的期限，自收到书面请示之日起最长不超过 7 日，重大问题不得超过 28 日。逾期没有作出答复的，视为已获得发包人的批准。</w:t>
      </w:r>
    </w:p>
    <w:p w14:paraId="0F2623CE">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2.9 协助</w:t>
      </w:r>
    </w:p>
    <w:p w14:paraId="0306E276">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发包人在工程所在地对承包人提供进驻现场的相关条件，协助承包人进场施工现场，解决非承包人原因而发生意外事件时，咨询人员的撤场和相关事宜；并避免承包人根据合同进行服务而导致的第三方的收费(不含税金)。 </w:t>
      </w:r>
    </w:p>
    <w:p w14:paraId="13567D77">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41" w:name="_Toc237230878"/>
      <w:r>
        <w:rPr>
          <w:rFonts w:hint="eastAsia" w:ascii="宋体" w:hAnsi="宋体" w:eastAsia="宋体" w:cs="宋体"/>
          <w:b w:val="0"/>
          <w:bCs w:val="0"/>
          <w:i w:val="0"/>
          <w:iCs/>
          <w:color w:val="auto"/>
          <w:kern w:val="2"/>
          <w:sz w:val="24"/>
          <w:szCs w:val="24"/>
          <w:highlight w:val="none"/>
          <w:lang w:val="en-US" w:eastAsia="zh-CN" w:bidi="ar-SA"/>
        </w:rPr>
        <w:t>2.10 其他义务</w:t>
      </w:r>
      <w:bookmarkEnd w:id="541"/>
    </w:p>
    <w:p w14:paraId="3239444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2.10.1 对工期、质量、人员、设备、仪器进行监督检查，对不符合《技术要求》的工作，有权要求承包人进行整改直到合格，并由承包人承担相应费用。</w:t>
      </w:r>
    </w:p>
    <w:p w14:paraId="4EAC2F4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2.10.2 有权根据设计、施工的需要调整工作内容、范围和工作计划，承包人不得对此有异议。</w:t>
      </w:r>
    </w:p>
    <w:p w14:paraId="581D275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2.10.3发包人应履行合同约定的其他义务。</w:t>
      </w:r>
    </w:p>
    <w:p w14:paraId="534BF62F">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542" w:name="_Toc237230885"/>
      <w:bookmarkStart w:id="543" w:name="_Toc237061010"/>
      <w:bookmarkStart w:id="544" w:name="_Toc184635101"/>
      <w:bookmarkStart w:id="545" w:name="_Toc488236006"/>
      <w:r>
        <w:rPr>
          <w:rFonts w:hint="eastAsia" w:ascii="宋体" w:hAnsi="宋体" w:eastAsia="宋体" w:cs="宋体"/>
          <w:b w:val="0"/>
          <w:bCs w:val="0"/>
          <w:color w:val="auto"/>
          <w:kern w:val="2"/>
          <w:sz w:val="24"/>
          <w:szCs w:val="24"/>
          <w:highlight w:val="none"/>
          <w:lang w:val="en-US" w:eastAsia="zh-CN" w:bidi="ar-SA"/>
        </w:rPr>
        <w:t>3．承包人</w:t>
      </w:r>
      <w:bookmarkEnd w:id="542"/>
      <w:bookmarkEnd w:id="543"/>
      <w:bookmarkEnd w:id="544"/>
      <w:r>
        <w:rPr>
          <w:rFonts w:hint="eastAsia" w:ascii="宋体" w:hAnsi="宋体" w:eastAsia="宋体" w:cs="宋体"/>
          <w:b w:val="0"/>
          <w:bCs w:val="0"/>
          <w:color w:val="auto"/>
          <w:kern w:val="2"/>
          <w:sz w:val="24"/>
          <w:szCs w:val="24"/>
          <w:highlight w:val="none"/>
          <w:lang w:val="en-US" w:eastAsia="zh-CN" w:bidi="ar-SA"/>
        </w:rPr>
        <w:t>义务</w:t>
      </w:r>
      <w:bookmarkEnd w:id="545"/>
    </w:p>
    <w:p w14:paraId="426665B4">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46" w:name="_Toc237230886"/>
      <w:r>
        <w:rPr>
          <w:rFonts w:hint="eastAsia" w:ascii="宋体" w:hAnsi="宋体" w:eastAsia="宋体" w:cs="宋体"/>
          <w:b w:val="0"/>
          <w:bCs w:val="0"/>
          <w:i w:val="0"/>
          <w:iCs/>
          <w:color w:val="auto"/>
          <w:kern w:val="2"/>
          <w:sz w:val="24"/>
          <w:szCs w:val="24"/>
          <w:highlight w:val="none"/>
          <w:lang w:val="en-US" w:eastAsia="zh-CN" w:bidi="ar-SA"/>
        </w:rPr>
        <w:t>3.1 承包人的一般义务</w:t>
      </w:r>
      <w:bookmarkEnd w:id="546"/>
    </w:p>
    <w:p w14:paraId="40B1191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3.1.1 遵守法律</w:t>
      </w:r>
    </w:p>
    <w:p w14:paraId="65DD36B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承包人在履行合同过程中应遵守法律，并保证发包人免于承担因承包人违反法律而引起的任何责任。</w:t>
      </w:r>
    </w:p>
    <w:p w14:paraId="1845698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3.1.2 依法纳税</w:t>
      </w:r>
    </w:p>
    <w:p w14:paraId="7F6D453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承包人应按有关法律规定纳税，应缴纳的税金包括在合同价格内。</w:t>
      </w:r>
    </w:p>
    <w:p w14:paraId="3BEC9F4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3.1.3 完成各项承包工作</w:t>
      </w:r>
    </w:p>
    <w:p w14:paraId="4F04359B">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承包人应按合同约定实施、完成全部工作，承包人应提供为完成合同工作所需的劳务、材料、施工设备、工程设备和其他物品，并按合同约定负责临时设施的设计、建造、运行、维护、管理和拆除。</w:t>
      </w:r>
    </w:p>
    <w:p w14:paraId="4A8BA31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3.1.4 对作业和方法的完备性负责</w:t>
      </w:r>
    </w:p>
    <w:p w14:paraId="042E9E1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承包人应按合同约定的工作内容，按照国家现行的标准、规范、规程，以及《技术要求》进行路面技术咨询服务，按规定的进度交付成果资料，并对所有作业和方法的完备性和安全可靠性负责。</w:t>
      </w:r>
    </w:p>
    <w:p w14:paraId="2D67457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3.1.5 保证施工和人员的安全</w:t>
      </w:r>
    </w:p>
    <w:p w14:paraId="5FE3543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承包人应采取施工安全措施，确保工程及其人员、材料、设备和设施的安全，防止因工程施工造成的人身伤害和财产损失。</w:t>
      </w:r>
    </w:p>
    <w:p w14:paraId="1DE9329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3.1.6若本项目工期延长，承包人不得向发包人提出费用索赔。</w:t>
      </w:r>
    </w:p>
    <w:p w14:paraId="4AE183B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3.1.7承包人应履行合同约定的其他义务。</w:t>
      </w:r>
    </w:p>
    <w:p w14:paraId="616DBDF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无。</w:t>
      </w:r>
    </w:p>
    <w:p w14:paraId="05513C7F">
      <w:pPr>
        <w:pageBreakBefore w:val="0"/>
        <w:widowControl/>
        <w:kinsoku/>
        <w:wordWrap/>
        <w:overflowPunct/>
        <w:topLinePunct w:val="0"/>
        <w:autoSpaceDE/>
        <w:autoSpaceDN/>
        <w:bidi w:val="0"/>
        <w:snapToGrid/>
        <w:spacing w:before="60" w:beforeLines="25" w:after="60" w:afterLines="25" w:line="420" w:lineRule="exact"/>
        <w:ind w:firstLine="482"/>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3.2 承包人职责 </w:t>
      </w:r>
    </w:p>
    <w:p w14:paraId="10AA79A8">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3.2.1 承包人应按照合同的要求，履行</w:t>
      </w:r>
      <w:r>
        <w:rPr>
          <w:rFonts w:hint="eastAsia" w:ascii="宋体" w:hAnsi="宋体" w:eastAsia="宋体" w:cs="宋体"/>
          <w:b w:val="0"/>
          <w:bCs w:val="0"/>
          <w:color w:val="auto"/>
          <w:sz w:val="24"/>
          <w:szCs w:val="24"/>
          <w:highlight w:val="none"/>
          <w:lang w:val="en-US" w:eastAsia="zh-CN"/>
        </w:rPr>
        <w:t>试验检测</w:t>
      </w:r>
      <w:r>
        <w:rPr>
          <w:rFonts w:hint="eastAsia" w:ascii="宋体" w:hAnsi="宋体" w:eastAsia="宋体" w:cs="宋体"/>
          <w:b w:val="0"/>
          <w:bCs w:val="0"/>
          <w:color w:val="auto"/>
          <w:sz w:val="24"/>
          <w:szCs w:val="24"/>
          <w:highlight w:val="none"/>
        </w:rPr>
        <w:t xml:space="preserve">服务。 </w:t>
      </w:r>
    </w:p>
    <w:p w14:paraId="7577471F">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3.2.2如果承包人在履行咨询服务过程中行使的权力或所需的授权，来自于发包人和第三方签订的工程合同文件，该合同文件必须成为本</w:t>
      </w:r>
      <w:r>
        <w:rPr>
          <w:rFonts w:hint="eastAsia" w:ascii="宋体" w:hAnsi="宋体" w:eastAsia="宋体" w:cs="宋体"/>
          <w:b w:val="0"/>
          <w:bCs w:val="0"/>
          <w:color w:val="auto"/>
          <w:sz w:val="24"/>
          <w:szCs w:val="24"/>
          <w:highlight w:val="none"/>
          <w:lang w:val="en-US" w:eastAsia="zh-CN"/>
        </w:rPr>
        <w:t>试验检测</w:t>
      </w:r>
      <w:r>
        <w:rPr>
          <w:rFonts w:hint="eastAsia" w:ascii="宋体" w:hAnsi="宋体" w:eastAsia="宋体" w:cs="宋体"/>
          <w:b w:val="0"/>
          <w:bCs w:val="0"/>
          <w:color w:val="auto"/>
          <w:sz w:val="24"/>
          <w:szCs w:val="24"/>
          <w:highlight w:val="none"/>
        </w:rPr>
        <w:t>合同的组成部分，两者之间如出现矛盾，则应编制补充说明文件一并列入合同。此时承包人应：</w:t>
      </w:r>
    </w:p>
    <w:p w14:paraId="79CD7890">
      <w:pPr>
        <w:pageBreakBefore w:val="0"/>
        <w:widowControl/>
        <w:kinsoku/>
        <w:wordWrap/>
        <w:overflowPunct/>
        <w:topLinePunct w:val="0"/>
        <w:autoSpaceDE/>
        <w:autoSpaceDN/>
        <w:bidi w:val="0"/>
        <w:snapToGrid/>
        <w:spacing w:before="60" w:beforeLines="25" w:after="60" w:afterLines="25" w:line="420" w:lineRule="exact"/>
        <w:ind w:firstLine="482"/>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（1）根据合同文件和工程合同文件履行咨询服务；</w:t>
      </w:r>
    </w:p>
    <w:p w14:paraId="3C17527D">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（2）根据职责范围，在发包人和第三方之间独立公正地行使上述合同文件赋予的权力。</w:t>
      </w:r>
    </w:p>
    <w:p w14:paraId="3CD91F89">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3.2.3 承包人应严格执行本技术咨询合同、施工技术规范、补充技术规范、检测规范、设计图纸及湖南省交通运输厅、发包人一切有关该项目的文件、信函、规定和指令。 </w:t>
      </w:r>
    </w:p>
    <w:p w14:paraId="7D2C5BDD">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3.2.4 承包人应服从发包人的监督与管理，执行发包人授权代表的、咨询工作指令。认真开展咨询工作，及时提供咨询成果与报告，并对其真实性负责，以确保工程质量完全处于受控状态。</w:t>
      </w:r>
    </w:p>
    <w:p w14:paraId="085F9D66">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3.2.5 承包人应及时、准确地为发包人提供报告、咨询分析意见；发包人认为有必要时，可为监理单位提供，作为监理单位实施工程质量控制和评估依据。</w:t>
      </w:r>
    </w:p>
    <w:p w14:paraId="2FCBB502">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3.2.7 承包人编制相应的</w:t>
      </w:r>
      <w:r>
        <w:rPr>
          <w:rFonts w:hint="eastAsia" w:ascii="宋体" w:hAnsi="宋体" w:eastAsia="宋体" w:cs="宋体"/>
          <w:b w:val="0"/>
          <w:bCs w:val="0"/>
          <w:color w:val="auto"/>
          <w:sz w:val="24"/>
          <w:szCs w:val="24"/>
          <w:highlight w:val="none"/>
          <w:lang w:val="en-US" w:eastAsia="zh-CN"/>
        </w:rPr>
        <w:t>桥梁动静载检测</w:t>
      </w:r>
      <w:r>
        <w:rPr>
          <w:rFonts w:hint="eastAsia" w:ascii="宋体" w:hAnsi="宋体" w:eastAsia="宋体" w:cs="宋体"/>
          <w:b w:val="0"/>
          <w:bCs w:val="0"/>
          <w:color w:val="auto"/>
          <w:sz w:val="24"/>
          <w:szCs w:val="24"/>
          <w:highlight w:val="none"/>
        </w:rPr>
        <w:t>方案，报送发包人或发包人代表批准，同时抄送监理人。</w:t>
      </w:r>
    </w:p>
    <w:p w14:paraId="72118849">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3.2.8 承包人及时参加监理人主持召开的工地例会及相关质量专题分析会议。 </w:t>
      </w:r>
    </w:p>
    <w:p w14:paraId="799DD4E9">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3.2.9 积极配合发包人对质量问题的处理。 </w:t>
      </w:r>
    </w:p>
    <w:p w14:paraId="47C10388">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47" w:name="_Toc237230887"/>
      <w:r>
        <w:rPr>
          <w:rFonts w:hint="eastAsia" w:ascii="宋体" w:hAnsi="宋体" w:eastAsia="宋体" w:cs="宋体"/>
          <w:b w:val="0"/>
          <w:bCs w:val="0"/>
          <w:i w:val="0"/>
          <w:iCs/>
          <w:color w:val="auto"/>
          <w:kern w:val="2"/>
          <w:sz w:val="24"/>
          <w:szCs w:val="24"/>
          <w:highlight w:val="none"/>
          <w:lang w:val="en-US" w:eastAsia="zh-CN" w:bidi="ar-SA"/>
        </w:rPr>
        <w:t>3.3 履约担保</w:t>
      </w:r>
      <w:bookmarkEnd w:id="547"/>
    </w:p>
    <w:p w14:paraId="35066FA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3.3.1承包人应按规定提交履约担保，并应保证其履约担保在服务工作实质上完工（承包人咨询成果全部提交且经发包人验收通过）前一直有效。履约担保在所咨询范围内的项目</w:t>
      </w:r>
      <w:r>
        <w:rPr>
          <w:rFonts w:hint="eastAsia" w:ascii="宋体" w:hAnsi="宋体" w:eastAsia="宋体" w:cs="宋体"/>
          <w:b w:val="0"/>
          <w:bCs w:val="0"/>
          <w:color w:val="auto"/>
          <w:sz w:val="24"/>
          <w:szCs w:val="24"/>
          <w:highlight w:val="none"/>
          <w:lang w:val="en-US" w:eastAsia="zh-CN"/>
        </w:rPr>
        <w:t>交工验收</w:t>
      </w:r>
      <w:r>
        <w:rPr>
          <w:rFonts w:hint="eastAsia" w:ascii="宋体" w:hAnsi="宋体" w:eastAsia="宋体" w:cs="宋体"/>
          <w:b w:val="0"/>
          <w:bCs w:val="0"/>
          <w:color w:val="auto"/>
          <w:sz w:val="24"/>
          <w:szCs w:val="24"/>
          <w:highlight w:val="none"/>
        </w:rPr>
        <w:t>后28日内退还承包人。</w:t>
      </w:r>
    </w:p>
    <w:p w14:paraId="52DE971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3.3.2履约保证金的形式：银行保函或现金、支票形式</w:t>
      </w:r>
    </w:p>
    <w:p w14:paraId="6308008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3.3.3履约保证金的金额：10％签约合同价</w:t>
      </w:r>
    </w:p>
    <w:p w14:paraId="7A5A8E9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3.3.4采用银行保函时，出具保函的银行级别：若采取部分或全部现金形式,投标人应将现金履约担保以银行转账、电汇、网银形式汇至招标人指定账号上，剩余部分采用银行保函或工程保证保险形式。履约保证金由中标人的基本银行账户出具。工程保证保险应由具有工程保证保险承保资格的保险公司开具保函或保单。</w:t>
      </w:r>
    </w:p>
    <w:p w14:paraId="37398335">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48" w:name="_Toc237230888"/>
      <w:r>
        <w:rPr>
          <w:rFonts w:hint="eastAsia" w:ascii="宋体" w:hAnsi="宋体" w:eastAsia="宋体" w:cs="宋体"/>
          <w:b w:val="0"/>
          <w:bCs w:val="0"/>
          <w:i w:val="0"/>
          <w:iCs/>
          <w:color w:val="auto"/>
          <w:kern w:val="2"/>
          <w:sz w:val="24"/>
          <w:szCs w:val="24"/>
          <w:highlight w:val="none"/>
          <w:lang w:val="en-US" w:eastAsia="zh-CN" w:bidi="ar-SA"/>
        </w:rPr>
        <w:t>3.4 分包</w:t>
      </w:r>
      <w:bookmarkEnd w:id="548"/>
    </w:p>
    <w:p w14:paraId="3F1D594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本项目不接受任何形式的分包、转包。</w:t>
      </w:r>
    </w:p>
    <w:p w14:paraId="1FB3DCD2">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49" w:name="_Toc237230890"/>
      <w:r>
        <w:rPr>
          <w:rFonts w:hint="eastAsia" w:ascii="宋体" w:hAnsi="宋体" w:eastAsia="宋体" w:cs="宋体"/>
          <w:b w:val="0"/>
          <w:bCs w:val="0"/>
          <w:i w:val="0"/>
          <w:iCs/>
          <w:color w:val="auto"/>
          <w:kern w:val="2"/>
          <w:sz w:val="24"/>
          <w:szCs w:val="24"/>
          <w:highlight w:val="none"/>
          <w:lang w:val="en-US" w:eastAsia="zh-CN" w:bidi="ar-SA"/>
        </w:rPr>
        <w:t>3.5 承包人项目</w:t>
      </w:r>
      <w:bookmarkEnd w:id="549"/>
      <w:r>
        <w:rPr>
          <w:rFonts w:hint="eastAsia" w:ascii="宋体" w:hAnsi="宋体" w:eastAsia="宋体" w:cs="宋体"/>
          <w:b w:val="0"/>
          <w:bCs w:val="0"/>
          <w:i w:val="0"/>
          <w:iCs/>
          <w:color w:val="auto"/>
          <w:kern w:val="2"/>
          <w:sz w:val="24"/>
          <w:szCs w:val="24"/>
          <w:highlight w:val="none"/>
          <w:lang w:val="en-US" w:eastAsia="zh-CN" w:bidi="ar-SA"/>
        </w:rPr>
        <w:t>负责人及技术负责人</w:t>
      </w:r>
    </w:p>
    <w:p w14:paraId="16DCD37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bookmarkStart w:id="550" w:name="_Toc237230891"/>
      <w:r>
        <w:rPr>
          <w:rFonts w:hint="eastAsia" w:ascii="宋体" w:hAnsi="宋体" w:eastAsia="宋体" w:cs="宋体"/>
          <w:b w:val="0"/>
          <w:bCs w:val="0"/>
          <w:color w:val="auto"/>
          <w:sz w:val="24"/>
          <w:szCs w:val="24"/>
          <w:highlight w:val="none"/>
        </w:rPr>
        <w:t>3.5.1 承包人应按合同约定指派项目负责人及技术负责人，并在约定的期限内到职。承包人更换项目负责人或技术负责人应事先征得发包人同意，并应在更换14天前通知发包人。承包人项目负责人短期离开施工场地，应事先征得发包人同意，并委派代表代行其职责。并按10.1条的规定处理。</w:t>
      </w:r>
    </w:p>
    <w:p w14:paraId="13AF6CE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3.5.2 承包人为履行合同发出的一切函件均应盖有承包人授权的施工场地管理机构章，并由承包人项目负责人或其授权代表签字。</w:t>
      </w:r>
    </w:p>
    <w:p w14:paraId="28B6BB9D">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3.6 承包人人员的管理</w:t>
      </w:r>
      <w:bookmarkEnd w:id="550"/>
    </w:p>
    <w:p w14:paraId="0CB963F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bookmarkStart w:id="551" w:name="_Toc237230893"/>
      <w:r>
        <w:rPr>
          <w:rFonts w:hint="eastAsia" w:ascii="宋体" w:hAnsi="宋体" w:eastAsia="宋体" w:cs="宋体"/>
          <w:b w:val="0"/>
          <w:bCs w:val="0"/>
          <w:color w:val="auto"/>
          <w:sz w:val="24"/>
          <w:szCs w:val="24"/>
          <w:highlight w:val="none"/>
        </w:rPr>
        <w:t>3.6.1承包人应按投标承诺和合同谈判中承诺的人员名单派驻到工地现场，保证所有投标时和合同谈判中承诺配备的人员及时到位，并应相对稳定，若因工作安排或其他原因，需要更换派驻到项目所在地履行咨询任务的主要人员时，更换人员资质应不低于原人员资质，并应事先得到发包人的批准，并按10.1条的规定处理。</w:t>
      </w:r>
    </w:p>
    <w:p w14:paraId="1C5DC04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3.6.2 为完成合同约定的各项工作，承包人应向施工场地派遣足够数量的人员常驻现场。若出于某种原因需要暂时离开现场时，必须书面申请并经发包人或发包人授权代表批准后方可离开，发包人对此批准而产生的相关风险不承担任何责任。具体批准程序在发包人相关管理制度中制定。</w:t>
      </w:r>
    </w:p>
    <w:p w14:paraId="577F510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3.6.3 特殊岗位的工作人员均应持有相应的资格证明，发包人有权随时检查。</w:t>
      </w:r>
    </w:p>
    <w:p w14:paraId="0F0D22D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3.6.4承包人派驻现场的人员经发包人考核认定不能胜任时，发包人有权要求承包人更换，且按“10.1条”约定的违约金对承包人进行处罚。</w:t>
      </w:r>
    </w:p>
    <w:p w14:paraId="07B8F00B">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3.7 保障承包人人员的合法权益</w:t>
      </w:r>
      <w:bookmarkEnd w:id="551"/>
    </w:p>
    <w:p w14:paraId="400F737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3.7.1 承包人应与其雇佣的人员签订劳动合同，并按时发放工资。</w:t>
      </w:r>
    </w:p>
    <w:p w14:paraId="3702782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3.7.2 承包人应按劳动法的规定安排工作时间，保证其雇佣人员享有休息和休假的权利。因工程施工的特殊需要占用休假日或延长工作时间的，应不超过法律规定的限度，并按法律规定给予补休或付酬。</w:t>
      </w:r>
    </w:p>
    <w:p w14:paraId="6A456A2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3.7.3 承包人应为其雇佣人员提供必要的食宿条件，以及符合环境保护和卫生要求的生活环境，在远离城镇的施工场地，还应配备必要的伤病防治和急救的医务人员与医疗设施。</w:t>
      </w:r>
    </w:p>
    <w:p w14:paraId="22E0B00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16026B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3.7.5 承包人应按有关法律规定和合同约定，为其雇佣人员办理保险。</w:t>
      </w:r>
    </w:p>
    <w:p w14:paraId="4445895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3.7.6 承包人应负责处理其雇佣人员因工伤亡事故的善后事宜。</w:t>
      </w:r>
    </w:p>
    <w:p w14:paraId="129218A5">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52" w:name="_Toc237230894"/>
      <w:r>
        <w:rPr>
          <w:rFonts w:hint="eastAsia" w:ascii="宋体" w:hAnsi="宋体" w:eastAsia="宋体" w:cs="宋体"/>
          <w:b w:val="0"/>
          <w:bCs w:val="0"/>
          <w:i w:val="0"/>
          <w:iCs/>
          <w:color w:val="auto"/>
          <w:kern w:val="2"/>
          <w:sz w:val="24"/>
          <w:szCs w:val="24"/>
          <w:highlight w:val="none"/>
          <w:lang w:val="en-US" w:eastAsia="zh-CN" w:bidi="ar-SA"/>
        </w:rPr>
        <w:t>3.8 工程价款应专款专用</w:t>
      </w:r>
      <w:bookmarkEnd w:id="552"/>
    </w:p>
    <w:p w14:paraId="5716F01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发包人按合同约定支付给承包人的各项价款应专用于本项目</w:t>
      </w:r>
      <w:r>
        <w:rPr>
          <w:rFonts w:hint="eastAsia" w:ascii="宋体" w:hAnsi="宋体" w:eastAsia="宋体" w:cs="宋体"/>
          <w:b w:val="0"/>
          <w:bCs w:val="0"/>
          <w:color w:val="auto"/>
          <w:sz w:val="24"/>
          <w:szCs w:val="24"/>
          <w:highlight w:val="none"/>
          <w:lang w:val="en-US" w:eastAsia="zh-CN"/>
        </w:rPr>
        <w:t>桥梁动静载检测</w:t>
      </w:r>
      <w:r>
        <w:rPr>
          <w:rFonts w:hint="eastAsia" w:ascii="宋体" w:hAnsi="宋体" w:eastAsia="宋体" w:cs="宋体"/>
          <w:b w:val="0"/>
          <w:bCs w:val="0"/>
          <w:color w:val="auto"/>
          <w:sz w:val="24"/>
          <w:szCs w:val="24"/>
          <w:highlight w:val="none"/>
        </w:rPr>
        <w:t>工作。</w:t>
      </w:r>
    </w:p>
    <w:p w14:paraId="4A2BD94A">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3.9 接受第三方的管理</w:t>
      </w:r>
    </w:p>
    <w:p w14:paraId="00A06FB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3.9.1合同实施期间，承包人有配合及接受第三方（监理人、质量监督部门）管理的义务，并应尽量为第三人的管理工作提供方便。</w:t>
      </w:r>
    </w:p>
    <w:p w14:paraId="2964501D">
      <w:pPr>
        <w:pageBreakBefore w:val="0"/>
        <w:widowControl w:val="0"/>
        <w:kinsoku/>
        <w:wordWrap/>
        <w:overflowPunct/>
        <w:topLinePunct w:val="0"/>
        <w:autoSpaceDE/>
        <w:autoSpaceDN/>
        <w:bidi w:val="0"/>
        <w:snapToGrid/>
        <w:spacing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3.10 仪器</w:t>
      </w:r>
    </w:p>
    <w:p w14:paraId="27C5437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尽管承包人已按计划配置了仪器和设备，但若发包人认为上述仪器和设备仍不足以满足咨询服务的需要而影响了对工程质量、安全及进度的控制时，发包人有权要求承包人另外增加仪器和设备。承包人在接到通知后应在 7 日内执行发包人的指示，不得拖延。承包人因此增加的费用支出应视为已包括在投标报价中，发包人将不另行支付。</w:t>
      </w:r>
    </w:p>
    <w:p w14:paraId="1A4B9CBD">
      <w:pPr>
        <w:pageBreakBefore w:val="0"/>
        <w:widowControl w:val="0"/>
        <w:kinsoku/>
        <w:wordWrap/>
        <w:overflowPunct/>
        <w:topLinePunct w:val="0"/>
        <w:autoSpaceDE/>
        <w:autoSpaceDN/>
        <w:bidi w:val="0"/>
        <w:snapToGrid/>
        <w:spacing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3.11 保密</w:t>
      </w:r>
    </w:p>
    <w:p w14:paraId="5E8A8CF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承包人在服务期间及交工验收交付使用后，未经发包人的书面同意，承包人不得泄露发包人与本项目、本工程、本咨询合同有关的保密资料。 </w:t>
      </w:r>
    </w:p>
    <w:p w14:paraId="76F413DD">
      <w:pPr>
        <w:keepNext/>
        <w:keepLines/>
        <w:pageBreakBefore w:val="0"/>
        <w:kinsoku/>
        <w:wordWrap/>
        <w:overflowPunct/>
        <w:topLinePunct w:val="0"/>
        <w:autoSpaceDE/>
        <w:autoSpaceDN/>
        <w:bidi w:val="0"/>
        <w:snapToGrid/>
        <w:spacing w:before="60" w:beforeLines="25" w:after="60" w:afterLines="25" w:line="420" w:lineRule="exact"/>
        <w:ind w:left="0" w:leftChars="0" w:firstLine="0" w:firstLineChars="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53" w:name="_Toc237061015"/>
      <w:bookmarkStart w:id="554" w:name="_Toc237230919"/>
      <w:bookmarkStart w:id="555" w:name="_Toc184635106"/>
      <w:bookmarkStart w:id="556" w:name="_Toc488236007"/>
      <w:r>
        <w:rPr>
          <w:rFonts w:hint="eastAsia" w:ascii="宋体" w:hAnsi="宋体" w:eastAsia="宋体" w:cs="宋体"/>
          <w:b w:val="0"/>
          <w:bCs w:val="0"/>
          <w:i w:val="0"/>
          <w:iCs/>
          <w:color w:val="auto"/>
          <w:kern w:val="2"/>
          <w:sz w:val="24"/>
          <w:szCs w:val="24"/>
          <w:highlight w:val="none"/>
          <w:lang w:val="en-US" w:eastAsia="zh-CN" w:bidi="ar-SA"/>
        </w:rPr>
        <w:t>4．安全和环境保护</w:t>
      </w:r>
      <w:bookmarkEnd w:id="553"/>
      <w:bookmarkEnd w:id="554"/>
      <w:bookmarkEnd w:id="555"/>
      <w:bookmarkEnd w:id="556"/>
    </w:p>
    <w:p w14:paraId="2D745DFC">
      <w:pPr>
        <w:keepNext/>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57" w:name="_Toc237230920"/>
      <w:r>
        <w:rPr>
          <w:rFonts w:hint="eastAsia" w:ascii="宋体" w:hAnsi="宋体" w:eastAsia="宋体" w:cs="宋体"/>
          <w:b w:val="0"/>
          <w:bCs w:val="0"/>
          <w:i w:val="0"/>
          <w:iCs/>
          <w:color w:val="auto"/>
          <w:kern w:val="2"/>
          <w:sz w:val="24"/>
          <w:szCs w:val="24"/>
          <w:highlight w:val="none"/>
          <w:lang w:val="en-US" w:eastAsia="zh-CN" w:bidi="ar-SA"/>
        </w:rPr>
        <w:t>4.1 发包人的安全责任</w:t>
      </w:r>
      <w:bookmarkEnd w:id="557"/>
    </w:p>
    <w:p w14:paraId="67F08D0A">
      <w:pPr>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发包人应对其现场机构雇佣的全部人员的工伤事故承担责任，但由于承包人原因造成发包人人员工伤或第三者人身伤亡和财产损失的，应由承包人承担责任。</w:t>
      </w:r>
    </w:p>
    <w:p w14:paraId="7E9BA712">
      <w:pPr>
        <w:keepNext/>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58" w:name="_Toc237230921"/>
      <w:r>
        <w:rPr>
          <w:rFonts w:hint="eastAsia" w:ascii="宋体" w:hAnsi="宋体" w:eastAsia="宋体" w:cs="宋体"/>
          <w:b w:val="0"/>
          <w:bCs w:val="0"/>
          <w:i w:val="0"/>
          <w:iCs/>
          <w:color w:val="auto"/>
          <w:kern w:val="2"/>
          <w:sz w:val="24"/>
          <w:szCs w:val="24"/>
          <w:highlight w:val="none"/>
          <w:lang w:val="en-US" w:eastAsia="zh-CN" w:bidi="ar-SA"/>
        </w:rPr>
        <w:t>4.2 承包人的安全责任</w:t>
      </w:r>
      <w:bookmarkEnd w:id="558"/>
    </w:p>
    <w:p w14:paraId="0FCCADD0">
      <w:pPr>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4.2.1 承包人应按合同约定履行安全职责，加强施工作业安全管理，严格按照国家安全标准制定施工安全操作规程，配备必要的安全生产和劳动保护设施。 </w:t>
      </w:r>
    </w:p>
    <w:p w14:paraId="268639CE">
      <w:pPr>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4.2.2 合同约定的安全作业环境及安全施工措施所需费用应遵守有关规定，并包括在相关工作的合同价格中。</w:t>
      </w:r>
    </w:p>
    <w:p w14:paraId="7D173773">
      <w:pPr>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4.2.3 承包人应对其履行合同所雇佣的全部人员的工伤事故承担责任，但由于发包人原因造成承包人人员工伤事故的，应由发包人承担责任。</w:t>
      </w:r>
    </w:p>
    <w:p w14:paraId="5AADB3F3">
      <w:pPr>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4.2.4 由于承包人原因在施工场地内及其毗邻地带造成的第三者人员伤亡和财产损失，由承包人负责赔偿。</w:t>
      </w:r>
    </w:p>
    <w:p w14:paraId="2355DBA9">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59" w:name="_Toc237230924"/>
      <w:r>
        <w:rPr>
          <w:rFonts w:hint="eastAsia" w:ascii="宋体" w:hAnsi="宋体" w:eastAsia="宋体" w:cs="宋体"/>
          <w:b w:val="0"/>
          <w:bCs w:val="0"/>
          <w:i w:val="0"/>
          <w:iCs/>
          <w:color w:val="auto"/>
          <w:kern w:val="2"/>
          <w:sz w:val="24"/>
          <w:szCs w:val="24"/>
          <w:highlight w:val="none"/>
          <w:lang w:val="en-US" w:eastAsia="zh-CN" w:bidi="ar-SA"/>
        </w:rPr>
        <w:t>4.3 事故处理</w:t>
      </w:r>
      <w:bookmarkEnd w:id="559"/>
    </w:p>
    <w:p w14:paraId="49002B0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施工过程中发生事故的，承包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bookmarkStart w:id="560" w:name="_Toc184635108"/>
      <w:bookmarkStart w:id="561" w:name="_Toc237230928"/>
      <w:bookmarkStart w:id="562" w:name="_Toc237061017"/>
      <w:bookmarkStart w:id="563" w:name="_Toc488236008"/>
    </w:p>
    <w:p w14:paraId="47785405">
      <w:pPr>
        <w:pageBreakBefore w:val="0"/>
        <w:widowControl/>
        <w:kinsoku/>
        <w:wordWrap/>
        <w:overflowPunct/>
        <w:topLinePunct w:val="0"/>
        <w:autoSpaceDE/>
        <w:autoSpaceDN/>
        <w:bidi w:val="0"/>
        <w:snapToGrid/>
        <w:spacing w:before="60" w:beforeLines="25" w:after="60" w:afterLines="25" w:line="42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bookmarkEnd w:id="560"/>
      <w:bookmarkEnd w:id="561"/>
      <w:bookmarkEnd w:id="562"/>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工作条件</w:t>
      </w:r>
      <w:bookmarkEnd w:id="563"/>
    </w:p>
    <w:p w14:paraId="44E0977B">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64" w:name="_Toc237230931"/>
      <w:r>
        <w:rPr>
          <w:rFonts w:hint="eastAsia" w:ascii="宋体" w:hAnsi="宋体" w:eastAsia="宋体" w:cs="宋体"/>
          <w:b w:val="0"/>
          <w:bCs w:val="0"/>
          <w:i w:val="0"/>
          <w:iCs/>
          <w:color w:val="auto"/>
          <w:kern w:val="2"/>
          <w:sz w:val="24"/>
          <w:szCs w:val="24"/>
          <w:highlight w:val="none"/>
          <w:lang w:val="en-US" w:eastAsia="zh-CN" w:bidi="ar-SA"/>
        </w:rPr>
        <w:t xml:space="preserve">5.1 </w:t>
      </w:r>
      <w:bookmarkEnd w:id="564"/>
      <w:r>
        <w:rPr>
          <w:rFonts w:hint="eastAsia" w:ascii="宋体" w:hAnsi="宋体" w:eastAsia="宋体" w:cs="宋体"/>
          <w:b w:val="0"/>
          <w:bCs w:val="0"/>
          <w:i w:val="0"/>
          <w:iCs/>
          <w:color w:val="auto"/>
          <w:kern w:val="2"/>
          <w:sz w:val="24"/>
          <w:szCs w:val="24"/>
          <w:highlight w:val="none"/>
          <w:lang w:val="en-US" w:eastAsia="zh-CN" w:bidi="ar-SA"/>
        </w:rPr>
        <w:t>检测工作条件</w:t>
      </w:r>
    </w:p>
    <w:p w14:paraId="7930D2B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桥梁动静载检测</w:t>
      </w:r>
      <w:r>
        <w:rPr>
          <w:rFonts w:hint="eastAsia" w:ascii="宋体" w:hAnsi="宋体" w:eastAsia="宋体" w:cs="宋体"/>
          <w:b w:val="0"/>
          <w:bCs w:val="0"/>
          <w:color w:val="auto"/>
          <w:sz w:val="24"/>
          <w:szCs w:val="24"/>
          <w:highlight w:val="none"/>
        </w:rPr>
        <w:t>系本项目单项业务工作，其工作环境会受到土建施工承包人等一些交叉作业的影响，发包人将尽力为咨询工作创造好的工作环境及条件，但咨询承包人应充分估计</w:t>
      </w:r>
      <w:r>
        <w:rPr>
          <w:rFonts w:hint="eastAsia" w:ascii="宋体" w:hAnsi="宋体" w:eastAsia="宋体" w:cs="宋体"/>
          <w:b w:val="0"/>
          <w:bCs w:val="0"/>
          <w:color w:val="auto"/>
          <w:sz w:val="24"/>
          <w:szCs w:val="24"/>
          <w:highlight w:val="none"/>
          <w:lang w:val="en-US" w:eastAsia="zh-CN"/>
        </w:rPr>
        <w:t>本</w:t>
      </w:r>
      <w:r>
        <w:rPr>
          <w:rFonts w:hint="eastAsia" w:ascii="宋体" w:hAnsi="宋体" w:eastAsia="宋体" w:cs="宋体"/>
          <w:b w:val="0"/>
          <w:bCs w:val="0"/>
          <w:color w:val="auto"/>
          <w:sz w:val="24"/>
          <w:szCs w:val="24"/>
          <w:highlight w:val="none"/>
        </w:rPr>
        <w:t>服务工作环境的困难和制约，并在投标和</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服务过程中予以充分考虑。</w:t>
      </w:r>
    </w:p>
    <w:p w14:paraId="6542017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承包人必须紧密跟踪土建工程施工承包人的施工进展情况，编制并及时修订</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工作计划，确保</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工作合同的有效履行。</w:t>
      </w:r>
    </w:p>
    <w:p w14:paraId="71601C27">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565" w:name="_Toc184635110"/>
      <w:bookmarkStart w:id="566" w:name="_Toc237061019"/>
      <w:bookmarkStart w:id="567" w:name="_Toc237230941"/>
      <w:bookmarkStart w:id="568" w:name="_Toc488236009"/>
      <w:r>
        <w:rPr>
          <w:rFonts w:hint="eastAsia" w:ascii="宋体" w:hAnsi="宋体" w:eastAsia="宋体" w:cs="宋体"/>
          <w:b w:val="0"/>
          <w:bCs w:val="0"/>
          <w:color w:val="auto"/>
          <w:kern w:val="2"/>
          <w:sz w:val="24"/>
          <w:szCs w:val="24"/>
          <w:highlight w:val="none"/>
          <w:lang w:val="en-US" w:eastAsia="zh-CN" w:bidi="ar-SA"/>
        </w:rPr>
        <w:t>6．</w:t>
      </w:r>
      <w:bookmarkEnd w:id="565"/>
      <w:bookmarkEnd w:id="566"/>
      <w:bookmarkEnd w:id="567"/>
      <w:r>
        <w:rPr>
          <w:rFonts w:hint="eastAsia" w:ascii="宋体" w:hAnsi="宋体" w:eastAsia="宋体" w:cs="宋体"/>
          <w:b w:val="0"/>
          <w:bCs w:val="0"/>
          <w:color w:val="auto"/>
          <w:kern w:val="2"/>
          <w:sz w:val="24"/>
          <w:szCs w:val="24"/>
          <w:highlight w:val="none"/>
          <w:lang w:val="en-US" w:eastAsia="zh-CN" w:bidi="ar-SA"/>
        </w:rPr>
        <w:t>检测工作要求</w:t>
      </w:r>
      <w:bookmarkEnd w:id="568"/>
    </w:p>
    <w:p w14:paraId="768860CC">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6.1 检测工作要求</w:t>
      </w:r>
    </w:p>
    <w:p w14:paraId="22F244A6">
      <w:pPr>
        <w:pageBreakBefore w:val="0"/>
        <w:widowControl/>
        <w:kinsoku/>
        <w:wordWrap/>
        <w:overflowPunct/>
        <w:topLinePunct w:val="0"/>
        <w:autoSpaceDE/>
        <w:autoSpaceDN/>
        <w:bidi w:val="0"/>
        <w:snapToGrid/>
        <w:spacing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6.1.1 </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范围</w:t>
      </w:r>
    </w:p>
    <w:p w14:paraId="034F0944">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承包人检测服务范围包括对</w:t>
      </w:r>
      <w:r>
        <w:rPr>
          <w:rFonts w:hint="eastAsia" w:ascii="宋体" w:hAnsi="宋体" w:eastAsia="宋体" w:cs="宋体"/>
          <w:b w:val="0"/>
          <w:bCs w:val="0"/>
          <w:color w:val="auto"/>
          <w:kern w:val="2"/>
          <w:sz w:val="24"/>
          <w:szCs w:val="24"/>
          <w:highlight w:val="none"/>
          <w:u w:val="single"/>
          <w:lang w:val="en-US" w:eastAsia="zh-CN" w:bidi="ar-SA"/>
        </w:rPr>
        <w:t xml:space="preserve"> G59呼北高速张家界至官庄段第二标段桥梁</w:t>
      </w:r>
      <w:r>
        <w:rPr>
          <w:rFonts w:hint="eastAsia" w:ascii="宋体" w:hAnsi="宋体" w:eastAsia="宋体" w:cs="宋体"/>
          <w:b w:val="0"/>
          <w:bCs w:val="0"/>
          <w:color w:val="auto"/>
          <w:kern w:val="2"/>
          <w:sz w:val="24"/>
          <w:szCs w:val="24"/>
          <w:highlight w:val="none"/>
          <w:lang w:val="en-US" w:eastAsia="zh-CN" w:bidi="ar-SA"/>
        </w:rPr>
        <w:t xml:space="preserve"> 进行检测服务，形成整个项目检测报告。具体检测范围详见合同附件。</w:t>
      </w:r>
    </w:p>
    <w:p w14:paraId="67697DC1">
      <w:pPr>
        <w:pageBreakBefore w:val="0"/>
        <w:widowControl w:val="0"/>
        <w:kinsoku/>
        <w:wordWrap/>
        <w:overflowPunct/>
        <w:topLinePunct w:val="0"/>
        <w:autoSpaceDE/>
        <w:autoSpaceDN/>
        <w:bidi w:val="0"/>
        <w:snapToGrid/>
        <w:spacing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6.2 检测依据</w:t>
      </w:r>
    </w:p>
    <w:p w14:paraId="3DF25BD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（1）适用的法律、行政法规及部门规章。 </w:t>
      </w:r>
    </w:p>
    <w:p w14:paraId="00DE9B2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（2）所有与工程施工有关的国家现行的公路建设标准、规范、规程及相关文件。 </w:t>
      </w:r>
    </w:p>
    <w:p w14:paraId="1185AC5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（3）委托人签订的勘察、设计和施工承包合同。 </w:t>
      </w:r>
    </w:p>
    <w:p w14:paraId="5088629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（4）施工合同。 </w:t>
      </w:r>
    </w:p>
    <w:p w14:paraId="63854D3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（5）工程前期有关文件。 </w:t>
      </w:r>
    </w:p>
    <w:p w14:paraId="22F3FAE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（6）工程设计文件和图纸。 </w:t>
      </w:r>
    </w:p>
    <w:p w14:paraId="358109A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（7）工程实施过程中有关的函件。 </w:t>
      </w:r>
    </w:p>
    <w:p w14:paraId="28C44DF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6.3 </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内容</w:t>
      </w:r>
    </w:p>
    <w:p w14:paraId="1803456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静载测试主要内容：一、连续梁桥：①主跨支点斜截面应力(应变);②主跨最大正弯矩截面应力(应变)及挠度;③边跨最大正弯矩截面应力(应变)及挠度;④支点沉降;⑤混凝土梁体裂缝；二、连续刚构桥：①主跨墩顶截面主梁应力(应变);②主跨最大正弯矩截面应力(应变)及挠度；③边跨最大正弯矩截面应力(应变)及挠度；④混凝土梁体裂缝；三、拱桥：①拱顶截面应力(应变)和挠度;②拱脚截面应力(应变);③混凝土梁体裂缝；④L/4 截面挠度和应力(应变)。  动载试验测试主要内容：动应变，动挠度、振动加速度、速度及冲击系数。</w:t>
      </w:r>
    </w:p>
    <w:p w14:paraId="23ECFFEB">
      <w:pPr>
        <w:pageBreakBefore w:val="0"/>
        <w:widowControl w:val="0"/>
        <w:kinsoku/>
        <w:wordWrap/>
        <w:overflowPunct/>
        <w:topLinePunct w:val="0"/>
        <w:autoSpaceDE/>
        <w:autoSpaceDN/>
        <w:bidi w:val="0"/>
        <w:snapToGrid/>
        <w:spacing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6.4 其他要求</w:t>
      </w:r>
    </w:p>
    <w:p w14:paraId="0DD8C45B">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工作必须接受发包人的管理。</w:t>
      </w:r>
    </w:p>
    <w:p w14:paraId="4B4040B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承包人必须本着“秉公办事、一丝不苟、严肃认真、实事求是，对</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结论高度负责”的原则，认真履行</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合同，及时按规定向</w:t>
      </w:r>
      <w:r>
        <w:rPr>
          <w:rFonts w:hint="eastAsia" w:ascii="宋体" w:hAnsi="宋体" w:eastAsia="宋体" w:cs="宋体"/>
          <w:b w:val="0"/>
          <w:bCs w:val="0"/>
          <w:color w:val="auto"/>
          <w:sz w:val="24"/>
          <w:szCs w:val="24"/>
          <w:highlight w:val="none"/>
          <w:lang w:val="en-US" w:eastAsia="zh-CN"/>
        </w:rPr>
        <w:t>发包人</w:t>
      </w:r>
      <w:r>
        <w:rPr>
          <w:rFonts w:hint="eastAsia" w:ascii="宋体" w:hAnsi="宋体" w:eastAsia="宋体" w:cs="宋体"/>
          <w:b w:val="0"/>
          <w:bCs w:val="0"/>
          <w:color w:val="auto"/>
          <w:sz w:val="24"/>
          <w:szCs w:val="24"/>
          <w:highlight w:val="none"/>
        </w:rPr>
        <w:t>管理部门提交</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报告。</w:t>
      </w:r>
    </w:p>
    <w:p w14:paraId="64556CE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承包人提交的</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报告，必须真实、客观、准确反映实际情况，如承包人与施工单位串通存在数据造假的行为，由此产生的一切后果和损失由承包人承担，且发包人将根据相关条款，对承包人进行处罚，并视情节严重程度，最终上报交通行政主管部门给予通报，如出现重大偏差导致事故，承包人必须承担由此造成的赔偿责任和法律责任。</w:t>
      </w:r>
    </w:p>
    <w:p w14:paraId="1E98F10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（4）承包人需在收到发包人书面下达</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任务书后，在任务范围内开展</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工作，超出任务书内容的工作发包人不予支付费用。</w:t>
      </w:r>
    </w:p>
    <w:p w14:paraId="3A6B4EB4">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（5）检测服务目标：全过程、全方位开展桥梁动静载检测服务，确保工程质量达到交工验收合格标准。</w:t>
      </w:r>
    </w:p>
    <w:p w14:paraId="49BA93E7">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569" w:name="_Toc237230964"/>
      <w:bookmarkStart w:id="570" w:name="_Toc184635114"/>
      <w:bookmarkStart w:id="571" w:name="_Toc237061023"/>
      <w:bookmarkStart w:id="572" w:name="_Toc488236010"/>
      <w:r>
        <w:rPr>
          <w:rFonts w:hint="eastAsia" w:ascii="宋体" w:hAnsi="宋体" w:eastAsia="宋体" w:cs="宋体"/>
          <w:b w:val="0"/>
          <w:bCs w:val="0"/>
          <w:color w:val="auto"/>
          <w:kern w:val="2"/>
          <w:sz w:val="24"/>
          <w:szCs w:val="24"/>
          <w:highlight w:val="none"/>
          <w:lang w:val="en-US" w:eastAsia="zh-CN" w:bidi="ar-SA"/>
        </w:rPr>
        <w:t>7．</w:t>
      </w:r>
      <w:bookmarkEnd w:id="569"/>
      <w:bookmarkEnd w:id="570"/>
      <w:bookmarkEnd w:id="571"/>
      <w:r>
        <w:rPr>
          <w:rFonts w:hint="eastAsia" w:ascii="宋体" w:hAnsi="宋体" w:eastAsia="宋体" w:cs="宋体"/>
          <w:b w:val="0"/>
          <w:bCs w:val="0"/>
          <w:color w:val="auto"/>
          <w:kern w:val="2"/>
          <w:sz w:val="24"/>
          <w:szCs w:val="24"/>
          <w:highlight w:val="none"/>
          <w:lang w:val="en-US" w:eastAsia="zh-CN" w:bidi="ar-SA"/>
        </w:rPr>
        <w:t>检测服务的费用与支付</w:t>
      </w:r>
      <w:bookmarkEnd w:id="572"/>
    </w:p>
    <w:p w14:paraId="3EBC7E20">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73" w:name="_Toc381196239"/>
      <w:bookmarkStart w:id="574" w:name="_Toc237230966"/>
      <w:bookmarkStart w:id="575" w:name="_Toc237061026"/>
      <w:bookmarkStart w:id="576" w:name="_Toc237230988"/>
      <w:bookmarkStart w:id="577" w:name="_Toc184635117"/>
      <w:r>
        <w:rPr>
          <w:rFonts w:hint="eastAsia" w:ascii="宋体" w:hAnsi="宋体" w:eastAsia="宋体" w:cs="宋体"/>
          <w:b w:val="0"/>
          <w:bCs w:val="0"/>
          <w:i w:val="0"/>
          <w:iCs/>
          <w:color w:val="auto"/>
          <w:kern w:val="2"/>
          <w:sz w:val="24"/>
          <w:szCs w:val="24"/>
          <w:highlight w:val="none"/>
          <w:lang w:val="en-US" w:eastAsia="zh-CN" w:bidi="ar-SA"/>
        </w:rPr>
        <w:t>7.1检测服务费用</w:t>
      </w:r>
      <w:bookmarkEnd w:id="573"/>
      <w:bookmarkEnd w:id="574"/>
    </w:p>
    <w:p w14:paraId="75A1E13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7.1.1</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费。</w:t>
      </w:r>
    </w:p>
    <w:p w14:paraId="503F24A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（1）根据承包人在投标文件中填报各项目的单价与实际完成的工作量计算。 </w:t>
      </w:r>
    </w:p>
    <w:p w14:paraId="65C9181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7.1.2</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工程量以发包人书面下达的</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任务书和符合要求的</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成果报告为依据。</w:t>
      </w:r>
    </w:p>
    <w:p w14:paraId="6C1A2B3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7.1.3承包人应根据自身企业的服务能力、管理水平自主填报</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服务项目的工程量清单综合单价。工程量清单综合单价不因物价，国家政策、法律法规的变化，工期延长而调整。工程量清单中工程量清单综合单价包括但不限于以下：</w:t>
      </w:r>
    </w:p>
    <w:p w14:paraId="097F410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人员服务费：包含</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人员的工资、加班费（含承包人为按期完工而在国家规定的公休日、节假日及正常工作时间以外工作的加班）、培训费、咨询费、生活伙食费、差旅费、各种劳保费用、各种人身保险费、奖金及各种补贴等一切费用在内。</w:t>
      </w:r>
    </w:p>
    <w:p w14:paraId="34F3FE6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b.办公设施费：履行</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服务合同所需的一切办公用品及设施的费用均包含在工程量清单综合单价内。</w:t>
      </w:r>
    </w:p>
    <w:p w14:paraId="4FA4D97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c.交通设施费（含燃料、消耗等费用）：履行</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服务合同所需的一切交通设施（含燃料、消耗等）的费用均包含在工程量清单综合单价内。</w:t>
      </w:r>
    </w:p>
    <w:p w14:paraId="1704A25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e.生活设施费：履行</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服务合同所需的一切居住条件、煤气、水电、防暑降温或取暖等全部费用均包含在工程量清单综合单价内。</w:t>
      </w:r>
    </w:p>
    <w:p w14:paraId="30434D5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f.承包人因完成本项目</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服务需缴纳的一切税费由承包人承担，并包含在所报的各项工程量清单综合单价内，发包人不单独支付。</w:t>
      </w:r>
    </w:p>
    <w:p w14:paraId="65E7D77F">
      <w:pPr>
        <w:pageBreakBefore w:val="0"/>
        <w:widowControl/>
        <w:kinsoku/>
        <w:wordWrap/>
        <w:overflowPunct/>
        <w:topLinePunct w:val="0"/>
        <w:autoSpaceDE/>
        <w:autoSpaceDN/>
        <w:bidi w:val="0"/>
        <w:snapToGrid/>
        <w:spacing w:before="25" w:after="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g.报价应包括投标人为完成招标文件规定咨询工作所需开支的一切费用，如人员工资、差旅费、交通费、进出场费、食宿费、通讯费、设备费、材料费、管理费、保险费、加班费、交叉作业影响费、安全措施费、安全生产费、利润、税费、咨询报告出版费等，同时包含咨询单位在节假日或正常工作时间以外人员的加班费用，以及合同文件明示或未明示的完成本合同的所有责任、义务和风险。</w:t>
      </w:r>
    </w:p>
    <w:p w14:paraId="603570E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bookmarkStart w:id="578" w:name="_Toc450637663"/>
      <w:bookmarkStart w:id="579" w:name="_Toc450628145"/>
      <w:r>
        <w:rPr>
          <w:rFonts w:hint="eastAsia" w:ascii="宋体" w:hAnsi="宋体" w:eastAsia="宋体" w:cs="宋体"/>
          <w:b w:val="0"/>
          <w:bCs w:val="0"/>
          <w:color w:val="auto"/>
          <w:sz w:val="24"/>
          <w:szCs w:val="24"/>
          <w:highlight w:val="none"/>
        </w:rPr>
        <w:t>7.1.4暂定金额指暂时未定的，包括在合同中，用于进行本工程可能发生的检测工作或作为不可预见费用。暂列金由发包人管理，按发包人的书面指示全部或部分使用或根本不使用。</w:t>
      </w:r>
      <w:bookmarkEnd w:id="578"/>
      <w:bookmarkEnd w:id="579"/>
      <w:bookmarkStart w:id="580" w:name="_Toc379712064"/>
      <w:bookmarkStart w:id="581" w:name="_Toc450628146"/>
      <w:bookmarkStart w:id="582" w:name="_Toc478124241"/>
      <w:bookmarkStart w:id="583" w:name="_Toc450637664"/>
      <w:bookmarkStart w:id="584" w:name="_Toc477904572"/>
    </w:p>
    <w:p w14:paraId="7AB3585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7.2支付</w:t>
      </w:r>
      <w:bookmarkEnd w:id="580"/>
      <w:bookmarkEnd w:id="581"/>
      <w:bookmarkEnd w:id="582"/>
      <w:bookmarkEnd w:id="583"/>
      <w:bookmarkEnd w:id="584"/>
    </w:p>
    <w:p w14:paraId="439A75CD">
      <w:pPr>
        <w:pageBreakBefore w:val="0"/>
        <w:widowControl w:val="0"/>
        <w:kinsoku/>
        <w:wordWrap/>
        <w:overflowPunct/>
        <w:topLinePunct w:val="0"/>
        <w:autoSpaceDE/>
        <w:autoSpaceDN/>
        <w:bidi w:val="0"/>
        <w:snapToGrid/>
        <w:spacing w:line="420" w:lineRule="exact"/>
        <w:ind w:firstLine="48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7.2.2检测服务费按以下方式支付：</w:t>
      </w:r>
    </w:p>
    <w:p w14:paraId="59B3434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7.2.2.1 进度支付申请</w:t>
      </w:r>
    </w:p>
    <w:p w14:paraId="4F5D5EB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承包人应按合同约定的支付节点向发包人提交由其项目负责人签署的进度支付申请，并附相应的支持性证明文件。承包人应在支付申请中填报如下内容： </w:t>
      </w:r>
    </w:p>
    <w:p w14:paraId="65B3453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（1）自开工截至本期末止已完成的工作量或者工作内容； </w:t>
      </w:r>
    </w:p>
    <w:p w14:paraId="141A551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（2）本期完成的工作量或者工作内容； </w:t>
      </w:r>
    </w:p>
    <w:p w14:paraId="508A9D3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（3）本期应支付的金额价款； </w:t>
      </w:r>
    </w:p>
    <w:p w14:paraId="70A3449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（4）根据合同规定，本期应扣除的其他款项； </w:t>
      </w:r>
    </w:p>
    <w:p w14:paraId="5F4B8D0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（5）根据合同规定，本期应结算的其他款项。 </w:t>
      </w:r>
    </w:p>
    <w:p w14:paraId="7D5653A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7.2.2.2 支付</w:t>
      </w:r>
    </w:p>
    <w:p w14:paraId="48C830EB">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（1）本合同签订并完成检测方案报审、人员、设备进场后15日内，发包人支付总检测服务费用的30%；</w:t>
      </w:r>
    </w:p>
    <w:p w14:paraId="00DC6272">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（2）提交检测报告后30日内，支付相关检测服务费用的50%；</w:t>
      </w:r>
    </w:p>
    <w:p w14:paraId="65A66FE1">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bookmarkStart w:id="585" w:name="OLE_LINK1"/>
      <w:r>
        <w:rPr>
          <w:rFonts w:hint="eastAsia" w:ascii="宋体" w:hAnsi="宋体" w:eastAsia="宋体" w:cs="宋体"/>
          <w:b w:val="0"/>
          <w:bCs w:val="0"/>
          <w:color w:val="auto"/>
          <w:kern w:val="2"/>
          <w:sz w:val="24"/>
          <w:szCs w:val="24"/>
          <w:highlight w:val="none"/>
          <w:lang w:val="en-US" w:eastAsia="zh-CN" w:bidi="ar-SA"/>
        </w:rPr>
        <w:t>（3）项目交工验收完成30日内，支付至累计计量款的100%。</w:t>
      </w:r>
    </w:p>
    <w:bookmarkEnd w:id="585"/>
    <w:p w14:paraId="5E828C65">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（4）发包人作为检测招标的招标人，统筹对检测各项工作的管理。检测费用由检测范围内的承包人承担，发包人在承包人的工程进度款的支付时予以扣留。 </w:t>
      </w:r>
    </w:p>
    <w:p w14:paraId="632FE9EA">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（5）乙方按照甲方要求提供合法有效的税率为6%的增值税专用发票。  </w:t>
      </w:r>
    </w:p>
    <w:p w14:paraId="5A7779A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7.2.3若发包人未在规定的期限内支付</w:t>
      </w:r>
      <w:r>
        <w:rPr>
          <w:rFonts w:hint="eastAsia" w:ascii="宋体" w:hAnsi="宋体" w:eastAsia="宋体" w:cs="宋体"/>
          <w:b w:val="0"/>
          <w:bCs w:val="0"/>
          <w:color w:val="auto"/>
          <w:sz w:val="24"/>
          <w:szCs w:val="24"/>
          <w:highlight w:val="none"/>
          <w:lang w:val="en-US" w:eastAsia="zh-CN"/>
        </w:rPr>
        <w:t>检测服务</w:t>
      </w:r>
      <w:r>
        <w:rPr>
          <w:rFonts w:hint="eastAsia" w:ascii="宋体" w:hAnsi="宋体" w:eastAsia="宋体" w:cs="宋体"/>
          <w:b w:val="0"/>
          <w:bCs w:val="0"/>
          <w:color w:val="auto"/>
          <w:sz w:val="24"/>
          <w:szCs w:val="24"/>
          <w:highlight w:val="none"/>
        </w:rPr>
        <w:t>费，承包人自愿表示理解，放弃要求发包人支付逾期付款利息和任何违约金的权利。</w:t>
      </w:r>
    </w:p>
    <w:p w14:paraId="5EEEEC1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7.2.4发包人对承包人要求支付的款项中的任何部分有异议，应在7日内发出书面通知说明理由，但不得借此延误对承包人其他应得款项的支付。</w:t>
      </w:r>
    </w:p>
    <w:p w14:paraId="47C2DE7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7.2.5发包人按合同约定支付给承包人的各项价款应专项用于合同服务项目。发包人支付的合同款应为本服务项目的专项专用资金，不得转移或用于其他项目。发包人及其派出机构有权不定期对承包人工程资金使用情况进行检查，发现问题及时责令承包人限期改正，否则，将终止下一期支付，直至承包人改正为止。</w:t>
      </w:r>
    </w:p>
    <w:p w14:paraId="2C88D10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bookmarkStart w:id="586" w:name="_Toc526072727"/>
      <w:r>
        <w:rPr>
          <w:rFonts w:hint="eastAsia" w:ascii="宋体" w:hAnsi="宋体" w:eastAsia="宋体" w:cs="宋体"/>
          <w:b w:val="0"/>
          <w:bCs w:val="0"/>
          <w:color w:val="auto"/>
          <w:sz w:val="24"/>
          <w:szCs w:val="24"/>
          <w:highlight w:val="none"/>
        </w:rPr>
        <w:t>7.2.6承包人应在发包人支付技术咨询费用前开具并交付相应的增值税专用发票，发包人取得相应发票并确认无误后办理支付。</w:t>
      </w:r>
    </w:p>
    <w:p w14:paraId="0F27747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7.3货币</w:t>
      </w:r>
      <w:bookmarkEnd w:id="586"/>
    </w:p>
    <w:p w14:paraId="403C447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投标文件的报价为人民币，发包人支付承包人履行技术咨询的费用的货币为人民币。</w:t>
      </w:r>
    </w:p>
    <w:p w14:paraId="2380BC35">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587" w:name="_Toc488236011"/>
      <w:r>
        <w:rPr>
          <w:rFonts w:hint="eastAsia" w:ascii="宋体" w:hAnsi="宋体" w:eastAsia="宋体" w:cs="宋体"/>
          <w:b w:val="0"/>
          <w:bCs w:val="0"/>
          <w:color w:val="auto"/>
          <w:kern w:val="2"/>
          <w:sz w:val="24"/>
          <w:szCs w:val="24"/>
          <w:highlight w:val="none"/>
          <w:lang w:val="en-US" w:eastAsia="zh-CN" w:bidi="ar-SA"/>
        </w:rPr>
        <w:t>8．保险</w:t>
      </w:r>
      <w:bookmarkEnd w:id="575"/>
      <w:bookmarkEnd w:id="576"/>
      <w:bookmarkEnd w:id="577"/>
      <w:bookmarkEnd w:id="587"/>
    </w:p>
    <w:p w14:paraId="525B3F5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承包本工程所需的一切保险均由承包人自行办理及支付，发包人不另行支付。</w:t>
      </w:r>
    </w:p>
    <w:p w14:paraId="01C1305F">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588" w:name="_Toc184635118"/>
      <w:bookmarkStart w:id="589" w:name="_Toc237061027"/>
      <w:bookmarkStart w:id="590" w:name="_Toc488236012"/>
      <w:bookmarkStart w:id="591" w:name="_Toc237230995"/>
      <w:r>
        <w:rPr>
          <w:rFonts w:hint="eastAsia" w:ascii="宋体" w:hAnsi="宋体" w:eastAsia="宋体" w:cs="宋体"/>
          <w:b w:val="0"/>
          <w:bCs w:val="0"/>
          <w:color w:val="auto"/>
          <w:kern w:val="2"/>
          <w:sz w:val="24"/>
          <w:szCs w:val="24"/>
          <w:highlight w:val="none"/>
          <w:lang w:val="en-US" w:eastAsia="zh-CN" w:bidi="ar-SA"/>
        </w:rPr>
        <w:t>9．不可抗力</w:t>
      </w:r>
      <w:bookmarkEnd w:id="588"/>
      <w:bookmarkEnd w:id="589"/>
      <w:bookmarkEnd w:id="590"/>
      <w:bookmarkEnd w:id="591"/>
    </w:p>
    <w:p w14:paraId="4017EC08">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592" w:name="_Toc237230996"/>
      <w:r>
        <w:rPr>
          <w:rFonts w:hint="eastAsia" w:ascii="宋体" w:hAnsi="宋体" w:eastAsia="宋体" w:cs="宋体"/>
          <w:b w:val="0"/>
          <w:bCs w:val="0"/>
          <w:i w:val="0"/>
          <w:iCs/>
          <w:color w:val="auto"/>
          <w:kern w:val="2"/>
          <w:sz w:val="24"/>
          <w:szCs w:val="24"/>
          <w:highlight w:val="none"/>
          <w:lang w:val="en-US" w:eastAsia="zh-CN" w:bidi="ar-SA"/>
        </w:rPr>
        <w:t>9.1 不可抗力的确认</w:t>
      </w:r>
      <w:bookmarkEnd w:id="592"/>
    </w:p>
    <w:p w14:paraId="706BD04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9.1.1不可抗力是指承包人和发包人在订立合同时不可预见，在工程施工过程中不可避免发生并不能克服的自然灾害和社会性突发事件，不可抗力可以包括（但不限于）下列情况：</w:t>
      </w:r>
    </w:p>
    <w:p w14:paraId="706261D7">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bookmarkStart w:id="593" w:name="_Toc381196595"/>
      <w:bookmarkStart w:id="594" w:name="_Toc305096502"/>
      <w:bookmarkStart w:id="595" w:name="_Toc364521960"/>
      <w:bookmarkStart w:id="596" w:name="_Toc305020881"/>
      <w:bookmarkStart w:id="597" w:name="_Toc478124245"/>
      <w:bookmarkStart w:id="598" w:name="_Toc377567169"/>
      <w:bookmarkStart w:id="599" w:name="_Toc477904576"/>
      <w:bookmarkStart w:id="600" w:name="_Toc450637668"/>
      <w:bookmarkStart w:id="601" w:name="_Toc450628150"/>
      <w:bookmarkStart w:id="602" w:name="_Toc363476332"/>
      <w:bookmarkStart w:id="603" w:name="_Toc381089211"/>
      <w:bookmarkStart w:id="604" w:name="_Toc380522730"/>
      <w:r>
        <w:rPr>
          <w:rFonts w:hint="eastAsia" w:ascii="宋体" w:hAnsi="宋体" w:eastAsia="宋体" w:cs="宋体"/>
          <w:b w:val="0"/>
          <w:bCs w:val="0"/>
          <w:color w:val="auto"/>
          <w:sz w:val="24"/>
          <w:szCs w:val="24"/>
          <w:highlight w:val="none"/>
        </w:rPr>
        <w:t>（1）战争、敌对行动（不论宣战与否）、入侵、外敌行动；</w:t>
      </w:r>
      <w:bookmarkEnd w:id="593"/>
      <w:bookmarkEnd w:id="594"/>
      <w:bookmarkEnd w:id="595"/>
      <w:bookmarkEnd w:id="596"/>
      <w:bookmarkEnd w:id="597"/>
      <w:bookmarkEnd w:id="598"/>
      <w:bookmarkEnd w:id="599"/>
      <w:bookmarkEnd w:id="600"/>
      <w:bookmarkEnd w:id="601"/>
      <w:bookmarkEnd w:id="602"/>
      <w:bookmarkEnd w:id="603"/>
      <w:bookmarkEnd w:id="604"/>
    </w:p>
    <w:p w14:paraId="5716EAC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（2）叛乱、革命、暴动或军事政变或内战；</w:t>
      </w:r>
    </w:p>
    <w:p w14:paraId="30D2122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（3）暴乱、骚乱或混乱，但对于局限在承包人和承包人雇佣人员内部并且是由于从事工程而发生的事件除外；</w:t>
      </w:r>
    </w:p>
    <w:p w14:paraId="7DAE2E6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bookmarkStart w:id="605" w:name="_Toc450637669"/>
      <w:bookmarkStart w:id="606" w:name="_Toc477904577"/>
      <w:bookmarkStart w:id="607" w:name="_Toc377567170"/>
      <w:bookmarkStart w:id="608" w:name="_Toc364521961"/>
      <w:bookmarkStart w:id="609" w:name="_Toc381196596"/>
      <w:bookmarkStart w:id="610" w:name="_Toc305096503"/>
      <w:bookmarkStart w:id="611" w:name="_Toc380522731"/>
      <w:bookmarkStart w:id="612" w:name="_Toc381089212"/>
      <w:bookmarkStart w:id="613" w:name="_Toc478124246"/>
      <w:bookmarkStart w:id="614" w:name="_Toc450628151"/>
      <w:bookmarkStart w:id="615" w:name="_Toc305020882"/>
      <w:bookmarkStart w:id="616" w:name="_Toc365921770"/>
      <w:bookmarkStart w:id="617" w:name="_Toc363476333"/>
      <w:r>
        <w:rPr>
          <w:rFonts w:hint="eastAsia" w:ascii="宋体" w:hAnsi="宋体" w:eastAsia="宋体" w:cs="宋体"/>
          <w:b w:val="0"/>
          <w:bCs w:val="0"/>
          <w:color w:val="auto"/>
          <w:sz w:val="24"/>
          <w:szCs w:val="24"/>
          <w:highlight w:val="none"/>
        </w:rPr>
        <w:t>（4）核聚变、核裂变、核武器、核材料、核辐射及放射性污染；</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1F3416C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（5）以音速或超音速飞行的飞机或其他飞行装置产生的压力波，飞行器坠落；</w:t>
      </w:r>
    </w:p>
    <w:p w14:paraId="1CFD1D5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（6）自然灾害（地震、洪水、海啸、飓风、台风、火山活动等）。</w:t>
      </w:r>
    </w:p>
    <w:p w14:paraId="05F702E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9.1.2如果发生不可抗力因素，致使本合同不能如期履行时，本合同应自动顺延履行，且双方不被视为违约，但双方应尽一切努力终止或减少上述因素的影响。上述因素一旦消失，双方应立即采取措施继续履行本合同。</w:t>
      </w:r>
    </w:p>
    <w:p w14:paraId="542AB3FE">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618" w:name="_Toc237230998"/>
      <w:r>
        <w:rPr>
          <w:rFonts w:hint="eastAsia" w:ascii="宋体" w:hAnsi="宋体" w:eastAsia="宋体" w:cs="宋体"/>
          <w:b w:val="0"/>
          <w:bCs w:val="0"/>
          <w:i w:val="0"/>
          <w:iCs/>
          <w:color w:val="auto"/>
          <w:kern w:val="2"/>
          <w:sz w:val="24"/>
          <w:szCs w:val="24"/>
          <w:highlight w:val="none"/>
          <w:lang w:val="en-US" w:eastAsia="zh-CN" w:bidi="ar-SA"/>
        </w:rPr>
        <w:t>9.2 不可抗力后果及其处理</w:t>
      </w:r>
      <w:bookmarkEnd w:id="618"/>
    </w:p>
    <w:p w14:paraId="498860D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果发生上述9.1条不可抗力事件，致使本合同不能如期履行时，本合同应自动顺延履行，且双方不被视为违约，但双方应尽一切努力终止或减少上述因素的影响。上述因素一旦消失，双方应立即采取措施继续履行本合同。</w:t>
      </w:r>
    </w:p>
    <w:p w14:paraId="3C5EFFB9">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619" w:name="_Toc237230999"/>
      <w:bookmarkStart w:id="620" w:name="_Toc237061028"/>
      <w:bookmarkStart w:id="621" w:name="_Toc184635119"/>
      <w:bookmarkStart w:id="622" w:name="_Toc488236013"/>
      <w:r>
        <w:rPr>
          <w:rFonts w:hint="eastAsia" w:ascii="宋体" w:hAnsi="宋体" w:eastAsia="宋体" w:cs="宋体"/>
          <w:b w:val="0"/>
          <w:bCs w:val="0"/>
          <w:color w:val="auto"/>
          <w:kern w:val="2"/>
          <w:sz w:val="24"/>
          <w:szCs w:val="24"/>
          <w:highlight w:val="none"/>
          <w:lang w:val="en-US" w:eastAsia="zh-CN" w:bidi="ar-SA"/>
        </w:rPr>
        <w:t>10．违约</w:t>
      </w:r>
      <w:bookmarkEnd w:id="619"/>
      <w:bookmarkEnd w:id="620"/>
      <w:bookmarkEnd w:id="621"/>
      <w:r>
        <w:rPr>
          <w:rFonts w:hint="eastAsia" w:ascii="宋体" w:hAnsi="宋体" w:eastAsia="宋体" w:cs="宋体"/>
          <w:b w:val="0"/>
          <w:bCs w:val="0"/>
          <w:color w:val="auto"/>
          <w:kern w:val="2"/>
          <w:sz w:val="24"/>
          <w:szCs w:val="24"/>
          <w:highlight w:val="none"/>
          <w:lang w:val="en-US" w:eastAsia="zh-CN" w:bidi="ar-SA"/>
        </w:rPr>
        <w:t>情况及责任</w:t>
      </w:r>
      <w:bookmarkEnd w:id="622"/>
    </w:p>
    <w:p w14:paraId="3F30BD53">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623" w:name="_Toc237061029"/>
      <w:bookmarkStart w:id="624" w:name="_Toc237231003"/>
      <w:bookmarkStart w:id="625" w:name="_Toc184635120"/>
      <w:bookmarkStart w:id="626" w:name="_Toc237231008"/>
      <w:bookmarkStart w:id="627" w:name="_Toc184635121"/>
      <w:bookmarkStart w:id="628" w:name="_Toc237061030"/>
      <w:r>
        <w:rPr>
          <w:rFonts w:hint="eastAsia" w:ascii="宋体" w:hAnsi="宋体" w:eastAsia="宋体" w:cs="宋体"/>
          <w:b w:val="0"/>
          <w:bCs w:val="0"/>
          <w:i w:val="0"/>
          <w:iCs/>
          <w:color w:val="auto"/>
          <w:kern w:val="2"/>
          <w:sz w:val="24"/>
          <w:szCs w:val="24"/>
          <w:highlight w:val="none"/>
          <w:lang w:val="en-US" w:eastAsia="zh-CN" w:bidi="ar-SA"/>
        </w:rPr>
        <w:t>10.1违约及赔偿责任</w:t>
      </w:r>
    </w:p>
    <w:p w14:paraId="31CE0837">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10.1.1合同生效后，若承包人不按合同约定履行职责，发包人有权终止合同关系；并按下述规定对承包人的违约进行处罚：</w:t>
      </w:r>
    </w:p>
    <w:p w14:paraId="1C10237F">
      <w:pPr>
        <w:pageBreakBefore w:val="0"/>
        <w:widowControl/>
        <w:kinsoku/>
        <w:wordWrap/>
        <w:overflowPunct/>
        <w:topLinePunct w:val="0"/>
        <w:autoSpaceDE/>
        <w:autoSpaceDN/>
        <w:bidi w:val="0"/>
        <w:snapToGrid/>
        <w:spacing w:line="420" w:lineRule="exact"/>
        <w:ind w:firstLine="540" w:firstLineChars="225"/>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承包人违反合同的约定，将承包工作的任何部分转包或分包的：发包人将向承包人发出书面通知要求承包人限期改正，并视情况课以20万元以内的违约金；情节严重时发包人可直接终止合同，由此造成的损失由承包人承担。</w:t>
      </w:r>
    </w:p>
    <w:p w14:paraId="2E3B9A2E">
      <w:pPr>
        <w:pageBreakBefore w:val="0"/>
        <w:widowControl/>
        <w:kinsoku/>
        <w:wordWrap/>
        <w:overflowPunct/>
        <w:topLinePunct w:val="0"/>
        <w:autoSpaceDE/>
        <w:autoSpaceDN/>
        <w:bidi w:val="0"/>
        <w:snapToGrid/>
        <w:spacing w:line="420" w:lineRule="exact"/>
        <w:ind w:firstLine="540" w:firstLineChars="225"/>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（2）承包人拟投入的人员应与投标文件承诺的一致，不得更换；若承包人因特殊原因，需要更换派驻到项目所在地履行合同的主要人员时，更换人员的资格不应低于原人员的资格，并应事先得到发包人的批准；</w:t>
      </w:r>
    </w:p>
    <w:p w14:paraId="4A8A17A5">
      <w:pPr>
        <w:pageBreakBefore w:val="0"/>
        <w:widowControl/>
        <w:kinsoku/>
        <w:wordWrap/>
        <w:overflowPunct/>
        <w:topLinePunct w:val="0"/>
        <w:autoSpaceDE/>
        <w:autoSpaceDN/>
        <w:bidi w:val="0"/>
        <w:snapToGrid/>
        <w:spacing w:line="420" w:lineRule="exact"/>
        <w:ind w:firstLine="540" w:firstLineChars="225"/>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对不能胜任本职工作的人员，承包人应按发包人要求及时更换，若未及时更换，将处罚。</w:t>
      </w:r>
    </w:p>
    <w:p w14:paraId="15776D7F">
      <w:pPr>
        <w:pageBreakBefore w:val="0"/>
        <w:widowControl/>
        <w:numPr>
          <w:ilvl w:val="0"/>
          <w:numId w:val="3"/>
        </w:numPr>
        <w:kinsoku/>
        <w:wordWrap/>
        <w:overflowPunct/>
        <w:topLinePunct w:val="0"/>
        <w:autoSpaceDE/>
        <w:autoSpaceDN/>
        <w:bidi w:val="0"/>
        <w:snapToGrid/>
        <w:spacing w:line="42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未尽到职责，造成工程质量、安全事故时，承包人承担因此造成发包人直接损失的30%赔偿责任（赔偿额不超过本标段技术咨询费总额扣除税费后的值）；涉及民事、刑事责任时，民事、刑事责任按有关机构的认定自行承担。</w:t>
      </w:r>
    </w:p>
    <w:p w14:paraId="6AE46365">
      <w:pPr>
        <w:pageBreakBefore w:val="0"/>
        <w:widowControl/>
        <w:numPr>
          <w:ilvl w:val="0"/>
          <w:numId w:val="3"/>
        </w:numPr>
        <w:kinsoku/>
        <w:wordWrap/>
        <w:overflowPunct/>
        <w:topLinePunct w:val="0"/>
        <w:autoSpaceDE/>
        <w:autoSpaceDN/>
        <w:bidi w:val="0"/>
        <w:snapToGrid/>
        <w:spacing w:line="42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承包人必须按时出具各种咨询报告或咨询结果。不按时出具，每拖延一天，发包人对承包人课以500元/天的违约金。</w:t>
      </w:r>
    </w:p>
    <w:p w14:paraId="0506D8B7">
      <w:pPr>
        <w:pageBreakBefore w:val="0"/>
        <w:widowControl/>
        <w:numPr>
          <w:ilvl w:val="0"/>
          <w:numId w:val="3"/>
        </w:numPr>
        <w:kinsoku/>
        <w:wordWrap/>
        <w:overflowPunct/>
        <w:topLinePunct w:val="0"/>
        <w:autoSpaceDE/>
        <w:autoSpaceDN/>
        <w:bidi w:val="0"/>
        <w:snapToGrid/>
        <w:spacing w:line="42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承包人必须为发包人负责，认真对合同约定的项目进行</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服务，反映工程真实的状况，禁止与施工单位勾结，弄虚作假，单独协商质量缺陷的处理措施，欺骗发包人。一经发现，发包人对承包人课以10000元～50000元/次的违约金，并给与警告。若发生两次以上此项违约行为或情节严重，发包人有权终止合同，并将上述违约行为上报省级交通主管部门，作为不良记录纳入公路建设市场信用信息管理系统。</w:t>
      </w:r>
    </w:p>
    <w:p w14:paraId="04BEF0E7">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（4）发生工程质量事故隐瞞不报、谎报或者拖延报告期限的，对直接负责的项目负责人和技术负责人给予通报批评或清退出场处理，同时，对其咨询人课以 10000 元/次～30000 元/次违约金。</w:t>
      </w:r>
    </w:p>
    <w:p w14:paraId="3EA210F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人员未遵守廉洁纪律，向施工检测人进行索拿卡要、介绍材料、施工队伍、设备采购的，发包人有权更换相关人员，触犯国家法律的，依法移交司法机关处理</w:t>
      </w:r>
    </w:p>
    <w:p w14:paraId="60BBCE0B">
      <w:pPr>
        <w:pageBreakBefore w:val="0"/>
        <w:widowControl/>
        <w:kinsoku/>
        <w:wordWrap/>
        <w:overflowPunct/>
        <w:topLinePunct w:val="0"/>
        <w:autoSpaceDE/>
        <w:autoSpaceDN/>
        <w:bidi w:val="0"/>
        <w:snapToGrid/>
        <w:spacing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（6）承包人的其他违约责任按发包人相关</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服务管理制度有关规定执行。</w:t>
      </w:r>
    </w:p>
    <w:p w14:paraId="7A544C2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10.1.2合同生效后，由于工程停建或因发包人原因而终止合同，发包人应向承包人支付已完成工作量的费用。双方应当就合同解除及费用结算签订相应协议。</w:t>
      </w:r>
    </w:p>
    <w:bookmarkEnd w:id="623"/>
    <w:bookmarkEnd w:id="624"/>
    <w:bookmarkEnd w:id="625"/>
    <w:p w14:paraId="54C2994F">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629" w:name="_Toc488236014"/>
      <w:r>
        <w:rPr>
          <w:rFonts w:hint="eastAsia" w:ascii="宋体" w:hAnsi="宋体" w:eastAsia="宋体" w:cs="宋体"/>
          <w:b w:val="0"/>
          <w:bCs w:val="0"/>
          <w:color w:val="auto"/>
          <w:kern w:val="2"/>
          <w:sz w:val="24"/>
          <w:szCs w:val="24"/>
          <w:highlight w:val="none"/>
          <w:lang w:val="en-US" w:eastAsia="zh-CN" w:bidi="ar-SA"/>
        </w:rPr>
        <w:t>11．争议的解决</w:t>
      </w:r>
      <w:bookmarkEnd w:id="626"/>
      <w:bookmarkEnd w:id="627"/>
      <w:bookmarkEnd w:id="628"/>
      <w:bookmarkEnd w:id="629"/>
    </w:p>
    <w:p w14:paraId="30DCCBD2">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630" w:name="_Toc237231009"/>
      <w:r>
        <w:rPr>
          <w:rFonts w:hint="eastAsia" w:ascii="宋体" w:hAnsi="宋体" w:eastAsia="宋体" w:cs="宋体"/>
          <w:b w:val="0"/>
          <w:bCs w:val="0"/>
          <w:i w:val="0"/>
          <w:iCs/>
          <w:color w:val="auto"/>
          <w:kern w:val="2"/>
          <w:sz w:val="24"/>
          <w:szCs w:val="24"/>
          <w:highlight w:val="none"/>
          <w:lang w:val="en-US" w:eastAsia="zh-CN" w:bidi="ar-SA"/>
        </w:rPr>
        <w:t>11.1 争议的解决方式</w:t>
      </w:r>
      <w:bookmarkEnd w:id="630"/>
    </w:p>
    <w:p w14:paraId="3A53F84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bookmarkStart w:id="631" w:name="_Toc237231010"/>
      <w:r>
        <w:rPr>
          <w:rFonts w:hint="eastAsia" w:ascii="宋体" w:hAnsi="宋体" w:eastAsia="宋体" w:cs="宋体"/>
          <w:b w:val="0"/>
          <w:bCs w:val="0"/>
          <w:color w:val="auto"/>
          <w:sz w:val="24"/>
          <w:szCs w:val="24"/>
          <w:highlight w:val="none"/>
        </w:rPr>
        <w:t>双方在履行本检测合同过程中发生争端时，应本着友好协商的原则解决问题，或通过上级主管部门进行调解。若经过协商或调解仍不能达成一致时，双方约定：向发包人所在地具有管辖权的人民法院提起诉讼。</w:t>
      </w:r>
    </w:p>
    <w:p w14:paraId="46F96C1F">
      <w:pPr>
        <w:keepNext/>
        <w:keepLines w:val="0"/>
        <w:pageBreakBefore w:val="0"/>
        <w:widowControl w:val="0"/>
        <w:kinsoku/>
        <w:wordWrap/>
        <w:overflowPunct/>
        <w:topLinePunct w:val="0"/>
        <w:autoSpaceDE/>
        <w:autoSpaceDN/>
        <w:bidi w:val="0"/>
        <w:adjustRightInd w:val="0"/>
        <w:snapToGrid/>
        <w:spacing w:before="60" w:beforeLines="25" w:after="60" w:afterLines="25" w:line="420" w:lineRule="exact"/>
        <w:ind w:firstLine="480" w:firstLineChars="200"/>
        <w:jc w:val="both"/>
        <w:textAlignment w:val="baseline"/>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11.2 友好解决</w:t>
      </w:r>
      <w:bookmarkEnd w:id="631"/>
    </w:p>
    <w:p w14:paraId="64672ED7">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在提请争议评审、仲裁前，以及在争议评审、仲裁过程中，发包人和承包人均可共同努力友好协商解决争议。</w:t>
      </w:r>
    </w:p>
    <w:p w14:paraId="48ACF5AD">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632" w:name="_Toc488236015"/>
      <w:r>
        <w:rPr>
          <w:rFonts w:hint="eastAsia" w:ascii="宋体" w:hAnsi="宋体" w:eastAsia="宋体" w:cs="宋体"/>
          <w:b w:val="0"/>
          <w:bCs w:val="0"/>
          <w:color w:val="auto"/>
          <w:kern w:val="2"/>
          <w:sz w:val="24"/>
          <w:szCs w:val="24"/>
          <w:highlight w:val="none"/>
          <w:lang w:val="en-US" w:eastAsia="zh-CN" w:bidi="ar-SA"/>
        </w:rPr>
        <w:t>12．其他</w:t>
      </w:r>
      <w:bookmarkEnd w:id="632"/>
    </w:p>
    <w:p w14:paraId="0CD29EB5">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12.1 退出机制</w:t>
      </w:r>
    </w:p>
    <w:p w14:paraId="41B93F5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12.1.1承包人人员变动、工作失误及违规导致施工现场发生重大质量、安全事故以及重大工程经济损失和工期延误。</w:t>
      </w:r>
    </w:p>
    <w:p w14:paraId="57356E5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12.1.2经查实承包人有挂靠行为。</w:t>
      </w:r>
    </w:p>
    <w:p w14:paraId="3FC947D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12.1.3经查实承包人重大违纪。</w:t>
      </w:r>
    </w:p>
    <w:p w14:paraId="5E8E0BD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12.1.4</w:t>
      </w:r>
      <w:bookmarkStart w:id="633" w:name="_Hlk488234419"/>
      <w:r>
        <w:rPr>
          <w:rFonts w:hint="eastAsia" w:ascii="宋体" w:hAnsi="宋体" w:eastAsia="宋体" w:cs="宋体"/>
          <w:b w:val="0"/>
          <w:bCs w:val="0"/>
          <w:color w:val="auto"/>
          <w:sz w:val="24"/>
          <w:szCs w:val="24"/>
          <w:highlight w:val="none"/>
        </w:rPr>
        <w:t>违反发包人相关技术咨询服务管理制度退出机制规定的情况</w:t>
      </w:r>
      <w:bookmarkEnd w:id="633"/>
      <w:r>
        <w:rPr>
          <w:rFonts w:hint="eastAsia" w:ascii="宋体" w:hAnsi="宋体" w:eastAsia="宋体" w:cs="宋体"/>
          <w:b w:val="0"/>
          <w:bCs w:val="0"/>
          <w:color w:val="auto"/>
          <w:sz w:val="24"/>
          <w:szCs w:val="24"/>
          <w:highlight w:val="none"/>
        </w:rPr>
        <w:t>。</w:t>
      </w:r>
    </w:p>
    <w:p w14:paraId="6A128213">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12.2 廉洁从业要求</w:t>
      </w:r>
    </w:p>
    <w:p w14:paraId="6E273BD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发包人与承包人的</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人员在合同执行过程中，保持最高的道德水准。承包人的</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rPr>
        <w:t>人员不得接受或索取施工承包人或供货人任何有价物品；不得参与施工承包人邀请的有可能影响试验检测公正性的任何活动；也不得私自向施工承包人要求安排个人亲朋好友工作或购买推荐材料；更不得获取超出合同规定以外的额外费用。一经发现和查实上述情况，发包人有权要求承包人按照有关法纪严肃处理当事人。对于因上述行为给发包人所造成的工程损害及经济损失，发包人将要求承包人按照有关合同条款予以赔偿，直至终止承包人的咨询合同。</w:t>
      </w:r>
    </w:p>
    <w:p w14:paraId="285BEE8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12.3 送达</w:t>
      </w:r>
    </w:p>
    <w:p w14:paraId="2DD311B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双方特约定如下地址作为交易和法律函件的有效送达地址，任何一方发生变更的，应当于变更后3日书面通知对方，否则对下列地址的邮寄仍为有效送达，接收方拒收不影响送达效力</w:t>
      </w:r>
      <w:r>
        <w:rPr>
          <w:rFonts w:hint="eastAsia" w:ascii="宋体" w:hAnsi="宋体" w:eastAsia="宋体" w:cs="宋体"/>
          <w:b w:val="0"/>
          <w:bCs w:val="0"/>
          <w:color w:val="auto"/>
          <w:sz w:val="24"/>
          <w:szCs w:val="24"/>
          <w:highlight w:val="none"/>
          <w:lang w:eastAsia="zh-CN"/>
        </w:rPr>
        <w:t>：</w:t>
      </w:r>
    </w:p>
    <w:p w14:paraId="6747F63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甲方：湖南省</w:t>
      </w:r>
      <w:r>
        <w:rPr>
          <w:rFonts w:hint="eastAsia" w:ascii="宋体" w:hAnsi="宋体" w:eastAsia="宋体" w:cs="宋体"/>
          <w:b w:val="0"/>
          <w:bCs w:val="0"/>
          <w:color w:val="auto"/>
          <w:sz w:val="24"/>
          <w:szCs w:val="24"/>
          <w:highlight w:val="none"/>
          <w:lang w:val="en-US" w:eastAsia="zh-CN"/>
        </w:rPr>
        <w:t>张家界</w:t>
      </w:r>
      <w:r>
        <w:rPr>
          <w:rFonts w:hint="default" w:ascii="宋体" w:hAnsi="宋体" w:eastAsia="宋体" w:cs="宋体"/>
          <w:b w:val="0"/>
          <w:bCs w:val="0"/>
          <w:color w:val="auto"/>
          <w:sz w:val="24"/>
          <w:szCs w:val="24"/>
          <w:highlight w:val="none"/>
          <w:lang w:val="en-US" w:eastAsia="zh-CN"/>
        </w:rPr>
        <w:t>市</w:t>
      </w:r>
      <w:r>
        <w:rPr>
          <w:rFonts w:hint="eastAsia" w:ascii="宋体" w:hAnsi="宋体" w:eastAsia="宋体" w:cs="宋体"/>
          <w:b w:val="0"/>
          <w:bCs w:val="0"/>
          <w:color w:val="auto"/>
          <w:sz w:val="24"/>
          <w:szCs w:val="24"/>
          <w:highlight w:val="none"/>
          <w:lang w:val="en-US" w:eastAsia="zh-CN"/>
        </w:rPr>
        <w:t>永定区教场路103#盛世嘉年酒店葛洲坝公司</w:t>
      </w:r>
    </w:p>
    <w:p w14:paraId="40C8D69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sz w:val="24"/>
          <w:szCs w:val="24"/>
          <w:highlight w:val="none"/>
          <w:lang w:val="en-US" w:eastAsia="zh-CN"/>
        </w:rPr>
        <w:t>乙方：</w:t>
      </w:r>
    </w:p>
    <w:p w14:paraId="5A70A1BF">
      <w:pPr>
        <w:pageBreakBefore w:val="0"/>
        <w:tabs>
          <w:tab w:val="left" w:pos="6720"/>
        </w:tabs>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pacing w:val="1"/>
          <w:sz w:val="24"/>
          <w:szCs w:val="24"/>
          <w:highlight w:val="none"/>
          <w:lang w:val="en-US" w:eastAsia="zh-CN" w:bidi="ar-SA"/>
        </w:rPr>
      </w:pPr>
    </w:p>
    <w:p w14:paraId="56F37A4B">
      <w:pPr>
        <w:pageBreakBefore w:val="0"/>
        <w:tabs>
          <w:tab w:val="left" w:pos="6720"/>
        </w:tabs>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pacing w:val="1"/>
          <w:sz w:val="24"/>
          <w:szCs w:val="24"/>
          <w:highlight w:val="none"/>
          <w:lang w:val="en-US" w:eastAsia="zh-CN" w:bidi="ar-SA"/>
        </w:rPr>
      </w:pPr>
    </w:p>
    <w:p w14:paraId="29A3C7DE">
      <w:pPr>
        <w:pageBreakBefore w:val="0"/>
        <w:tabs>
          <w:tab w:val="left" w:pos="6720"/>
        </w:tabs>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pacing w:val="1"/>
          <w:sz w:val="24"/>
          <w:szCs w:val="24"/>
          <w:highlight w:val="none"/>
          <w:lang w:val="en-US" w:eastAsia="zh-CN" w:bidi="ar-SA"/>
        </w:rPr>
      </w:pPr>
    </w:p>
    <w:p w14:paraId="241636DD">
      <w:pPr>
        <w:pageBreakBefore w:val="0"/>
        <w:tabs>
          <w:tab w:val="left" w:pos="6720"/>
        </w:tabs>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pacing w:val="1"/>
          <w:sz w:val="24"/>
          <w:szCs w:val="24"/>
          <w:highlight w:val="none"/>
          <w:lang w:val="en-US" w:eastAsia="zh-CN" w:bidi="ar-SA"/>
        </w:rPr>
      </w:pPr>
    </w:p>
    <w:p w14:paraId="0AA03581">
      <w:pPr>
        <w:pageBreakBefore w:val="0"/>
        <w:tabs>
          <w:tab w:val="left" w:pos="6720"/>
        </w:tabs>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pacing w:val="1"/>
          <w:sz w:val="24"/>
          <w:szCs w:val="24"/>
          <w:highlight w:val="none"/>
          <w:lang w:val="en-US" w:eastAsia="zh-CN" w:bidi="ar-SA"/>
        </w:rPr>
      </w:pPr>
    </w:p>
    <w:p w14:paraId="1A6F6834">
      <w:pPr>
        <w:pageBreakBefore w:val="0"/>
        <w:tabs>
          <w:tab w:val="left" w:pos="6720"/>
        </w:tabs>
        <w:kinsoku/>
        <w:wordWrap/>
        <w:overflowPunct/>
        <w:topLinePunct w:val="0"/>
        <w:autoSpaceDE/>
        <w:autoSpaceDN/>
        <w:bidi w:val="0"/>
        <w:spacing w:before="0" w:after="0" w:line="440" w:lineRule="exact"/>
        <w:ind w:firstLine="484" w:firstLineChars="200"/>
        <w:jc w:val="both"/>
        <w:rPr>
          <w:rFonts w:hint="eastAsia" w:ascii="宋体" w:hAnsi="宋体" w:eastAsia="宋体" w:cs="宋体"/>
          <w:b w:val="0"/>
          <w:bCs w:val="0"/>
          <w:color w:val="auto"/>
          <w:spacing w:val="1"/>
          <w:sz w:val="24"/>
          <w:szCs w:val="24"/>
          <w:highlight w:val="none"/>
          <w:lang w:val="en-US" w:eastAsia="zh-CN" w:bidi="ar-SA"/>
        </w:rPr>
      </w:pPr>
    </w:p>
    <w:bookmarkEnd w:id="524"/>
    <w:p w14:paraId="5ADF202D">
      <w:pPr>
        <w:pageBreakBefore w:val="0"/>
        <w:kinsoku/>
        <w:wordWrap/>
        <w:overflowPunct/>
        <w:topLinePunct w:val="0"/>
        <w:autoSpaceDE/>
        <w:autoSpaceDN/>
        <w:bidi w:val="0"/>
        <w:spacing w:before="260" w:after="260" w:line="440" w:lineRule="exact"/>
        <w:outlineLvl w:val="2"/>
        <w:rPr>
          <w:rFonts w:hint="eastAsia" w:ascii="宋体" w:hAnsi="宋体" w:eastAsia="宋体" w:cs="宋体"/>
          <w:b w:val="0"/>
          <w:bCs w:val="0"/>
          <w:color w:val="auto"/>
          <w:sz w:val="24"/>
          <w:szCs w:val="24"/>
          <w:highlight w:val="none"/>
          <w:lang w:eastAsia="zh-CN"/>
        </w:rPr>
        <w:sectPr>
          <w:footerReference r:id="rId21" w:type="default"/>
          <w:pgSz w:w="11906" w:h="16838"/>
          <w:pgMar w:top="1440" w:right="1417" w:bottom="1440" w:left="1417" w:header="851" w:footer="992" w:gutter="0"/>
          <w:pgNumType w:fmt="decimal"/>
          <w:cols w:space="425" w:num="1"/>
          <w:docGrid w:type="lines" w:linePitch="312" w:charSpace="0"/>
        </w:sectPr>
      </w:pPr>
      <w:bookmarkStart w:id="634" w:name="_Toc499646507"/>
      <w:bookmarkStart w:id="635" w:name="_Toc506006182"/>
      <w:bookmarkStart w:id="636" w:name="_Toc508201398"/>
      <w:bookmarkStart w:id="637" w:name="_Toc508200460"/>
      <w:bookmarkStart w:id="638" w:name="_Toc510015788"/>
      <w:bookmarkStart w:id="639" w:name="_Toc234833231"/>
    </w:p>
    <w:p w14:paraId="01F27599">
      <w:pPr>
        <w:pageBreakBefore w:val="0"/>
        <w:kinsoku/>
        <w:wordWrap/>
        <w:overflowPunct/>
        <w:topLinePunct w:val="0"/>
        <w:autoSpaceDE/>
        <w:autoSpaceDN/>
        <w:bidi w:val="0"/>
        <w:spacing w:before="260" w:after="260" w:line="440" w:lineRule="exact"/>
        <w:jc w:val="both"/>
        <w:outlineLvl w:val="2"/>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附件一：合同协议书</w:t>
      </w:r>
      <w:bookmarkEnd w:id="634"/>
      <w:bookmarkEnd w:id="635"/>
      <w:bookmarkEnd w:id="636"/>
      <w:bookmarkEnd w:id="637"/>
    </w:p>
    <w:p w14:paraId="45F3E2C2">
      <w:pPr>
        <w:pageBreakBefore w:val="0"/>
        <w:kinsoku/>
        <w:wordWrap/>
        <w:overflowPunct/>
        <w:topLinePunct w:val="0"/>
        <w:autoSpaceDE/>
        <w:autoSpaceDN/>
        <w:bidi w:val="0"/>
        <w:spacing w:before="120" w:beforeLines="50" w:after="120" w:afterLines="50" w:line="440" w:lineRule="exact"/>
        <w:ind w:left="3617"/>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合同协议书</w:t>
      </w:r>
    </w:p>
    <w:p w14:paraId="424A6511">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pacing w:val="1"/>
          <w:sz w:val="24"/>
          <w:szCs w:val="24"/>
          <w:highlight w:val="none"/>
          <w:lang w:val="en-US" w:eastAsia="zh-CN" w:bidi="ar-SA"/>
        </w:rPr>
      </w:pPr>
    </w:p>
    <w:p w14:paraId="419F1E08">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color w:val="auto"/>
          <w:spacing w:val="1"/>
          <w:sz w:val="24"/>
          <w:szCs w:val="24"/>
          <w:highlight w:val="none"/>
          <w:u w:val="single"/>
          <w:lang w:val="en-US" w:eastAsia="zh-CN" w:bidi="ar-SA"/>
        </w:rPr>
        <w:t>湖南省新新张官高速公路建设开发有限公司张家界分公司</w:t>
      </w:r>
      <w:r>
        <w:rPr>
          <w:rFonts w:hint="eastAsia" w:ascii="宋体" w:hAnsi="宋体" w:eastAsia="宋体" w:cs="宋体"/>
          <w:b w:val="0"/>
          <w:bCs w:val="0"/>
          <w:color w:val="auto"/>
          <w:sz w:val="24"/>
          <w:szCs w:val="24"/>
          <w:highlight w:val="none"/>
          <w:lang w:val="en-US" w:eastAsia="zh-CN" w:bidi="ar-SA"/>
        </w:rPr>
        <w:t>（委托人名称，以下简称“</w:t>
      </w:r>
      <w:r>
        <w:rPr>
          <w:rFonts w:hint="eastAsia" w:ascii="宋体" w:hAnsi="宋体" w:eastAsia="宋体" w:cs="宋体"/>
          <w:b w:val="0"/>
          <w:bCs w:val="0"/>
          <w:color w:val="auto"/>
          <w:spacing w:val="1"/>
          <w:sz w:val="24"/>
          <w:szCs w:val="24"/>
          <w:highlight w:val="none"/>
          <w:lang w:val="en-US" w:eastAsia="zh-CN" w:bidi="ar-SA"/>
        </w:rPr>
        <w:t>委托人</w:t>
      </w:r>
      <w:r>
        <w:rPr>
          <w:rFonts w:hint="eastAsia" w:ascii="宋体" w:hAnsi="宋体" w:eastAsia="宋体" w:cs="宋体"/>
          <w:b w:val="0"/>
          <w:bCs w:val="0"/>
          <w:color w:val="auto"/>
          <w:sz w:val="24"/>
          <w:szCs w:val="24"/>
          <w:highlight w:val="none"/>
          <w:lang w:val="en-US" w:eastAsia="zh-CN" w:bidi="ar-SA"/>
        </w:rPr>
        <w:t xml:space="preserve">”）为实施 </w:t>
      </w:r>
      <w:r>
        <w:rPr>
          <w:rFonts w:hint="eastAsia" w:ascii="宋体" w:hAnsi="宋体" w:eastAsia="宋体" w:cs="宋体"/>
          <w:b w:val="0"/>
          <w:bCs w:val="0"/>
          <w:color w:val="auto"/>
          <w:sz w:val="24"/>
          <w:szCs w:val="24"/>
          <w:highlight w:val="none"/>
          <w:u w:val="single"/>
          <w:lang w:val="en-US" w:eastAsia="zh-CN" w:bidi="ar-SA"/>
        </w:rPr>
        <w:t xml:space="preserve">        </w:t>
      </w:r>
      <w:r>
        <w:rPr>
          <w:rFonts w:hint="eastAsia" w:ascii="宋体" w:hAnsi="宋体" w:eastAsia="宋体" w:cs="宋体"/>
          <w:b w:val="0"/>
          <w:bCs w:val="0"/>
          <w:color w:val="auto"/>
          <w:sz w:val="24"/>
          <w:szCs w:val="24"/>
          <w:highlight w:val="none"/>
          <w:lang w:val="en-US" w:eastAsia="zh-CN" w:bidi="ar-SA"/>
        </w:rPr>
        <w:t>（项目</w:t>
      </w:r>
      <w:r>
        <w:rPr>
          <w:rFonts w:hint="eastAsia" w:ascii="宋体" w:hAnsi="宋体" w:eastAsia="宋体" w:cs="宋体"/>
          <w:b w:val="0"/>
          <w:bCs w:val="0"/>
          <w:color w:val="auto"/>
          <w:spacing w:val="-14"/>
          <w:sz w:val="24"/>
          <w:szCs w:val="24"/>
          <w:highlight w:val="none"/>
          <w:lang w:val="en-US" w:eastAsia="zh-CN" w:bidi="ar-SA"/>
        </w:rPr>
        <w:t>名称），已接受</w:t>
      </w:r>
      <w:r>
        <w:rPr>
          <w:rFonts w:hint="eastAsia" w:ascii="宋体" w:hAnsi="宋体" w:eastAsia="宋体" w:cs="宋体"/>
          <w:b w:val="0"/>
          <w:bCs w:val="0"/>
          <w:color w:val="auto"/>
          <w:spacing w:val="-14"/>
          <w:sz w:val="24"/>
          <w:szCs w:val="24"/>
          <w:highlight w:val="none"/>
          <w:u w:val="single"/>
          <w:lang w:val="en-US" w:eastAsia="zh-CN" w:bidi="ar-SA"/>
        </w:rPr>
        <w:t xml:space="preserve">                               </w:t>
      </w:r>
      <w:r>
        <w:rPr>
          <w:rFonts w:hint="eastAsia" w:ascii="宋体" w:hAnsi="宋体" w:eastAsia="宋体" w:cs="宋体"/>
          <w:b w:val="0"/>
          <w:bCs w:val="0"/>
          <w:color w:val="auto"/>
          <w:spacing w:val="1"/>
          <w:sz w:val="24"/>
          <w:szCs w:val="24"/>
          <w:highlight w:val="none"/>
          <w:lang w:val="en-US" w:eastAsia="zh-CN" w:bidi="ar-SA"/>
        </w:rPr>
        <w:t>（咨询人名称，以下简称</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b w:val="0"/>
          <w:bCs w:val="0"/>
          <w:color w:val="auto"/>
          <w:spacing w:val="1"/>
          <w:sz w:val="24"/>
          <w:szCs w:val="24"/>
          <w:highlight w:val="none"/>
          <w:lang w:val="en-US" w:eastAsia="zh-CN" w:bidi="ar-SA"/>
        </w:rPr>
        <w:t>咨询人</w:t>
      </w:r>
      <w:r>
        <w:rPr>
          <w:rFonts w:hint="eastAsia" w:ascii="宋体" w:hAnsi="宋体" w:eastAsia="宋体" w:cs="宋体"/>
          <w:b w:val="0"/>
          <w:bCs w:val="0"/>
          <w:color w:val="auto"/>
          <w:sz w:val="24"/>
          <w:szCs w:val="24"/>
          <w:highlight w:val="none"/>
          <w:lang w:val="en-US" w:eastAsia="zh-CN" w:bidi="ar-SA"/>
        </w:rPr>
        <w:t>”</w:t>
      </w:r>
      <w:r>
        <w:rPr>
          <w:rFonts w:hint="eastAsia" w:ascii="宋体" w:hAnsi="宋体" w:eastAsia="宋体" w:cs="宋体"/>
          <w:b w:val="0"/>
          <w:bCs w:val="0"/>
          <w:color w:val="auto"/>
          <w:spacing w:val="1"/>
          <w:sz w:val="24"/>
          <w:szCs w:val="24"/>
          <w:highlight w:val="none"/>
          <w:lang w:val="en-US" w:eastAsia="zh-CN" w:bidi="ar-SA"/>
        </w:rPr>
        <w:t>）对该项目咨询服务投标。</w:t>
      </w:r>
      <w:r>
        <w:rPr>
          <w:rFonts w:hint="eastAsia" w:ascii="宋体" w:hAnsi="宋体" w:eastAsia="宋体" w:cs="宋体"/>
          <w:b w:val="0"/>
          <w:bCs w:val="0"/>
          <w:color w:val="auto"/>
          <w:sz w:val="24"/>
          <w:szCs w:val="24"/>
          <w:highlight w:val="none"/>
          <w:lang w:val="en-US" w:eastAsia="zh-CN" w:bidi="ar-SA"/>
        </w:rPr>
        <w:t>委托人和咨询人共同达成如下协议。</w:t>
      </w:r>
    </w:p>
    <w:p w14:paraId="15ACA2B1">
      <w:pPr>
        <w:pageBreakBefore w:val="0"/>
        <w:kinsoku/>
        <w:wordWrap/>
        <w:overflowPunct/>
        <w:topLinePunct w:val="0"/>
        <w:autoSpaceDE/>
        <w:autoSpaceDN/>
        <w:bidi w:val="0"/>
        <w:spacing w:before="0" w:after="0" w:line="440" w:lineRule="exact"/>
        <w:ind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1.下列文件一起构成合同文件：</w:t>
      </w:r>
    </w:p>
    <w:p w14:paraId="6CC59C72">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）合同协议书；</w:t>
      </w:r>
    </w:p>
    <w:p w14:paraId="15A10A2F">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）中标通知书；</w:t>
      </w:r>
    </w:p>
    <w:p w14:paraId="6273CFEE">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bidi="ar-SA"/>
        </w:rPr>
        <w:t>）投标函；</w:t>
      </w:r>
    </w:p>
    <w:p w14:paraId="1FCE861F">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（4</w:t>
      </w:r>
      <w:r>
        <w:rPr>
          <w:rFonts w:hint="eastAsia" w:ascii="宋体" w:hAnsi="宋体" w:eastAsia="宋体" w:cs="宋体"/>
          <w:b w:val="0"/>
          <w:bCs w:val="0"/>
          <w:color w:val="auto"/>
          <w:sz w:val="24"/>
          <w:szCs w:val="24"/>
          <w:highlight w:val="none"/>
          <w:lang w:val="en-US" w:eastAsia="zh-CN" w:bidi="ar-SA"/>
        </w:rPr>
        <w:t>）专用合同条款；</w:t>
      </w:r>
    </w:p>
    <w:p w14:paraId="14B381CD">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zh-CN" w:bidi="ar-SA"/>
        </w:rPr>
        <w:t>）通用合同条款；</w:t>
      </w:r>
    </w:p>
    <w:p w14:paraId="29741C10">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zh-CN" w:bidi="ar-SA"/>
        </w:rPr>
        <w:t>）委托人要求；</w:t>
      </w:r>
    </w:p>
    <w:p w14:paraId="7A66F09E">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（7</w:t>
      </w:r>
      <w:r>
        <w:rPr>
          <w:rFonts w:hint="eastAsia" w:ascii="宋体" w:hAnsi="宋体" w:eastAsia="宋体" w:cs="宋体"/>
          <w:b w:val="0"/>
          <w:bCs w:val="0"/>
          <w:color w:val="auto"/>
          <w:sz w:val="24"/>
          <w:szCs w:val="24"/>
          <w:highlight w:val="none"/>
          <w:lang w:val="en-US" w:eastAsia="zh-CN" w:bidi="ar-SA"/>
        </w:rPr>
        <w:t>）咨询服务费用清单；</w:t>
      </w:r>
    </w:p>
    <w:p w14:paraId="3A37E85E">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zh-CN" w:bidi="ar-SA"/>
        </w:rPr>
        <w:t>）咨询服务方案；</w:t>
      </w:r>
    </w:p>
    <w:p w14:paraId="6A813E5F">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（9</w:t>
      </w:r>
      <w:r>
        <w:rPr>
          <w:rFonts w:hint="eastAsia" w:ascii="宋体" w:hAnsi="宋体" w:eastAsia="宋体" w:cs="宋体"/>
          <w:b w:val="0"/>
          <w:bCs w:val="0"/>
          <w:color w:val="auto"/>
          <w:sz w:val="24"/>
          <w:szCs w:val="24"/>
          <w:highlight w:val="none"/>
          <w:lang w:val="en-US" w:eastAsia="zh-CN" w:bidi="ar-SA"/>
        </w:rPr>
        <w:t>）附录，即：</w:t>
      </w:r>
    </w:p>
    <w:p w14:paraId="51EF55E1">
      <w:pPr>
        <w:pageBreakBefore w:val="0"/>
        <w:kinsoku/>
        <w:wordWrap/>
        <w:overflowPunct/>
        <w:topLinePunct w:val="0"/>
        <w:autoSpaceDE/>
        <w:autoSpaceDN/>
        <w:bidi w:val="0"/>
        <w:spacing w:before="0" w:after="0" w:line="440" w:lineRule="exact"/>
        <w:ind w:firstLine="1132" w:firstLineChars="472"/>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附录A  检测服务合同清单</w:t>
      </w:r>
    </w:p>
    <w:p w14:paraId="3BBA3EB9">
      <w:pPr>
        <w:pageBreakBefore w:val="0"/>
        <w:kinsoku/>
        <w:wordWrap/>
        <w:overflowPunct/>
        <w:topLinePunct w:val="0"/>
        <w:autoSpaceDE/>
        <w:autoSpaceDN/>
        <w:bidi w:val="0"/>
        <w:spacing w:before="0" w:after="0" w:line="440" w:lineRule="exact"/>
        <w:ind w:firstLine="1132" w:firstLineChars="472"/>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附录B  拟委任的其他主要检测服务人员汇总表</w:t>
      </w:r>
    </w:p>
    <w:p w14:paraId="1409CC4B">
      <w:pPr>
        <w:pageBreakBefore w:val="0"/>
        <w:kinsoku/>
        <w:wordWrap/>
        <w:overflowPunct/>
        <w:topLinePunct w:val="0"/>
        <w:autoSpaceDE/>
        <w:autoSpaceDN/>
        <w:bidi w:val="0"/>
        <w:spacing w:before="0" w:after="0" w:line="440" w:lineRule="exact"/>
        <w:ind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（10）合同其他附件。</w:t>
      </w:r>
    </w:p>
    <w:p w14:paraId="6BDA542F">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 xml:space="preserve">2. </w:t>
      </w:r>
      <w:r>
        <w:rPr>
          <w:rFonts w:hint="eastAsia" w:ascii="宋体" w:hAnsi="宋体" w:eastAsia="宋体" w:cs="宋体"/>
          <w:b w:val="0"/>
          <w:bCs w:val="0"/>
          <w:color w:val="auto"/>
          <w:spacing w:val="-1"/>
          <w:sz w:val="24"/>
          <w:szCs w:val="24"/>
          <w:highlight w:val="none"/>
          <w:lang w:val="en-US" w:eastAsia="zh-CN" w:bidi="ar-SA"/>
        </w:rPr>
        <w:t>上述合同文件互相补充和解释。如果合同文件之间存在矛盾或不一致之处，以上述文件</w:t>
      </w:r>
      <w:r>
        <w:rPr>
          <w:rFonts w:hint="eastAsia" w:ascii="宋体" w:hAnsi="宋体" w:eastAsia="宋体" w:cs="宋体"/>
          <w:b w:val="0"/>
          <w:bCs w:val="0"/>
          <w:color w:val="auto"/>
          <w:sz w:val="24"/>
          <w:szCs w:val="24"/>
          <w:highlight w:val="none"/>
          <w:lang w:val="en-US" w:eastAsia="zh-CN" w:bidi="ar-SA"/>
        </w:rPr>
        <w:t>的排列顺序在先者为准。</w:t>
      </w:r>
    </w:p>
    <w:p w14:paraId="37DF5845">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 xml:space="preserve">3. </w:t>
      </w:r>
      <w:r>
        <w:rPr>
          <w:rFonts w:hint="eastAsia" w:ascii="宋体" w:hAnsi="宋体" w:eastAsia="宋体" w:cs="宋体"/>
          <w:b w:val="0"/>
          <w:bCs w:val="0"/>
          <w:color w:val="auto"/>
          <w:sz w:val="24"/>
          <w:szCs w:val="24"/>
          <w:highlight w:val="none"/>
          <w:lang w:val="en-US" w:eastAsia="zh-CN" w:bidi="ar-SA"/>
        </w:rPr>
        <w:t>签约合同价：</w:t>
      </w:r>
      <w:bookmarkStart w:id="640" w:name="_Hlk513490029"/>
      <w:r>
        <w:rPr>
          <w:rFonts w:hint="eastAsia" w:ascii="宋体" w:hAnsi="宋体" w:eastAsia="宋体" w:cs="宋体"/>
          <w:b w:val="0"/>
          <w:bCs w:val="0"/>
          <w:color w:val="auto"/>
          <w:sz w:val="24"/>
          <w:szCs w:val="24"/>
          <w:highlight w:val="none"/>
          <w:lang w:val="en-US" w:eastAsia="zh-CN" w:bidi="ar-SA"/>
        </w:rPr>
        <w:t>人民币（大写）                      （¥</w:t>
      </w:r>
      <w:r>
        <w:rPr>
          <w:rFonts w:hint="eastAsia" w:ascii="宋体" w:hAnsi="宋体" w:eastAsia="宋体" w:cs="宋体"/>
          <w:b w:val="0"/>
          <w:bCs w:val="0"/>
          <w:color w:val="auto"/>
          <w:sz w:val="24"/>
          <w:szCs w:val="24"/>
          <w:highlight w:val="none"/>
          <w:u w:val="single"/>
          <w:lang w:val="en-US" w:eastAsia="zh-CN" w:bidi="ar-SA"/>
        </w:rPr>
        <w:t xml:space="preserve">     </w:t>
      </w:r>
      <w:r>
        <w:rPr>
          <w:rFonts w:hint="eastAsia" w:ascii="宋体" w:hAnsi="宋体" w:eastAsia="宋体" w:cs="宋体"/>
          <w:b w:val="0"/>
          <w:bCs w:val="0"/>
          <w:color w:val="auto"/>
          <w:spacing w:val="1"/>
          <w:sz w:val="24"/>
          <w:szCs w:val="24"/>
          <w:highlight w:val="none"/>
          <w:u w:val="single"/>
          <w:lang w:val="en-US" w:eastAsia="zh-CN" w:bidi="ar-SA"/>
        </w:rPr>
        <w:t xml:space="preserve"> </w:t>
      </w:r>
      <w:r>
        <w:rPr>
          <w:rFonts w:hint="eastAsia" w:ascii="宋体" w:hAnsi="宋体" w:eastAsia="宋体" w:cs="宋体"/>
          <w:b w:val="0"/>
          <w:bCs w:val="0"/>
          <w:color w:val="auto"/>
          <w:sz w:val="24"/>
          <w:szCs w:val="24"/>
          <w:highlight w:val="none"/>
          <w:lang w:val="en-US" w:eastAsia="zh-CN" w:bidi="ar-SA"/>
        </w:rPr>
        <w:t>），该金额为含税金额。其中，不含税金额为人民币（大写）                （¥</w:t>
      </w:r>
      <w:r>
        <w:rPr>
          <w:rFonts w:hint="eastAsia" w:ascii="宋体" w:hAnsi="宋体" w:eastAsia="宋体" w:cs="宋体"/>
          <w:b w:val="0"/>
          <w:bCs w:val="0"/>
          <w:color w:val="auto"/>
          <w:sz w:val="24"/>
          <w:szCs w:val="24"/>
          <w:highlight w:val="none"/>
          <w:u w:val="single"/>
          <w:lang w:val="en-US" w:eastAsia="zh-CN" w:bidi="ar-SA"/>
        </w:rPr>
        <w:t xml:space="preserve">       </w:t>
      </w:r>
      <w:r>
        <w:rPr>
          <w:rFonts w:hint="eastAsia" w:ascii="宋体" w:hAnsi="宋体" w:eastAsia="宋体" w:cs="宋体"/>
          <w:b w:val="0"/>
          <w:bCs w:val="0"/>
          <w:color w:val="auto"/>
          <w:sz w:val="24"/>
          <w:szCs w:val="24"/>
          <w:highlight w:val="none"/>
          <w:lang w:val="en-US" w:eastAsia="zh-CN" w:bidi="ar-SA"/>
        </w:rPr>
        <w:t>），增值税税率为</w:t>
      </w:r>
      <w:r>
        <w:rPr>
          <w:rFonts w:hint="eastAsia" w:ascii="宋体" w:hAnsi="宋体" w:eastAsia="宋体" w:cs="宋体"/>
          <w:b w:val="0"/>
          <w:bCs w:val="0"/>
          <w:color w:val="auto"/>
          <w:sz w:val="24"/>
          <w:szCs w:val="24"/>
          <w:highlight w:val="none"/>
          <w:u w:val="single"/>
          <w:lang w:val="en-US" w:eastAsia="zh-CN" w:bidi="ar-SA"/>
        </w:rPr>
        <w:t xml:space="preserve">  %</w:t>
      </w:r>
      <w:r>
        <w:rPr>
          <w:rFonts w:hint="eastAsia" w:ascii="宋体" w:hAnsi="宋体" w:eastAsia="宋体" w:cs="宋体"/>
          <w:b w:val="0"/>
          <w:bCs w:val="0"/>
          <w:color w:val="auto"/>
          <w:sz w:val="24"/>
          <w:szCs w:val="24"/>
          <w:highlight w:val="none"/>
          <w:lang w:val="en-US" w:eastAsia="zh-CN" w:bidi="ar-SA"/>
        </w:rPr>
        <w:t>，税款为人民币（大写）                （¥</w:t>
      </w:r>
      <w:r>
        <w:rPr>
          <w:rFonts w:hint="eastAsia" w:ascii="宋体" w:hAnsi="宋体" w:eastAsia="宋体" w:cs="宋体"/>
          <w:b w:val="0"/>
          <w:bCs w:val="0"/>
          <w:color w:val="auto"/>
          <w:sz w:val="24"/>
          <w:szCs w:val="24"/>
          <w:highlight w:val="none"/>
          <w:u w:val="single"/>
          <w:lang w:val="en-US" w:eastAsia="zh-CN" w:bidi="ar-SA"/>
        </w:rPr>
        <w:t xml:space="preserve">        </w:t>
      </w:r>
      <w:r>
        <w:rPr>
          <w:rFonts w:hint="eastAsia" w:ascii="宋体" w:hAnsi="宋体" w:eastAsia="宋体" w:cs="宋体"/>
          <w:b w:val="0"/>
          <w:bCs w:val="0"/>
          <w:color w:val="auto"/>
          <w:sz w:val="24"/>
          <w:szCs w:val="24"/>
          <w:highlight w:val="none"/>
          <w:lang w:val="en-US" w:eastAsia="zh-CN" w:bidi="ar-SA"/>
        </w:rPr>
        <w:t>）。（税率如遇国家政策调整按调整后政策执行）</w:t>
      </w:r>
    </w:p>
    <w:bookmarkEnd w:id="640"/>
    <w:p w14:paraId="4F6896E9">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 xml:space="preserve">4. </w:t>
      </w:r>
      <w:r>
        <w:rPr>
          <w:rFonts w:hint="eastAsia" w:ascii="宋体" w:hAnsi="宋体" w:eastAsia="宋体" w:cs="宋体"/>
          <w:b w:val="0"/>
          <w:bCs w:val="0"/>
          <w:color w:val="auto"/>
          <w:sz w:val="24"/>
          <w:szCs w:val="24"/>
          <w:highlight w:val="none"/>
          <w:lang w:val="en-US" w:eastAsia="zh-CN" w:bidi="ar-SA"/>
        </w:rPr>
        <w:t>项目负责人：</w:t>
      </w:r>
      <w:r>
        <w:rPr>
          <w:rFonts w:hint="eastAsia" w:ascii="宋体" w:hAnsi="宋体" w:eastAsia="宋体" w:cs="宋体"/>
          <w:b w:val="0"/>
          <w:bCs w:val="0"/>
          <w:color w:val="auto"/>
          <w:kern w:val="2"/>
          <w:sz w:val="24"/>
          <w:szCs w:val="24"/>
          <w:highlight w:val="none"/>
          <w:lang w:val="en-US" w:eastAsia="zh-CN" w:bidi="ar-SA"/>
        </w:rPr>
        <w:t xml:space="preserve">姓名 </w:t>
      </w:r>
      <w:r>
        <w:rPr>
          <w:rFonts w:hint="eastAsia" w:ascii="宋体" w:hAnsi="宋体" w:eastAsia="宋体" w:cs="宋体"/>
          <w:b w:val="0"/>
          <w:bCs w:val="0"/>
          <w:color w:val="auto"/>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，身份证号</w:t>
      </w:r>
      <w:r>
        <w:rPr>
          <w:rFonts w:hint="eastAsia" w:ascii="宋体" w:hAnsi="宋体" w:eastAsia="宋体" w:cs="宋体"/>
          <w:b w:val="0"/>
          <w:bCs w:val="0"/>
          <w:color w:val="auto"/>
          <w:spacing w:val="1"/>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，注册号</w:t>
      </w:r>
      <w:r>
        <w:rPr>
          <w:rFonts w:hint="eastAsia" w:ascii="宋体" w:hAnsi="宋体" w:eastAsia="宋体" w:cs="宋体"/>
          <w:b w:val="0"/>
          <w:bCs w:val="0"/>
          <w:color w:val="auto"/>
          <w:spacing w:val="1"/>
          <w:sz w:val="24"/>
          <w:szCs w:val="24"/>
          <w:highlight w:val="none"/>
          <w:u w:val="single"/>
          <w:lang w:val="en-US" w:eastAsia="zh-CN" w:bidi="ar-SA"/>
        </w:rPr>
        <w:t xml:space="preserve">                     </w:t>
      </w:r>
      <w:r>
        <w:rPr>
          <w:rFonts w:hint="eastAsia" w:ascii="宋体" w:hAnsi="宋体" w:eastAsia="宋体" w:cs="宋体"/>
          <w:b w:val="0"/>
          <w:bCs w:val="0"/>
          <w:color w:val="auto"/>
          <w:sz w:val="24"/>
          <w:szCs w:val="24"/>
          <w:highlight w:val="none"/>
          <w:lang w:val="en-US" w:eastAsia="zh-CN" w:bidi="ar-SA"/>
        </w:rPr>
        <w:t>。</w:t>
      </w:r>
    </w:p>
    <w:p w14:paraId="15489590">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 xml:space="preserve">5. </w:t>
      </w:r>
      <w:r>
        <w:rPr>
          <w:rFonts w:hint="eastAsia" w:ascii="宋体" w:hAnsi="宋体" w:eastAsia="宋体" w:cs="宋体"/>
          <w:b w:val="0"/>
          <w:bCs w:val="0"/>
          <w:color w:val="auto"/>
          <w:sz w:val="24"/>
          <w:szCs w:val="24"/>
          <w:highlight w:val="none"/>
          <w:lang w:val="en-US" w:eastAsia="zh-CN" w:bidi="ar-SA"/>
        </w:rPr>
        <w:t>检测服务工作质量符合的标准和要求：</w:t>
      </w:r>
      <w:r>
        <w:rPr>
          <w:rFonts w:hint="eastAsia" w:ascii="宋体" w:hAnsi="宋体" w:eastAsia="宋体" w:cs="宋体"/>
          <w:b w:val="0"/>
          <w:bCs w:val="0"/>
          <w:color w:val="auto"/>
          <w:spacing w:val="1"/>
          <w:sz w:val="24"/>
          <w:szCs w:val="24"/>
          <w:highlight w:val="none"/>
          <w:u w:val="single"/>
          <w:lang w:val="en-US" w:eastAsia="zh-CN" w:bidi="ar-SA"/>
        </w:rPr>
        <w:t>合格</w:t>
      </w:r>
      <w:r>
        <w:rPr>
          <w:rFonts w:hint="eastAsia" w:ascii="宋体" w:hAnsi="宋体" w:eastAsia="宋体" w:cs="宋体"/>
          <w:b w:val="0"/>
          <w:bCs w:val="0"/>
          <w:color w:val="auto"/>
          <w:sz w:val="24"/>
          <w:szCs w:val="24"/>
          <w:highlight w:val="none"/>
          <w:lang w:val="en-US" w:eastAsia="zh-CN" w:bidi="ar-SA"/>
        </w:rPr>
        <w:t>。</w:t>
      </w:r>
    </w:p>
    <w:p w14:paraId="085FCBF8">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 xml:space="preserve">6. </w:t>
      </w:r>
      <w:r>
        <w:rPr>
          <w:rFonts w:hint="eastAsia" w:ascii="宋体" w:hAnsi="宋体" w:eastAsia="宋体" w:cs="宋体"/>
          <w:b w:val="0"/>
          <w:bCs w:val="0"/>
          <w:color w:val="auto"/>
          <w:sz w:val="24"/>
          <w:szCs w:val="24"/>
          <w:highlight w:val="none"/>
          <w:lang w:val="en-US" w:eastAsia="zh-CN" w:bidi="ar-SA"/>
        </w:rPr>
        <w:t>承包人承诺按合同约定承担工程的检测服务工作。</w:t>
      </w:r>
    </w:p>
    <w:p w14:paraId="6D81BA5E">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pacing w:val="1"/>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7. 委托人承诺按合同约定的条件、时间和方式向承包人支付合同价款。</w:t>
      </w:r>
    </w:p>
    <w:p w14:paraId="13E7F53C">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8. 承包人计划开始咨询服务日期：</w:t>
      </w:r>
      <w:r>
        <w:rPr>
          <w:rFonts w:hint="eastAsia" w:ascii="宋体" w:hAnsi="宋体" w:eastAsia="宋体" w:cs="宋体"/>
          <w:b w:val="0"/>
          <w:bCs/>
          <w:color w:val="auto"/>
          <w:spacing w:val="1"/>
          <w:sz w:val="24"/>
          <w:szCs w:val="24"/>
          <w:highlight w:val="none"/>
          <w:u w:val="single"/>
          <w:lang w:val="en-US" w:eastAsia="zh-CN" w:bidi="ar-SA"/>
        </w:rPr>
        <w:t>签订合同协议书之日</w:t>
      </w:r>
      <w:r>
        <w:rPr>
          <w:rFonts w:hint="eastAsia" w:ascii="宋体" w:hAnsi="宋体" w:eastAsia="宋体" w:cs="宋体"/>
          <w:b w:val="0"/>
          <w:bCs w:val="0"/>
          <w:color w:val="auto"/>
          <w:spacing w:val="1"/>
          <w:sz w:val="24"/>
          <w:szCs w:val="24"/>
          <w:highlight w:val="none"/>
          <w:lang w:val="en-US" w:eastAsia="zh-CN" w:bidi="ar-SA"/>
        </w:rPr>
        <w:t>，实际日期按照委托人在开始检测服务通知中载明的开始检测服务日期为准。</w:t>
      </w:r>
      <w:r>
        <w:rPr>
          <w:rFonts w:hint="eastAsia" w:ascii="宋体" w:hAnsi="宋体" w:eastAsia="宋体" w:cs="宋体"/>
          <w:b w:val="0"/>
          <w:bCs w:val="0"/>
          <w:color w:val="auto"/>
          <w:sz w:val="24"/>
          <w:szCs w:val="24"/>
          <w:highlight w:val="none"/>
          <w:lang w:val="en-US" w:eastAsia="zh-CN" w:bidi="ar-SA"/>
        </w:rPr>
        <w:t>检测服务期限</w:t>
      </w:r>
      <w:r>
        <w:rPr>
          <w:rFonts w:hint="eastAsia" w:ascii="宋体" w:hAnsi="宋体" w:eastAsia="宋体" w:cs="宋体"/>
          <w:b w:val="0"/>
          <w:bCs w:val="0"/>
          <w:color w:val="auto"/>
          <w:sz w:val="24"/>
          <w:szCs w:val="24"/>
          <w:highlight w:val="none"/>
          <w:u w:val="single"/>
          <w:lang w:val="en-US" w:eastAsia="zh-CN" w:bidi="ar-SA"/>
        </w:rPr>
        <w:t xml:space="preserve">     </w:t>
      </w:r>
      <w:r>
        <w:rPr>
          <w:rFonts w:hint="eastAsia" w:ascii="宋体" w:hAnsi="宋体" w:eastAsia="宋体" w:cs="宋体"/>
          <w:b w:val="0"/>
          <w:bCs w:val="0"/>
          <w:color w:val="auto"/>
          <w:sz w:val="24"/>
          <w:szCs w:val="24"/>
          <w:highlight w:val="none"/>
          <w:lang w:val="en-US" w:eastAsia="zh-CN" w:bidi="ar-SA"/>
        </w:rPr>
        <w:t>天</w:t>
      </w:r>
      <w:r>
        <w:rPr>
          <w:rFonts w:hint="eastAsia" w:ascii="宋体" w:hAnsi="宋体" w:eastAsia="宋体" w:cs="宋体"/>
          <w:b w:val="0"/>
          <w:bCs w:val="0"/>
          <w:color w:val="auto"/>
          <w:spacing w:val="1"/>
          <w:sz w:val="24"/>
          <w:szCs w:val="24"/>
          <w:highlight w:val="none"/>
          <w:lang w:val="en-US" w:eastAsia="zh-CN" w:bidi="ar-SA"/>
        </w:rPr>
        <w:t>。</w:t>
      </w:r>
    </w:p>
    <w:p w14:paraId="3CFAADE5">
      <w:pPr>
        <w:keepNext w:val="0"/>
        <w:keepLines w:val="0"/>
        <w:pageBreakBefore w:val="0"/>
        <w:widowControl/>
        <w:kinsoku/>
        <w:wordWrap/>
        <w:overflowPunct/>
        <w:topLinePunct w:val="0"/>
        <w:autoSpaceDE/>
        <w:autoSpaceDN/>
        <w:bidi w:val="0"/>
        <w:adjustRightInd/>
        <w:snapToGrid/>
        <w:spacing w:before="0" w:after="0" w:line="440" w:lineRule="exact"/>
        <w:ind w:left="479" w:leftChars="228" w:firstLine="0" w:firstLineChars="0"/>
        <w:jc w:val="left"/>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 xml:space="preserve">9. </w:t>
      </w:r>
      <w:r>
        <w:rPr>
          <w:rFonts w:hint="eastAsia" w:ascii="宋体" w:hAnsi="宋体" w:eastAsia="宋体" w:cs="宋体"/>
          <w:b w:val="0"/>
          <w:bCs w:val="0"/>
          <w:color w:val="auto"/>
          <w:sz w:val="24"/>
          <w:szCs w:val="24"/>
          <w:highlight w:val="none"/>
          <w:lang w:val="en-US" w:eastAsia="zh-CN" w:bidi="ar-SA"/>
        </w:rPr>
        <w:t>本合同协议书</w:t>
      </w:r>
      <w:bookmarkStart w:id="641" w:name="_Hlk513490320"/>
      <w:r>
        <w:rPr>
          <w:rFonts w:hint="eastAsia" w:ascii="宋体" w:hAnsi="宋体" w:eastAsia="宋体" w:cs="宋体"/>
          <w:b w:val="0"/>
          <w:bCs w:val="0"/>
          <w:color w:val="auto"/>
          <w:sz w:val="24"/>
          <w:szCs w:val="24"/>
          <w:highlight w:val="none"/>
          <w:lang w:val="en-US" w:eastAsia="zh-CN" w:bidi="ar-SA"/>
        </w:rPr>
        <w:t>一式</w:t>
      </w:r>
      <w:r>
        <w:rPr>
          <w:rFonts w:hint="eastAsia" w:ascii="Calibri" w:hAnsi="Calibri" w:eastAsia="Calibri" w:cs="Times New Roman"/>
          <w:color w:val="auto"/>
          <w:sz w:val="24"/>
          <w:szCs w:val="22"/>
          <w:highlight w:val="none"/>
          <w:u w:val="single"/>
          <w:lang w:val="en-US" w:eastAsia="zh-CN" w:bidi="ar-SA"/>
        </w:rPr>
        <w:t xml:space="preserve"> 陆 </w:t>
      </w:r>
      <w:r>
        <w:rPr>
          <w:rFonts w:hint="eastAsia" w:ascii="宋体" w:hAnsi="宋体" w:eastAsia="宋体" w:cs="宋体"/>
          <w:b w:val="0"/>
          <w:bCs w:val="0"/>
          <w:color w:val="auto"/>
          <w:sz w:val="24"/>
          <w:szCs w:val="24"/>
          <w:highlight w:val="none"/>
          <w:lang w:val="en-US" w:eastAsia="zh-CN" w:bidi="ar-SA"/>
        </w:rPr>
        <w:t>份，</w:t>
      </w:r>
      <w:bookmarkEnd w:id="641"/>
      <w:r>
        <w:rPr>
          <w:rFonts w:hint="eastAsia" w:ascii="宋体" w:hAnsi="宋体" w:eastAsia="宋体" w:cs="宋体"/>
          <w:b w:val="0"/>
          <w:bCs/>
          <w:color w:val="auto"/>
          <w:sz w:val="24"/>
          <w:szCs w:val="24"/>
          <w:highlight w:val="none"/>
          <w:lang w:val="en-US" w:eastAsia="zh-CN" w:bidi="ar-SA"/>
        </w:rPr>
        <w:t>委托人执</w:t>
      </w:r>
      <w:bookmarkStart w:id="642" w:name="_Hlk513490284"/>
      <w:bookmarkEnd w:id="642"/>
      <w:r>
        <w:rPr>
          <w:rFonts w:hint="eastAsia" w:ascii="Calibri" w:hAnsi="Calibri" w:eastAsia="Calibri" w:cs="Times New Roman"/>
          <w:color w:val="auto"/>
          <w:sz w:val="24"/>
          <w:szCs w:val="22"/>
          <w:highlight w:val="none"/>
          <w:u w:val="single"/>
          <w:lang w:val="en-US" w:eastAsia="zh-CN" w:bidi="ar-SA"/>
        </w:rPr>
        <w:t xml:space="preserve"> 肆 </w:t>
      </w:r>
      <w:r>
        <w:rPr>
          <w:rFonts w:hint="eastAsia" w:ascii="Calibri" w:hAnsi="Calibri" w:eastAsia="Calibri" w:cs="Times New Roman"/>
          <w:color w:val="auto"/>
          <w:sz w:val="24"/>
          <w:szCs w:val="22"/>
          <w:highlight w:val="none"/>
          <w:u w:val="none"/>
          <w:lang w:val="en-US" w:eastAsia="zh-CN" w:bidi="ar-SA"/>
        </w:rPr>
        <w:t>份</w:t>
      </w:r>
      <w:r>
        <w:rPr>
          <w:rFonts w:ascii="Calibri" w:hAnsi="Calibri" w:eastAsia="Calibri" w:cs="Times New Roman"/>
          <w:color w:val="auto"/>
          <w:sz w:val="24"/>
          <w:szCs w:val="22"/>
          <w:highlight w:val="none"/>
          <w:u w:val="none"/>
          <w:lang w:val="en-US" w:eastAsia="en-US" w:bidi="ar-SA"/>
        </w:rPr>
        <w:t>、</w:t>
      </w:r>
      <w:r>
        <w:rPr>
          <w:rFonts w:hint="eastAsia" w:ascii="Calibri" w:hAnsi="Calibri" w:eastAsia="宋体" w:cs="Times New Roman"/>
          <w:color w:val="auto"/>
          <w:sz w:val="24"/>
          <w:szCs w:val="22"/>
          <w:highlight w:val="none"/>
          <w:u w:val="none"/>
          <w:lang w:val="en-US" w:eastAsia="zh-CN" w:bidi="ar-SA"/>
        </w:rPr>
        <w:t>承包人</w:t>
      </w:r>
      <w:r>
        <w:rPr>
          <w:rFonts w:ascii="Calibri" w:hAnsi="Calibri" w:eastAsia="Calibri" w:cs="Times New Roman"/>
          <w:color w:val="auto"/>
          <w:sz w:val="24"/>
          <w:szCs w:val="22"/>
          <w:highlight w:val="none"/>
          <w:u w:val="none"/>
          <w:lang w:val="en-US" w:eastAsia="en-US" w:bidi="ar-SA"/>
        </w:rPr>
        <w:t>方执</w:t>
      </w:r>
      <w:r>
        <w:rPr>
          <w:rFonts w:hint="eastAsia" w:ascii="Calibri" w:hAnsi="Calibri" w:eastAsia="Calibri" w:cs="Times New Roman"/>
          <w:color w:val="auto"/>
          <w:sz w:val="24"/>
          <w:szCs w:val="22"/>
          <w:highlight w:val="none"/>
          <w:u w:val="single"/>
          <w:lang w:val="en-US" w:eastAsia="zh-CN" w:bidi="ar-SA"/>
        </w:rPr>
        <w:t xml:space="preserve"> 贰 </w:t>
      </w:r>
      <w:r>
        <w:rPr>
          <w:rFonts w:hint="eastAsia" w:ascii="Calibri" w:hAnsi="Calibri" w:eastAsia="Calibri" w:cs="Times New Roman"/>
          <w:color w:val="auto"/>
          <w:sz w:val="24"/>
          <w:szCs w:val="22"/>
          <w:highlight w:val="none"/>
          <w:u w:val="none"/>
          <w:lang w:val="en-US" w:eastAsia="zh-CN" w:bidi="ar-SA"/>
        </w:rPr>
        <w:t>份</w:t>
      </w:r>
      <w:r>
        <w:rPr>
          <w:rFonts w:hint="eastAsia" w:ascii="宋体" w:hAnsi="宋体" w:eastAsia="宋体" w:cs="宋体"/>
          <w:b w:val="0"/>
          <w:bCs/>
          <w:color w:val="auto"/>
          <w:spacing w:val="-1"/>
          <w:sz w:val="24"/>
          <w:szCs w:val="24"/>
          <w:highlight w:val="none"/>
          <w:lang w:val="en-US" w:eastAsia="zh-CN" w:bidi="ar-SA"/>
        </w:rPr>
        <w:t>。本合同作为检测合同的附件，与合同具有同等的法律效力，经合同双方签署后立即生效</w:t>
      </w:r>
      <w:r>
        <w:rPr>
          <w:rFonts w:hint="eastAsia" w:ascii="宋体" w:hAnsi="宋体" w:eastAsia="宋体" w:cs="宋体"/>
          <w:b w:val="0"/>
          <w:bCs w:val="0"/>
          <w:color w:val="auto"/>
          <w:spacing w:val="-1"/>
          <w:sz w:val="24"/>
          <w:szCs w:val="24"/>
          <w:highlight w:val="none"/>
          <w:lang w:val="en-US" w:eastAsia="zh-CN" w:bidi="ar-SA"/>
        </w:rPr>
        <w:t>。</w:t>
      </w:r>
    </w:p>
    <w:p w14:paraId="1052FEC4">
      <w:pPr>
        <w:pageBreakBefore w:val="0"/>
        <w:kinsoku/>
        <w:wordWrap/>
        <w:overflowPunct/>
        <w:topLinePunct w:val="0"/>
        <w:autoSpaceDE/>
        <w:autoSpaceDN/>
        <w:bidi w:val="0"/>
        <w:spacing w:before="0" w:after="0" w:line="440" w:lineRule="exact"/>
        <w:ind w:firstLine="484"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pacing w:val="1"/>
          <w:sz w:val="24"/>
          <w:szCs w:val="24"/>
          <w:highlight w:val="none"/>
          <w:lang w:val="en-US" w:eastAsia="zh-CN" w:bidi="ar-SA"/>
        </w:rPr>
        <w:t xml:space="preserve">10. </w:t>
      </w:r>
      <w:r>
        <w:rPr>
          <w:rFonts w:hint="eastAsia" w:ascii="宋体" w:hAnsi="宋体" w:eastAsia="宋体" w:cs="宋体"/>
          <w:b w:val="0"/>
          <w:bCs w:val="0"/>
          <w:color w:val="auto"/>
          <w:sz w:val="24"/>
          <w:szCs w:val="24"/>
          <w:highlight w:val="none"/>
          <w:lang w:val="en-US" w:eastAsia="zh-CN" w:bidi="ar-SA"/>
        </w:rPr>
        <w:t>合同未尽事宜，双方另行签订补充协议。补充协议是合同的组成部分。</w:t>
      </w:r>
    </w:p>
    <w:p w14:paraId="6A8D4348">
      <w:pPr>
        <w:pageBreakBefore w:val="0"/>
        <w:kinsoku/>
        <w:wordWrap/>
        <w:overflowPunct/>
        <w:topLinePunct w:val="0"/>
        <w:autoSpaceDE/>
        <w:autoSpaceDN/>
        <w:bidi w:val="0"/>
        <w:spacing w:before="0" w:after="0" w:line="440" w:lineRule="exact"/>
        <w:ind w:firstLine="480" w:firstLineChars="200"/>
        <w:jc w:val="left"/>
        <w:rPr>
          <w:rFonts w:hint="eastAsia" w:ascii="宋体" w:hAnsi="宋体" w:eastAsia="宋体" w:cs="宋体"/>
          <w:b w:val="0"/>
          <w:bCs w:val="0"/>
          <w:color w:val="auto"/>
          <w:sz w:val="24"/>
          <w:szCs w:val="24"/>
          <w:highlight w:val="none"/>
          <w:lang w:val="en-US" w:eastAsia="zh-CN" w:bidi="ar-SA"/>
        </w:rPr>
      </w:pPr>
    </w:p>
    <w:p w14:paraId="71E78030">
      <w:pPr>
        <w:pageBreakBefore w:val="0"/>
        <w:kinsoku/>
        <w:wordWrap/>
        <w:overflowPunct/>
        <w:topLinePunct w:val="0"/>
        <w:autoSpaceDE/>
        <w:autoSpaceDN/>
        <w:bidi w:val="0"/>
        <w:spacing w:before="0" w:after="0" w:line="440" w:lineRule="exact"/>
        <w:ind w:firstLine="480" w:firstLineChars="200"/>
        <w:jc w:val="left"/>
        <w:rPr>
          <w:rFonts w:hint="eastAsia" w:ascii="宋体" w:hAnsi="宋体" w:eastAsia="宋体" w:cs="宋体"/>
          <w:b w:val="0"/>
          <w:bCs w:val="0"/>
          <w:color w:val="auto"/>
          <w:sz w:val="24"/>
          <w:szCs w:val="24"/>
          <w:highlight w:val="none"/>
          <w:lang w:val="en-US" w:eastAsia="zh-CN" w:bidi="ar-SA"/>
        </w:rPr>
      </w:pPr>
    </w:p>
    <w:p w14:paraId="710AC7D1">
      <w:pPr>
        <w:pageBreakBefore w:val="0"/>
        <w:kinsoku/>
        <w:wordWrap/>
        <w:overflowPunct/>
        <w:topLinePunct w:val="0"/>
        <w:autoSpaceDE/>
        <w:autoSpaceDN/>
        <w:bidi w:val="0"/>
        <w:spacing w:before="0" w:after="0" w:line="440" w:lineRule="exact"/>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委托人：</w:t>
      </w:r>
      <w:r>
        <w:rPr>
          <w:rFonts w:hint="eastAsia" w:ascii="宋体" w:hAnsi="宋体" w:eastAsia="宋体" w:cs="宋体"/>
          <w:b w:val="0"/>
          <w:bCs w:val="0"/>
          <w:color w:val="auto"/>
          <w:spacing w:val="1"/>
          <w:sz w:val="24"/>
          <w:szCs w:val="24"/>
          <w:highlight w:val="none"/>
          <w:lang w:val="en-US" w:eastAsia="zh-CN" w:bidi="ar-SA"/>
        </w:rPr>
        <w:t>_________</w:t>
      </w:r>
      <w:r>
        <w:rPr>
          <w:rFonts w:hint="eastAsia" w:ascii="宋体" w:hAnsi="宋体" w:eastAsia="宋体" w:cs="宋体"/>
          <w:b w:val="0"/>
          <w:bCs w:val="0"/>
          <w:color w:val="auto"/>
          <w:sz w:val="24"/>
          <w:szCs w:val="24"/>
          <w:highlight w:val="none"/>
          <w:lang w:val="en-US" w:eastAsia="zh-CN" w:bidi="ar-SA"/>
        </w:rPr>
        <w:t>（盖单位章）              承包人：</w:t>
      </w:r>
      <w:r>
        <w:rPr>
          <w:rFonts w:hint="eastAsia" w:ascii="宋体" w:hAnsi="宋体" w:eastAsia="宋体" w:cs="宋体"/>
          <w:b w:val="0"/>
          <w:bCs w:val="0"/>
          <w:color w:val="auto"/>
          <w:spacing w:val="1"/>
          <w:sz w:val="24"/>
          <w:szCs w:val="24"/>
          <w:highlight w:val="none"/>
          <w:lang w:val="en-US" w:eastAsia="zh-CN" w:bidi="ar-SA"/>
        </w:rPr>
        <w:t>_________</w:t>
      </w:r>
      <w:r>
        <w:rPr>
          <w:rFonts w:hint="eastAsia" w:ascii="宋体" w:hAnsi="宋体" w:eastAsia="宋体" w:cs="宋体"/>
          <w:b w:val="0"/>
          <w:bCs w:val="0"/>
          <w:color w:val="auto"/>
          <w:sz w:val="24"/>
          <w:szCs w:val="24"/>
          <w:highlight w:val="none"/>
          <w:lang w:val="en-US" w:eastAsia="zh-CN" w:bidi="ar-SA"/>
        </w:rPr>
        <w:t>（盖单位章）</w:t>
      </w:r>
    </w:p>
    <w:p w14:paraId="68E27BB1">
      <w:pPr>
        <w:pageBreakBefore w:val="0"/>
        <w:kinsoku/>
        <w:wordWrap/>
        <w:overflowPunct/>
        <w:topLinePunct w:val="0"/>
        <w:autoSpaceDE/>
        <w:autoSpaceDN/>
        <w:bidi w:val="0"/>
        <w:spacing w:before="0" w:after="0" w:line="440" w:lineRule="exact"/>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法定代表人或其委托代理人：___（签字）      法定代表人或其委托代理人：___（签字）</w:t>
      </w:r>
    </w:p>
    <w:p w14:paraId="0C4D6F3D">
      <w:pPr>
        <w:pageBreakBefore w:val="0"/>
        <w:kinsoku/>
        <w:wordWrap/>
        <w:overflowPunct/>
        <w:topLinePunct w:val="0"/>
        <w:autoSpaceDE/>
        <w:autoSpaceDN/>
        <w:bidi w:val="0"/>
        <w:spacing w:after="120" w:line="44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___年___月___日                            ___年___月___日</w:t>
      </w:r>
    </w:p>
    <w:p w14:paraId="63B39CB7">
      <w:pPr>
        <w:pageBreakBefore w:val="0"/>
        <w:kinsoku/>
        <w:wordWrap/>
        <w:overflowPunct/>
        <w:topLinePunct w:val="0"/>
        <w:autoSpaceDE/>
        <w:autoSpaceDN/>
        <w:bidi w:val="0"/>
        <w:spacing w:after="120" w:line="44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br w:type="page"/>
      </w:r>
    </w:p>
    <w:tbl>
      <w:tblPr>
        <w:tblStyle w:val="55"/>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65"/>
      </w:tblGrid>
      <w:tr w14:paraId="2A92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9465" w:type="dxa"/>
            <w:tcBorders>
              <w:top w:val="nil"/>
              <w:left w:val="nil"/>
              <w:bottom w:val="nil"/>
              <w:right w:val="nil"/>
            </w:tcBorders>
            <w:shd w:val="clear" w:color="auto" w:fill="auto"/>
            <w:vAlign w:val="center"/>
          </w:tcPr>
          <w:p w14:paraId="553C2AE4">
            <w:pPr>
              <w:keepNext w:val="0"/>
              <w:keepLines w:val="0"/>
              <w:widowControl/>
              <w:suppressLineNumbers w:val="0"/>
              <w:spacing w:line="360" w:lineRule="exact"/>
              <w:ind w:left="3120" w:hanging="3120" w:hangingChars="1300"/>
              <w:jc w:val="both"/>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color w:val="auto"/>
                <w:sz w:val="24"/>
                <w:szCs w:val="24"/>
                <w:highlight w:val="none"/>
              </w:rPr>
              <w:t xml:space="preserve">附录A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bCs/>
                <w:i w:val="0"/>
                <w:iCs w:val="0"/>
                <w:color w:val="auto"/>
                <w:kern w:val="0"/>
                <w:sz w:val="24"/>
                <w:szCs w:val="24"/>
                <w:highlight w:val="none"/>
                <w:u w:val="none"/>
                <w:lang w:val="en-US" w:eastAsia="zh-CN" w:bidi="ar"/>
              </w:rPr>
              <w:t>湖南省新新张官高速公路建设开发有限公司张家界分公司项目</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color w:val="auto"/>
                <w:sz w:val="24"/>
                <w:szCs w:val="24"/>
                <w:highlight w:val="none"/>
                <w:lang w:val="en-US" w:eastAsia="zh-CN"/>
              </w:rPr>
              <w:t>成桥动静载检测（桥梁）</w:t>
            </w:r>
            <w:r>
              <w:rPr>
                <w:rFonts w:hint="eastAsia" w:ascii="宋体" w:hAnsi="宋体" w:eastAsia="宋体" w:cs="宋体"/>
                <w:b/>
                <w:bCs/>
                <w:i w:val="0"/>
                <w:iCs w:val="0"/>
                <w:color w:val="auto"/>
                <w:kern w:val="0"/>
                <w:sz w:val="24"/>
                <w:szCs w:val="24"/>
                <w:highlight w:val="none"/>
                <w:u w:val="none"/>
                <w:lang w:val="en-US" w:eastAsia="zh-CN" w:bidi="ar"/>
              </w:rPr>
              <w:t>技术咨询服务合同清单</w:t>
            </w:r>
          </w:p>
          <w:tbl>
            <w:tblPr>
              <w:tblStyle w:val="55"/>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130"/>
              <w:gridCol w:w="1600"/>
              <w:gridCol w:w="1670"/>
              <w:gridCol w:w="1686"/>
              <w:gridCol w:w="1041"/>
            </w:tblGrid>
            <w:tr w14:paraId="2C55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51" w:type="dxa"/>
                  <w:vMerge w:val="restart"/>
                  <w:noWrap/>
                  <w:vAlign w:val="center"/>
                </w:tcPr>
                <w:p w14:paraId="128AB8D3">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序号</w:t>
                  </w:r>
                </w:p>
              </w:tc>
              <w:tc>
                <w:tcPr>
                  <w:tcW w:w="2130" w:type="dxa"/>
                  <w:vMerge w:val="restart"/>
                  <w:noWrap/>
                  <w:vAlign w:val="center"/>
                </w:tcPr>
                <w:p w14:paraId="6C57BF6E">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服务费用名称</w:t>
                  </w:r>
                </w:p>
              </w:tc>
              <w:tc>
                <w:tcPr>
                  <w:tcW w:w="4956" w:type="dxa"/>
                  <w:gridSpan w:val="3"/>
                  <w:noWrap/>
                  <w:vAlign w:val="center"/>
                </w:tcPr>
                <w:p w14:paraId="0679CACA">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总价（元）</w:t>
                  </w:r>
                </w:p>
              </w:tc>
              <w:tc>
                <w:tcPr>
                  <w:tcW w:w="1041" w:type="dxa"/>
                  <w:vMerge w:val="restart"/>
                  <w:noWrap/>
                  <w:vAlign w:val="center"/>
                </w:tcPr>
                <w:p w14:paraId="05A809D0">
                  <w:pPr>
                    <w:widowControl/>
                    <w:spacing w:line="600" w:lineRule="exact"/>
                    <w:jc w:val="center"/>
                    <w:rPr>
                      <w:rFonts w:hint="eastAsia" w:ascii="宋体" w:hAnsi="宋体" w:eastAsia="宋体" w:cs="宋体"/>
                      <w:color w:val="auto"/>
                      <w:sz w:val="30"/>
                      <w:szCs w:val="30"/>
                      <w:highlight w:val="none"/>
                    </w:rPr>
                  </w:pPr>
                  <w:r>
                    <w:rPr>
                      <w:rFonts w:hint="eastAsia" w:ascii="仿宋_GB2312" w:hAnsi="宋体" w:eastAsia="仿宋_GB2312" w:cs="仿宋_GB2312"/>
                      <w:b/>
                      <w:bCs/>
                      <w:i w:val="0"/>
                      <w:iCs w:val="0"/>
                      <w:color w:val="auto"/>
                      <w:kern w:val="0"/>
                      <w:sz w:val="21"/>
                      <w:szCs w:val="21"/>
                      <w:highlight w:val="none"/>
                      <w:u w:val="none"/>
                      <w:lang w:val="en-US" w:eastAsia="zh-CN" w:bidi="ar"/>
                    </w:rPr>
                    <w:t>备注</w:t>
                  </w:r>
                </w:p>
              </w:tc>
            </w:tr>
            <w:tr w14:paraId="148B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51" w:type="dxa"/>
                  <w:vMerge w:val="continue"/>
                  <w:noWrap/>
                  <w:vAlign w:val="center"/>
                </w:tcPr>
                <w:p w14:paraId="70EF0C26">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p>
              </w:tc>
              <w:tc>
                <w:tcPr>
                  <w:tcW w:w="2130" w:type="dxa"/>
                  <w:vMerge w:val="continue"/>
                  <w:noWrap/>
                  <w:vAlign w:val="center"/>
                </w:tcPr>
                <w:p w14:paraId="4465946E">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p>
              </w:tc>
              <w:tc>
                <w:tcPr>
                  <w:tcW w:w="1600" w:type="dxa"/>
                  <w:noWrap/>
                  <w:vAlign w:val="center"/>
                </w:tcPr>
                <w:p w14:paraId="3012CE79">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不含税金额</w:t>
                  </w:r>
                </w:p>
              </w:tc>
              <w:tc>
                <w:tcPr>
                  <w:tcW w:w="1670" w:type="dxa"/>
                  <w:noWrap/>
                  <w:vAlign w:val="center"/>
                </w:tcPr>
                <w:p w14:paraId="7A347E0D">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税额</w:t>
                  </w:r>
                </w:p>
              </w:tc>
              <w:tc>
                <w:tcPr>
                  <w:tcW w:w="1686" w:type="dxa"/>
                  <w:noWrap/>
                  <w:vAlign w:val="center"/>
                </w:tcPr>
                <w:p w14:paraId="0AE1978A">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价税合计</w:t>
                  </w:r>
                </w:p>
              </w:tc>
              <w:tc>
                <w:tcPr>
                  <w:tcW w:w="1041" w:type="dxa"/>
                  <w:vMerge w:val="continue"/>
                  <w:noWrap/>
                  <w:vAlign w:val="center"/>
                </w:tcPr>
                <w:p w14:paraId="2B4EFF8C">
                  <w:pPr>
                    <w:widowControl/>
                    <w:spacing w:line="600" w:lineRule="exact"/>
                    <w:jc w:val="left"/>
                    <w:rPr>
                      <w:rFonts w:hint="eastAsia" w:ascii="宋体" w:hAnsi="宋体" w:eastAsia="宋体" w:cs="宋体"/>
                      <w:color w:val="auto"/>
                      <w:sz w:val="30"/>
                      <w:szCs w:val="30"/>
                      <w:highlight w:val="none"/>
                    </w:rPr>
                  </w:pPr>
                </w:p>
              </w:tc>
            </w:tr>
            <w:tr w14:paraId="0AC0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51" w:type="dxa"/>
                  <w:noWrap/>
                  <w:vAlign w:val="center"/>
                </w:tcPr>
                <w:p w14:paraId="4112DD08">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2130" w:type="dxa"/>
                  <w:noWrap/>
                  <w:vAlign w:val="center"/>
                </w:tcPr>
                <w:p w14:paraId="637EF7BB">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成桥动静载检测（桥梁）技术咨询服务费</w:t>
                  </w:r>
                </w:p>
              </w:tc>
              <w:tc>
                <w:tcPr>
                  <w:tcW w:w="1600" w:type="dxa"/>
                  <w:noWrap/>
                  <w:vAlign w:val="center"/>
                </w:tcPr>
                <w:p w14:paraId="0027274A">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70" w:type="dxa"/>
                  <w:noWrap/>
                  <w:vAlign w:val="center"/>
                </w:tcPr>
                <w:p w14:paraId="3AC4AC7A">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86" w:type="dxa"/>
                  <w:noWrap/>
                  <w:vAlign w:val="center"/>
                </w:tcPr>
                <w:p w14:paraId="479F9FA6">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041" w:type="dxa"/>
                  <w:noWrap/>
                  <w:vAlign w:val="center"/>
                </w:tcPr>
                <w:p w14:paraId="4E99E319">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r>
          </w:tbl>
          <w:p w14:paraId="6DD3F351">
            <w:pPr>
              <w:keepNext w:val="0"/>
              <w:keepLines w:val="0"/>
              <w:widowControl/>
              <w:suppressLineNumbers w:val="0"/>
              <w:spacing w:line="360" w:lineRule="exact"/>
              <w:ind w:left="3120" w:hanging="3132" w:hangingChars="1300"/>
              <w:jc w:val="both"/>
              <w:textAlignment w:val="center"/>
              <w:rPr>
                <w:rFonts w:hint="eastAsia" w:ascii="宋体" w:hAnsi="宋体" w:eastAsia="宋体" w:cs="宋体"/>
                <w:b/>
                <w:bCs/>
                <w:i w:val="0"/>
                <w:iCs w:val="0"/>
                <w:color w:val="auto"/>
                <w:kern w:val="0"/>
                <w:sz w:val="24"/>
                <w:szCs w:val="24"/>
                <w:highlight w:val="none"/>
                <w:u w:val="none"/>
                <w:lang w:val="en-US" w:eastAsia="zh-CN" w:bidi="ar"/>
              </w:rPr>
            </w:pPr>
          </w:p>
        </w:tc>
      </w:tr>
    </w:tbl>
    <w:p w14:paraId="6A9A32FE">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本项目合同为总价合同，由受托人包干使用。受托人为完成合同所确定的范围内的全部服务工作内容所发生的一切费用均认为已包括在总报价中，包括人员及设备费用及相关工作所需的费用、管理费、出版费、食宿费、差旅费、车辆使用费（含驾驶员费用）、评审费（含专家费用）、通讯费、保险、利润、杂费、税费及其它可能发生的费用，以及服务项目的规模、性质、服务期间的市场风险和国家政策性调整风险费用等。</w:t>
      </w:r>
    </w:p>
    <w:p w14:paraId="73F31C2B">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2、本项目中的给出</w:t>
      </w:r>
      <w:r>
        <w:rPr>
          <w:rFonts w:hint="eastAsia" w:ascii="宋体" w:hAnsi="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lang w:val="en-US" w:eastAsia="zh-CN" w:bidi="ar-SA"/>
        </w:rPr>
        <w:t>服务项目数量为发包人的预估数量，受托人在实施过程中完成的数量不能少于规范要求的数量; 若根据技术咨询服务需求完成的数量超过预估数量，均被认为已包含在合同总价中，委托人不另行支付。</w:t>
      </w:r>
    </w:p>
    <w:p w14:paraId="132EB0BA">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71902446">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098034C0">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rPr>
        <w:t xml:space="preserve"> </w:t>
      </w:r>
      <w:bookmarkStart w:id="680" w:name="_GoBack"/>
      <w:bookmarkEnd w:id="680"/>
    </w:p>
    <w:p w14:paraId="386423C8">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015EDBF8">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2CF53682">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1E4C2CD7">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11CEA428">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036297B4">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0130833E">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342FD8FA">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74B15DC0">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Calibri" w:cs="宋体"/>
          <w:b/>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 xml:space="preserve">附录B                </w:t>
      </w:r>
      <w:r>
        <w:rPr>
          <w:rFonts w:hint="eastAsia" w:ascii="宋体" w:hAnsi="宋体" w:eastAsia="Calibri" w:cs="宋体"/>
          <w:b/>
          <w:bCs w:val="0"/>
          <w:color w:val="auto"/>
          <w:sz w:val="24"/>
          <w:szCs w:val="24"/>
          <w:highlight w:val="none"/>
          <w:lang w:val="en-US" w:eastAsia="en-US" w:bidi="ar-SA"/>
        </w:rPr>
        <w:t>拟委任的其他主要咨询服务人员汇总表</w:t>
      </w:r>
    </w:p>
    <w:p w14:paraId="7D8C5DA3">
      <w:pPr>
        <w:widowControl/>
        <w:spacing w:line="440" w:lineRule="atLeast"/>
        <w:jc w:val="left"/>
        <w:rPr>
          <w:rFonts w:hint="eastAsia" w:ascii="宋体" w:hAnsi="宋体" w:eastAsia="宋体" w:cs="宋体"/>
          <w:color w:val="auto"/>
          <w:highlight w:val="none"/>
        </w:rPr>
      </w:pPr>
    </w:p>
    <w:tbl>
      <w:tblPr>
        <w:tblStyle w:val="55"/>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990"/>
        <w:gridCol w:w="1020"/>
        <w:gridCol w:w="720"/>
        <w:gridCol w:w="871"/>
        <w:gridCol w:w="1134"/>
        <w:gridCol w:w="1130"/>
        <w:gridCol w:w="870"/>
        <w:gridCol w:w="714"/>
      </w:tblGrid>
      <w:tr w14:paraId="46C6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Merge w:val="restart"/>
            <w:vAlign w:val="center"/>
          </w:tcPr>
          <w:p w14:paraId="4F223452">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990" w:type="dxa"/>
            <w:vMerge w:val="restart"/>
            <w:vAlign w:val="center"/>
          </w:tcPr>
          <w:p w14:paraId="10BBDED4">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本标段任职</w:t>
            </w:r>
          </w:p>
        </w:tc>
        <w:tc>
          <w:tcPr>
            <w:tcW w:w="1020" w:type="dxa"/>
            <w:vMerge w:val="restart"/>
            <w:vAlign w:val="center"/>
          </w:tcPr>
          <w:p w14:paraId="5CA5E63A">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720" w:type="dxa"/>
            <w:vMerge w:val="restart"/>
            <w:vAlign w:val="center"/>
          </w:tcPr>
          <w:p w14:paraId="347D9D35">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871" w:type="dxa"/>
            <w:vMerge w:val="restart"/>
            <w:vAlign w:val="center"/>
          </w:tcPr>
          <w:p w14:paraId="7796BE30">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c>
          <w:tcPr>
            <w:tcW w:w="3134" w:type="dxa"/>
            <w:gridSpan w:val="3"/>
            <w:vAlign w:val="center"/>
          </w:tcPr>
          <w:p w14:paraId="2705132F">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执业或职业资格证明</w:t>
            </w:r>
          </w:p>
        </w:tc>
        <w:tc>
          <w:tcPr>
            <w:tcW w:w="714" w:type="dxa"/>
            <w:vMerge w:val="restart"/>
            <w:vAlign w:val="center"/>
          </w:tcPr>
          <w:p w14:paraId="0E4699B5">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1B56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Merge w:val="continue"/>
            <w:vAlign w:val="center"/>
          </w:tcPr>
          <w:p w14:paraId="577CD69E">
            <w:pPr>
              <w:widowControl/>
              <w:spacing w:line="440" w:lineRule="atLeast"/>
              <w:jc w:val="left"/>
              <w:rPr>
                <w:rFonts w:hint="eastAsia" w:ascii="宋体" w:hAnsi="宋体" w:eastAsia="宋体" w:cs="宋体"/>
                <w:color w:val="auto"/>
                <w:highlight w:val="none"/>
              </w:rPr>
            </w:pPr>
          </w:p>
        </w:tc>
        <w:tc>
          <w:tcPr>
            <w:tcW w:w="990" w:type="dxa"/>
            <w:vMerge w:val="continue"/>
          </w:tcPr>
          <w:p w14:paraId="6E250888">
            <w:pPr>
              <w:widowControl/>
              <w:spacing w:line="440" w:lineRule="atLeast"/>
              <w:jc w:val="left"/>
              <w:rPr>
                <w:rFonts w:hint="eastAsia" w:ascii="宋体" w:hAnsi="宋体" w:eastAsia="宋体" w:cs="宋体"/>
                <w:color w:val="auto"/>
                <w:highlight w:val="none"/>
              </w:rPr>
            </w:pPr>
          </w:p>
        </w:tc>
        <w:tc>
          <w:tcPr>
            <w:tcW w:w="1020" w:type="dxa"/>
            <w:vMerge w:val="continue"/>
            <w:vAlign w:val="center"/>
          </w:tcPr>
          <w:p w14:paraId="6C1335EA">
            <w:pPr>
              <w:widowControl/>
              <w:spacing w:line="440" w:lineRule="atLeast"/>
              <w:jc w:val="left"/>
              <w:rPr>
                <w:rFonts w:hint="eastAsia" w:ascii="宋体" w:hAnsi="宋体" w:eastAsia="宋体" w:cs="宋体"/>
                <w:color w:val="auto"/>
                <w:highlight w:val="none"/>
              </w:rPr>
            </w:pPr>
          </w:p>
        </w:tc>
        <w:tc>
          <w:tcPr>
            <w:tcW w:w="720" w:type="dxa"/>
            <w:vMerge w:val="continue"/>
            <w:vAlign w:val="center"/>
          </w:tcPr>
          <w:p w14:paraId="2FD6A7B2">
            <w:pPr>
              <w:widowControl/>
              <w:spacing w:line="440" w:lineRule="atLeast"/>
              <w:jc w:val="left"/>
              <w:rPr>
                <w:rFonts w:hint="eastAsia" w:ascii="宋体" w:hAnsi="宋体" w:eastAsia="宋体" w:cs="宋体"/>
                <w:color w:val="auto"/>
                <w:highlight w:val="none"/>
              </w:rPr>
            </w:pPr>
          </w:p>
        </w:tc>
        <w:tc>
          <w:tcPr>
            <w:tcW w:w="871" w:type="dxa"/>
            <w:vMerge w:val="continue"/>
            <w:vAlign w:val="center"/>
          </w:tcPr>
          <w:p w14:paraId="01EF6EE5">
            <w:pPr>
              <w:widowControl/>
              <w:spacing w:line="440" w:lineRule="atLeast"/>
              <w:jc w:val="center"/>
              <w:rPr>
                <w:rFonts w:hint="eastAsia" w:ascii="宋体" w:hAnsi="宋体" w:eastAsia="宋体" w:cs="宋体"/>
                <w:color w:val="auto"/>
                <w:highlight w:val="none"/>
              </w:rPr>
            </w:pPr>
          </w:p>
        </w:tc>
        <w:tc>
          <w:tcPr>
            <w:tcW w:w="1134" w:type="dxa"/>
            <w:vAlign w:val="center"/>
          </w:tcPr>
          <w:p w14:paraId="119C7D07">
            <w:pPr>
              <w:widowControl/>
              <w:spacing w:before="100" w:beforeAutospacing="1" w:after="100" w:afterAutospacing="1"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1130" w:type="dxa"/>
            <w:vAlign w:val="center"/>
          </w:tcPr>
          <w:p w14:paraId="7A4581A1">
            <w:pPr>
              <w:widowControl/>
              <w:spacing w:before="100" w:beforeAutospacing="1" w:after="100" w:afterAutospacing="1"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870" w:type="dxa"/>
            <w:vAlign w:val="center"/>
          </w:tcPr>
          <w:p w14:paraId="7F238D2A">
            <w:pPr>
              <w:widowControl/>
              <w:spacing w:before="100" w:beforeAutospacing="1" w:after="100" w:afterAutospacing="1"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证号</w:t>
            </w:r>
          </w:p>
        </w:tc>
        <w:tc>
          <w:tcPr>
            <w:tcW w:w="714" w:type="dxa"/>
            <w:vMerge w:val="continue"/>
            <w:vAlign w:val="center"/>
          </w:tcPr>
          <w:p w14:paraId="170235A6">
            <w:pPr>
              <w:widowControl/>
              <w:spacing w:line="440" w:lineRule="atLeast"/>
              <w:jc w:val="center"/>
              <w:rPr>
                <w:rFonts w:hint="eastAsia" w:ascii="宋体" w:hAnsi="宋体" w:eastAsia="宋体" w:cs="宋体"/>
                <w:color w:val="auto"/>
                <w:highlight w:val="none"/>
              </w:rPr>
            </w:pPr>
          </w:p>
        </w:tc>
      </w:tr>
      <w:tr w14:paraId="06A7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14:paraId="63EBAC0B">
            <w:pPr>
              <w:widowControl/>
              <w:spacing w:line="4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990" w:type="dxa"/>
            <w:vAlign w:val="center"/>
          </w:tcPr>
          <w:p w14:paraId="30C921E4">
            <w:pPr>
              <w:widowControl/>
              <w:spacing w:line="440" w:lineRule="atLeast"/>
              <w:jc w:val="center"/>
              <w:rPr>
                <w:rFonts w:hint="default" w:ascii="宋体" w:hAnsi="宋体" w:eastAsia="宋体" w:cs="宋体"/>
                <w:color w:val="auto"/>
                <w:highlight w:val="none"/>
                <w:lang w:val="en-US" w:eastAsia="zh-CN"/>
              </w:rPr>
            </w:pPr>
          </w:p>
        </w:tc>
        <w:tc>
          <w:tcPr>
            <w:tcW w:w="1020" w:type="dxa"/>
            <w:vAlign w:val="center"/>
          </w:tcPr>
          <w:p w14:paraId="5A2795E7">
            <w:pPr>
              <w:widowControl/>
              <w:spacing w:line="440" w:lineRule="atLeast"/>
              <w:jc w:val="center"/>
              <w:rPr>
                <w:rFonts w:hint="eastAsia" w:ascii="宋体" w:hAnsi="宋体" w:eastAsia="宋体" w:cs="宋体"/>
                <w:color w:val="auto"/>
                <w:highlight w:val="none"/>
                <w:lang w:val="en-US" w:eastAsia="zh-CN"/>
              </w:rPr>
            </w:pPr>
          </w:p>
        </w:tc>
        <w:tc>
          <w:tcPr>
            <w:tcW w:w="720" w:type="dxa"/>
            <w:vAlign w:val="center"/>
          </w:tcPr>
          <w:p w14:paraId="43518CB9">
            <w:pPr>
              <w:widowControl/>
              <w:spacing w:line="440" w:lineRule="atLeast"/>
              <w:jc w:val="center"/>
              <w:rPr>
                <w:rFonts w:hint="default" w:ascii="宋体" w:hAnsi="宋体" w:eastAsia="宋体" w:cs="宋体"/>
                <w:color w:val="auto"/>
                <w:highlight w:val="none"/>
                <w:lang w:val="en-US" w:eastAsia="zh-CN"/>
              </w:rPr>
            </w:pPr>
          </w:p>
        </w:tc>
        <w:tc>
          <w:tcPr>
            <w:tcW w:w="871" w:type="dxa"/>
            <w:vAlign w:val="center"/>
          </w:tcPr>
          <w:p w14:paraId="66F0B598">
            <w:pPr>
              <w:widowControl/>
              <w:spacing w:line="440" w:lineRule="atLeast"/>
              <w:jc w:val="center"/>
              <w:rPr>
                <w:rFonts w:hint="default" w:ascii="宋体" w:hAnsi="宋体" w:eastAsia="宋体" w:cs="宋体"/>
                <w:color w:val="auto"/>
                <w:highlight w:val="none"/>
                <w:lang w:val="en-US" w:eastAsia="zh-CN"/>
              </w:rPr>
            </w:pPr>
          </w:p>
        </w:tc>
        <w:tc>
          <w:tcPr>
            <w:tcW w:w="1134" w:type="dxa"/>
            <w:vAlign w:val="center"/>
          </w:tcPr>
          <w:p w14:paraId="4F11FFD1">
            <w:pPr>
              <w:widowControl/>
              <w:spacing w:line="440" w:lineRule="atLeast"/>
              <w:jc w:val="center"/>
              <w:rPr>
                <w:rFonts w:hint="default" w:ascii="宋体" w:hAnsi="宋体" w:eastAsia="宋体" w:cs="宋体"/>
                <w:color w:val="auto"/>
                <w:highlight w:val="none"/>
                <w:lang w:val="en-US" w:eastAsia="zh-CN"/>
              </w:rPr>
            </w:pPr>
          </w:p>
        </w:tc>
        <w:tc>
          <w:tcPr>
            <w:tcW w:w="1130" w:type="dxa"/>
            <w:vAlign w:val="center"/>
          </w:tcPr>
          <w:p w14:paraId="2F255D44">
            <w:pPr>
              <w:widowControl/>
              <w:spacing w:line="440" w:lineRule="atLeast"/>
              <w:jc w:val="center"/>
              <w:rPr>
                <w:rFonts w:hint="default" w:ascii="宋体" w:hAnsi="宋体" w:eastAsia="宋体" w:cs="宋体"/>
                <w:color w:val="auto"/>
                <w:highlight w:val="none"/>
                <w:lang w:val="en-US" w:eastAsia="zh-CN"/>
              </w:rPr>
            </w:pPr>
          </w:p>
        </w:tc>
        <w:tc>
          <w:tcPr>
            <w:tcW w:w="870" w:type="dxa"/>
            <w:vAlign w:val="center"/>
          </w:tcPr>
          <w:p w14:paraId="5143B009">
            <w:pPr>
              <w:widowControl/>
              <w:spacing w:line="440" w:lineRule="atLeast"/>
              <w:jc w:val="center"/>
              <w:rPr>
                <w:rFonts w:hint="eastAsia" w:ascii="宋体" w:hAnsi="宋体" w:eastAsia="宋体" w:cs="宋体"/>
                <w:color w:val="auto"/>
                <w:highlight w:val="none"/>
              </w:rPr>
            </w:pPr>
          </w:p>
        </w:tc>
        <w:tc>
          <w:tcPr>
            <w:tcW w:w="714" w:type="dxa"/>
            <w:vAlign w:val="center"/>
          </w:tcPr>
          <w:p w14:paraId="2FD04CA8">
            <w:pPr>
              <w:widowControl/>
              <w:spacing w:line="440" w:lineRule="atLeast"/>
              <w:jc w:val="center"/>
              <w:rPr>
                <w:rFonts w:hint="eastAsia" w:ascii="宋体" w:hAnsi="宋体" w:eastAsia="宋体" w:cs="宋体"/>
                <w:color w:val="auto"/>
                <w:highlight w:val="none"/>
              </w:rPr>
            </w:pPr>
          </w:p>
        </w:tc>
      </w:tr>
      <w:tr w14:paraId="48A2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14:paraId="17B75DFE">
            <w:pPr>
              <w:widowControl/>
              <w:spacing w:line="4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990" w:type="dxa"/>
            <w:vAlign w:val="center"/>
          </w:tcPr>
          <w:p w14:paraId="2BD85C9E">
            <w:pPr>
              <w:widowControl/>
              <w:spacing w:line="440" w:lineRule="atLeast"/>
              <w:jc w:val="center"/>
              <w:rPr>
                <w:rFonts w:hint="default" w:ascii="宋体" w:hAnsi="宋体" w:eastAsia="宋体" w:cs="宋体"/>
                <w:color w:val="auto"/>
                <w:highlight w:val="none"/>
                <w:lang w:val="en-US" w:eastAsia="zh-CN"/>
              </w:rPr>
            </w:pPr>
          </w:p>
        </w:tc>
        <w:tc>
          <w:tcPr>
            <w:tcW w:w="1020" w:type="dxa"/>
            <w:vAlign w:val="center"/>
          </w:tcPr>
          <w:p w14:paraId="67D2D249">
            <w:pPr>
              <w:widowControl/>
              <w:spacing w:line="440" w:lineRule="atLeast"/>
              <w:jc w:val="center"/>
              <w:rPr>
                <w:rFonts w:hint="eastAsia" w:ascii="宋体" w:hAnsi="宋体" w:eastAsia="宋体" w:cs="宋体"/>
                <w:color w:val="auto"/>
                <w:highlight w:val="none"/>
                <w:lang w:val="en-US" w:eastAsia="zh-CN"/>
              </w:rPr>
            </w:pPr>
          </w:p>
        </w:tc>
        <w:tc>
          <w:tcPr>
            <w:tcW w:w="720" w:type="dxa"/>
            <w:vAlign w:val="center"/>
          </w:tcPr>
          <w:p w14:paraId="0E07D16B">
            <w:pPr>
              <w:widowControl/>
              <w:spacing w:line="440" w:lineRule="atLeast"/>
              <w:jc w:val="center"/>
              <w:rPr>
                <w:rFonts w:hint="default" w:ascii="宋体" w:hAnsi="宋体" w:eastAsia="宋体" w:cs="宋体"/>
                <w:color w:val="auto"/>
                <w:highlight w:val="none"/>
                <w:lang w:val="en-US" w:eastAsia="zh-CN"/>
              </w:rPr>
            </w:pPr>
          </w:p>
        </w:tc>
        <w:tc>
          <w:tcPr>
            <w:tcW w:w="871" w:type="dxa"/>
            <w:vAlign w:val="center"/>
          </w:tcPr>
          <w:p w14:paraId="1387863E">
            <w:pPr>
              <w:widowControl/>
              <w:spacing w:line="440" w:lineRule="atLeast"/>
              <w:jc w:val="center"/>
              <w:rPr>
                <w:rFonts w:hint="eastAsia" w:ascii="宋体" w:hAnsi="宋体" w:eastAsia="宋体" w:cs="宋体"/>
                <w:color w:val="auto"/>
                <w:highlight w:val="none"/>
              </w:rPr>
            </w:pPr>
          </w:p>
        </w:tc>
        <w:tc>
          <w:tcPr>
            <w:tcW w:w="1134" w:type="dxa"/>
          </w:tcPr>
          <w:p w14:paraId="6D97EDC3">
            <w:pPr>
              <w:widowControl/>
              <w:spacing w:line="440" w:lineRule="atLeast"/>
              <w:jc w:val="center"/>
              <w:rPr>
                <w:rFonts w:hint="eastAsia" w:ascii="宋体" w:hAnsi="宋体" w:eastAsia="宋体" w:cs="宋体"/>
                <w:color w:val="auto"/>
                <w:highlight w:val="none"/>
                <w:lang w:val="en-US" w:eastAsia="zh-CN"/>
              </w:rPr>
            </w:pPr>
          </w:p>
        </w:tc>
        <w:tc>
          <w:tcPr>
            <w:tcW w:w="1130" w:type="dxa"/>
          </w:tcPr>
          <w:p w14:paraId="527F0EFC">
            <w:pPr>
              <w:widowControl/>
              <w:spacing w:line="440" w:lineRule="atLeast"/>
              <w:jc w:val="center"/>
              <w:rPr>
                <w:rFonts w:hint="eastAsia" w:ascii="宋体" w:hAnsi="宋体" w:eastAsia="宋体" w:cs="宋体"/>
                <w:color w:val="auto"/>
                <w:highlight w:val="none"/>
                <w:lang w:val="en-US" w:eastAsia="zh-CN"/>
              </w:rPr>
            </w:pPr>
          </w:p>
        </w:tc>
        <w:tc>
          <w:tcPr>
            <w:tcW w:w="870" w:type="dxa"/>
          </w:tcPr>
          <w:p w14:paraId="5D1139A7">
            <w:pPr>
              <w:widowControl/>
              <w:spacing w:line="440" w:lineRule="atLeast"/>
              <w:jc w:val="center"/>
              <w:rPr>
                <w:rFonts w:hint="eastAsia" w:ascii="宋体" w:hAnsi="宋体" w:eastAsia="宋体" w:cs="宋体"/>
                <w:color w:val="auto"/>
                <w:highlight w:val="none"/>
                <w:lang w:val="en-US" w:eastAsia="zh-CN"/>
              </w:rPr>
            </w:pPr>
          </w:p>
        </w:tc>
        <w:tc>
          <w:tcPr>
            <w:tcW w:w="714" w:type="dxa"/>
          </w:tcPr>
          <w:p w14:paraId="117B67E1">
            <w:pPr>
              <w:widowControl/>
              <w:spacing w:line="440" w:lineRule="atLeast"/>
              <w:jc w:val="center"/>
              <w:rPr>
                <w:rFonts w:hint="eastAsia" w:ascii="宋体" w:hAnsi="宋体" w:eastAsia="宋体" w:cs="宋体"/>
                <w:color w:val="auto"/>
                <w:highlight w:val="none"/>
              </w:rPr>
            </w:pPr>
          </w:p>
        </w:tc>
      </w:tr>
      <w:tr w14:paraId="0962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3DCAA2B2">
            <w:pPr>
              <w:widowControl/>
              <w:spacing w:line="440" w:lineRule="atLeast"/>
              <w:jc w:val="center"/>
              <w:rPr>
                <w:rFonts w:hint="eastAsia" w:ascii="宋体" w:hAnsi="宋体" w:eastAsia="宋体" w:cs="宋体"/>
                <w:color w:val="auto"/>
                <w:highlight w:val="none"/>
                <w:lang w:val="en-US" w:eastAsia="zh-CN"/>
              </w:rPr>
            </w:pPr>
          </w:p>
        </w:tc>
        <w:tc>
          <w:tcPr>
            <w:tcW w:w="990" w:type="dxa"/>
          </w:tcPr>
          <w:p w14:paraId="3F905A0A">
            <w:pPr>
              <w:widowControl/>
              <w:spacing w:line="440" w:lineRule="atLeast"/>
              <w:jc w:val="center"/>
              <w:rPr>
                <w:rFonts w:hint="eastAsia" w:ascii="宋体" w:hAnsi="宋体" w:eastAsia="宋体" w:cs="宋体"/>
                <w:color w:val="auto"/>
                <w:highlight w:val="none"/>
              </w:rPr>
            </w:pPr>
          </w:p>
        </w:tc>
        <w:tc>
          <w:tcPr>
            <w:tcW w:w="1020" w:type="dxa"/>
          </w:tcPr>
          <w:p w14:paraId="23E5BDA1">
            <w:pPr>
              <w:widowControl/>
              <w:spacing w:line="440" w:lineRule="atLeast"/>
              <w:jc w:val="center"/>
              <w:rPr>
                <w:rFonts w:hint="eastAsia" w:ascii="宋体" w:hAnsi="宋体" w:eastAsia="宋体" w:cs="宋体"/>
                <w:color w:val="auto"/>
                <w:highlight w:val="none"/>
              </w:rPr>
            </w:pPr>
          </w:p>
        </w:tc>
        <w:tc>
          <w:tcPr>
            <w:tcW w:w="720" w:type="dxa"/>
          </w:tcPr>
          <w:p w14:paraId="5BEDCA61">
            <w:pPr>
              <w:widowControl/>
              <w:spacing w:line="440" w:lineRule="atLeast"/>
              <w:jc w:val="center"/>
              <w:rPr>
                <w:rFonts w:hint="eastAsia" w:ascii="宋体" w:hAnsi="宋体" w:eastAsia="宋体" w:cs="宋体"/>
                <w:color w:val="auto"/>
                <w:highlight w:val="none"/>
              </w:rPr>
            </w:pPr>
          </w:p>
        </w:tc>
        <w:tc>
          <w:tcPr>
            <w:tcW w:w="871" w:type="dxa"/>
          </w:tcPr>
          <w:p w14:paraId="4568C083">
            <w:pPr>
              <w:widowControl/>
              <w:spacing w:line="440" w:lineRule="atLeast"/>
              <w:jc w:val="center"/>
              <w:rPr>
                <w:rFonts w:hint="eastAsia" w:ascii="宋体" w:hAnsi="宋体" w:eastAsia="宋体" w:cs="宋体"/>
                <w:color w:val="auto"/>
                <w:highlight w:val="none"/>
              </w:rPr>
            </w:pPr>
          </w:p>
        </w:tc>
        <w:tc>
          <w:tcPr>
            <w:tcW w:w="1134" w:type="dxa"/>
          </w:tcPr>
          <w:p w14:paraId="2688E910">
            <w:pPr>
              <w:widowControl/>
              <w:spacing w:line="440" w:lineRule="atLeast"/>
              <w:jc w:val="center"/>
              <w:rPr>
                <w:rFonts w:hint="eastAsia" w:ascii="宋体" w:hAnsi="宋体" w:eastAsia="宋体" w:cs="宋体"/>
                <w:color w:val="auto"/>
                <w:highlight w:val="none"/>
              </w:rPr>
            </w:pPr>
          </w:p>
        </w:tc>
        <w:tc>
          <w:tcPr>
            <w:tcW w:w="1130" w:type="dxa"/>
          </w:tcPr>
          <w:p w14:paraId="4EE471D6">
            <w:pPr>
              <w:widowControl/>
              <w:spacing w:line="440" w:lineRule="atLeast"/>
              <w:jc w:val="center"/>
              <w:rPr>
                <w:rFonts w:hint="eastAsia" w:ascii="宋体" w:hAnsi="宋体" w:eastAsia="宋体" w:cs="宋体"/>
                <w:color w:val="auto"/>
                <w:highlight w:val="none"/>
              </w:rPr>
            </w:pPr>
          </w:p>
        </w:tc>
        <w:tc>
          <w:tcPr>
            <w:tcW w:w="870" w:type="dxa"/>
          </w:tcPr>
          <w:p w14:paraId="61978379">
            <w:pPr>
              <w:widowControl/>
              <w:spacing w:line="440" w:lineRule="atLeast"/>
              <w:jc w:val="center"/>
              <w:rPr>
                <w:rFonts w:hint="eastAsia" w:ascii="宋体" w:hAnsi="宋体" w:eastAsia="宋体" w:cs="宋体"/>
                <w:color w:val="auto"/>
                <w:highlight w:val="none"/>
              </w:rPr>
            </w:pPr>
          </w:p>
        </w:tc>
        <w:tc>
          <w:tcPr>
            <w:tcW w:w="714" w:type="dxa"/>
          </w:tcPr>
          <w:p w14:paraId="2632C1E1">
            <w:pPr>
              <w:widowControl/>
              <w:spacing w:line="440" w:lineRule="atLeast"/>
              <w:jc w:val="center"/>
              <w:rPr>
                <w:rFonts w:hint="eastAsia" w:ascii="宋体" w:hAnsi="宋体" w:eastAsia="宋体" w:cs="宋体"/>
                <w:color w:val="auto"/>
                <w:highlight w:val="none"/>
              </w:rPr>
            </w:pPr>
          </w:p>
        </w:tc>
      </w:tr>
      <w:tr w14:paraId="15F4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1BC9BCAB">
            <w:pPr>
              <w:widowControl/>
              <w:spacing w:line="440" w:lineRule="atLeast"/>
              <w:jc w:val="center"/>
              <w:rPr>
                <w:rFonts w:hint="eastAsia" w:ascii="宋体" w:hAnsi="宋体" w:eastAsia="宋体" w:cs="宋体"/>
                <w:color w:val="auto"/>
                <w:highlight w:val="none"/>
              </w:rPr>
            </w:pPr>
          </w:p>
        </w:tc>
        <w:tc>
          <w:tcPr>
            <w:tcW w:w="990" w:type="dxa"/>
          </w:tcPr>
          <w:p w14:paraId="4B958DC0">
            <w:pPr>
              <w:widowControl/>
              <w:spacing w:line="440" w:lineRule="atLeast"/>
              <w:jc w:val="center"/>
              <w:rPr>
                <w:rFonts w:hint="eastAsia" w:ascii="宋体" w:hAnsi="宋体" w:eastAsia="宋体" w:cs="宋体"/>
                <w:color w:val="auto"/>
                <w:highlight w:val="none"/>
              </w:rPr>
            </w:pPr>
          </w:p>
        </w:tc>
        <w:tc>
          <w:tcPr>
            <w:tcW w:w="1020" w:type="dxa"/>
          </w:tcPr>
          <w:p w14:paraId="67C2AA43">
            <w:pPr>
              <w:widowControl/>
              <w:spacing w:line="440" w:lineRule="atLeast"/>
              <w:jc w:val="center"/>
              <w:rPr>
                <w:rFonts w:hint="eastAsia" w:ascii="宋体" w:hAnsi="宋体" w:eastAsia="宋体" w:cs="宋体"/>
                <w:color w:val="auto"/>
                <w:highlight w:val="none"/>
              </w:rPr>
            </w:pPr>
          </w:p>
        </w:tc>
        <w:tc>
          <w:tcPr>
            <w:tcW w:w="720" w:type="dxa"/>
          </w:tcPr>
          <w:p w14:paraId="689EB049">
            <w:pPr>
              <w:widowControl/>
              <w:spacing w:line="440" w:lineRule="atLeast"/>
              <w:jc w:val="center"/>
              <w:rPr>
                <w:rFonts w:hint="eastAsia" w:ascii="宋体" w:hAnsi="宋体" w:eastAsia="宋体" w:cs="宋体"/>
                <w:color w:val="auto"/>
                <w:highlight w:val="none"/>
              </w:rPr>
            </w:pPr>
          </w:p>
        </w:tc>
        <w:tc>
          <w:tcPr>
            <w:tcW w:w="871" w:type="dxa"/>
          </w:tcPr>
          <w:p w14:paraId="258AEFC4">
            <w:pPr>
              <w:widowControl/>
              <w:spacing w:line="440" w:lineRule="atLeast"/>
              <w:jc w:val="center"/>
              <w:rPr>
                <w:rFonts w:hint="eastAsia" w:ascii="宋体" w:hAnsi="宋体" w:eastAsia="宋体" w:cs="宋体"/>
                <w:color w:val="auto"/>
                <w:highlight w:val="none"/>
              </w:rPr>
            </w:pPr>
          </w:p>
        </w:tc>
        <w:tc>
          <w:tcPr>
            <w:tcW w:w="1134" w:type="dxa"/>
          </w:tcPr>
          <w:p w14:paraId="3ED6948E">
            <w:pPr>
              <w:widowControl/>
              <w:spacing w:line="440" w:lineRule="atLeast"/>
              <w:jc w:val="center"/>
              <w:rPr>
                <w:rFonts w:hint="eastAsia" w:ascii="宋体" w:hAnsi="宋体" w:eastAsia="宋体" w:cs="宋体"/>
                <w:color w:val="auto"/>
                <w:highlight w:val="none"/>
              </w:rPr>
            </w:pPr>
          </w:p>
        </w:tc>
        <w:tc>
          <w:tcPr>
            <w:tcW w:w="1130" w:type="dxa"/>
          </w:tcPr>
          <w:p w14:paraId="276E1FCD">
            <w:pPr>
              <w:widowControl/>
              <w:spacing w:line="440" w:lineRule="atLeast"/>
              <w:jc w:val="center"/>
              <w:rPr>
                <w:rFonts w:hint="eastAsia" w:ascii="宋体" w:hAnsi="宋体" w:eastAsia="宋体" w:cs="宋体"/>
                <w:color w:val="auto"/>
                <w:highlight w:val="none"/>
              </w:rPr>
            </w:pPr>
          </w:p>
        </w:tc>
        <w:tc>
          <w:tcPr>
            <w:tcW w:w="870" w:type="dxa"/>
          </w:tcPr>
          <w:p w14:paraId="41519B73">
            <w:pPr>
              <w:widowControl/>
              <w:spacing w:line="440" w:lineRule="atLeast"/>
              <w:jc w:val="center"/>
              <w:rPr>
                <w:rFonts w:hint="eastAsia" w:ascii="宋体" w:hAnsi="宋体" w:eastAsia="宋体" w:cs="宋体"/>
                <w:color w:val="auto"/>
                <w:highlight w:val="none"/>
              </w:rPr>
            </w:pPr>
          </w:p>
        </w:tc>
        <w:tc>
          <w:tcPr>
            <w:tcW w:w="714" w:type="dxa"/>
          </w:tcPr>
          <w:p w14:paraId="1C954DD7">
            <w:pPr>
              <w:widowControl/>
              <w:spacing w:line="440" w:lineRule="atLeast"/>
              <w:jc w:val="center"/>
              <w:rPr>
                <w:rFonts w:hint="eastAsia" w:ascii="宋体" w:hAnsi="宋体" w:eastAsia="宋体" w:cs="宋体"/>
                <w:color w:val="auto"/>
                <w:highlight w:val="none"/>
              </w:rPr>
            </w:pPr>
          </w:p>
        </w:tc>
      </w:tr>
      <w:tr w14:paraId="79FD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531098BE">
            <w:pPr>
              <w:widowControl/>
              <w:spacing w:line="440" w:lineRule="atLeast"/>
              <w:jc w:val="center"/>
              <w:rPr>
                <w:rFonts w:hint="eastAsia" w:ascii="宋体" w:hAnsi="宋体" w:eastAsia="宋体" w:cs="宋体"/>
                <w:color w:val="auto"/>
                <w:highlight w:val="none"/>
              </w:rPr>
            </w:pPr>
          </w:p>
        </w:tc>
        <w:tc>
          <w:tcPr>
            <w:tcW w:w="990" w:type="dxa"/>
          </w:tcPr>
          <w:p w14:paraId="5E6BBEC4">
            <w:pPr>
              <w:widowControl/>
              <w:spacing w:line="440" w:lineRule="atLeast"/>
              <w:jc w:val="center"/>
              <w:rPr>
                <w:rFonts w:hint="eastAsia" w:ascii="宋体" w:hAnsi="宋体" w:eastAsia="宋体" w:cs="宋体"/>
                <w:color w:val="auto"/>
                <w:highlight w:val="none"/>
              </w:rPr>
            </w:pPr>
          </w:p>
        </w:tc>
        <w:tc>
          <w:tcPr>
            <w:tcW w:w="1020" w:type="dxa"/>
          </w:tcPr>
          <w:p w14:paraId="6D97CDE9">
            <w:pPr>
              <w:widowControl/>
              <w:spacing w:line="440" w:lineRule="atLeast"/>
              <w:jc w:val="center"/>
              <w:rPr>
                <w:rFonts w:hint="eastAsia" w:ascii="宋体" w:hAnsi="宋体" w:eastAsia="宋体" w:cs="宋体"/>
                <w:color w:val="auto"/>
                <w:highlight w:val="none"/>
              </w:rPr>
            </w:pPr>
          </w:p>
        </w:tc>
        <w:tc>
          <w:tcPr>
            <w:tcW w:w="720" w:type="dxa"/>
          </w:tcPr>
          <w:p w14:paraId="11FB1453">
            <w:pPr>
              <w:widowControl/>
              <w:spacing w:line="440" w:lineRule="atLeast"/>
              <w:jc w:val="center"/>
              <w:rPr>
                <w:rFonts w:hint="eastAsia" w:ascii="宋体" w:hAnsi="宋体" w:eastAsia="宋体" w:cs="宋体"/>
                <w:color w:val="auto"/>
                <w:highlight w:val="none"/>
              </w:rPr>
            </w:pPr>
          </w:p>
        </w:tc>
        <w:tc>
          <w:tcPr>
            <w:tcW w:w="871" w:type="dxa"/>
          </w:tcPr>
          <w:p w14:paraId="2648E592">
            <w:pPr>
              <w:widowControl/>
              <w:spacing w:line="440" w:lineRule="atLeast"/>
              <w:jc w:val="center"/>
              <w:rPr>
                <w:rFonts w:hint="eastAsia" w:ascii="宋体" w:hAnsi="宋体" w:eastAsia="宋体" w:cs="宋体"/>
                <w:color w:val="auto"/>
                <w:highlight w:val="none"/>
              </w:rPr>
            </w:pPr>
          </w:p>
        </w:tc>
        <w:tc>
          <w:tcPr>
            <w:tcW w:w="1134" w:type="dxa"/>
          </w:tcPr>
          <w:p w14:paraId="280A03A8">
            <w:pPr>
              <w:widowControl/>
              <w:spacing w:line="440" w:lineRule="atLeast"/>
              <w:jc w:val="center"/>
              <w:rPr>
                <w:rFonts w:hint="eastAsia" w:ascii="宋体" w:hAnsi="宋体" w:eastAsia="宋体" w:cs="宋体"/>
                <w:color w:val="auto"/>
                <w:highlight w:val="none"/>
              </w:rPr>
            </w:pPr>
          </w:p>
        </w:tc>
        <w:tc>
          <w:tcPr>
            <w:tcW w:w="1130" w:type="dxa"/>
          </w:tcPr>
          <w:p w14:paraId="20BEF849">
            <w:pPr>
              <w:widowControl/>
              <w:spacing w:line="440" w:lineRule="atLeast"/>
              <w:jc w:val="center"/>
              <w:rPr>
                <w:rFonts w:hint="eastAsia" w:ascii="宋体" w:hAnsi="宋体" w:eastAsia="宋体" w:cs="宋体"/>
                <w:color w:val="auto"/>
                <w:highlight w:val="none"/>
              </w:rPr>
            </w:pPr>
          </w:p>
        </w:tc>
        <w:tc>
          <w:tcPr>
            <w:tcW w:w="870" w:type="dxa"/>
          </w:tcPr>
          <w:p w14:paraId="2467D3B6">
            <w:pPr>
              <w:widowControl/>
              <w:spacing w:line="440" w:lineRule="atLeast"/>
              <w:jc w:val="center"/>
              <w:rPr>
                <w:rFonts w:hint="eastAsia" w:ascii="宋体" w:hAnsi="宋体" w:eastAsia="宋体" w:cs="宋体"/>
                <w:color w:val="auto"/>
                <w:highlight w:val="none"/>
              </w:rPr>
            </w:pPr>
          </w:p>
        </w:tc>
        <w:tc>
          <w:tcPr>
            <w:tcW w:w="714" w:type="dxa"/>
          </w:tcPr>
          <w:p w14:paraId="74095F33">
            <w:pPr>
              <w:widowControl/>
              <w:spacing w:line="440" w:lineRule="atLeast"/>
              <w:jc w:val="center"/>
              <w:rPr>
                <w:rFonts w:hint="eastAsia" w:ascii="宋体" w:hAnsi="宋体" w:eastAsia="宋体" w:cs="宋体"/>
                <w:color w:val="auto"/>
                <w:highlight w:val="none"/>
              </w:rPr>
            </w:pPr>
          </w:p>
        </w:tc>
      </w:tr>
      <w:tr w14:paraId="40EA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31657652">
            <w:pPr>
              <w:widowControl/>
              <w:spacing w:line="440" w:lineRule="atLeast"/>
              <w:jc w:val="center"/>
              <w:rPr>
                <w:rFonts w:hint="eastAsia" w:ascii="宋体" w:hAnsi="宋体" w:eastAsia="宋体" w:cs="宋体"/>
                <w:color w:val="auto"/>
                <w:highlight w:val="none"/>
              </w:rPr>
            </w:pPr>
          </w:p>
        </w:tc>
        <w:tc>
          <w:tcPr>
            <w:tcW w:w="990" w:type="dxa"/>
          </w:tcPr>
          <w:p w14:paraId="7C68198B">
            <w:pPr>
              <w:widowControl/>
              <w:spacing w:line="440" w:lineRule="atLeast"/>
              <w:jc w:val="center"/>
              <w:rPr>
                <w:rFonts w:hint="eastAsia" w:ascii="宋体" w:hAnsi="宋体" w:eastAsia="宋体" w:cs="宋体"/>
                <w:color w:val="auto"/>
                <w:highlight w:val="none"/>
              </w:rPr>
            </w:pPr>
          </w:p>
        </w:tc>
        <w:tc>
          <w:tcPr>
            <w:tcW w:w="1020" w:type="dxa"/>
          </w:tcPr>
          <w:p w14:paraId="57A84B2E">
            <w:pPr>
              <w:widowControl/>
              <w:spacing w:line="440" w:lineRule="atLeast"/>
              <w:jc w:val="center"/>
              <w:rPr>
                <w:rFonts w:hint="eastAsia" w:ascii="宋体" w:hAnsi="宋体" w:eastAsia="宋体" w:cs="宋体"/>
                <w:color w:val="auto"/>
                <w:highlight w:val="none"/>
              </w:rPr>
            </w:pPr>
          </w:p>
        </w:tc>
        <w:tc>
          <w:tcPr>
            <w:tcW w:w="720" w:type="dxa"/>
          </w:tcPr>
          <w:p w14:paraId="7D5F30B3">
            <w:pPr>
              <w:widowControl/>
              <w:spacing w:line="440" w:lineRule="atLeast"/>
              <w:jc w:val="center"/>
              <w:rPr>
                <w:rFonts w:hint="eastAsia" w:ascii="宋体" w:hAnsi="宋体" w:eastAsia="宋体" w:cs="宋体"/>
                <w:color w:val="auto"/>
                <w:highlight w:val="none"/>
              </w:rPr>
            </w:pPr>
          </w:p>
        </w:tc>
        <w:tc>
          <w:tcPr>
            <w:tcW w:w="871" w:type="dxa"/>
          </w:tcPr>
          <w:p w14:paraId="1931F932">
            <w:pPr>
              <w:widowControl/>
              <w:spacing w:line="440" w:lineRule="atLeast"/>
              <w:jc w:val="center"/>
              <w:rPr>
                <w:rFonts w:hint="eastAsia" w:ascii="宋体" w:hAnsi="宋体" w:eastAsia="宋体" w:cs="宋体"/>
                <w:color w:val="auto"/>
                <w:highlight w:val="none"/>
              </w:rPr>
            </w:pPr>
          </w:p>
        </w:tc>
        <w:tc>
          <w:tcPr>
            <w:tcW w:w="1134" w:type="dxa"/>
          </w:tcPr>
          <w:p w14:paraId="4CA10714">
            <w:pPr>
              <w:widowControl/>
              <w:spacing w:line="440" w:lineRule="atLeast"/>
              <w:jc w:val="center"/>
              <w:rPr>
                <w:rFonts w:hint="eastAsia" w:ascii="宋体" w:hAnsi="宋体" w:eastAsia="宋体" w:cs="宋体"/>
                <w:color w:val="auto"/>
                <w:highlight w:val="none"/>
              </w:rPr>
            </w:pPr>
          </w:p>
        </w:tc>
        <w:tc>
          <w:tcPr>
            <w:tcW w:w="1130" w:type="dxa"/>
          </w:tcPr>
          <w:p w14:paraId="14E966BB">
            <w:pPr>
              <w:widowControl/>
              <w:spacing w:line="440" w:lineRule="atLeast"/>
              <w:jc w:val="center"/>
              <w:rPr>
                <w:rFonts w:hint="eastAsia" w:ascii="宋体" w:hAnsi="宋体" w:eastAsia="宋体" w:cs="宋体"/>
                <w:color w:val="auto"/>
                <w:highlight w:val="none"/>
              </w:rPr>
            </w:pPr>
          </w:p>
        </w:tc>
        <w:tc>
          <w:tcPr>
            <w:tcW w:w="870" w:type="dxa"/>
          </w:tcPr>
          <w:p w14:paraId="61DDC00F">
            <w:pPr>
              <w:widowControl/>
              <w:spacing w:line="440" w:lineRule="atLeast"/>
              <w:jc w:val="center"/>
              <w:rPr>
                <w:rFonts w:hint="eastAsia" w:ascii="宋体" w:hAnsi="宋体" w:eastAsia="宋体" w:cs="宋体"/>
                <w:color w:val="auto"/>
                <w:highlight w:val="none"/>
              </w:rPr>
            </w:pPr>
          </w:p>
        </w:tc>
        <w:tc>
          <w:tcPr>
            <w:tcW w:w="714" w:type="dxa"/>
          </w:tcPr>
          <w:p w14:paraId="61F14F59">
            <w:pPr>
              <w:widowControl/>
              <w:spacing w:line="440" w:lineRule="atLeast"/>
              <w:jc w:val="center"/>
              <w:rPr>
                <w:rFonts w:hint="eastAsia" w:ascii="宋体" w:hAnsi="宋体" w:eastAsia="宋体" w:cs="宋体"/>
                <w:color w:val="auto"/>
                <w:highlight w:val="none"/>
              </w:rPr>
            </w:pPr>
          </w:p>
        </w:tc>
      </w:tr>
      <w:tr w14:paraId="5D03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4F647D14">
            <w:pPr>
              <w:widowControl/>
              <w:spacing w:line="440" w:lineRule="atLeast"/>
              <w:jc w:val="center"/>
              <w:rPr>
                <w:rFonts w:hint="eastAsia" w:ascii="宋体" w:hAnsi="宋体" w:eastAsia="宋体" w:cs="宋体"/>
                <w:color w:val="auto"/>
                <w:highlight w:val="none"/>
              </w:rPr>
            </w:pPr>
          </w:p>
        </w:tc>
        <w:tc>
          <w:tcPr>
            <w:tcW w:w="990" w:type="dxa"/>
          </w:tcPr>
          <w:p w14:paraId="059150AC">
            <w:pPr>
              <w:widowControl/>
              <w:spacing w:line="440" w:lineRule="atLeast"/>
              <w:jc w:val="center"/>
              <w:rPr>
                <w:rFonts w:hint="eastAsia" w:ascii="宋体" w:hAnsi="宋体" w:eastAsia="宋体" w:cs="宋体"/>
                <w:color w:val="auto"/>
                <w:highlight w:val="none"/>
              </w:rPr>
            </w:pPr>
          </w:p>
        </w:tc>
        <w:tc>
          <w:tcPr>
            <w:tcW w:w="1020" w:type="dxa"/>
          </w:tcPr>
          <w:p w14:paraId="0BE965C4">
            <w:pPr>
              <w:widowControl/>
              <w:spacing w:line="440" w:lineRule="atLeast"/>
              <w:jc w:val="center"/>
              <w:rPr>
                <w:rFonts w:hint="eastAsia" w:ascii="宋体" w:hAnsi="宋体" w:eastAsia="宋体" w:cs="宋体"/>
                <w:color w:val="auto"/>
                <w:highlight w:val="none"/>
              </w:rPr>
            </w:pPr>
          </w:p>
        </w:tc>
        <w:tc>
          <w:tcPr>
            <w:tcW w:w="720" w:type="dxa"/>
          </w:tcPr>
          <w:p w14:paraId="112A5C09">
            <w:pPr>
              <w:widowControl/>
              <w:spacing w:line="440" w:lineRule="atLeast"/>
              <w:jc w:val="center"/>
              <w:rPr>
                <w:rFonts w:hint="eastAsia" w:ascii="宋体" w:hAnsi="宋体" w:eastAsia="宋体" w:cs="宋体"/>
                <w:color w:val="auto"/>
                <w:highlight w:val="none"/>
              </w:rPr>
            </w:pPr>
          </w:p>
        </w:tc>
        <w:tc>
          <w:tcPr>
            <w:tcW w:w="871" w:type="dxa"/>
          </w:tcPr>
          <w:p w14:paraId="69EDEEE3">
            <w:pPr>
              <w:widowControl/>
              <w:spacing w:line="440" w:lineRule="atLeast"/>
              <w:jc w:val="center"/>
              <w:rPr>
                <w:rFonts w:hint="eastAsia" w:ascii="宋体" w:hAnsi="宋体" w:eastAsia="宋体" w:cs="宋体"/>
                <w:color w:val="auto"/>
                <w:highlight w:val="none"/>
              </w:rPr>
            </w:pPr>
          </w:p>
        </w:tc>
        <w:tc>
          <w:tcPr>
            <w:tcW w:w="1134" w:type="dxa"/>
          </w:tcPr>
          <w:p w14:paraId="3B1E1E9A">
            <w:pPr>
              <w:widowControl/>
              <w:spacing w:line="440" w:lineRule="atLeast"/>
              <w:jc w:val="center"/>
              <w:rPr>
                <w:rFonts w:hint="eastAsia" w:ascii="宋体" w:hAnsi="宋体" w:eastAsia="宋体" w:cs="宋体"/>
                <w:color w:val="auto"/>
                <w:highlight w:val="none"/>
              </w:rPr>
            </w:pPr>
          </w:p>
        </w:tc>
        <w:tc>
          <w:tcPr>
            <w:tcW w:w="1130" w:type="dxa"/>
          </w:tcPr>
          <w:p w14:paraId="69D55191">
            <w:pPr>
              <w:widowControl/>
              <w:spacing w:line="440" w:lineRule="atLeast"/>
              <w:jc w:val="center"/>
              <w:rPr>
                <w:rFonts w:hint="eastAsia" w:ascii="宋体" w:hAnsi="宋体" w:eastAsia="宋体" w:cs="宋体"/>
                <w:color w:val="auto"/>
                <w:highlight w:val="none"/>
              </w:rPr>
            </w:pPr>
          </w:p>
        </w:tc>
        <w:tc>
          <w:tcPr>
            <w:tcW w:w="870" w:type="dxa"/>
          </w:tcPr>
          <w:p w14:paraId="00D6C11D">
            <w:pPr>
              <w:widowControl/>
              <w:spacing w:line="440" w:lineRule="atLeast"/>
              <w:jc w:val="center"/>
              <w:rPr>
                <w:rFonts w:hint="eastAsia" w:ascii="宋体" w:hAnsi="宋体" w:eastAsia="宋体" w:cs="宋体"/>
                <w:color w:val="auto"/>
                <w:highlight w:val="none"/>
              </w:rPr>
            </w:pPr>
          </w:p>
        </w:tc>
        <w:tc>
          <w:tcPr>
            <w:tcW w:w="714" w:type="dxa"/>
          </w:tcPr>
          <w:p w14:paraId="6E32C40F">
            <w:pPr>
              <w:widowControl/>
              <w:spacing w:line="440" w:lineRule="atLeast"/>
              <w:jc w:val="center"/>
              <w:rPr>
                <w:rFonts w:hint="eastAsia" w:ascii="宋体" w:hAnsi="宋体" w:eastAsia="宋体" w:cs="宋体"/>
                <w:color w:val="auto"/>
                <w:highlight w:val="none"/>
              </w:rPr>
            </w:pPr>
          </w:p>
        </w:tc>
      </w:tr>
      <w:tr w14:paraId="5A49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6B857139">
            <w:pPr>
              <w:widowControl/>
              <w:spacing w:line="440" w:lineRule="atLeast"/>
              <w:jc w:val="center"/>
              <w:rPr>
                <w:rFonts w:hint="eastAsia" w:ascii="宋体" w:hAnsi="宋体" w:eastAsia="宋体" w:cs="宋体"/>
                <w:color w:val="auto"/>
                <w:highlight w:val="none"/>
              </w:rPr>
            </w:pPr>
          </w:p>
        </w:tc>
        <w:tc>
          <w:tcPr>
            <w:tcW w:w="990" w:type="dxa"/>
          </w:tcPr>
          <w:p w14:paraId="05853004">
            <w:pPr>
              <w:widowControl/>
              <w:spacing w:line="440" w:lineRule="atLeast"/>
              <w:jc w:val="center"/>
              <w:rPr>
                <w:rFonts w:hint="eastAsia" w:ascii="宋体" w:hAnsi="宋体" w:eastAsia="宋体" w:cs="宋体"/>
                <w:color w:val="auto"/>
                <w:highlight w:val="none"/>
              </w:rPr>
            </w:pPr>
          </w:p>
        </w:tc>
        <w:tc>
          <w:tcPr>
            <w:tcW w:w="1020" w:type="dxa"/>
          </w:tcPr>
          <w:p w14:paraId="21EC01FA">
            <w:pPr>
              <w:widowControl/>
              <w:spacing w:line="440" w:lineRule="atLeast"/>
              <w:jc w:val="center"/>
              <w:rPr>
                <w:rFonts w:hint="eastAsia" w:ascii="宋体" w:hAnsi="宋体" w:eastAsia="宋体" w:cs="宋体"/>
                <w:color w:val="auto"/>
                <w:highlight w:val="none"/>
              </w:rPr>
            </w:pPr>
          </w:p>
        </w:tc>
        <w:tc>
          <w:tcPr>
            <w:tcW w:w="720" w:type="dxa"/>
          </w:tcPr>
          <w:p w14:paraId="138703A5">
            <w:pPr>
              <w:widowControl/>
              <w:spacing w:line="440" w:lineRule="atLeast"/>
              <w:jc w:val="center"/>
              <w:rPr>
                <w:rFonts w:hint="eastAsia" w:ascii="宋体" w:hAnsi="宋体" w:eastAsia="宋体" w:cs="宋体"/>
                <w:color w:val="auto"/>
                <w:highlight w:val="none"/>
              </w:rPr>
            </w:pPr>
          </w:p>
        </w:tc>
        <w:tc>
          <w:tcPr>
            <w:tcW w:w="871" w:type="dxa"/>
          </w:tcPr>
          <w:p w14:paraId="0E5BC71B">
            <w:pPr>
              <w:widowControl/>
              <w:spacing w:line="440" w:lineRule="atLeast"/>
              <w:jc w:val="center"/>
              <w:rPr>
                <w:rFonts w:hint="eastAsia" w:ascii="宋体" w:hAnsi="宋体" w:eastAsia="宋体" w:cs="宋体"/>
                <w:color w:val="auto"/>
                <w:highlight w:val="none"/>
              </w:rPr>
            </w:pPr>
          </w:p>
        </w:tc>
        <w:tc>
          <w:tcPr>
            <w:tcW w:w="1134" w:type="dxa"/>
          </w:tcPr>
          <w:p w14:paraId="5AC68D55">
            <w:pPr>
              <w:widowControl/>
              <w:spacing w:line="440" w:lineRule="atLeast"/>
              <w:jc w:val="center"/>
              <w:rPr>
                <w:rFonts w:hint="eastAsia" w:ascii="宋体" w:hAnsi="宋体" w:eastAsia="宋体" w:cs="宋体"/>
                <w:color w:val="auto"/>
                <w:highlight w:val="none"/>
              </w:rPr>
            </w:pPr>
          </w:p>
        </w:tc>
        <w:tc>
          <w:tcPr>
            <w:tcW w:w="1130" w:type="dxa"/>
          </w:tcPr>
          <w:p w14:paraId="4959A4A9">
            <w:pPr>
              <w:widowControl/>
              <w:spacing w:line="440" w:lineRule="atLeast"/>
              <w:jc w:val="center"/>
              <w:rPr>
                <w:rFonts w:hint="eastAsia" w:ascii="宋体" w:hAnsi="宋体" w:eastAsia="宋体" w:cs="宋体"/>
                <w:color w:val="auto"/>
                <w:highlight w:val="none"/>
              </w:rPr>
            </w:pPr>
          </w:p>
        </w:tc>
        <w:tc>
          <w:tcPr>
            <w:tcW w:w="870" w:type="dxa"/>
          </w:tcPr>
          <w:p w14:paraId="20686F10">
            <w:pPr>
              <w:widowControl/>
              <w:spacing w:line="440" w:lineRule="atLeast"/>
              <w:jc w:val="center"/>
              <w:rPr>
                <w:rFonts w:hint="eastAsia" w:ascii="宋体" w:hAnsi="宋体" w:eastAsia="宋体" w:cs="宋体"/>
                <w:color w:val="auto"/>
                <w:highlight w:val="none"/>
              </w:rPr>
            </w:pPr>
          </w:p>
        </w:tc>
        <w:tc>
          <w:tcPr>
            <w:tcW w:w="714" w:type="dxa"/>
          </w:tcPr>
          <w:p w14:paraId="32889DCE">
            <w:pPr>
              <w:widowControl/>
              <w:spacing w:line="440" w:lineRule="atLeast"/>
              <w:jc w:val="center"/>
              <w:rPr>
                <w:rFonts w:hint="eastAsia" w:ascii="宋体" w:hAnsi="宋体" w:eastAsia="宋体" w:cs="宋体"/>
                <w:color w:val="auto"/>
                <w:highlight w:val="none"/>
              </w:rPr>
            </w:pPr>
          </w:p>
        </w:tc>
      </w:tr>
      <w:tr w14:paraId="4BA1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25905441">
            <w:pPr>
              <w:widowControl/>
              <w:spacing w:line="440" w:lineRule="atLeast"/>
              <w:jc w:val="center"/>
              <w:rPr>
                <w:rFonts w:hint="eastAsia" w:ascii="宋体" w:hAnsi="宋体" w:eastAsia="宋体" w:cs="宋体"/>
                <w:color w:val="auto"/>
                <w:highlight w:val="none"/>
              </w:rPr>
            </w:pPr>
          </w:p>
        </w:tc>
        <w:tc>
          <w:tcPr>
            <w:tcW w:w="990" w:type="dxa"/>
          </w:tcPr>
          <w:p w14:paraId="706630D1">
            <w:pPr>
              <w:widowControl/>
              <w:spacing w:line="440" w:lineRule="atLeast"/>
              <w:jc w:val="center"/>
              <w:rPr>
                <w:rFonts w:hint="eastAsia" w:ascii="宋体" w:hAnsi="宋体" w:eastAsia="宋体" w:cs="宋体"/>
                <w:color w:val="auto"/>
                <w:highlight w:val="none"/>
              </w:rPr>
            </w:pPr>
          </w:p>
        </w:tc>
        <w:tc>
          <w:tcPr>
            <w:tcW w:w="1020" w:type="dxa"/>
          </w:tcPr>
          <w:p w14:paraId="39000484">
            <w:pPr>
              <w:widowControl/>
              <w:spacing w:line="440" w:lineRule="atLeast"/>
              <w:jc w:val="center"/>
              <w:rPr>
                <w:rFonts w:hint="eastAsia" w:ascii="宋体" w:hAnsi="宋体" w:eastAsia="宋体" w:cs="宋体"/>
                <w:color w:val="auto"/>
                <w:highlight w:val="none"/>
              </w:rPr>
            </w:pPr>
          </w:p>
        </w:tc>
        <w:tc>
          <w:tcPr>
            <w:tcW w:w="720" w:type="dxa"/>
          </w:tcPr>
          <w:p w14:paraId="58033E8E">
            <w:pPr>
              <w:widowControl/>
              <w:spacing w:line="440" w:lineRule="atLeast"/>
              <w:jc w:val="center"/>
              <w:rPr>
                <w:rFonts w:hint="eastAsia" w:ascii="宋体" w:hAnsi="宋体" w:eastAsia="宋体" w:cs="宋体"/>
                <w:color w:val="auto"/>
                <w:highlight w:val="none"/>
              </w:rPr>
            </w:pPr>
          </w:p>
        </w:tc>
        <w:tc>
          <w:tcPr>
            <w:tcW w:w="871" w:type="dxa"/>
          </w:tcPr>
          <w:p w14:paraId="7CA3A595">
            <w:pPr>
              <w:widowControl/>
              <w:spacing w:line="440" w:lineRule="atLeast"/>
              <w:jc w:val="center"/>
              <w:rPr>
                <w:rFonts w:hint="eastAsia" w:ascii="宋体" w:hAnsi="宋体" w:eastAsia="宋体" w:cs="宋体"/>
                <w:color w:val="auto"/>
                <w:highlight w:val="none"/>
              </w:rPr>
            </w:pPr>
          </w:p>
        </w:tc>
        <w:tc>
          <w:tcPr>
            <w:tcW w:w="1134" w:type="dxa"/>
          </w:tcPr>
          <w:p w14:paraId="33DCBC40">
            <w:pPr>
              <w:widowControl/>
              <w:spacing w:line="440" w:lineRule="atLeast"/>
              <w:jc w:val="center"/>
              <w:rPr>
                <w:rFonts w:hint="eastAsia" w:ascii="宋体" w:hAnsi="宋体" w:eastAsia="宋体" w:cs="宋体"/>
                <w:color w:val="auto"/>
                <w:highlight w:val="none"/>
              </w:rPr>
            </w:pPr>
          </w:p>
        </w:tc>
        <w:tc>
          <w:tcPr>
            <w:tcW w:w="1130" w:type="dxa"/>
          </w:tcPr>
          <w:p w14:paraId="409E82ED">
            <w:pPr>
              <w:widowControl/>
              <w:spacing w:line="440" w:lineRule="atLeast"/>
              <w:jc w:val="center"/>
              <w:rPr>
                <w:rFonts w:hint="eastAsia" w:ascii="宋体" w:hAnsi="宋体" w:eastAsia="宋体" w:cs="宋体"/>
                <w:color w:val="auto"/>
                <w:highlight w:val="none"/>
              </w:rPr>
            </w:pPr>
          </w:p>
        </w:tc>
        <w:tc>
          <w:tcPr>
            <w:tcW w:w="870" w:type="dxa"/>
          </w:tcPr>
          <w:p w14:paraId="6A43DACD">
            <w:pPr>
              <w:widowControl/>
              <w:spacing w:line="440" w:lineRule="atLeast"/>
              <w:jc w:val="center"/>
              <w:rPr>
                <w:rFonts w:hint="eastAsia" w:ascii="宋体" w:hAnsi="宋体" w:eastAsia="宋体" w:cs="宋体"/>
                <w:color w:val="auto"/>
                <w:highlight w:val="none"/>
              </w:rPr>
            </w:pPr>
          </w:p>
        </w:tc>
        <w:tc>
          <w:tcPr>
            <w:tcW w:w="714" w:type="dxa"/>
          </w:tcPr>
          <w:p w14:paraId="3194B582">
            <w:pPr>
              <w:widowControl/>
              <w:spacing w:line="440" w:lineRule="atLeast"/>
              <w:jc w:val="center"/>
              <w:rPr>
                <w:rFonts w:hint="eastAsia" w:ascii="宋体" w:hAnsi="宋体" w:eastAsia="宋体" w:cs="宋体"/>
                <w:color w:val="auto"/>
                <w:highlight w:val="none"/>
              </w:rPr>
            </w:pPr>
          </w:p>
        </w:tc>
      </w:tr>
      <w:tr w14:paraId="5321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7A0A01BC">
            <w:pPr>
              <w:widowControl/>
              <w:spacing w:line="440" w:lineRule="atLeast"/>
              <w:jc w:val="center"/>
              <w:rPr>
                <w:rFonts w:hint="eastAsia" w:ascii="宋体" w:hAnsi="宋体" w:eastAsia="宋体" w:cs="宋体"/>
                <w:color w:val="auto"/>
                <w:highlight w:val="none"/>
              </w:rPr>
            </w:pPr>
          </w:p>
        </w:tc>
        <w:tc>
          <w:tcPr>
            <w:tcW w:w="990" w:type="dxa"/>
          </w:tcPr>
          <w:p w14:paraId="7FA96C3B">
            <w:pPr>
              <w:widowControl/>
              <w:spacing w:line="440" w:lineRule="atLeast"/>
              <w:jc w:val="center"/>
              <w:rPr>
                <w:rFonts w:hint="eastAsia" w:ascii="宋体" w:hAnsi="宋体" w:eastAsia="宋体" w:cs="宋体"/>
                <w:color w:val="auto"/>
                <w:highlight w:val="none"/>
              </w:rPr>
            </w:pPr>
          </w:p>
        </w:tc>
        <w:tc>
          <w:tcPr>
            <w:tcW w:w="1020" w:type="dxa"/>
          </w:tcPr>
          <w:p w14:paraId="5EF00AFC">
            <w:pPr>
              <w:widowControl/>
              <w:spacing w:line="440" w:lineRule="atLeast"/>
              <w:jc w:val="center"/>
              <w:rPr>
                <w:rFonts w:hint="eastAsia" w:ascii="宋体" w:hAnsi="宋体" w:eastAsia="宋体" w:cs="宋体"/>
                <w:color w:val="auto"/>
                <w:highlight w:val="none"/>
              </w:rPr>
            </w:pPr>
          </w:p>
        </w:tc>
        <w:tc>
          <w:tcPr>
            <w:tcW w:w="720" w:type="dxa"/>
          </w:tcPr>
          <w:p w14:paraId="345A5F9A">
            <w:pPr>
              <w:widowControl/>
              <w:spacing w:line="440" w:lineRule="atLeast"/>
              <w:jc w:val="center"/>
              <w:rPr>
                <w:rFonts w:hint="eastAsia" w:ascii="宋体" w:hAnsi="宋体" w:eastAsia="宋体" w:cs="宋体"/>
                <w:color w:val="auto"/>
                <w:highlight w:val="none"/>
              </w:rPr>
            </w:pPr>
          </w:p>
        </w:tc>
        <w:tc>
          <w:tcPr>
            <w:tcW w:w="871" w:type="dxa"/>
          </w:tcPr>
          <w:p w14:paraId="0FDD4F61">
            <w:pPr>
              <w:widowControl/>
              <w:spacing w:line="440" w:lineRule="atLeast"/>
              <w:jc w:val="center"/>
              <w:rPr>
                <w:rFonts w:hint="eastAsia" w:ascii="宋体" w:hAnsi="宋体" w:eastAsia="宋体" w:cs="宋体"/>
                <w:color w:val="auto"/>
                <w:highlight w:val="none"/>
              </w:rPr>
            </w:pPr>
          </w:p>
        </w:tc>
        <w:tc>
          <w:tcPr>
            <w:tcW w:w="1134" w:type="dxa"/>
          </w:tcPr>
          <w:p w14:paraId="41EE3474">
            <w:pPr>
              <w:widowControl/>
              <w:spacing w:line="440" w:lineRule="atLeast"/>
              <w:jc w:val="center"/>
              <w:rPr>
                <w:rFonts w:hint="eastAsia" w:ascii="宋体" w:hAnsi="宋体" w:eastAsia="宋体" w:cs="宋体"/>
                <w:color w:val="auto"/>
                <w:highlight w:val="none"/>
              </w:rPr>
            </w:pPr>
          </w:p>
        </w:tc>
        <w:tc>
          <w:tcPr>
            <w:tcW w:w="1130" w:type="dxa"/>
          </w:tcPr>
          <w:p w14:paraId="2D5E9D99">
            <w:pPr>
              <w:widowControl/>
              <w:spacing w:line="440" w:lineRule="atLeast"/>
              <w:jc w:val="center"/>
              <w:rPr>
                <w:rFonts w:hint="eastAsia" w:ascii="宋体" w:hAnsi="宋体" w:eastAsia="宋体" w:cs="宋体"/>
                <w:color w:val="auto"/>
                <w:highlight w:val="none"/>
              </w:rPr>
            </w:pPr>
          </w:p>
        </w:tc>
        <w:tc>
          <w:tcPr>
            <w:tcW w:w="870" w:type="dxa"/>
          </w:tcPr>
          <w:p w14:paraId="1ECA1168">
            <w:pPr>
              <w:widowControl/>
              <w:spacing w:line="440" w:lineRule="atLeast"/>
              <w:jc w:val="center"/>
              <w:rPr>
                <w:rFonts w:hint="eastAsia" w:ascii="宋体" w:hAnsi="宋体" w:eastAsia="宋体" w:cs="宋体"/>
                <w:color w:val="auto"/>
                <w:highlight w:val="none"/>
              </w:rPr>
            </w:pPr>
          </w:p>
        </w:tc>
        <w:tc>
          <w:tcPr>
            <w:tcW w:w="714" w:type="dxa"/>
          </w:tcPr>
          <w:p w14:paraId="4CD01D03">
            <w:pPr>
              <w:widowControl/>
              <w:spacing w:line="440" w:lineRule="atLeast"/>
              <w:jc w:val="center"/>
              <w:rPr>
                <w:rFonts w:hint="eastAsia" w:ascii="宋体" w:hAnsi="宋体" w:eastAsia="宋体" w:cs="宋体"/>
                <w:color w:val="auto"/>
                <w:highlight w:val="none"/>
              </w:rPr>
            </w:pPr>
          </w:p>
        </w:tc>
      </w:tr>
      <w:tr w14:paraId="64F7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4854D551">
            <w:pPr>
              <w:widowControl/>
              <w:spacing w:line="440" w:lineRule="atLeast"/>
              <w:jc w:val="center"/>
              <w:rPr>
                <w:rFonts w:hint="eastAsia" w:ascii="宋体" w:hAnsi="宋体" w:eastAsia="宋体" w:cs="宋体"/>
                <w:color w:val="auto"/>
                <w:highlight w:val="none"/>
              </w:rPr>
            </w:pPr>
          </w:p>
        </w:tc>
        <w:tc>
          <w:tcPr>
            <w:tcW w:w="990" w:type="dxa"/>
          </w:tcPr>
          <w:p w14:paraId="540BFBDC">
            <w:pPr>
              <w:widowControl/>
              <w:spacing w:line="440" w:lineRule="atLeast"/>
              <w:jc w:val="center"/>
              <w:rPr>
                <w:rFonts w:hint="eastAsia" w:ascii="宋体" w:hAnsi="宋体" w:eastAsia="宋体" w:cs="宋体"/>
                <w:color w:val="auto"/>
                <w:highlight w:val="none"/>
              </w:rPr>
            </w:pPr>
          </w:p>
        </w:tc>
        <w:tc>
          <w:tcPr>
            <w:tcW w:w="1020" w:type="dxa"/>
          </w:tcPr>
          <w:p w14:paraId="2C0E060F">
            <w:pPr>
              <w:widowControl/>
              <w:spacing w:line="440" w:lineRule="atLeast"/>
              <w:jc w:val="center"/>
              <w:rPr>
                <w:rFonts w:hint="eastAsia" w:ascii="宋体" w:hAnsi="宋体" w:eastAsia="宋体" w:cs="宋体"/>
                <w:color w:val="auto"/>
                <w:highlight w:val="none"/>
              </w:rPr>
            </w:pPr>
          </w:p>
        </w:tc>
        <w:tc>
          <w:tcPr>
            <w:tcW w:w="720" w:type="dxa"/>
          </w:tcPr>
          <w:p w14:paraId="77007670">
            <w:pPr>
              <w:widowControl/>
              <w:spacing w:line="440" w:lineRule="atLeast"/>
              <w:jc w:val="center"/>
              <w:rPr>
                <w:rFonts w:hint="eastAsia" w:ascii="宋体" w:hAnsi="宋体" w:eastAsia="宋体" w:cs="宋体"/>
                <w:color w:val="auto"/>
                <w:highlight w:val="none"/>
              </w:rPr>
            </w:pPr>
          </w:p>
        </w:tc>
        <w:tc>
          <w:tcPr>
            <w:tcW w:w="871" w:type="dxa"/>
          </w:tcPr>
          <w:p w14:paraId="3199430C">
            <w:pPr>
              <w:widowControl/>
              <w:spacing w:line="440" w:lineRule="atLeast"/>
              <w:jc w:val="center"/>
              <w:rPr>
                <w:rFonts w:hint="eastAsia" w:ascii="宋体" w:hAnsi="宋体" w:eastAsia="宋体" w:cs="宋体"/>
                <w:color w:val="auto"/>
                <w:highlight w:val="none"/>
              </w:rPr>
            </w:pPr>
          </w:p>
        </w:tc>
        <w:tc>
          <w:tcPr>
            <w:tcW w:w="1134" w:type="dxa"/>
          </w:tcPr>
          <w:p w14:paraId="17FA2163">
            <w:pPr>
              <w:widowControl/>
              <w:spacing w:line="440" w:lineRule="atLeast"/>
              <w:jc w:val="center"/>
              <w:rPr>
                <w:rFonts w:hint="eastAsia" w:ascii="宋体" w:hAnsi="宋体" w:eastAsia="宋体" w:cs="宋体"/>
                <w:color w:val="auto"/>
                <w:highlight w:val="none"/>
              </w:rPr>
            </w:pPr>
          </w:p>
        </w:tc>
        <w:tc>
          <w:tcPr>
            <w:tcW w:w="1130" w:type="dxa"/>
          </w:tcPr>
          <w:p w14:paraId="4232EA5F">
            <w:pPr>
              <w:widowControl/>
              <w:spacing w:line="440" w:lineRule="atLeast"/>
              <w:jc w:val="center"/>
              <w:rPr>
                <w:rFonts w:hint="eastAsia" w:ascii="宋体" w:hAnsi="宋体" w:eastAsia="宋体" w:cs="宋体"/>
                <w:color w:val="auto"/>
                <w:highlight w:val="none"/>
              </w:rPr>
            </w:pPr>
          </w:p>
        </w:tc>
        <w:tc>
          <w:tcPr>
            <w:tcW w:w="870" w:type="dxa"/>
          </w:tcPr>
          <w:p w14:paraId="4B5D115B">
            <w:pPr>
              <w:widowControl/>
              <w:spacing w:line="440" w:lineRule="atLeast"/>
              <w:jc w:val="center"/>
              <w:rPr>
                <w:rFonts w:hint="eastAsia" w:ascii="宋体" w:hAnsi="宋体" w:eastAsia="宋体" w:cs="宋体"/>
                <w:color w:val="auto"/>
                <w:highlight w:val="none"/>
              </w:rPr>
            </w:pPr>
          </w:p>
        </w:tc>
        <w:tc>
          <w:tcPr>
            <w:tcW w:w="714" w:type="dxa"/>
          </w:tcPr>
          <w:p w14:paraId="65D457F4">
            <w:pPr>
              <w:widowControl/>
              <w:spacing w:line="440" w:lineRule="atLeast"/>
              <w:jc w:val="center"/>
              <w:rPr>
                <w:rFonts w:hint="eastAsia" w:ascii="宋体" w:hAnsi="宋体" w:eastAsia="宋体" w:cs="宋体"/>
                <w:color w:val="auto"/>
                <w:highlight w:val="none"/>
              </w:rPr>
            </w:pPr>
          </w:p>
        </w:tc>
      </w:tr>
      <w:tr w14:paraId="4B3B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4F7B457E">
            <w:pPr>
              <w:widowControl/>
              <w:spacing w:line="440" w:lineRule="atLeast"/>
              <w:jc w:val="center"/>
              <w:rPr>
                <w:rFonts w:hint="eastAsia" w:ascii="宋体" w:hAnsi="宋体" w:eastAsia="宋体" w:cs="宋体"/>
                <w:color w:val="auto"/>
                <w:highlight w:val="none"/>
              </w:rPr>
            </w:pPr>
          </w:p>
        </w:tc>
        <w:tc>
          <w:tcPr>
            <w:tcW w:w="990" w:type="dxa"/>
          </w:tcPr>
          <w:p w14:paraId="71FF2E26">
            <w:pPr>
              <w:widowControl/>
              <w:spacing w:line="440" w:lineRule="atLeast"/>
              <w:jc w:val="center"/>
              <w:rPr>
                <w:rFonts w:hint="eastAsia" w:ascii="宋体" w:hAnsi="宋体" w:eastAsia="宋体" w:cs="宋体"/>
                <w:color w:val="auto"/>
                <w:highlight w:val="none"/>
              </w:rPr>
            </w:pPr>
          </w:p>
        </w:tc>
        <w:tc>
          <w:tcPr>
            <w:tcW w:w="1020" w:type="dxa"/>
          </w:tcPr>
          <w:p w14:paraId="5DB3D4D6">
            <w:pPr>
              <w:widowControl/>
              <w:spacing w:line="440" w:lineRule="atLeast"/>
              <w:jc w:val="center"/>
              <w:rPr>
                <w:rFonts w:hint="eastAsia" w:ascii="宋体" w:hAnsi="宋体" w:eastAsia="宋体" w:cs="宋体"/>
                <w:color w:val="auto"/>
                <w:highlight w:val="none"/>
              </w:rPr>
            </w:pPr>
          </w:p>
        </w:tc>
        <w:tc>
          <w:tcPr>
            <w:tcW w:w="720" w:type="dxa"/>
          </w:tcPr>
          <w:p w14:paraId="42C2E089">
            <w:pPr>
              <w:widowControl/>
              <w:spacing w:line="440" w:lineRule="atLeast"/>
              <w:jc w:val="center"/>
              <w:rPr>
                <w:rFonts w:hint="eastAsia" w:ascii="宋体" w:hAnsi="宋体" w:eastAsia="宋体" w:cs="宋体"/>
                <w:color w:val="auto"/>
                <w:highlight w:val="none"/>
              </w:rPr>
            </w:pPr>
          </w:p>
        </w:tc>
        <w:tc>
          <w:tcPr>
            <w:tcW w:w="871" w:type="dxa"/>
          </w:tcPr>
          <w:p w14:paraId="133352C1">
            <w:pPr>
              <w:widowControl/>
              <w:spacing w:line="440" w:lineRule="atLeast"/>
              <w:jc w:val="center"/>
              <w:rPr>
                <w:rFonts w:hint="eastAsia" w:ascii="宋体" w:hAnsi="宋体" w:eastAsia="宋体" w:cs="宋体"/>
                <w:color w:val="auto"/>
                <w:highlight w:val="none"/>
              </w:rPr>
            </w:pPr>
          </w:p>
        </w:tc>
        <w:tc>
          <w:tcPr>
            <w:tcW w:w="1134" w:type="dxa"/>
          </w:tcPr>
          <w:p w14:paraId="41968562">
            <w:pPr>
              <w:widowControl/>
              <w:spacing w:line="440" w:lineRule="atLeast"/>
              <w:jc w:val="center"/>
              <w:rPr>
                <w:rFonts w:hint="eastAsia" w:ascii="宋体" w:hAnsi="宋体" w:eastAsia="宋体" w:cs="宋体"/>
                <w:color w:val="auto"/>
                <w:highlight w:val="none"/>
              </w:rPr>
            </w:pPr>
          </w:p>
        </w:tc>
        <w:tc>
          <w:tcPr>
            <w:tcW w:w="1130" w:type="dxa"/>
          </w:tcPr>
          <w:p w14:paraId="2BEEC13A">
            <w:pPr>
              <w:widowControl/>
              <w:spacing w:line="440" w:lineRule="atLeast"/>
              <w:jc w:val="center"/>
              <w:rPr>
                <w:rFonts w:hint="eastAsia" w:ascii="宋体" w:hAnsi="宋体" w:eastAsia="宋体" w:cs="宋体"/>
                <w:color w:val="auto"/>
                <w:highlight w:val="none"/>
              </w:rPr>
            </w:pPr>
          </w:p>
        </w:tc>
        <w:tc>
          <w:tcPr>
            <w:tcW w:w="870" w:type="dxa"/>
          </w:tcPr>
          <w:p w14:paraId="0CA85B94">
            <w:pPr>
              <w:widowControl/>
              <w:spacing w:line="440" w:lineRule="atLeast"/>
              <w:jc w:val="center"/>
              <w:rPr>
                <w:rFonts w:hint="eastAsia" w:ascii="宋体" w:hAnsi="宋体" w:eastAsia="宋体" w:cs="宋体"/>
                <w:color w:val="auto"/>
                <w:highlight w:val="none"/>
              </w:rPr>
            </w:pPr>
          </w:p>
        </w:tc>
        <w:tc>
          <w:tcPr>
            <w:tcW w:w="714" w:type="dxa"/>
          </w:tcPr>
          <w:p w14:paraId="639B3689">
            <w:pPr>
              <w:widowControl/>
              <w:spacing w:line="440" w:lineRule="atLeast"/>
              <w:jc w:val="center"/>
              <w:rPr>
                <w:rFonts w:hint="eastAsia" w:ascii="宋体" w:hAnsi="宋体" w:eastAsia="宋体" w:cs="宋体"/>
                <w:color w:val="auto"/>
                <w:highlight w:val="none"/>
              </w:rPr>
            </w:pPr>
          </w:p>
        </w:tc>
      </w:tr>
      <w:tr w14:paraId="7490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7B882F91">
            <w:pPr>
              <w:widowControl/>
              <w:spacing w:line="440" w:lineRule="atLeast"/>
              <w:jc w:val="center"/>
              <w:rPr>
                <w:rFonts w:hint="eastAsia" w:ascii="宋体" w:hAnsi="宋体" w:eastAsia="宋体" w:cs="宋体"/>
                <w:color w:val="auto"/>
                <w:highlight w:val="none"/>
              </w:rPr>
            </w:pPr>
          </w:p>
        </w:tc>
        <w:tc>
          <w:tcPr>
            <w:tcW w:w="990" w:type="dxa"/>
          </w:tcPr>
          <w:p w14:paraId="72D8BAA8">
            <w:pPr>
              <w:widowControl/>
              <w:spacing w:line="440" w:lineRule="atLeast"/>
              <w:jc w:val="center"/>
              <w:rPr>
                <w:rFonts w:hint="eastAsia" w:ascii="宋体" w:hAnsi="宋体" w:eastAsia="宋体" w:cs="宋体"/>
                <w:color w:val="auto"/>
                <w:highlight w:val="none"/>
              </w:rPr>
            </w:pPr>
          </w:p>
        </w:tc>
        <w:tc>
          <w:tcPr>
            <w:tcW w:w="1020" w:type="dxa"/>
          </w:tcPr>
          <w:p w14:paraId="4F1FD426">
            <w:pPr>
              <w:widowControl/>
              <w:spacing w:line="440" w:lineRule="atLeast"/>
              <w:jc w:val="center"/>
              <w:rPr>
                <w:rFonts w:hint="eastAsia" w:ascii="宋体" w:hAnsi="宋体" w:eastAsia="宋体" w:cs="宋体"/>
                <w:color w:val="auto"/>
                <w:highlight w:val="none"/>
              </w:rPr>
            </w:pPr>
          </w:p>
        </w:tc>
        <w:tc>
          <w:tcPr>
            <w:tcW w:w="720" w:type="dxa"/>
          </w:tcPr>
          <w:p w14:paraId="0FCD7610">
            <w:pPr>
              <w:widowControl/>
              <w:spacing w:line="440" w:lineRule="atLeast"/>
              <w:jc w:val="center"/>
              <w:rPr>
                <w:rFonts w:hint="eastAsia" w:ascii="宋体" w:hAnsi="宋体" w:eastAsia="宋体" w:cs="宋体"/>
                <w:color w:val="auto"/>
                <w:highlight w:val="none"/>
              </w:rPr>
            </w:pPr>
          </w:p>
        </w:tc>
        <w:tc>
          <w:tcPr>
            <w:tcW w:w="871" w:type="dxa"/>
          </w:tcPr>
          <w:p w14:paraId="37A45EE6">
            <w:pPr>
              <w:widowControl/>
              <w:spacing w:line="440" w:lineRule="atLeast"/>
              <w:jc w:val="center"/>
              <w:rPr>
                <w:rFonts w:hint="eastAsia" w:ascii="宋体" w:hAnsi="宋体" w:eastAsia="宋体" w:cs="宋体"/>
                <w:color w:val="auto"/>
                <w:highlight w:val="none"/>
              </w:rPr>
            </w:pPr>
          </w:p>
        </w:tc>
        <w:tc>
          <w:tcPr>
            <w:tcW w:w="1134" w:type="dxa"/>
          </w:tcPr>
          <w:p w14:paraId="3D60190E">
            <w:pPr>
              <w:widowControl/>
              <w:spacing w:line="440" w:lineRule="atLeast"/>
              <w:jc w:val="center"/>
              <w:rPr>
                <w:rFonts w:hint="eastAsia" w:ascii="宋体" w:hAnsi="宋体" w:eastAsia="宋体" w:cs="宋体"/>
                <w:color w:val="auto"/>
                <w:highlight w:val="none"/>
              </w:rPr>
            </w:pPr>
          </w:p>
        </w:tc>
        <w:tc>
          <w:tcPr>
            <w:tcW w:w="1130" w:type="dxa"/>
          </w:tcPr>
          <w:p w14:paraId="658D6787">
            <w:pPr>
              <w:widowControl/>
              <w:spacing w:line="440" w:lineRule="atLeast"/>
              <w:jc w:val="center"/>
              <w:rPr>
                <w:rFonts w:hint="eastAsia" w:ascii="宋体" w:hAnsi="宋体" w:eastAsia="宋体" w:cs="宋体"/>
                <w:color w:val="auto"/>
                <w:highlight w:val="none"/>
              </w:rPr>
            </w:pPr>
          </w:p>
        </w:tc>
        <w:tc>
          <w:tcPr>
            <w:tcW w:w="870" w:type="dxa"/>
          </w:tcPr>
          <w:p w14:paraId="7646C662">
            <w:pPr>
              <w:widowControl/>
              <w:spacing w:line="440" w:lineRule="atLeast"/>
              <w:jc w:val="center"/>
              <w:rPr>
                <w:rFonts w:hint="eastAsia" w:ascii="宋体" w:hAnsi="宋体" w:eastAsia="宋体" w:cs="宋体"/>
                <w:color w:val="auto"/>
                <w:highlight w:val="none"/>
              </w:rPr>
            </w:pPr>
          </w:p>
        </w:tc>
        <w:tc>
          <w:tcPr>
            <w:tcW w:w="714" w:type="dxa"/>
          </w:tcPr>
          <w:p w14:paraId="2DDC0985">
            <w:pPr>
              <w:widowControl/>
              <w:spacing w:line="440" w:lineRule="atLeast"/>
              <w:jc w:val="center"/>
              <w:rPr>
                <w:rFonts w:hint="eastAsia" w:ascii="宋体" w:hAnsi="宋体" w:eastAsia="宋体" w:cs="宋体"/>
                <w:color w:val="auto"/>
                <w:highlight w:val="none"/>
              </w:rPr>
            </w:pPr>
          </w:p>
        </w:tc>
      </w:tr>
      <w:tr w14:paraId="4D3D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135E3D9F">
            <w:pPr>
              <w:widowControl/>
              <w:spacing w:line="440" w:lineRule="atLeast"/>
              <w:jc w:val="center"/>
              <w:rPr>
                <w:rFonts w:hint="eastAsia" w:ascii="宋体" w:hAnsi="宋体" w:eastAsia="宋体" w:cs="宋体"/>
                <w:color w:val="auto"/>
                <w:highlight w:val="none"/>
              </w:rPr>
            </w:pPr>
          </w:p>
        </w:tc>
        <w:tc>
          <w:tcPr>
            <w:tcW w:w="990" w:type="dxa"/>
          </w:tcPr>
          <w:p w14:paraId="351CD2CB">
            <w:pPr>
              <w:widowControl/>
              <w:spacing w:line="440" w:lineRule="atLeast"/>
              <w:jc w:val="center"/>
              <w:rPr>
                <w:rFonts w:hint="eastAsia" w:ascii="宋体" w:hAnsi="宋体" w:eastAsia="宋体" w:cs="宋体"/>
                <w:color w:val="auto"/>
                <w:highlight w:val="none"/>
              </w:rPr>
            </w:pPr>
          </w:p>
        </w:tc>
        <w:tc>
          <w:tcPr>
            <w:tcW w:w="1020" w:type="dxa"/>
          </w:tcPr>
          <w:p w14:paraId="3C713F96">
            <w:pPr>
              <w:widowControl/>
              <w:spacing w:line="440" w:lineRule="atLeast"/>
              <w:jc w:val="center"/>
              <w:rPr>
                <w:rFonts w:hint="eastAsia" w:ascii="宋体" w:hAnsi="宋体" w:eastAsia="宋体" w:cs="宋体"/>
                <w:color w:val="auto"/>
                <w:highlight w:val="none"/>
              </w:rPr>
            </w:pPr>
          </w:p>
        </w:tc>
        <w:tc>
          <w:tcPr>
            <w:tcW w:w="720" w:type="dxa"/>
          </w:tcPr>
          <w:p w14:paraId="0EB31AA9">
            <w:pPr>
              <w:widowControl/>
              <w:spacing w:line="440" w:lineRule="atLeast"/>
              <w:jc w:val="center"/>
              <w:rPr>
                <w:rFonts w:hint="eastAsia" w:ascii="宋体" w:hAnsi="宋体" w:eastAsia="宋体" w:cs="宋体"/>
                <w:color w:val="auto"/>
                <w:highlight w:val="none"/>
              </w:rPr>
            </w:pPr>
          </w:p>
        </w:tc>
        <w:tc>
          <w:tcPr>
            <w:tcW w:w="871" w:type="dxa"/>
          </w:tcPr>
          <w:p w14:paraId="1909CE9C">
            <w:pPr>
              <w:widowControl/>
              <w:spacing w:line="440" w:lineRule="atLeast"/>
              <w:jc w:val="center"/>
              <w:rPr>
                <w:rFonts w:hint="eastAsia" w:ascii="宋体" w:hAnsi="宋体" w:eastAsia="宋体" w:cs="宋体"/>
                <w:color w:val="auto"/>
                <w:highlight w:val="none"/>
              </w:rPr>
            </w:pPr>
          </w:p>
        </w:tc>
        <w:tc>
          <w:tcPr>
            <w:tcW w:w="1134" w:type="dxa"/>
          </w:tcPr>
          <w:p w14:paraId="1172EE59">
            <w:pPr>
              <w:widowControl/>
              <w:spacing w:line="440" w:lineRule="atLeast"/>
              <w:jc w:val="center"/>
              <w:rPr>
                <w:rFonts w:hint="eastAsia" w:ascii="宋体" w:hAnsi="宋体" w:eastAsia="宋体" w:cs="宋体"/>
                <w:color w:val="auto"/>
                <w:highlight w:val="none"/>
              </w:rPr>
            </w:pPr>
          </w:p>
        </w:tc>
        <w:tc>
          <w:tcPr>
            <w:tcW w:w="1130" w:type="dxa"/>
          </w:tcPr>
          <w:p w14:paraId="0071D94A">
            <w:pPr>
              <w:widowControl/>
              <w:spacing w:line="440" w:lineRule="atLeast"/>
              <w:jc w:val="center"/>
              <w:rPr>
                <w:rFonts w:hint="eastAsia" w:ascii="宋体" w:hAnsi="宋体" w:eastAsia="宋体" w:cs="宋体"/>
                <w:color w:val="auto"/>
                <w:highlight w:val="none"/>
              </w:rPr>
            </w:pPr>
          </w:p>
        </w:tc>
        <w:tc>
          <w:tcPr>
            <w:tcW w:w="870" w:type="dxa"/>
          </w:tcPr>
          <w:p w14:paraId="589BDBE0">
            <w:pPr>
              <w:widowControl/>
              <w:spacing w:line="440" w:lineRule="atLeast"/>
              <w:jc w:val="center"/>
              <w:rPr>
                <w:rFonts w:hint="eastAsia" w:ascii="宋体" w:hAnsi="宋体" w:eastAsia="宋体" w:cs="宋体"/>
                <w:color w:val="auto"/>
                <w:highlight w:val="none"/>
              </w:rPr>
            </w:pPr>
          </w:p>
        </w:tc>
        <w:tc>
          <w:tcPr>
            <w:tcW w:w="714" w:type="dxa"/>
          </w:tcPr>
          <w:p w14:paraId="669D42D5">
            <w:pPr>
              <w:widowControl/>
              <w:spacing w:line="440" w:lineRule="atLeast"/>
              <w:jc w:val="center"/>
              <w:rPr>
                <w:rFonts w:hint="eastAsia" w:ascii="宋体" w:hAnsi="宋体" w:eastAsia="宋体" w:cs="宋体"/>
                <w:color w:val="auto"/>
                <w:highlight w:val="none"/>
              </w:rPr>
            </w:pPr>
          </w:p>
        </w:tc>
      </w:tr>
      <w:tr w14:paraId="494E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1D294764">
            <w:pPr>
              <w:widowControl/>
              <w:spacing w:line="440" w:lineRule="atLeast"/>
              <w:jc w:val="center"/>
              <w:rPr>
                <w:rFonts w:hint="eastAsia" w:ascii="宋体" w:hAnsi="宋体" w:eastAsia="宋体" w:cs="宋体"/>
                <w:color w:val="auto"/>
                <w:highlight w:val="none"/>
              </w:rPr>
            </w:pPr>
          </w:p>
        </w:tc>
        <w:tc>
          <w:tcPr>
            <w:tcW w:w="990" w:type="dxa"/>
          </w:tcPr>
          <w:p w14:paraId="2A6FF47C">
            <w:pPr>
              <w:widowControl/>
              <w:spacing w:line="440" w:lineRule="atLeast"/>
              <w:jc w:val="center"/>
              <w:rPr>
                <w:rFonts w:hint="eastAsia" w:ascii="宋体" w:hAnsi="宋体" w:eastAsia="宋体" w:cs="宋体"/>
                <w:color w:val="auto"/>
                <w:highlight w:val="none"/>
              </w:rPr>
            </w:pPr>
          </w:p>
        </w:tc>
        <w:tc>
          <w:tcPr>
            <w:tcW w:w="1020" w:type="dxa"/>
          </w:tcPr>
          <w:p w14:paraId="27C03116">
            <w:pPr>
              <w:widowControl/>
              <w:spacing w:line="440" w:lineRule="atLeast"/>
              <w:jc w:val="center"/>
              <w:rPr>
                <w:rFonts w:hint="eastAsia" w:ascii="宋体" w:hAnsi="宋体" w:eastAsia="宋体" w:cs="宋体"/>
                <w:color w:val="auto"/>
                <w:highlight w:val="none"/>
              </w:rPr>
            </w:pPr>
          </w:p>
        </w:tc>
        <w:tc>
          <w:tcPr>
            <w:tcW w:w="720" w:type="dxa"/>
          </w:tcPr>
          <w:p w14:paraId="48EC9DCD">
            <w:pPr>
              <w:widowControl/>
              <w:spacing w:line="440" w:lineRule="atLeast"/>
              <w:jc w:val="center"/>
              <w:rPr>
                <w:rFonts w:hint="eastAsia" w:ascii="宋体" w:hAnsi="宋体" w:eastAsia="宋体" w:cs="宋体"/>
                <w:color w:val="auto"/>
                <w:highlight w:val="none"/>
              </w:rPr>
            </w:pPr>
          </w:p>
        </w:tc>
        <w:tc>
          <w:tcPr>
            <w:tcW w:w="871" w:type="dxa"/>
          </w:tcPr>
          <w:p w14:paraId="229F643B">
            <w:pPr>
              <w:widowControl/>
              <w:spacing w:line="440" w:lineRule="atLeast"/>
              <w:jc w:val="center"/>
              <w:rPr>
                <w:rFonts w:hint="eastAsia" w:ascii="宋体" w:hAnsi="宋体" w:eastAsia="宋体" w:cs="宋体"/>
                <w:color w:val="auto"/>
                <w:highlight w:val="none"/>
              </w:rPr>
            </w:pPr>
          </w:p>
        </w:tc>
        <w:tc>
          <w:tcPr>
            <w:tcW w:w="1134" w:type="dxa"/>
          </w:tcPr>
          <w:p w14:paraId="211FE327">
            <w:pPr>
              <w:widowControl/>
              <w:spacing w:line="440" w:lineRule="atLeast"/>
              <w:jc w:val="center"/>
              <w:rPr>
                <w:rFonts w:hint="eastAsia" w:ascii="宋体" w:hAnsi="宋体" w:eastAsia="宋体" w:cs="宋体"/>
                <w:color w:val="auto"/>
                <w:highlight w:val="none"/>
              </w:rPr>
            </w:pPr>
          </w:p>
        </w:tc>
        <w:tc>
          <w:tcPr>
            <w:tcW w:w="1130" w:type="dxa"/>
          </w:tcPr>
          <w:p w14:paraId="261FCE86">
            <w:pPr>
              <w:widowControl/>
              <w:spacing w:line="440" w:lineRule="atLeast"/>
              <w:jc w:val="center"/>
              <w:rPr>
                <w:rFonts w:hint="eastAsia" w:ascii="宋体" w:hAnsi="宋体" w:eastAsia="宋体" w:cs="宋体"/>
                <w:color w:val="auto"/>
                <w:highlight w:val="none"/>
              </w:rPr>
            </w:pPr>
          </w:p>
        </w:tc>
        <w:tc>
          <w:tcPr>
            <w:tcW w:w="870" w:type="dxa"/>
          </w:tcPr>
          <w:p w14:paraId="7CFA0FA9">
            <w:pPr>
              <w:widowControl/>
              <w:spacing w:line="440" w:lineRule="atLeast"/>
              <w:jc w:val="center"/>
              <w:rPr>
                <w:rFonts w:hint="eastAsia" w:ascii="宋体" w:hAnsi="宋体" w:eastAsia="宋体" w:cs="宋体"/>
                <w:color w:val="auto"/>
                <w:highlight w:val="none"/>
              </w:rPr>
            </w:pPr>
          </w:p>
        </w:tc>
        <w:tc>
          <w:tcPr>
            <w:tcW w:w="714" w:type="dxa"/>
          </w:tcPr>
          <w:p w14:paraId="176E9EC1">
            <w:pPr>
              <w:widowControl/>
              <w:spacing w:line="440" w:lineRule="atLeast"/>
              <w:jc w:val="center"/>
              <w:rPr>
                <w:rFonts w:hint="eastAsia" w:ascii="宋体" w:hAnsi="宋体" w:eastAsia="宋体" w:cs="宋体"/>
                <w:color w:val="auto"/>
                <w:highlight w:val="none"/>
              </w:rPr>
            </w:pPr>
          </w:p>
        </w:tc>
      </w:tr>
      <w:tr w14:paraId="1A22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7B8A39FB">
            <w:pPr>
              <w:widowControl/>
              <w:spacing w:line="440" w:lineRule="atLeast"/>
              <w:jc w:val="center"/>
              <w:rPr>
                <w:rFonts w:hint="eastAsia" w:ascii="宋体" w:hAnsi="宋体" w:eastAsia="宋体" w:cs="宋体"/>
                <w:color w:val="auto"/>
                <w:highlight w:val="none"/>
              </w:rPr>
            </w:pPr>
          </w:p>
        </w:tc>
        <w:tc>
          <w:tcPr>
            <w:tcW w:w="990" w:type="dxa"/>
          </w:tcPr>
          <w:p w14:paraId="25748A1A">
            <w:pPr>
              <w:widowControl/>
              <w:spacing w:line="440" w:lineRule="atLeast"/>
              <w:jc w:val="center"/>
              <w:rPr>
                <w:rFonts w:hint="eastAsia" w:ascii="宋体" w:hAnsi="宋体" w:eastAsia="宋体" w:cs="宋体"/>
                <w:color w:val="auto"/>
                <w:highlight w:val="none"/>
              </w:rPr>
            </w:pPr>
          </w:p>
        </w:tc>
        <w:tc>
          <w:tcPr>
            <w:tcW w:w="1020" w:type="dxa"/>
          </w:tcPr>
          <w:p w14:paraId="7F5D549C">
            <w:pPr>
              <w:widowControl/>
              <w:spacing w:line="440" w:lineRule="atLeast"/>
              <w:jc w:val="center"/>
              <w:rPr>
                <w:rFonts w:hint="eastAsia" w:ascii="宋体" w:hAnsi="宋体" w:eastAsia="宋体" w:cs="宋体"/>
                <w:color w:val="auto"/>
                <w:highlight w:val="none"/>
              </w:rPr>
            </w:pPr>
          </w:p>
        </w:tc>
        <w:tc>
          <w:tcPr>
            <w:tcW w:w="720" w:type="dxa"/>
          </w:tcPr>
          <w:p w14:paraId="4BE6F3A5">
            <w:pPr>
              <w:widowControl/>
              <w:spacing w:line="440" w:lineRule="atLeast"/>
              <w:jc w:val="center"/>
              <w:rPr>
                <w:rFonts w:hint="eastAsia" w:ascii="宋体" w:hAnsi="宋体" w:eastAsia="宋体" w:cs="宋体"/>
                <w:color w:val="auto"/>
                <w:highlight w:val="none"/>
              </w:rPr>
            </w:pPr>
          </w:p>
        </w:tc>
        <w:tc>
          <w:tcPr>
            <w:tcW w:w="871" w:type="dxa"/>
          </w:tcPr>
          <w:p w14:paraId="413145E6">
            <w:pPr>
              <w:widowControl/>
              <w:spacing w:line="440" w:lineRule="atLeast"/>
              <w:jc w:val="center"/>
              <w:rPr>
                <w:rFonts w:hint="eastAsia" w:ascii="宋体" w:hAnsi="宋体" w:eastAsia="宋体" w:cs="宋体"/>
                <w:color w:val="auto"/>
                <w:highlight w:val="none"/>
              </w:rPr>
            </w:pPr>
          </w:p>
        </w:tc>
        <w:tc>
          <w:tcPr>
            <w:tcW w:w="1134" w:type="dxa"/>
          </w:tcPr>
          <w:p w14:paraId="37BC7806">
            <w:pPr>
              <w:widowControl/>
              <w:spacing w:line="440" w:lineRule="atLeast"/>
              <w:jc w:val="center"/>
              <w:rPr>
                <w:rFonts w:hint="eastAsia" w:ascii="宋体" w:hAnsi="宋体" w:eastAsia="宋体" w:cs="宋体"/>
                <w:color w:val="auto"/>
                <w:highlight w:val="none"/>
              </w:rPr>
            </w:pPr>
          </w:p>
        </w:tc>
        <w:tc>
          <w:tcPr>
            <w:tcW w:w="1130" w:type="dxa"/>
          </w:tcPr>
          <w:p w14:paraId="02040C91">
            <w:pPr>
              <w:widowControl/>
              <w:spacing w:line="440" w:lineRule="atLeast"/>
              <w:jc w:val="center"/>
              <w:rPr>
                <w:rFonts w:hint="eastAsia" w:ascii="宋体" w:hAnsi="宋体" w:eastAsia="宋体" w:cs="宋体"/>
                <w:color w:val="auto"/>
                <w:highlight w:val="none"/>
              </w:rPr>
            </w:pPr>
          </w:p>
        </w:tc>
        <w:tc>
          <w:tcPr>
            <w:tcW w:w="870" w:type="dxa"/>
          </w:tcPr>
          <w:p w14:paraId="4C06A69B">
            <w:pPr>
              <w:widowControl/>
              <w:spacing w:line="440" w:lineRule="atLeast"/>
              <w:jc w:val="center"/>
              <w:rPr>
                <w:rFonts w:hint="eastAsia" w:ascii="宋体" w:hAnsi="宋体" w:eastAsia="宋体" w:cs="宋体"/>
                <w:color w:val="auto"/>
                <w:highlight w:val="none"/>
              </w:rPr>
            </w:pPr>
          </w:p>
        </w:tc>
        <w:tc>
          <w:tcPr>
            <w:tcW w:w="714" w:type="dxa"/>
          </w:tcPr>
          <w:p w14:paraId="4D359012">
            <w:pPr>
              <w:widowControl/>
              <w:spacing w:line="440" w:lineRule="atLeast"/>
              <w:jc w:val="center"/>
              <w:rPr>
                <w:rFonts w:hint="eastAsia" w:ascii="宋体" w:hAnsi="宋体" w:eastAsia="宋体" w:cs="宋体"/>
                <w:color w:val="auto"/>
                <w:highlight w:val="none"/>
              </w:rPr>
            </w:pPr>
          </w:p>
        </w:tc>
      </w:tr>
      <w:tr w14:paraId="4820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31444714">
            <w:pPr>
              <w:widowControl/>
              <w:spacing w:line="440" w:lineRule="atLeast"/>
              <w:jc w:val="center"/>
              <w:rPr>
                <w:rFonts w:hint="eastAsia" w:ascii="宋体" w:hAnsi="宋体" w:eastAsia="宋体" w:cs="宋体"/>
                <w:color w:val="auto"/>
                <w:highlight w:val="none"/>
              </w:rPr>
            </w:pPr>
          </w:p>
        </w:tc>
        <w:tc>
          <w:tcPr>
            <w:tcW w:w="990" w:type="dxa"/>
          </w:tcPr>
          <w:p w14:paraId="08CF40C8">
            <w:pPr>
              <w:widowControl/>
              <w:spacing w:line="440" w:lineRule="atLeast"/>
              <w:jc w:val="center"/>
              <w:rPr>
                <w:rFonts w:hint="eastAsia" w:ascii="宋体" w:hAnsi="宋体" w:eastAsia="宋体" w:cs="宋体"/>
                <w:color w:val="auto"/>
                <w:highlight w:val="none"/>
              </w:rPr>
            </w:pPr>
          </w:p>
        </w:tc>
        <w:tc>
          <w:tcPr>
            <w:tcW w:w="1020" w:type="dxa"/>
          </w:tcPr>
          <w:p w14:paraId="654CB874">
            <w:pPr>
              <w:widowControl/>
              <w:spacing w:line="440" w:lineRule="atLeast"/>
              <w:jc w:val="center"/>
              <w:rPr>
                <w:rFonts w:hint="eastAsia" w:ascii="宋体" w:hAnsi="宋体" w:eastAsia="宋体" w:cs="宋体"/>
                <w:color w:val="auto"/>
                <w:highlight w:val="none"/>
              </w:rPr>
            </w:pPr>
          </w:p>
        </w:tc>
        <w:tc>
          <w:tcPr>
            <w:tcW w:w="720" w:type="dxa"/>
          </w:tcPr>
          <w:p w14:paraId="31C72CEA">
            <w:pPr>
              <w:widowControl/>
              <w:spacing w:line="440" w:lineRule="atLeast"/>
              <w:jc w:val="center"/>
              <w:rPr>
                <w:rFonts w:hint="eastAsia" w:ascii="宋体" w:hAnsi="宋体" w:eastAsia="宋体" w:cs="宋体"/>
                <w:color w:val="auto"/>
                <w:highlight w:val="none"/>
              </w:rPr>
            </w:pPr>
          </w:p>
        </w:tc>
        <w:tc>
          <w:tcPr>
            <w:tcW w:w="871" w:type="dxa"/>
          </w:tcPr>
          <w:p w14:paraId="082DA76C">
            <w:pPr>
              <w:widowControl/>
              <w:spacing w:line="440" w:lineRule="atLeast"/>
              <w:jc w:val="center"/>
              <w:rPr>
                <w:rFonts w:hint="eastAsia" w:ascii="宋体" w:hAnsi="宋体" w:eastAsia="宋体" w:cs="宋体"/>
                <w:color w:val="auto"/>
                <w:highlight w:val="none"/>
              </w:rPr>
            </w:pPr>
          </w:p>
        </w:tc>
        <w:tc>
          <w:tcPr>
            <w:tcW w:w="1134" w:type="dxa"/>
          </w:tcPr>
          <w:p w14:paraId="19F774D3">
            <w:pPr>
              <w:widowControl/>
              <w:spacing w:line="440" w:lineRule="atLeast"/>
              <w:jc w:val="center"/>
              <w:rPr>
                <w:rFonts w:hint="eastAsia" w:ascii="宋体" w:hAnsi="宋体" w:eastAsia="宋体" w:cs="宋体"/>
                <w:color w:val="auto"/>
                <w:highlight w:val="none"/>
              </w:rPr>
            </w:pPr>
          </w:p>
        </w:tc>
        <w:tc>
          <w:tcPr>
            <w:tcW w:w="1130" w:type="dxa"/>
          </w:tcPr>
          <w:p w14:paraId="6A1CDB2B">
            <w:pPr>
              <w:widowControl/>
              <w:spacing w:line="440" w:lineRule="atLeast"/>
              <w:jc w:val="center"/>
              <w:rPr>
                <w:rFonts w:hint="eastAsia" w:ascii="宋体" w:hAnsi="宋体" w:eastAsia="宋体" w:cs="宋体"/>
                <w:color w:val="auto"/>
                <w:highlight w:val="none"/>
              </w:rPr>
            </w:pPr>
          </w:p>
        </w:tc>
        <w:tc>
          <w:tcPr>
            <w:tcW w:w="870" w:type="dxa"/>
          </w:tcPr>
          <w:p w14:paraId="605C77F5">
            <w:pPr>
              <w:widowControl/>
              <w:spacing w:line="440" w:lineRule="atLeast"/>
              <w:jc w:val="center"/>
              <w:rPr>
                <w:rFonts w:hint="eastAsia" w:ascii="宋体" w:hAnsi="宋体" w:eastAsia="宋体" w:cs="宋体"/>
                <w:color w:val="auto"/>
                <w:highlight w:val="none"/>
              </w:rPr>
            </w:pPr>
          </w:p>
        </w:tc>
        <w:tc>
          <w:tcPr>
            <w:tcW w:w="714" w:type="dxa"/>
          </w:tcPr>
          <w:p w14:paraId="522FBD8E">
            <w:pPr>
              <w:widowControl/>
              <w:spacing w:line="440" w:lineRule="atLeast"/>
              <w:jc w:val="center"/>
              <w:rPr>
                <w:rFonts w:hint="eastAsia" w:ascii="宋体" w:hAnsi="宋体" w:eastAsia="宋体" w:cs="宋体"/>
                <w:color w:val="auto"/>
                <w:highlight w:val="none"/>
              </w:rPr>
            </w:pPr>
          </w:p>
        </w:tc>
      </w:tr>
      <w:tr w14:paraId="22B3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395B3041">
            <w:pPr>
              <w:widowControl/>
              <w:spacing w:line="440" w:lineRule="atLeast"/>
              <w:jc w:val="center"/>
              <w:rPr>
                <w:rFonts w:hint="eastAsia" w:ascii="宋体" w:hAnsi="宋体" w:eastAsia="宋体" w:cs="宋体"/>
                <w:color w:val="auto"/>
                <w:highlight w:val="none"/>
              </w:rPr>
            </w:pPr>
          </w:p>
        </w:tc>
        <w:tc>
          <w:tcPr>
            <w:tcW w:w="990" w:type="dxa"/>
          </w:tcPr>
          <w:p w14:paraId="1BC0DA10">
            <w:pPr>
              <w:widowControl/>
              <w:spacing w:line="440" w:lineRule="atLeast"/>
              <w:jc w:val="center"/>
              <w:rPr>
                <w:rFonts w:hint="eastAsia" w:ascii="宋体" w:hAnsi="宋体" w:eastAsia="宋体" w:cs="宋体"/>
                <w:color w:val="auto"/>
                <w:highlight w:val="none"/>
              </w:rPr>
            </w:pPr>
          </w:p>
        </w:tc>
        <w:tc>
          <w:tcPr>
            <w:tcW w:w="1020" w:type="dxa"/>
          </w:tcPr>
          <w:p w14:paraId="1AC7FC6B">
            <w:pPr>
              <w:widowControl/>
              <w:spacing w:line="440" w:lineRule="atLeast"/>
              <w:jc w:val="center"/>
              <w:rPr>
                <w:rFonts w:hint="eastAsia" w:ascii="宋体" w:hAnsi="宋体" w:eastAsia="宋体" w:cs="宋体"/>
                <w:color w:val="auto"/>
                <w:highlight w:val="none"/>
              </w:rPr>
            </w:pPr>
          </w:p>
        </w:tc>
        <w:tc>
          <w:tcPr>
            <w:tcW w:w="720" w:type="dxa"/>
          </w:tcPr>
          <w:p w14:paraId="6A9CDE47">
            <w:pPr>
              <w:widowControl/>
              <w:spacing w:line="440" w:lineRule="atLeast"/>
              <w:jc w:val="center"/>
              <w:rPr>
                <w:rFonts w:hint="eastAsia" w:ascii="宋体" w:hAnsi="宋体" w:eastAsia="宋体" w:cs="宋体"/>
                <w:color w:val="auto"/>
                <w:highlight w:val="none"/>
              </w:rPr>
            </w:pPr>
          </w:p>
        </w:tc>
        <w:tc>
          <w:tcPr>
            <w:tcW w:w="871" w:type="dxa"/>
          </w:tcPr>
          <w:p w14:paraId="34DE5D03">
            <w:pPr>
              <w:widowControl/>
              <w:spacing w:line="440" w:lineRule="atLeast"/>
              <w:jc w:val="center"/>
              <w:rPr>
                <w:rFonts w:hint="eastAsia" w:ascii="宋体" w:hAnsi="宋体" w:eastAsia="宋体" w:cs="宋体"/>
                <w:color w:val="auto"/>
                <w:highlight w:val="none"/>
              </w:rPr>
            </w:pPr>
          </w:p>
        </w:tc>
        <w:tc>
          <w:tcPr>
            <w:tcW w:w="1134" w:type="dxa"/>
          </w:tcPr>
          <w:p w14:paraId="0A83D5C8">
            <w:pPr>
              <w:widowControl/>
              <w:spacing w:line="440" w:lineRule="atLeast"/>
              <w:jc w:val="center"/>
              <w:rPr>
                <w:rFonts w:hint="eastAsia" w:ascii="宋体" w:hAnsi="宋体" w:eastAsia="宋体" w:cs="宋体"/>
                <w:color w:val="auto"/>
                <w:highlight w:val="none"/>
              </w:rPr>
            </w:pPr>
          </w:p>
        </w:tc>
        <w:tc>
          <w:tcPr>
            <w:tcW w:w="1130" w:type="dxa"/>
          </w:tcPr>
          <w:p w14:paraId="6B63BCB5">
            <w:pPr>
              <w:widowControl/>
              <w:spacing w:line="440" w:lineRule="atLeast"/>
              <w:jc w:val="center"/>
              <w:rPr>
                <w:rFonts w:hint="eastAsia" w:ascii="宋体" w:hAnsi="宋体" w:eastAsia="宋体" w:cs="宋体"/>
                <w:color w:val="auto"/>
                <w:highlight w:val="none"/>
              </w:rPr>
            </w:pPr>
          </w:p>
        </w:tc>
        <w:tc>
          <w:tcPr>
            <w:tcW w:w="870" w:type="dxa"/>
          </w:tcPr>
          <w:p w14:paraId="6DC310C5">
            <w:pPr>
              <w:widowControl/>
              <w:spacing w:line="440" w:lineRule="atLeast"/>
              <w:jc w:val="center"/>
              <w:rPr>
                <w:rFonts w:hint="eastAsia" w:ascii="宋体" w:hAnsi="宋体" w:eastAsia="宋体" w:cs="宋体"/>
                <w:color w:val="auto"/>
                <w:highlight w:val="none"/>
              </w:rPr>
            </w:pPr>
          </w:p>
        </w:tc>
        <w:tc>
          <w:tcPr>
            <w:tcW w:w="714" w:type="dxa"/>
          </w:tcPr>
          <w:p w14:paraId="258A6A11">
            <w:pPr>
              <w:widowControl/>
              <w:spacing w:line="440" w:lineRule="atLeast"/>
              <w:jc w:val="center"/>
              <w:rPr>
                <w:rFonts w:hint="eastAsia" w:ascii="宋体" w:hAnsi="宋体" w:eastAsia="宋体" w:cs="宋体"/>
                <w:color w:val="auto"/>
                <w:highlight w:val="none"/>
              </w:rPr>
            </w:pPr>
          </w:p>
        </w:tc>
      </w:tr>
      <w:bookmarkEnd w:id="638"/>
      <w:bookmarkEnd w:id="639"/>
    </w:tbl>
    <w:p w14:paraId="73632D6B">
      <w:pPr>
        <w:pageBreakBefore w:val="0"/>
        <w:kinsoku/>
        <w:wordWrap/>
        <w:overflowPunct/>
        <w:topLinePunct w:val="0"/>
        <w:autoSpaceDE/>
        <w:autoSpaceDN/>
        <w:bidi w:val="0"/>
        <w:spacing w:before="0" w:after="0" w:line="440" w:lineRule="exact"/>
        <w:rPr>
          <w:rFonts w:hint="eastAsia" w:ascii="宋体" w:hAnsi="宋体" w:eastAsia="宋体" w:cs="宋体"/>
          <w:b w:val="0"/>
          <w:bCs w:val="0"/>
          <w:color w:val="auto"/>
          <w:sz w:val="24"/>
          <w:szCs w:val="24"/>
          <w:highlight w:val="none"/>
        </w:rPr>
        <w:sectPr>
          <w:footerReference r:id="rId22" w:type="default"/>
          <w:pgSz w:w="11906" w:h="16838"/>
          <w:pgMar w:top="1440" w:right="1417" w:bottom="1440" w:left="1417" w:header="851" w:footer="992" w:gutter="0"/>
          <w:pgNumType w:fmt="decimal"/>
          <w:cols w:space="425" w:num="1"/>
          <w:docGrid w:type="lines" w:linePitch="312" w:charSpace="0"/>
        </w:sectPr>
      </w:pPr>
      <w:bookmarkStart w:id="643" w:name="_Toc509993927"/>
      <w:bookmarkStart w:id="644" w:name="_Toc234833232"/>
    </w:p>
    <w:p w14:paraId="6FF23B84">
      <w:pPr>
        <w:keepNext/>
        <w:keepLines/>
        <w:pageBreakBefore w:val="0"/>
        <w:kinsoku/>
        <w:wordWrap/>
        <w:overflowPunct/>
        <w:topLinePunct w:val="0"/>
        <w:autoSpaceDE/>
        <w:autoSpaceDN/>
        <w:bidi w:val="0"/>
        <w:spacing w:before="0" w:after="0" w:line="440" w:lineRule="exact"/>
        <w:outlineLvl w:val="0"/>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附件二：安全生产合同</w:t>
      </w:r>
    </w:p>
    <w:p w14:paraId="17B0F2EB">
      <w:pPr>
        <w:widowControl w:val="0"/>
        <w:spacing w:line="500" w:lineRule="exact"/>
        <w:jc w:val="center"/>
        <w:rPr>
          <w:rFonts w:ascii="Times New Roman" w:hAnsi="Times New Roman" w:eastAsia="宋体" w:cs="Times New Roman"/>
          <w:b/>
          <w:color w:val="000000"/>
          <w:sz w:val="32"/>
          <w:szCs w:val="32"/>
          <w:highlight w:val="none"/>
        </w:rPr>
      </w:pPr>
      <w:r>
        <w:rPr>
          <w:rFonts w:ascii="Times New Roman" w:hAnsi="Times New Roman" w:eastAsia="宋体" w:cs="Times New Roman"/>
          <w:b/>
          <w:color w:val="000000"/>
          <w:sz w:val="32"/>
          <w:szCs w:val="32"/>
          <w:highlight w:val="none"/>
        </w:rPr>
        <w:t>安全生产合同</w:t>
      </w:r>
    </w:p>
    <w:p w14:paraId="34A239EC">
      <w:pPr>
        <w:widowControl w:val="0"/>
        <w:spacing w:line="500" w:lineRule="exact"/>
        <w:jc w:val="center"/>
        <w:rPr>
          <w:rFonts w:ascii="Times New Roman" w:hAnsi="Times New Roman" w:eastAsia="宋体" w:cs="Times New Roman"/>
          <w:b/>
          <w:color w:val="000000"/>
          <w:sz w:val="32"/>
          <w:szCs w:val="32"/>
          <w:highlight w:val="none"/>
        </w:rPr>
      </w:pPr>
    </w:p>
    <w:p w14:paraId="1BE39B6F">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为在合同的实施过程中创造安全、高效的生产环境，切实做好本项目的安全管理工作，</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湖南省新新张官高速公路建设开发有限公司张家界分公司</w:t>
      </w:r>
      <w:r>
        <w:rPr>
          <w:rFonts w:hint="eastAsia" w:ascii="宋体" w:hAnsi="宋体" w:eastAsia="宋体" w:cs="宋体"/>
          <w:snapToGrid w:val="0"/>
          <w:kern w:val="0"/>
          <w:sz w:val="24"/>
          <w:szCs w:val="24"/>
          <w:highlight w:val="none"/>
        </w:rPr>
        <w:t>（委托人，以下简称“甲方”）与</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kern w:val="0"/>
          <w:sz w:val="24"/>
          <w:szCs w:val="24"/>
          <w:highlight w:val="none"/>
        </w:rPr>
        <w:t>（服务人，以下简称“乙方”），根据国家有关安全生产的法律法规以及甲方安全管理相关办法，特此签订安全生产合同：</w:t>
      </w:r>
    </w:p>
    <w:p w14:paraId="7E3CB55C">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一、甲方职责</w:t>
      </w:r>
    </w:p>
    <w:p w14:paraId="2690B6A6">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1.严格遵守国家有关安全生产的法律法规，认真执行合同中的有关安全要求。</w:t>
      </w:r>
    </w:p>
    <w:p w14:paraId="173AADE7">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2.按照“安全第一、预防为主、综合治理”的原则进行安全管理，做到工作与安全同时计划、布置、检查、总结和评比。</w:t>
      </w:r>
    </w:p>
    <w:p w14:paraId="58432122">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3.组织对受托人现场安全检查，监督受托人及时处理发现的各种安全隐患。</w:t>
      </w:r>
    </w:p>
    <w:p w14:paraId="55C59132">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二、乙方职责</w:t>
      </w:r>
    </w:p>
    <w:p w14:paraId="3F383C55">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1.严格遵守国家有关安全生产的法律法规以及甲方安全管理相关办法的有关规定，认真执行合同中的有关安全要求。</w:t>
      </w:r>
    </w:p>
    <w:p w14:paraId="2199036E">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2.坚持“安全第一、预防为主、综合治理”的原则，加强安全宣传教育，增强全员安全意识，乙方工作人员必须熟悉和遵守本条款的各项规定，并做好安全计划、布置、检查、总结和评比。</w:t>
      </w:r>
    </w:p>
    <w:p w14:paraId="04C93579">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3.建立健全安全责任制。</w:t>
      </w:r>
    </w:p>
    <w:p w14:paraId="4649F166">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4.受托人在任何时候都应采取各种合理的预防措施，防止乙方工作人员发生任何违法、违禁、暴力或妨碍治安的行为。</w:t>
      </w:r>
    </w:p>
    <w:p w14:paraId="718B51C9">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5.乙方必须按照本工程项目特点，组织制定本服务实施中的安全事故应急救援预案。</w:t>
      </w:r>
    </w:p>
    <w:p w14:paraId="6A0CF02C">
      <w:pPr>
        <w:spacing w:line="520" w:lineRule="exact"/>
        <w:ind w:firstLine="480"/>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6.严格落实国家各级防疫政策以及委托方的防疫管理要求，在提供服务过程中做好疫情防控措施。</w:t>
      </w:r>
    </w:p>
    <w:p w14:paraId="3C8CEA6D">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三、违约责任</w:t>
      </w:r>
    </w:p>
    <w:p w14:paraId="1EB9F748">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1.如因甲方或乙方违约造成安全责任事故和防疫事故，将依法追究责任。</w:t>
      </w:r>
    </w:p>
    <w:p w14:paraId="1695EE49">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2.本合同壹式</w:t>
      </w:r>
      <w:r>
        <w:rPr>
          <w:rFonts w:hint="eastAsia" w:ascii="宋体" w:hAnsi="宋体" w:eastAsia="宋体" w:cs="宋体"/>
          <w:snapToGrid w:val="0"/>
          <w:kern w:val="0"/>
          <w:sz w:val="24"/>
          <w:szCs w:val="24"/>
          <w:highlight w:val="none"/>
          <w:lang w:val="en-US" w:eastAsia="zh-CN"/>
        </w:rPr>
        <w:t>陆</w:t>
      </w:r>
      <w:r>
        <w:rPr>
          <w:rFonts w:hint="eastAsia" w:ascii="宋体" w:hAnsi="宋体" w:eastAsia="宋体" w:cs="宋体"/>
          <w:snapToGrid w:val="0"/>
          <w:kern w:val="0"/>
          <w:sz w:val="24"/>
          <w:szCs w:val="24"/>
          <w:highlight w:val="none"/>
        </w:rPr>
        <w:t>份，甲方执</w:t>
      </w:r>
      <w:r>
        <w:rPr>
          <w:rFonts w:hint="eastAsia" w:ascii="宋体" w:hAnsi="宋体" w:eastAsia="宋体" w:cs="宋体"/>
          <w:snapToGrid w:val="0"/>
          <w:kern w:val="0"/>
          <w:sz w:val="24"/>
          <w:szCs w:val="24"/>
          <w:highlight w:val="none"/>
          <w:u w:val="single"/>
        </w:rPr>
        <w:t>肆份</w:t>
      </w:r>
      <w:r>
        <w:rPr>
          <w:rFonts w:hint="eastAsia" w:ascii="宋体" w:hAnsi="宋体" w:eastAsia="宋体" w:cs="宋体"/>
          <w:snapToGrid w:val="0"/>
          <w:kern w:val="0"/>
          <w:sz w:val="24"/>
          <w:szCs w:val="24"/>
          <w:highlight w:val="none"/>
        </w:rPr>
        <w:t>，乙方执</w:t>
      </w:r>
      <w:r>
        <w:rPr>
          <w:rFonts w:hint="eastAsia" w:ascii="宋体" w:hAnsi="宋体" w:eastAsia="宋体" w:cs="宋体"/>
          <w:snapToGrid w:val="0"/>
          <w:kern w:val="0"/>
          <w:sz w:val="24"/>
          <w:szCs w:val="24"/>
          <w:highlight w:val="none"/>
          <w:u w:val="single"/>
          <w:lang w:val="en-US" w:eastAsia="zh-CN"/>
        </w:rPr>
        <w:t>贰</w:t>
      </w:r>
      <w:r>
        <w:rPr>
          <w:rFonts w:hint="eastAsia" w:ascii="宋体" w:hAnsi="宋体" w:eastAsia="宋体" w:cs="宋体"/>
          <w:snapToGrid w:val="0"/>
          <w:kern w:val="0"/>
          <w:sz w:val="24"/>
          <w:szCs w:val="24"/>
          <w:highlight w:val="none"/>
          <w:u w:val="single"/>
        </w:rPr>
        <w:t>份</w:t>
      </w:r>
      <w:r>
        <w:rPr>
          <w:rFonts w:hint="eastAsia" w:ascii="宋体" w:hAnsi="宋体" w:eastAsia="宋体" w:cs="宋体"/>
          <w:snapToGrid w:val="0"/>
          <w:kern w:val="0"/>
          <w:sz w:val="24"/>
          <w:szCs w:val="24"/>
          <w:highlight w:val="none"/>
        </w:rPr>
        <w:t>，每份具有同等法律效力。</w:t>
      </w:r>
    </w:p>
    <w:p w14:paraId="073A892A">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3.本协议书由双方法定代表人或其委托代理人签署并加盖公章后生效，自服务期限届满后失效。</w:t>
      </w:r>
    </w:p>
    <w:p w14:paraId="1D602B29">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p>
    <w:p w14:paraId="730638BB">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highlight w:val="none"/>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4354"/>
      </w:tblGrid>
      <w:tr w14:paraId="327B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nil"/>
              <w:left w:val="nil"/>
              <w:bottom w:val="nil"/>
              <w:right w:val="nil"/>
            </w:tcBorders>
            <w:vAlign w:val="top"/>
          </w:tcPr>
          <w:p w14:paraId="1A648BA0">
            <w:pPr>
              <w:widowControl w:val="0"/>
              <w:spacing w:before="0" w:after="0" w:line="440" w:lineRule="atLeast"/>
              <w:ind w:left="5760" w:hanging="4800" w:hangingChars="2400"/>
              <w:jc w:val="left"/>
              <w:rPr>
                <w:rFonts w:hint="eastAsia" w:ascii="Times New Roman" w:hAnsi="Times New Roman" w:eastAsia="宋体" w:cs="Times New Roman"/>
                <w:spacing w:val="-20"/>
                <w:sz w:val="24"/>
                <w:szCs w:val="24"/>
                <w:highlight w:val="none"/>
                <w:u w:val="single"/>
                <w:lang w:val="en-US" w:eastAsia="zh-CN" w:bidi="ar-SA"/>
              </w:rPr>
            </w:pPr>
            <w:r>
              <w:rPr>
                <w:rFonts w:hint="eastAsia" w:ascii="Times New Roman" w:hAnsi="Times New Roman" w:eastAsia="宋体" w:cs="Times New Roman"/>
                <w:spacing w:val="-20"/>
                <w:sz w:val="24"/>
                <w:szCs w:val="24"/>
                <w:highlight w:val="none"/>
                <w:lang w:val="en-US" w:eastAsia="zh-CN" w:bidi="ar-SA"/>
              </w:rPr>
              <w:t>委托人</w:t>
            </w:r>
            <w:r>
              <w:rPr>
                <w:rFonts w:ascii="Times New Roman" w:hAnsi="Times New Roman" w:eastAsia="宋体" w:cs="Times New Roman"/>
                <w:spacing w:val="-20"/>
                <w:sz w:val="24"/>
                <w:szCs w:val="24"/>
                <w:highlight w:val="none"/>
                <w:lang w:val="en-US" w:eastAsia="zh-CN" w:bidi="ar-SA"/>
              </w:rPr>
              <w:t>：</w:t>
            </w:r>
            <w:r>
              <w:rPr>
                <w:rFonts w:hint="eastAsia" w:ascii="Times New Roman" w:hAnsi="Times New Roman" w:eastAsia="宋体" w:cs="Times New Roman"/>
                <w:spacing w:val="-20"/>
                <w:sz w:val="24"/>
                <w:szCs w:val="24"/>
                <w:highlight w:val="none"/>
                <w:u w:val="single"/>
                <w:lang w:val="en-US" w:eastAsia="zh-CN" w:bidi="ar-SA"/>
              </w:rPr>
              <w:t>湖南省新新张官高速公路建设</w:t>
            </w:r>
          </w:p>
          <w:p w14:paraId="4F1C9B84">
            <w:pPr>
              <w:widowControl w:val="0"/>
              <w:spacing w:before="0" w:after="0" w:line="440" w:lineRule="atLeast"/>
              <w:ind w:left="5760" w:hanging="4800" w:hangingChars="2400"/>
              <w:jc w:val="left"/>
              <w:rPr>
                <w:rFonts w:ascii="Times New Roman" w:hAnsi="Times New Roman" w:eastAsia="Calibri" w:cs="Times New Roman"/>
                <w:sz w:val="24"/>
                <w:szCs w:val="24"/>
                <w:highlight w:val="none"/>
                <w:vertAlign w:val="baseline"/>
                <w:lang w:val="en-US" w:eastAsia="zh-CN" w:bidi="ar-SA"/>
              </w:rPr>
            </w:pPr>
            <w:r>
              <w:rPr>
                <w:rFonts w:hint="eastAsia" w:ascii="Times New Roman" w:hAnsi="Times New Roman" w:eastAsia="宋体" w:cs="Times New Roman"/>
                <w:spacing w:val="-20"/>
                <w:sz w:val="24"/>
                <w:szCs w:val="24"/>
                <w:highlight w:val="none"/>
                <w:u w:val="single"/>
                <w:lang w:val="en-US" w:eastAsia="zh-CN" w:bidi="ar-SA"/>
              </w:rPr>
              <w:t>开发有限公司张家界分公司</w:t>
            </w:r>
            <w:r>
              <w:rPr>
                <w:rFonts w:ascii="Times New Roman" w:hAnsi="Times New Roman" w:eastAsia="宋体" w:cs="Times New Roman"/>
                <w:spacing w:val="-20"/>
                <w:sz w:val="24"/>
                <w:szCs w:val="24"/>
                <w:highlight w:val="none"/>
                <w:lang w:val="en-US" w:eastAsia="zh-CN" w:bidi="ar-SA"/>
              </w:rPr>
              <w:t>（盖单位章）</w:t>
            </w:r>
            <w:r>
              <w:rPr>
                <w:rFonts w:ascii="Times New Roman" w:hAnsi="Times New Roman" w:eastAsia="宋体" w:cs="Times New Roman"/>
                <w:sz w:val="24"/>
                <w:szCs w:val="24"/>
                <w:highlight w:val="none"/>
                <w:lang w:val="en-US" w:eastAsia="zh-CN" w:bidi="ar-SA"/>
              </w:rPr>
              <w:t xml:space="preserve"> </w:t>
            </w:r>
          </w:p>
        </w:tc>
        <w:tc>
          <w:tcPr>
            <w:tcW w:w="4354" w:type="dxa"/>
            <w:tcBorders>
              <w:top w:val="nil"/>
              <w:left w:val="nil"/>
              <w:bottom w:val="nil"/>
              <w:right w:val="nil"/>
            </w:tcBorders>
            <w:vAlign w:val="top"/>
          </w:tcPr>
          <w:p w14:paraId="15139D88">
            <w:pPr>
              <w:widowControl w:val="0"/>
              <w:spacing w:before="0" w:after="0" w:line="440" w:lineRule="atLeast"/>
              <w:ind w:left="3400" w:hanging="3400" w:hangingChars="1700"/>
              <w:jc w:val="left"/>
              <w:rPr>
                <w:rFonts w:hint="eastAsia" w:ascii="Times New Roman" w:hAnsi="Times New Roman" w:eastAsia="宋体" w:cs="Times New Roman"/>
                <w:spacing w:val="-20"/>
                <w:sz w:val="24"/>
                <w:szCs w:val="24"/>
                <w:highlight w:val="none"/>
                <w:lang w:val="en-US" w:eastAsia="zh-CN" w:bidi="ar-SA"/>
              </w:rPr>
            </w:pPr>
            <w:r>
              <w:rPr>
                <w:rFonts w:hint="eastAsia" w:ascii="Times New Roman" w:hAnsi="Times New Roman" w:eastAsia="宋体" w:cs="Times New Roman"/>
                <w:spacing w:val="-20"/>
                <w:sz w:val="24"/>
                <w:szCs w:val="24"/>
                <w:highlight w:val="none"/>
                <w:lang w:val="en-US" w:eastAsia="zh-CN" w:bidi="ar-SA"/>
              </w:rPr>
              <w:t>服务人</w:t>
            </w:r>
            <w:r>
              <w:rPr>
                <w:rFonts w:ascii="Times New Roman" w:hAnsi="Times New Roman" w:eastAsia="宋体" w:cs="Times New Roman"/>
                <w:spacing w:val="-20"/>
                <w:sz w:val="24"/>
                <w:szCs w:val="24"/>
                <w:highlight w:val="none"/>
                <w:lang w:val="en-US" w:eastAsia="zh-CN" w:bidi="ar-SA"/>
              </w:rPr>
              <w:t>：</w:t>
            </w:r>
            <w:r>
              <w:rPr>
                <w:rFonts w:hint="eastAsia" w:ascii="Times New Roman" w:hAnsi="Times New Roman" w:eastAsia="宋体" w:cs="Times New Roman"/>
                <w:spacing w:val="-20"/>
                <w:sz w:val="24"/>
                <w:szCs w:val="24"/>
                <w:highlight w:val="none"/>
                <w:lang w:val="en-US" w:eastAsia="zh-CN" w:bidi="ar-SA"/>
              </w:rPr>
              <w:t xml:space="preserve">                                 </w:t>
            </w:r>
          </w:p>
          <w:p w14:paraId="47E1CEAE">
            <w:pPr>
              <w:widowControl w:val="0"/>
              <w:spacing w:before="0" w:after="0" w:line="440" w:lineRule="atLeast"/>
              <w:ind w:left="3399" w:leftChars="1428" w:hanging="400" w:hangingChars="200"/>
              <w:jc w:val="left"/>
              <w:rPr>
                <w:rFonts w:ascii="Times New Roman" w:hAnsi="Times New Roman" w:eastAsia="Calibri" w:cs="Times New Roman"/>
                <w:sz w:val="24"/>
                <w:szCs w:val="24"/>
                <w:highlight w:val="none"/>
                <w:vertAlign w:val="baseline"/>
                <w:lang w:val="en-US" w:eastAsia="zh-CN" w:bidi="ar-SA"/>
              </w:rPr>
            </w:pPr>
            <w:r>
              <w:rPr>
                <w:rFonts w:ascii="Times New Roman" w:hAnsi="Times New Roman" w:eastAsia="宋体" w:cs="Times New Roman"/>
                <w:spacing w:val="-20"/>
                <w:sz w:val="24"/>
                <w:szCs w:val="24"/>
                <w:highlight w:val="none"/>
                <w:lang w:val="en-US" w:eastAsia="zh-CN" w:bidi="ar-SA"/>
              </w:rPr>
              <w:t>（盖单位章）</w:t>
            </w:r>
          </w:p>
        </w:tc>
      </w:tr>
    </w:tbl>
    <w:p w14:paraId="69F25C60">
      <w:pPr>
        <w:widowControl/>
        <w:autoSpaceDE w:val="0"/>
        <w:autoSpaceDN w:val="0"/>
        <w:adjustRightInd w:val="0"/>
        <w:snapToGrid w:val="0"/>
        <w:spacing w:line="480" w:lineRule="exact"/>
        <w:ind w:firstLine="440"/>
        <w:jc w:val="left"/>
        <w:textAlignment w:val="baseline"/>
        <w:rPr>
          <w:rFonts w:hint="default" w:ascii="宋体" w:hAnsi="宋体" w:eastAsia="宋体" w:cs="宋体"/>
          <w:snapToGrid w:val="0"/>
          <w:kern w:val="0"/>
          <w:sz w:val="22"/>
          <w:szCs w:val="22"/>
          <w:highlight w:val="none"/>
          <w:lang w:val="en-US" w:eastAsia="zh-CN"/>
        </w:rPr>
      </w:pPr>
    </w:p>
    <w:p w14:paraId="4214350A">
      <w:pPr>
        <w:widowControl/>
        <w:autoSpaceDE w:val="0"/>
        <w:autoSpaceDN w:val="0"/>
        <w:adjustRightInd w:val="0"/>
        <w:snapToGrid w:val="0"/>
        <w:spacing w:line="480" w:lineRule="exact"/>
        <w:ind w:firstLine="440" w:firstLineChars="200"/>
        <w:jc w:val="left"/>
        <w:textAlignment w:val="baseline"/>
        <w:rPr>
          <w:rFonts w:hint="eastAsia" w:ascii="宋体" w:hAnsi="宋体" w:eastAsia="宋体" w:cs="宋体"/>
          <w:snapToGrid w:val="0"/>
          <w:kern w:val="0"/>
          <w:sz w:val="22"/>
          <w:szCs w:val="22"/>
          <w:highlight w:val="none"/>
        </w:rPr>
      </w:pPr>
      <w:r>
        <w:rPr>
          <w:rFonts w:hint="eastAsia" w:ascii="宋体" w:hAnsi="宋体" w:eastAsia="宋体" w:cs="宋体"/>
          <w:snapToGrid w:val="0"/>
          <w:kern w:val="0"/>
          <w:sz w:val="22"/>
          <w:szCs w:val="22"/>
          <w:highlight w:val="none"/>
        </w:rPr>
        <w:t>法定代表人或其委托代理人：</w:t>
      </w:r>
      <w:r>
        <w:rPr>
          <w:rFonts w:hint="eastAsia" w:ascii="宋体" w:hAnsi="宋体" w:eastAsia="宋体" w:cs="宋体"/>
          <w:snapToGrid w:val="0"/>
          <w:kern w:val="0"/>
          <w:sz w:val="22"/>
          <w:szCs w:val="22"/>
          <w:highlight w:val="none"/>
          <w:lang w:val="en-US" w:eastAsia="zh-CN"/>
        </w:rPr>
        <w:t xml:space="preserve">                       </w:t>
      </w:r>
      <w:r>
        <w:rPr>
          <w:rFonts w:hint="eastAsia" w:ascii="宋体" w:hAnsi="宋体" w:eastAsia="宋体" w:cs="宋体"/>
          <w:snapToGrid w:val="0"/>
          <w:kern w:val="0"/>
          <w:sz w:val="22"/>
          <w:szCs w:val="22"/>
          <w:highlight w:val="none"/>
        </w:rPr>
        <w:t>法定代表人或其委托代理人：</w:t>
      </w:r>
    </w:p>
    <w:p w14:paraId="1B3964BF">
      <w:pPr>
        <w:widowControl/>
        <w:tabs>
          <w:tab w:val="left" w:pos="7497"/>
        </w:tabs>
        <w:autoSpaceDE w:val="0"/>
        <w:autoSpaceDN w:val="0"/>
        <w:adjustRightInd w:val="0"/>
        <w:snapToGrid w:val="0"/>
        <w:spacing w:line="480" w:lineRule="exact"/>
        <w:ind w:firstLine="2200" w:firstLineChars="1000"/>
        <w:jc w:val="left"/>
        <w:textAlignment w:val="baseline"/>
        <w:rPr>
          <w:rFonts w:hint="eastAsia" w:ascii="宋体" w:hAnsi="宋体" w:eastAsia="宋体" w:cs="宋体"/>
          <w:snapToGrid w:val="0"/>
          <w:kern w:val="0"/>
          <w:sz w:val="22"/>
          <w:szCs w:val="22"/>
          <w:highlight w:val="none"/>
        </w:rPr>
      </w:pPr>
      <w:r>
        <w:rPr>
          <w:rFonts w:hint="eastAsia" w:ascii="宋体" w:hAnsi="宋体" w:eastAsia="宋体" w:cs="宋体"/>
          <w:snapToGrid w:val="0"/>
          <w:kern w:val="0"/>
          <w:sz w:val="22"/>
          <w:szCs w:val="22"/>
          <w:highlight w:val="none"/>
        </w:rPr>
        <w:t>（签字）</w:t>
      </w:r>
      <w:r>
        <w:rPr>
          <w:rFonts w:hint="eastAsia" w:ascii="宋体" w:hAnsi="宋体" w:eastAsia="宋体" w:cs="宋体"/>
          <w:snapToGrid w:val="0"/>
          <w:kern w:val="0"/>
          <w:sz w:val="22"/>
          <w:szCs w:val="22"/>
          <w:highlight w:val="none"/>
          <w:lang w:val="en-US" w:eastAsia="zh-CN"/>
        </w:rPr>
        <w:t xml:space="preserve">              </w:t>
      </w:r>
      <w:r>
        <w:rPr>
          <w:rFonts w:hint="eastAsia" w:ascii="宋体" w:hAnsi="宋体" w:eastAsia="宋体" w:cs="宋体"/>
          <w:snapToGrid w:val="0"/>
          <w:kern w:val="0"/>
          <w:sz w:val="22"/>
          <w:szCs w:val="22"/>
          <w:highlight w:val="none"/>
          <w:lang w:val="en-US" w:eastAsia="zh-CN"/>
        </w:rPr>
        <w:tab/>
      </w:r>
      <w:r>
        <w:rPr>
          <w:rFonts w:hint="eastAsia" w:ascii="宋体" w:hAnsi="宋体" w:eastAsia="宋体" w:cs="宋体"/>
          <w:snapToGrid w:val="0"/>
          <w:kern w:val="0"/>
          <w:sz w:val="22"/>
          <w:szCs w:val="22"/>
          <w:highlight w:val="none"/>
        </w:rPr>
        <w:t>（签字）</w:t>
      </w:r>
    </w:p>
    <w:p w14:paraId="3A072167">
      <w:pPr>
        <w:widowControl/>
        <w:tabs>
          <w:tab w:val="left" w:pos="7497"/>
        </w:tabs>
        <w:autoSpaceDE w:val="0"/>
        <w:autoSpaceDN w:val="0"/>
        <w:adjustRightInd w:val="0"/>
        <w:snapToGrid w:val="0"/>
        <w:spacing w:line="480" w:lineRule="exact"/>
        <w:ind w:firstLine="2200" w:firstLineChars="1000"/>
        <w:jc w:val="left"/>
        <w:textAlignment w:val="baseline"/>
        <w:rPr>
          <w:rFonts w:hint="default" w:ascii="宋体" w:hAnsi="宋体" w:eastAsia="宋体" w:cs="宋体"/>
          <w:snapToGrid w:val="0"/>
          <w:kern w:val="0"/>
          <w:sz w:val="22"/>
          <w:szCs w:val="22"/>
          <w:highlight w:val="none"/>
          <w:lang w:val="en-US" w:eastAsia="zh-CN"/>
        </w:rPr>
      </w:pPr>
      <w:r>
        <w:rPr>
          <w:rFonts w:hint="eastAsia" w:ascii="宋体" w:hAnsi="宋体" w:eastAsia="宋体" w:cs="宋体"/>
          <w:snapToGrid w:val="0"/>
          <w:kern w:val="0"/>
          <w:sz w:val="22"/>
          <w:szCs w:val="22"/>
          <w:highlight w:val="none"/>
          <w:lang w:val="en-US" w:eastAsia="zh-CN"/>
        </w:rPr>
        <w:t xml:space="preserve">  </w:t>
      </w:r>
    </w:p>
    <w:p w14:paraId="0BEA4EC7">
      <w:pPr>
        <w:widowControl/>
        <w:autoSpaceDE w:val="0"/>
        <w:autoSpaceDN w:val="0"/>
        <w:adjustRightInd w:val="0"/>
        <w:snapToGrid w:val="0"/>
        <w:spacing w:line="480" w:lineRule="exact"/>
        <w:ind w:firstLine="440" w:firstLineChars="200"/>
        <w:jc w:val="left"/>
        <w:textAlignment w:val="baseline"/>
        <w:rPr>
          <w:rFonts w:hint="default" w:ascii="宋体" w:hAnsi="宋体" w:eastAsia="宋体" w:cs="宋体"/>
          <w:snapToGrid w:val="0"/>
          <w:kern w:val="0"/>
          <w:sz w:val="22"/>
          <w:szCs w:val="22"/>
          <w:highlight w:val="none"/>
          <w:u w:val="none"/>
          <w:lang w:val="en-US" w:eastAsia="zh-CN"/>
        </w:rPr>
        <w:sectPr>
          <w:headerReference r:id="rId23" w:type="default"/>
          <w:footerReference r:id="rId25" w:type="default"/>
          <w:headerReference r:id="rId24" w:type="even"/>
          <w:footerReference r:id="rId26" w:type="even"/>
          <w:footnotePr>
            <w:numFmt w:val="decimalEnclosedCircleChinese"/>
            <w:numRestart w:val="eachPage"/>
          </w:footnotePr>
          <w:pgSz w:w="11907" w:h="16840"/>
          <w:pgMar w:top="1588" w:right="1588" w:bottom="1474" w:left="1644" w:header="851" w:footer="851" w:gutter="0"/>
          <w:pgNumType w:fmt="decimal"/>
          <w:cols w:space="425" w:num="1"/>
          <w:docGrid w:linePitch="312" w:charSpace="0"/>
        </w:sectPr>
      </w:pPr>
      <w:r>
        <w:rPr>
          <w:rFonts w:hint="eastAsia" w:ascii="宋体" w:hAnsi="宋体" w:eastAsia="宋体" w:cs="宋体"/>
          <w:snapToGrid w:val="0"/>
          <w:kern w:val="0"/>
          <w:sz w:val="22"/>
          <w:szCs w:val="22"/>
          <w:highlight w:val="none"/>
          <w:u w:val="single"/>
        </w:rPr>
        <w:t xml:space="preserve">       </w:t>
      </w:r>
      <w:r>
        <w:rPr>
          <w:rFonts w:hint="eastAsia" w:ascii="宋体" w:hAnsi="宋体" w:eastAsia="宋体" w:cs="宋体"/>
          <w:snapToGrid w:val="0"/>
          <w:kern w:val="0"/>
          <w:sz w:val="22"/>
          <w:szCs w:val="22"/>
          <w:highlight w:val="none"/>
        </w:rPr>
        <w:t>年</w:t>
      </w:r>
      <w:r>
        <w:rPr>
          <w:rFonts w:hint="eastAsia" w:ascii="宋体" w:hAnsi="宋体" w:eastAsia="宋体" w:cs="宋体"/>
          <w:snapToGrid w:val="0"/>
          <w:kern w:val="0"/>
          <w:sz w:val="22"/>
          <w:szCs w:val="22"/>
          <w:highlight w:val="none"/>
          <w:u w:val="single"/>
        </w:rPr>
        <w:t xml:space="preserve">      </w:t>
      </w:r>
      <w:r>
        <w:rPr>
          <w:rFonts w:hint="eastAsia" w:ascii="宋体" w:hAnsi="宋体" w:eastAsia="宋体" w:cs="宋体"/>
          <w:snapToGrid w:val="0"/>
          <w:kern w:val="0"/>
          <w:sz w:val="22"/>
          <w:szCs w:val="22"/>
          <w:highlight w:val="none"/>
        </w:rPr>
        <w:t>月</w:t>
      </w:r>
      <w:r>
        <w:rPr>
          <w:rFonts w:hint="eastAsia" w:ascii="宋体" w:hAnsi="宋体" w:eastAsia="宋体" w:cs="宋体"/>
          <w:snapToGrid w:val="0"/>
          <w:kern w:val="0"/>
          <w:sz w:val="22"/>
          <w:szCs w:val="22"/>
          <w:highlight w:val="none"/>
          <w:u w:val="single"/>
        </w:rPr>
        <w:t xml:space="preserve">      </w:t>
      </w:r>
      <w:r>
        <w:rPr>
          <w:rFonts w:hint="eastAsia" w:ascii="宋体" w:hAnsi="宋体" w:eastAsia="宋体" w:cs="宋体"/>
          <w:snapToGrid w:val="0"/>
          <w:kern w:val="0"/>
          <w:sz w:val="22"/>
          <w:szCs w:val="22"/>
          <w:highlight w:val="none"/>
        </w:rPr>
        <w:t>日</w:t>
      </w:r>
      <w:r>
        <w:rPr>
          <w:rFonts w:hint="eastAsia" w:ascii="宋体" w:hAnsi="宋体" w:eastAsia="宋体" w:cs="宋体"/>
          <w:snapToGrid w:val="0"/>
          <w:kern w:val="0"/>
          <w:sz w:val="22"/>
          <w:szCs w:val="22"/>
          <w:highlight w:val="none"/>
          <w:lang w:val="en-US" w:eastAsia="zh-CN"/>
        </w:rPr>
        <w:t xml:space="preserve">                       </w:t>
      </w:r>
      <w:r>
        <w:rPr>
          <w:rFonts w:hint="eastAsia" w:ascii="宋体" w:hAnsi="宋体" w:eastAsia="宋体" w:cs="宋体"/>
          <w:snapToGrid w:val="0"/>
          <w:kern w:val="0"/>
          <w:sz w:val="22"/>
          <w:szCs w:val="22"/>
          <w:highlight w:val="none"/>
          <w:u w:val="single"/>
        </w:rPr>
        <w:t xml:space="preserve">        </w:t>
      </w:r>
      <w:r>
        <w:rPr>
          <w:rFonts w:hint="eastAsia" w:ascii="宋体" w:hAnsi="宋体" w:eastAsia="宋体" w:cs="宋体"/>
          <w:snapToGrid w:val="0"/>
          <w:kern w:val="0"/>
          <w:sz w:val="22"/>
          <w:szCs w:val="22"/>
          <w:highlight w:val="none"/>
        </w:rPr>
        <w:t>年</w:t>
      </w:r>
      <w:r>
        <w:rPr>
          <w:rFonts w:hint="eastAsia" w:ascii="宋体" w:hAnsi="宋体" w:eastAsia="宋体" w:cs="宋体"/>
          <w:snapToGrid w:val="0"/>
          <w:kern w:val="0"/>
          <w:sz w:val="22"/>
          <w:szCs w:val="22"/>
          <w:highlight w:val="none"/>
          <w:u w:val="single"/>
        </w:rPr>
        <w:t xml:space="preserve">      </w:t>
      </w:r>
      <w:r>
        <w:rPr>
          <w:rFonts w:hint="eastAsia" w:ascii="宋体" w:hAnsi="宋体" w:eastAsia="宋体" w:cs="宋体"/>
          <w:snapToGrid w:val="0"/>
          <w:kern w:val="0"/>
          <w:sz w:val="22"/>
          <w:szCs w:val="22"/>
          <w:highlight w:val="none"/>
        </w:rPr>
        <w:t>月</w:t>
      </w:r>
      <w:r>
        <w:rPr>
          <w:rFonts w:hint="eastAsia" w:ascii="宋体" w:hAnsi="宋体" w:eastAsia="宋体" w:cs="宋体"/>
          <w:snapToGrid w:val="0"/>
          <w:kern w:val="0"/>
          <w:sz w:val="22"/>
          <w:szCs w:val="22"/>
          <w:highlight w:val="none"/>
          <w:u w:val="single"/>
        </w:rPr>
        <w:t xml:space="preserve">   </w:t>
      </w:r>
      <w:r>
        <w:rPr>
          <w:rFonts w:hint="eastAsia" w:ascii="宋体" w:hAnsi="宋体" w:eastAsia="宋体" w:cs="宋体"/>
          <w:snapToGrid w:val="0"/>
          <w:kern w:val="0"/>
          <w:sz w:val="22"/>
          <w:szCs w:val="22"/>
          <w:highlight w:val="none"/>
          <w:u w:val="single"/>
          <w:lang w:val="en-US" w:eastAsia="zh-CN"/>
        </w:rPr>
        <w:t xml:space="preserve">   </w:t>
      </w:r>
    </w:p>
    <w:p w14:paraId="7198A7CA">
      <w:pPr>
        <w:keepNext/>
        <w:keepLines/>
        <w:pageBreakBefore w:val="0"/>
        <w:kinsoku/>
        <w:wordWrap/>
        <w:overflowPunct/>
        <w:topLinePunct w:val="0"/>
        <w:autoSpaceDE/>
        <w:autoSpaceDN/>
        <w:bidi w:val="0"/>
        <w:spacing w:before="0" w:after="0" w:line="440" w:lineRule="exact"/>
        <w:outlineLvl w:val="0"/>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附件三 廉政合同</w:t>
      </w:r>
      <w:bookmarkEnd w:id="643"/>
      <w:bookmarkEnd w:id="644"/>
    </w:p>
    <w:p w14:paraId="1B799911">
      <w:pPr>
        <w:pageBreakBefore w:val="0"/>
        <w:widowControl/>
        <w:kinsoku/>
        <w:wordWrap/>
        <w:overflowPunct/>
        <w:topLinePunct w:val="0"/>
        <w:autoSpaceDE/>
        <w:autoSpaceDN/>
        <w:bidi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廉 政 合 同</w:t>
      </w:r>
    </w:p>
    <w:p w14:paraId="42B6953E">
      <w:pPr>
        <w:pageBreakBefore w:val="0"/>
        <w:widowControl/>
        <w:kinsoku/>
        <w:wordWrap/>
        <w:overflowPunct/>
        <w:topLinePunct w:val="0"/>
        <w:autoSpaceDE/>
        <w:autoSpaceDN/>
        <w:bidi w:val="0"/>
        <w:spacing w:line="440" w:lineRule="exact"/>
        <w:jc w:val="left"/>
        <w:rPr>
          <w:rFonts w:hint="eastAsia" w:ascii="宋体" w:hAnsi="宋体" w:eastAsia="宋体" w:cs="宋体"/>
          <w:b w:val="0"/>
          <w:bCs w:val="0"/>
          <w:color w:val="auto"/>
          <w:spacing w:val="30"/>
          <w:sz w:val="24"/>
          <w:szCs w:val="24"/>
          <w:highlight w:val="none"/>
        </w:rPr>
      </w:pPr>
    </w:p>
    <w:p w14:paraId="7FA6E9C3">
      <w:pPr>
        <w:pageBreakBefore w:val="0"/>
        <w:widowControl/>
        <w:shd w:val="clear" w:fill="FFFFFF" w:themeFill="background1"/>
        <w:kinsoku/>
        <w:wordWrap/>
        <w:overflowPunct/>
        <w:topLinePunct w:val="0"/>
        <w:autoSpaceDE/>
        <w:autoSpaceDN/>
        <w:bidi w:val="0"/>
        <w:spacing w:line="360" w:lineRule="auto"/>
        <w:ind w:firstLine="616" w:firstLineChars="257"/>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val="0"/>
          <w:bCs/>
          <w:color w:val="auto"/>
          <w:sz w:val="24"/>
          <w:szCs w:val="24"/>
          <w:highlight w:val="none"/>
          <w:u w:val="single"/>
        </w:rPr>
        <w:t>G59呼北高速湖南省</w:t>
      </w:r>
      <w:r>
        <w:rPr>
          <w:rFonts w:hint="eastAsia" w:ascii="宋体" w:hAnsi="宋体" w:eastAsia="宋体" w:cs="宋体"/>
          <w:b w:val="0"/>
          <w:bCs/>
          <w:color w:val="auto"/>
          <w:sz w:val="24"/>
          <w:szCs w:val="24"/>
          <w:highlight w:val="none"/>
          <w:u w:val="single"/>
          <w:lang w:val="en-US" w:eastAsia="zh-CN"/>
        </w:rPr>
        <w:t>张家界</w:t>
      </w:r>
      <w:r>
        <w:rPr>
          <w:rFonts w:hint="eastAsia" w:ascii="宋体" w:hAnsi="宋体" w:eastAsia="宋体" w:cs="宋体"/>
          <w:b w:val="0"/>
          <w:bCs/>
          <w:color w:val="auto"/>
          <w:sz w:val="24"/>
          <w:szCs w:val="24"/>
          <w:highlight w:val="none"/>
          <w:u w:val="single"/>
        </w:rPr>
        <w:t>至</w:t>
      </w:r>
      <w:r>
        <w:rPr>
          <w:rFonts w:hint="eastAsia" w:ascii="宋体" w:hAnsi="宋体" w:eastAsia="宋体" w:cs="宋体"/>
          <w:b w:val="0"/>
          <w:bCs/>
          <w:color w:val="auto"/>
          <w:sz w:val="24"/>
          <w:szCs w:val="24"/>
          <w:highlight w:val="none"/>
          <w:u w:val="single"/>
          <w:lang w:val="en-US" w:eastAsia="zh-CN"/>
        </w:rPr>
        <w:t>官庄</w:t>
      </w:r>
      <w:r>
        <w:rPr>
          <w:rFonts w:hint="eastAsia" w:ascii="宋体" w:hAnsi="宋体" w:eastAsia="宋体" w:cs="宋体"/>
          <w:b w:val="0"/>
          <w:bCs/>
          <w:color w:val="auto"/>
          <w:sz w:val="24"/>
          <w:szCs w:val="24"/>
          <w:highlight w:val="none"/>
          <w:u w:val="single"/>
        </w:rPr>
        <w:t>段</w:t>
      </w:r>
      <w:r>
        <w:rPr>
          <w:rFonts w:hint="eastAsia" w:ascii="宋体" w:hAnsi="宋体" w:eastAsia="宋体" w:cs="宋体"/>
          <w:b w:val="0"/>
          <w:bCs/>
          <w:color w:val="auto"/>
          <w:sz w:val="24"/>
          <w:szCs w:val="24"/>
          <w:highlight w:val="none"/>
          <w:u w:val="single"/>
          <w:lang w:val="en-US" w:eastAsia="zh-CN"/>
        </w:rPr>
        <w:t>第二标</w:t>
      </w:r>
      <w:r>
        <w:rPr>
          <w:rFonts w:hint="eastAsia" w:ascii="宋体" w:hAnsi="宋体" w:eastAsia="宋体" w:cs="宋体"/>
          <w:b w:val="0"/>
          <w:bCs/>
          <w:color w:val="auto"/>
          <w:sz w:val="24"/>
          <w:szCs w:val="24"/>
          <w:highlight w:val="none"/>
          <w:u w:val="single"/>
        </w:rPr>
        <w:t>段</w:t>
      </w:r>
      <w:r>
        <w:rPr>
          <w:rFonts w:hint="eastAsia" w:ascii="宋体" w:hAnsi="宋体" w:eastAsia="宋体" w:cs="宋体"/>
          <w:b w:val="0"/>
          <w:bCs/>
          <w:color w:val="auto"/>
          <w:sz w:val="24"/>
          <w:szCs w:val="24"/>
          <w:highlight w:val="none"/>
        </w:rPr>
        <w:t>（项目名称）的项目法人</w:t>
      </w:r>
      <w:r>
        <w:rPr>
          <w:rFonts w:hint="eastAsia" w:ascii="宋体" w:hAnsi="宋体" w:eastAsia="宋体" w:cs="宋体"/>
          <w:b w:val="0"/>
          <w:bCs/>
          <w:color w:val="auto"/>
          <w:sz w:val="24"/>
          <w:szCs w:val="24"/>
          <w:highlight w:val="none"/>
          <w:u w:val="single"/>
        </w:rPr>
        <w:t>湖南省新新张官高速公路建设开发有限公司</w:t>
      </w:r>
      <w:r>
        <w:rPr>
          <w:rFonts w:hint="eastAsia" w:ascii="宋体" w:hAnsi="宋体" w:eastAsia="宋体" w:cs="宋体"/>
          <w:b w:val="0"/>
          <w:bCs/>
          <w:color w:val="auto"/>
          <w:sz w:val="24"/>
          <w:szCs w:val="24"/>
          <w:highlight w:val="none"/>
          <w:u w:val="single"/>
          <w:lang w:val="en-US" w:eastAsia="zh-CN"/>
        </w:rPr>
        <w:t>张家界</w:t>
      </w:r>
      <w:r>
        <w:rPr>
          <w:rFonts w:hint="eastAsia" w:ascii="宋体" w:hAnsi="宋体" w:eastAsia="宋体" w:cs="宋体"/>
          <w:b w:val="0"/>
          <w:bCs/>
          <w:color w:val="auto"/>
          <w:sz w:val="24"/>
          <w:szCs w:val="24"/>
          <w:highlight w:val="none"/>
          <w:u w:val="single"/>
        </w:rPr>
        <w:t>分公司</w:t>
      </w:r>
      <w:r>
        <w:rPr>
          <w:rFonts w:hint="eastAsia" w:ascii="宋体" w:hAnsi="宋体" w:eastAsia="宋体" w:cs="宋体"/>
          <w:b w:val="0"/>
          <w:bCs/>
          <w:color w:val="auto"/>
          <w:sz w:val="24"/>
          <w:szCs w:val="24"/>
          <w:highlight w:val="none"/>
        </w:rPr>
        <w:t>（项目法人名称，以下简称“委托人”）与该项目</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（项目名称）</w:t>
      </w:r>
      <w:r>
        <w:rPr>
          <w:rFonts w:hint="eastAsia" w:ascii="宋体" w:hAnsi="宋体" w:eastAsia="宋体" w:cs="宋体"/>
          <w:b w:val="0"/>
          <w:bCs/>
          <w:color w:val="auto"/>
          <w:sz w:val="24"/>
          <w:szCs w:val="24"/>
          <w:highlight w:val="none"/>
        </w:rPr>
        <w:t>的咨询服务单位</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（咨询服务单位名称，以下简称“咨询人”），特订立如下合同。</w:t>
      </w:r>
    </w:p>
    <w:p w14:paraId="28A2B99E">
      <w:pPr>
        <w:pageBreakBefore w:val="0"/>
        <w:widowControl/>
        <w:numPr>
          <w:ilvl w:val="0"/>
          <w:numId w:val="4"/>
        </w:numPr>
        <w:shd w:val="clear" w:fill="FFFFFF" w:themeFill="background1"/>
        <w:kinsoku/>
        <w:wordWrap/>
        <w:overflowPunct/>
        <w:topLinePunct w:val="0"/>
        <w:autoSpaceDE/>
        <w:autoSpaceDN/>
        <w:bidi w:val="0"/>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委托人和咨询人双方的权利和义务</w:t>
      </w:r>
    </w:p>
    <w:p w14:paraId="40AD2E45">
      <w:pPr>
        <w:pageBreakBefore w:val="0"/>
        <w:widowControl/>
        <w:numPr>
          <w:ilvl w:val="0"/>
          <w:numId w:val="0"/>
        </w:numPr>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（1）严格遵守党的政策规定和国家有关法律法规及交通运输部的有关规定。</w:t>
      </w:r>
    </w:p>
    <w:p w14:paraId="3A1D658D">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（2）严格执行</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（项目名称）咨询服务合同文件，自觉按合同办事。</w:t>
      </w:r>
    </w:p>
    <w:p w14:paraId="6E5AE00C">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（3）双方的业务活动坚持公开、公正、诚信、透明的原则（法律认定的商业秘密和合同文件另有规定除外），不得损害国家和集体利益，不得违反工程建设管理规章制度。</w:t>
      </w:r>
    </w:p>
    <w:p w14:paraId="6574B401">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（4）建立健全廉政制度，开展廉政教育，设立廉政告示牌，公布举报电话，监督并认真查处违法违纪行为。</w:t>
      </w:r>
    </w:p>
    <w:p w14:paraId="0DC37D00">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（5）发现对方在业务活动中有违反廉政规定的行为，有及时提醒对方纠正的权利和义务。</w:t>
      </w:r>
    </w:p>
    <w:p w14:paraId="747341A0">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（6）发现对方严重违反本合同义务条款的行为，有向其上级有关部门举报、建议给予处理并要求告知处理结果的权利。</w:t>
      </w:r>
    </w:p>
    <w:p w14:paraId="62CE18A6">
      <w:pPr>
        <w:pageBreakBefore w:val="0"/>
        <w:widowControl/>
        <w:shd w:val="clear" w:fill="FFFFFF" w:themeFill="background1"/>
        <w:kinsoku/>
        <w:wordWrap/>
        <w:overflowPunct/>
        <w:topLinePunct w:val="0"/>
        <w:autoSpaceDE/>
        <w:autoSpaceDN/>
        <w:bidi w:val="0"/>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2.委托人的义务</w:t>
      </w:r>
    </w:p>
    <w:p w14:paraId="530A5058">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（1）委托人及其工作人员不得索要或接受咨询人的礼金、有价证券和贵重物品，不得让咨询人报销任何应由委托人或委托人工作人员个人支付的费用等。</w:t>
      </w:r>
    </w:p>
    <w:p w14:paraId="54F6C8E5">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（2）委托人工作人员不得参加咨询人安排的超标准宴请和娱乐活动；不得接受咨询人提供的通信工具、交通工具和高档办公用品等。</w:t>
      </w:r>
    </w:p>
    <w:p w14:paraId="5EAF227F">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（3）委托人及其工作人员不得要求或者接受咨询人为其住房装修、婚丧嫁娶活动、配偶子女的工作安排以及出国出境、旅游等提供方便等。</w:t>
      </w:r>
    </w:p>
    <w:p w14:paraId="6EFF76FD">
      <w:pPr>
        <w:pageBreakBefore w:val="0"/>
        <w:widowControl/>
        <w:shd w:val="clear" w:fill="FFFFFF" w:themeFill="background1"/>
        <w:kinsoku/>
        <w:wordWrap/>
        <w:overflowPunct/>
        <w:topLinePunct w:val="0"/>
        <w:autoSpaceDE/>
        <w:autoSpaceDN/>
        <w:bidi w:val="0"/>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（4）委托人工作人员及其配偶、子女、亲属不得从事与本咨询服务合同有关的咨询服务业务等活动。不得以任何理由要求咨询人和相关单位在设计中使用某种产品、材料和设备。</w:t>
      </w:r>
    </w:p>
    <w:p w14:paraId="1A7154BF">
      <w:pPr>
        <w:pageBreakBefore w:val="0"/>
        <w:widowControl/>
        <w:shd w:val="clear" w:fill="FFFFFF" w:themeFill="background1"/>
        <w:kinsoku/>
        <w:wordWrap/>
        <w:overflowPunct/>
        <w:topLinePunct w:val="0"/>
        <w:autoSpaceDE/>
        <w:autoSpaceDN/>
        <w:bidi w:val="0"/>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（5）委托人工作人员要秉公办事，不准营私舞弊，不准利用职权从事各种个人有偿中介活动和安排个人咨询服务队伍。</w:t>
      </w:r>
    </w:p>
    <w:p w14:paraId="78A2A125">
      <w:pPr>
        <w:pageBreakBefore w:val="0"/>
        <w:widowControl/>
        <w:shd w:val="clear" w:fill="FFFFFF" w:themeFill="background1"/>
        <w:kinsoku/>
        <w:wordWrap/>
        <w:overflowPunct/>
        <w:topLinePunct w:val="0"/>
        <w:autoSpaceDE/>
        <w:autoSpaceDN/>
        <w:bidi w:val="0"/>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 咨询人的义务</w:t>
      </w:r>
    </w:p>
    <w:p w14:paraId="209B95F8">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（1）咨询人不得以任何理由向委托人及其工作人员行贿或馈赠礼金、有价证券、贵重礼品。</w:t>
      </w:r>
    </w:p>
    <w:p w14:paraId="07052B65">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（2）咨询人不得以任何名义为委托人及其工作人员报销应由委托人单位或个人支付的任何费用。</w:t>
      </w:r>
    </w:p>
    <w:p w14:paraId="41264DBE">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（3）咨询人不得以任何理由安排委托人工作人员参加超标准宴请及娱乐活动。</w:t>
      </w:r>
    </w:p>
    <w:p w14:paraId="4A8C2665">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（4）咨询人不得为委托人单位和个人购置或提供通信工具、交通工具和高档办公用品等。</w:t>
      </w:r>
    </w:p>
    <w:p w14:paraId="6B1350B3">
      <w:pPr>
        <w:pageBreakBefore w:val="0"/>
        <w:widowControl/>
        <w:shd w:val="clear" w:fill="FFFFFF" w:themeFill="background1"/>
        <w:kinsoku/>
        <w:wordWrap/>
        <w:overflowPunct/>
        <w:topLinePunct w:val="0"/>
        <w:autoSpaceDE/>
        <w:autoSpaceDN/>
        <w:bidi w:val="0"/>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 违约责任</w:t>
      </w:r>
    </w:p>
    <w:p w14:paraId="654BC051">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（1）委托人及其工作人员违反本合同第1、2条，按管理权限，依据有关规定给予党纪、政纪或组织处理；涉嫌犯罪的，移交司法机关追究刑事责任；给咨询人单位造成经济损失的，应予以赔偿。</w:t>
      </w:r>
    </w:p>
    <w:p w14:paraId="4306D5BE">
      <w:pPr>
        <w:pageBreakBefore w:val="0"/>
        <w:widowControl/>
        <w:shd w:val="clear" w:fill="FFFFFF" w:themeFill="background1"/>
        <w:kinsoku/>
        <w:wordWrap/>
        <w:overflowPunct/>
        <w:topLinePunct w:val="0"/>
        <w:autoSpaceDE/>
        <w:autoSpaceDN/>
        <w:bidi w:val="0"/>
        <w:spacing w:line="360" w:lineRule="auto"/>
        <w:ind w:firstLine="240" w:firstLine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咨询人及其工作人员违反本合同第1、3条，按管理权限，依据有关规定给予党纪、政纪或组织处理；给委托人单位造成经济损失的，应予以赔偿；情节严重的，委托人建议交通运输主管部门给予咨询人一至三年内不得进入其主管的公路建设市场的处罚。</w:t>
      </w:r>
    </w:p>
    <w:p w14:paraId="0BB0B28F">
      <w:pPr>
        <w:pageBreakBefore w:val="0"/>
        <w:widowControl/>
        <w:shd w:val="clear" w:fill="FFFFFF" w:themeFill="background1"/>
        <w:kinsoku/>
        <w:wordWrap/>
        <w:overflowPunct/>
        <w:topLinePunct w:val="0"/>
        <w:autoSpaceDE/>
        <w:autoSpaceDN/>
        <w:bidi w:val="0"/>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双方约定：本合同由双方或双方上级单位的纪检监察部门负责监督执行。由委托人或委托人上级单位的纪检监察部门约请咨询人或咨询人上级单位纪检监察部门对本合同执行情况进行检查，提出在本合同规定范围内的裁定意见。</w:t>
      </w:r>
    </w:p>
    <w:p w14:paraId="7FA6E7AF">
      <w:pPr>
        <w:pageBreakBefore w:val="0"/>
        <w:widowControl/>
        <w:shd w:val="clear" w:fill="FFFFFF" w:themeFill="background1"/>
        <w:kinsoku/>
        <w:wordWrap/>
        <w:overflowPunct/>
        <w:topLinePunct w:val="0"/>
        <w:autoSpaceDE/>
        <w:autoSpaceDN/>
        <w:bidi w:val="0"/>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6.本合同有效期为合同双方签署之日起至咨询服务合同失效日止。</w:t>
      </w:r>
    </w:p>
    <w:p w14:paraId="25D0D4DA">
      <w:pPr>
        <w:pageBreakBefore w:val="0"/>
        <w:widowControl/>
        <w:shd w:val="clear" w:fill="FFFFFF" w:themeFill="background1"/>
        <w:kinsoku/>
        <w:wordWrap/>
        <w:overflowPunct/>
        <w:topLinePunct w:val="0"/>
        <w:autoSpaceDE/>
        <w:autoSpaceDN/>
        <w:bidi w:val="0"/>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7.本合同作为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（项目名称）合同的附件，</w:t>
      </w:r>
      <w:bookmarkStart w:id="645" w:name="_Hlk12837718"/>
      <w:r>
        <w:rPr>
          <w:rFonts w:hint="eastAsia" w:ascii="宋体" w:hAnsi="宋体" w:eastAsia="宋体" w:cs="宋体"/>
          <w:b w:val="0"/>
          <w:bCs/>
          <w:color w:val="auto"/>
          <w:sz w:val="24"/>
          <w:szCs w:val="24"/>
          <w:highlight w:val="none"/>
        </w:rPr>
        <w:t>与咨询服务合同具有同等的法律效力，</w:t>
      </w:r>
      <w:bookmarkEnd w:id="645"/>
      <w:r>
        <w:rPr>
          <w:rFonts w:hint="eastAsia" w:ascii="宋体" w:hAnsi="宋体" w:eastAsia="宋体" w:cs="宋体"/>
          <w:b w:val="0"/>
          <w:bCs/>
          <w:color w:val="auto"/>
          <w:sz w:val="24"/>
          <w:szCs w:val="24"/>
          <w:highlight w:val="none"/>
        </w:rPr>
        <w:t>自合同双方法定代表人或其委托代理人签字并加盖单位公章之日起生效。</w:t>
      </w:r>
    </w:p>
    <w:p w14:paraId="3844D886">
      <w:pPr>
        <w:pageBreakBefore w:val="0"/>
        <w:widowControl/>
        <w:shd w:val="clear" w:fill="FFFFFF" w:themeFill="background1"/>
        <w:kinsoku/>
        <w:wordWrap/>
        <w:overflowPunct/>
        <w:topLinePunct w:val="0"/>
        <w:autoSpaceDE/>
        <w:autoSpaceDN/>
        <w:bidi w:val="0"/>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8.本合同一式</w:t>
      </w:r>
      <w:r>
        <w:rPr>
          <w:rFonts w:hint="eastAsia" w:ascii="宋体" w:hAnsi="宋体" w:eastAsia="宋体" w:cs="宋体"/>
          <w:b w:val="0"/>
          <w:bCs/>
          <w:color w:val="auto"/>
          <w:sz w:val="24"/>
          <w:szCs w:val="24"/>
          <w:highlight w:val="none"/>
          <w:lang w:val="en-US" w:eastAsia="zh-CN"/>
        </w:rPr>
        <w:t xml:space="preserve"> </w:t>
      </w:r>
      <w:r>
        <w:rPr>
          <w:rFonts w:hint="eastAsia" w:ascii="Times New Roman" w:hAnsi="Times New Roman" w:eastAsia="宋体" w:cs="Times New Roman"/>
          <w:color w:val="auto"/>
          <w:sz w:val="24"/>
          <w:highlight w:val="none"/>
          <w:u w:val="single"/>
          <w:lang w:val="en-US" w:eastAsia="zh-CN"/>
        </w:rPr>
        <w:t xml:space="preserve"> 陆 </w:t>
      </w:r>
      <w:r>
        <w:rPr>
          <w:rFonts w:hint="eastAsia" w:ascii="宋体" w:hAnsi="宋体" w:eastAsia="宋体" w:cs="宋体"/>
          <w:b w:val="0"/>
          <w:bCs w:val="0"/>
          <w:color w:val="auto"/>
          <w:sz w:val="24"/>
          <w:szCs w:val="24"/>
          <w:highlight w:val="none"/>
          <w:lang w:eastAsia="zh-CN"/>
        </w:rPr>
        <w:t>份，</w:t>
      </w:r>
      <w:r>
        <w:rPr>
          <w:rFonts w:hint="eastAsia" w:ascii="宋体" w:hAnsi="宋体" w:eastAsia="宋体" w:cs="宋体"/>
          <w:b w:val="0"/>
          <w:bCs/>
          <w:color w:val="auto"/>
          <w:sz w:val="24"/>
          <w:szCs w:val="24"/>
          <w:highlight w:val="none"/>
          <w:lang w:val="en-US" w:eastAsia="zh-CN"/>
        </w:rPr>
        <w:t>甲方</w:t>
      </w:r>
      <w:r>
        <w:rPr>
          <w:rFonts w:hint="eastAsia" w:ascii="宋体" w:hAnsi="宋体" w:eastAsia="宋体" w:cs="宋体"/>
          <w:b w:val="0"/>
          <w:bCs/>
          <w:color w:val="auto"/>
          <w:sz w:val="24"/>
          <w:szCs w:val="24"/>
          <w:highlight w:val="none"/>
          <w:lang w:eastAsia="zh-CN"/>
        </w:rPr>
        <w:t>执</w:t>
      </w:r>
      <w:r>
        <w:rPr>
          <w:rFonts w:hint="eastAsia" w:ascii="Times New Roman" w:hAnsi="Times New Roman" w:eastAsia="宋体" w:cs="Times New Roman"/>
          <w:color w:val="auto"/>
          <w:sz w:val="24"/>
          <w:highlight w:val="none"/>
          <w:u w:val="single"/>
          <w:lang w:val="en-US" w:eastAsia="zh-CN"/>
        </w:rPr>
        <w:t xml:space="preserve"> 肆 </w:t>
      </w:r>
      <w:r>
        <w:rPr>
          <w:rFonts w:hint="eastAsia" w:ascii="Times New Roman" w:hAnsi="Times New Roman" w:eastAsia="宋体" w:cs="Times New Roman"/>
          <w:color w:val="auto"/>
          <w:sz w:val="24"/>
          <w:highlight w:val="none"/>
          <w:u w:val="none"/>
          <w:lang w:val="en-US" w:eastAsia="zh-CN"/>
        </w:rPr>
        <w:t>份</w:t>
      </w:r>
      <w:r>
        <w:rPr>
          <w:rFonts w:ascii="Times New Roman" w:hAnsi="Times New Roman" w:eastAsia="宋体" w:cs="Times New Roman"/>
          <w:color w:val="auto"/>
          <w:sz w:val="24"/>
          <w:highlight w:val="none"/>
          <w:u w:val="none"/>
        </w:rPr>
        <w:t>、乙方执</w:t>
      </w:r>
      <w:r>
        <w:rPr>
          <w:rFonts w:hint="eastAsia" w:ascii="Times New Roman" w:hAnsi="Times New Roman" w:eastAsia="宋体" w:cs="Times New Roman"/>
          <w:color w:val="auto"/>
          <w:sz w:val="24"/>
          <w:highlight w:val="none"/>
          <w:u w:val="single"/>
          <w:lang w:val="en-US" w:eastAsia="zh-CN"/>
        </w:rPr>
        <w:t xml:space="preserve"> 贰 </w:t>
      </w:r>
      <w:r>
        <w:rPr>
          <w:rFonts w:hint="eastAsia" w:ascii="Times New Roman" w:hAnsi="Times New Roman" w:eastAsia="宋体" w:cs="Times New Roman"/>
          <w:color w:val="auto"/>
          <w:sz w:val="24"/>
          <w:highlight w:val="none"/>
          <w:u w:val="none"/>
          <w:lang w:val="en-US" w:eastAsia="zh-CN"/>
        </w:rPr>
        <w:t>份</w:t>
      </w:r>
      <w:r>
        <w:rPr>
          <w:rFonts w:hint="eastAsia" w:ascii="宋体" w:hAnsi="宋体" w:eastAsia="宋体" w:cs="宋体"/>
          <w:b w:val="0"/>
          <w:bCs/>
          <w:color w:val="auto"/>
          <w:sz w:val="24"/>
          <w:szCs w:val="24"/>
          <w:highlight w:val="none"/>
        </w:rPr>
        <w:t>。</w:t>
      </w:r>
    </w:p>
    <w:p w14:paraId="6E27151F">
      <w:pPr>
        <w:pageBreakBefore w:val="0"/>
        <w:widowControl/>
        <w:shd w:val="clear" w:fill="FFFFFF" w:themeFill="background1"/>
        <w:kinsoku/>
        <w:wordWrap/>
        <w:overflowPunct/>
        <w:topLinePunct w:val="0"/>
        <w:autoSpaceDE/>
        <w:autoSpaceDN/>
        <w:bidi w:val="0"/>
        <w:spacing w:line="360" w:lineRule="auto"/>
        <w:jc w:val="left"/>
        <w:rPr>
          <w:rFonts w:hint="eastAsia" w:ascii="宋体" w:hAnsi="宋体" w:eastAsia="宋体" w:cs="宋体"/>
          <w:b w:val="0"/>
          <w:bCs/>
          <w:color w:val="auto"/>
          <w:sz w:val="24"/>
          <w:szCs w:val="24"/>
          <w:highlight w:val="none"/>
        </w:rPr>
      </w:pPr>
    </w:p>
    <w:p w14:paraId="71F0E847">
      <w:pPr>
        <w:keepNext w:val="0"/>
        <w:keepLines w:val="0"/>
        <w:pageBreakBefore w:val="0"/>
        <w:widowControl w:val="0"/>
        <w:shd w:val="clear" w:fill="FFFFFF" w:themeFill="background1"/>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委托人：</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（盖单位章）     咨询人：</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（盖单位章）</w:t>
      </w:r>
    </w:p>
    <w:p w14:paraId="0D859872">
      <w:pPr>
        <w:keepNext w:val="0"/>
        <w:keepLines w:val="0"/>
        <w:pageBreakBefore w:val="0"/>
        <w:widowControl w:val="0"/>
        <w:shd w:val="clear" w:fill="FFFFFF" w:themeFill="background1"/>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法定代表人</w:t>
      </w:r>
    </w:p>
    <w:p w14:paraId="0B606AAD">
      <w:pPr>
        <w:keepNext w:val="0"/>
        <w:keepLines w:val="0"/>
        <w:pageBreakBefore w:val="0"/>
        <w:widowControl w:val="0"/>
        <w:shd w:val="clear" w:fill="FFFFFF" w:themeFill="background1"/>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或其委托代理人：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或其委托代理人：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（签字）</w:t>
      </w:r>
    </w:p>
    <w:p w14:paraId="4EBE774D">
      <w:pPr>
        <w:keepNext w:val="0"/>
        <w:keepLines w:val="0"/>
        <w:pageBreakBefore w:val="0"/>
        <w:widowControl w:val="0"/>
        <w:shd w:val="clear" w:fill="FFFFFF" w:themeFill="background1"/>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日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日</w:t>
      </w:r>
    </w:p>
    <w:p w14:paraId="7784F8DA">
      <w:pPr>
        <w:pageBreakBefore w:val="0"/>
        <w:widowControl/>
        <w:shd w:val="clear" w:fill="FFFFFF" w:themeFill="background1"/>
        <w:kinsoku/>
        <w:wordWrap/>
        <w:overflowPunct/>
        <w:topLinePunct w:val="0"/>
        <w:autoSpaceDE/>
        <w:autoSpaceDN/>
        <w:bidi w:val="0"/>
        <w:spacing w:line="360" w:lineRule="auto"/>
        <w:jc w:val="left"/>
        <w:rPr>
          <w:rFonts w:hint="eastAsia" w:ascii="宋体" w:hAnsi="宋体" w:eastAsia="宋体" w:cs="宋体"/>
          <w:b w:val="0"/>
          <w:bCs/>
          <w:color w:val="auto"/>
          <w:sz w:val="24"/>
          <w:szCs w:val="24"/>
          <w:highlight w:val="none"/>
        </w:rPr>
      </w:pPr>
    </w:p>
    <w:p w14:paraId="2400FC3C">
      <w:pPr>
        <w:pageBreakBefore w:val="0"/>
        <w:widowControl/>
        <w:kinsoku/>
        <w:wordWrap/>
        <w:overflowPunct/>
        <w:topLinePunct w:val="0"/>
        <w:autoSpaceDE/>
        <w:autoSpaceDN/>
        <w:bidi w:val="0"/>
        <w:spacing w:line="440" w:lineRule="exact"/>
        <w:jc w:val="left"/>
        <w:rPr>
          <w:rFonts w:ascii="Times New Roman" w:hAnsi="Times New Roman" w:eastAsia="宋体" w:cs="Times New Roman"/>
          <w:b w:val="0"/>
          <w:bCs w:val="0"/>
          <w:color w:val="auto"/>
          <w:highlight w:val="none"/>
        </w:rPr>
      </w:pPr>
    </w:p>
    <w:p w14:paraId="440ECC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u w:val="none"/>
          <w:lang w:val="en-US" w:eastAsia="zh-CN"/>
        </w:rPr>
      </w:pPr>
    </w:p>
    <w:p w14:paraId="349E6274">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7772980B">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7AC88E5E">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0631FD4C">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1E831C15">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336D9AC4">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3B05C2FE">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751067D6">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3867B725">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75370009">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5570490E">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6C609D3E">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51726FD7">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67FB1FA9">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410D2BAB">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496334C5">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7B229009">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351CD929">
      <w:pPr>
        <w:spacing w:after="120" w:line="360" w:lineRule="exact"/>
        <w:rPr>
          <w:rFonts w:hint="eastAsia" w:ascii="宋体" w:hAnsi="宋体" w:eastAsia="宋体" w:cs="宋体"/>
          <w:snapToGrid w:val="0"/>
          <w:color w:val="auto"/>
          <w:kern w:val="0"/>
          <w:sz w:val="24"/>
          <w:szCs w:val="24"/>
          <w:highlight w:val="none"/>
          <w:u w:val="single"/>
          <w:lang w:val="en-US" w:eastAsia="zh-CN" w:bidi="ar-SA"/>
        </w:rPr>
      </w:pPr>
    </w:p>
    <w:p w14:paraId="06D40754">
      <w:pPr>
        <w:widowControl/>
        <w:spacing w:line="360" w:lineRule="exact"/>
        <w:jc w:val="left"/>
        <w:rPr>
          <w:rFonts w:ascii="Times New Roman" w:hAnsi="Times New Roman" w:eastAsia="宋体" w:cs="Times New Roman"/>
          <w:color w:val="auto"/>
          <w:highlight w:val="none"/>
        </w:rPr>
      </w:pPr>
    </w:p>
    <w:p w14:paraId="1A681905">
      <w:pPr>
        <w:spacing w:before="260" w:after="260" w:line="440" w:lineRule="atLeast"/>
        <w:ind w:firstLine="117" w:firstLineChars="49"/>
        <w:jc w:val="both"/>
        <w:outlineLvl w:val="2"/>
        <w:rPr>
          <w:rFonts w:ascii="Times New Roman" w:hAnsi="Times New Roman" w:eastAsia="黑体" w:cs="Times New Roman"/>
          <w:color w:val="auto"/>
          <w:sz w:val="24"/>
          <w:szCs w:val="24"/>
          <w:highlight w:val="none"/>
          <w:lang w:val="en-US" w:eastAsia="zh-CN" w:bidi="ar-SA"/>
        </w:rPr>
      </w:pPr>
      <w:r>
        <w:rPr>
          <w:rFonts w:ascii="Times New Roman" w:hAnsi="Times New Roman" w:eastAsia="黑体" w:cs="Times New Roman"/>
          <w:color w:val="auto"/>
          <w:sz w:val="24"/>
          <w:szCs w:val="24"/>
          <w:highlight w:val="none"/>
          <w:lang w:val="en-US" w:eastAsia="zh-CN" w:bidi="ar-SA"/>
        </w:rPr>
        <w:t>附件</w:t>
      </w:r>
      <w:r>
        <w:rPr>
          <w:rFonts w:hint="eastAsia" w:ascii="Times New Roman" w:hAnsi="Times New Roman" w:eastAsia="黑体" w:cs="Times New Roman"/>
          <w:color w:val="auto"/>
          <w:sz w:val="24"/>
          <w:szCs w:val="24"/>
          <w:highlight w:val="none"/>
          <w:lang w:val="en-US" w:eastAsia="zh-CN" w:bidi="ar-SA"/>
        </w:rPr>
        <w:t>四</w:t>
      </w:r>
      <w:r>
        <w:rPr>
          <w:rFonts w:ascii="Times New Roman" w:hAnsi="Times New Roman" w:eastAsia="黑体" w:cs="Times New Roman"/>
          <w:color w:val="auto"/>
          <w:sz w:val="24"/>
          <w:szCs w:val="24"/>
          <w:highlight w:val="none"/>
          <w:lang w:val="en-US" w:eastAsia="zh-CN" w:bidi="ar-SA"/>
        </w:rPr>
        <w:t xml:space="preserve"> 履约保证金格式</w:t>
      </w:r>
    </w:p>
    <w:p w14:paraId="447D82F7">
      <w:pPr>
        <w:widowControl/>
        <w:spacing w:line="440" w:lineRule="atLeast"/>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如采用银行保函，格式如下。</w:t>
      </w:r>
    </w:p>
    <w:p w14:paraId="11C8AB6D">
      <w:pPr>
        <w:widowControl/>
        <w:spacing w:line="440" w:lineRule="atLeas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履约保证金</w:t>
      </w:r>
    </w:p>
    <w:p w14:paraId="75102483">
      <w:pPr>
        <w:widowControl/>
        <w:spacing w:line="440" w:lineRule="atLeast"/>
        <w:jc w:val="left"/>
        <w:rPr>
          <w:rFonts w:ascii="Times New Roman" w:hAnsi="Times New Roman" w:eastAsia="宋体" w:cs="Times New Roman"/>
          <w:color w:val="auto"/>
          <w:sz w:val="24"/>
          <w:highlight w:val="none"/>
        </w:rPr>
      </w:pPr>
    </w:p>
    <w:p w14:paraId="6A47E2A0">
      <w:pPr>
        <w:widowControl/>
        <w:spacing w:line="440" w:lineRule="atLeast"/>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（委托人名称）：</w:t>
      </w:r>
    </w:p>
    <w:p w14:paraId="67B25DA7">
      <w:pPr>
        <w:widowControl/>
        <w:spacing w:line="440" w:lineRule="atLeast"/>
        <w:jc w:val="left"/>
        <w:rPr>
          <w:rFonts w:ascii="Times New Roman" w:hAnsi="Times New Roman" w:eastAsia="宋体" w:cs="Times New Roman"/>
          <w:color w:val="auto"/>
          <w:sz w:val="24"/>
          <w:highlight w:val="none"/>
        </w:rPr>
      </w:pPr>
    </w:p>
    <w:p w14:paraId="0BCF8518">
      <w:pPr>
        <w:widowControl/>
        <w:spacing w:line="440" w:lineRule="atLeast"/>
        <w:ind w:firstLine="600" w:firstLineChars="25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鉴于</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（委托人名称，以下简称“委托人”）接受</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（咨询人名称）（以下称“咨询人”）于</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年</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月</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日参加</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（项目名称）</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标段咨询服务的投标。我方愿意无条件地、不可撤销地就咨询人履行与你方订立的合同，向你方提供担保。</w:t>
      </w:r>
    </w:p>
    <w:p w14:paraId="47E49708">
      <w:pPr>
        <w:widowControl/>
        <w:spacing w:line="440" w:lineRule="atLeast"/>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 担保金额人民币（大写）</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 xml:space="preserve"> 元（¥</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w:t>
      </w:r>
    </w:p>
    <w:p w14:paraId="3CE39786">
      <w:pPr>
        <w:widowControl/>
        <w:spacing w:line="440" w:lineRule="atLeast"/>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 担保有效期自委托人与咨询人签订的合同生效之日起至委托人签发交工验收证书且咨询人按照合同约定提交缺陷责任期保函之日止。</w:t>
      </w:r>
      <w:r>
        <w:rPr>
          <w:rStyle w:val="70"/>
          <w:rFonts w:ascii="Times New Roman" w:hAnsi="Times New Roman" w:eastAsia="黑体" w:cs="Times New Roman"/>
          <w:color w:val="auto"/>
          <w:sz w:val="28"/>
          <w:szCs w:val="28"/>
          <w:highlight w:val="none"/>
        </w:rPr>
        <w:footnoteReference w:id="5"/>
      </w:r>
    </w:p>
    <w:p w14:paraId="111C750B">
      <w:pPr>
        <w:widowControl/>
        <w:spacing w:line="440" w:lineRule="atLeast"/>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 在本担保有效期内，因咨询人违反合同约定的义务给你方造成经济损失时，我方在收到你方以书面形式提出的在担保金额内的赔偿要求后，在7天内无条件支付，无须你方出具证明或陈述理由。</w:t>
      </w:r>
    </w:p>
    <w:p w14:paraId="10268B20">
      <w:pPr>
        <w:widowControl/>
        <w:spacing w:line="440" w:lineRule="atLeast"/>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 委托人和咨询人按合同条款变更合同时，我方承担本担保规定的义务不变。</w:t>
      </w:r>
    </w:p>
    <w:p w14:paraId="6A324794">
      <w:pPr>
        <w:widowControl/>
        <w:spacing w:line="440" w:lineRule="atLeast"/>
        <w:jc w:val="left"/>
        <w:rPr>
          <w:rFonts w:ascii="Times New Roman" w:hAnsi="Times New Roman" w:eastAsia="宋体" w:cs="Times New Roman"/>
          <w:color w:val="auto"/>
          <w:sz w:val="24"/>
          <w:highlight w:val="none"/>
        </w:rPr>
      </w:pPr>
    </w:p>
    <w:p w14:paraId="7E3AA221">
      <w:pPr>
        <w:widowControl/>
        <w:spacing w:line="440" w:lineRule="atLeast"/>
        <w:jc w:val="left"/>
        <w:rPr>
          <w:rFonts w:ascii="Times New Roman" w:hAnsi="Times New Roman" w:eastAsia="宋体" w:cs="Times New Roman"/>
          <w:color w:val="auto"/>
          <w:sz w:val="24"/>
          <w:highlight w:val="none"/>
        </w:rPr>
      </w:pPr>
    </w:p>
    <w:p w14:paraId="3BA47039">
      <w:pPr>
        <w:widowControl/>
        <w:spacing w:line="440" w:lineRule="atLeast"/>
        <w:ind w:firstLine="3496" w:firstLineChars="1457"/>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担 保 人：</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（盖单位章）</w:t>
      </w:r>
    </w:p>
    <w:p w14:paraId="61994E11">
      <w:pPr>
        <w:widowControl/>
        <w:spacing w:line="440" w:lineRule="atLeast"/>
        <w:ind w:firstLine="3496" w:firstLineChars="1457"/>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法定代表人或其委托代理人：</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（签字）</w:t>
      </w:r>
    </w:p>
    <w:p w14:paraId="7DBA4C3A">
      <w:pPr>
        <w:widowControl/>
        <w:spacing w:line="440" w:lineRule="atLeast"/>
        <w:ind w:firstLine="3496" w:firstLineChars="1457"/>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地    址：</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p>
    <w:p w14:paraId="7DB81DF8">
      <w:pPr>
        <w:widowControl/>
        <w:spacing w:line="440" w:lineRule="atLeast"/>
        <w:ind w:firstLine="3496" w:firstLineChars="1457"/>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邮政编码：</w:t>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r>
        <w:rPr>
          <w:rFonts w:ascii="Times New Roman" w:hAnsi="Times New Roman" w:eastAsia="宋体" w:cs="Times New Roman"/>
          <w:color w:val="auto"/>
          <w:sz w:val="24"/>
          <w:highlight w:val="none"/>
          <w:u w:val="single"/>
        </w:rPr>
        <w:tab/>
      </w:r>
    </w:p>
    <w:p w14:paraId="07959ECC">
      <w:pPr>
        <w:widowControl/>
        <w:spacing w:line="440" w:lineRule="atLeast"/>
        <w:ind w:firstLine="3496" w:firstLineChars="1457"/>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电    话：</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 xml:space="preserve"> </w:t>
      </w:r>
    </w:p>
    <w:p w14:paraId="6D838512">
      <w:pPr>
        <w:widowControl/>
        <w:spacing w:line="440" w:lineRule="atLeast"/>
        <w:ind w:firstLine="3496" w:firstLineChars="1457"/>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传    真：</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 xml:space="preserve"> </w:t>
      </w:r>
    </w:p>
    <w:p w14:paraId="1CE1DDA2">
      <w:pPr>
        <w:widowControl/>
        <w:spacing w:line="440" w:lineRule="atLeast"/>
        <w:ind w:firstLine="4216" w:firstLineChars="1757"/>
        <w:jc w:val="righ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 xml:space="preserve"> 年</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 xml:space="preserve">月 </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日</w:t>
      </w:r>
    </w:p>
    <w:p w14:paraId="45727DC2">
      <w:pPr>
        <w:widowControl/>
        <w:spacing w:line="360" w:lineRule="exact"/>
        <w:jc w:val="left"/>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br w:type="page"/>
      </w:r>
    </w:p>
    <w:bookmarkEnd w:id="271"/>
    <w:bookmarkEnd w:id="272"/>
    <w:p w14:paraId="60BADF7B">
      <w:pPr>
        <w:spacing w:line="440" w:lineRule="atLeast"/>
        <w:rPr>
          <w:color w:val="auto"/>
          <w:sz w:val="24"/>
          <w:highlight w:val="none"/>
        </w:rPr>
      </w:pPr>
    </w:p>
    <w:p w14:paraId="1D7AB439">
      <w:pPr>
        <w:spacing w:line="440" w:lineRule="atLeast"/>
        <w:jc w:val="center"/>
        <w:rPr>
          <w:rStyle w:val="89"/>
          <w:rFonts w:ascii="Times New Roman" w:hAnsi="Times New Roman" w:eastAsia="黑体"/>
          <w:color w:val="auto"/>
          <w:sz w:val="42"/>
          <w:szCs w:val="42"/>
          <w:highlight w:val="none"/>
        </w:rPr>
      </w:pPr>
      <w:bookmarkStart w:id="646" w:name="_Toc234833241"/>
    </w:p>
    <w:p w14:paraId="7B58C2C9">
      <w:pPr>
        <w:spacing w:line="440" w:lineRule="atLeast"/>
        <w:jc w:val="center"/>
        <w:rPr>
          <w:rFonts w:eastAsia="黑体"/>
          <w:color w:val="auto"/>
          <w:sz w:val="56"/>
          <w:szCs w:val="56"/>
          <w:highlight w:val="none"/>
        </w:rPr>
      </w:pPr>
    </w:p>
    <w:p w14:paraId="6C92DD7A">
      <w:pPr>
        <w:spacing w:line="440" w:lineRule="atLeast"/>
        <w:jc w:val="center"/>
        <w:rPr>
          <w:rFonts w:eastAsia="黑体"/>
          <w:color w:val="auto"/>
          <w:sz w:val="56"/>
          <w:szCs w:val="56"/>
          <w:highlight w:val="none"/>
        </w:rPr>
      </w:pPr>
    </w:p>
    <w:p w14:paraId="7657C7ED">
      <w:pPr>
        <w:spacing w:line="440" w:lineRule="atLeast"/>
        <w:jc w:val="center"/>
        <w:rPr>
          <w:rFonts w:eastAsia="黑体"/>
          <w:color w:val="auto"/>
          <w:sz w:val="56"/>
          <w:szCs w:val="56"/>
          <w:highlight w:val="none"/>
        </w:rPr>
      </w:pPr>
    </w:p>
    <w:p w14:paraId="00A6AF18">
      <w:pPr>
        <w:spacing w:line="440" w:lineRule="atLeast"/>
        <w:jc w:val="center"/>
        <w:rPr>
          <w:rFonts w:eastAsia="黑体"/>
          <w:color w:val="auto"/>
          <w:sz w:val="56"/>
          <w:szCs w:val="56"/>
          <w:highlight w:val="none"/>
        </w:rPr>
      </w:pPr>
    </w:p>
    <w:p w14:paraId="0DBA0904">
      <w:pPr>
        <w:spacing w:line="440" w:lineRule="atLeast"/>
        <w:jc w:val="center"/>
        <w:rPr>
          <w:rFonts w:eastAsia="黑体"/>
          <w:color w:val="auto"/>
          <w:sz w:val="56"/>
          <w:szCs w:val="56"/>
          <w:highlight w:val="none"/>
        </w:rPr>
      </w:pPr>
    </w:p>
    <w:p w14:paraId="41BB7118">
      <w:pPr>
        <w:spacing w:line="440" w:lineRule="atLeast"/>
        <w:jc w:val="center"/>
        <w:rPr>
          <w:rFonts w:eastAsia="黑体"/>
          <w:color w:val="auto"/>
          <w:sz w:val="56"/>
          <w:szCs w:val="56"/>
          <w:highlight w:val="none"/>
        </w:rPr>
      </w:pPr>
    </w:p>
    <w:p w14:paraId="754E9536">
      <w:pPr>
        <w:spacing w:line="440" w:lineRule="atLeast"/>
        <w:jc w:val="center"/>
        <w:rPr>
          <w:rFonts w:eastAsia="黑体"/>
          <w:color w:val="auto"/>
          <w:sz w:val="56"/>
          <w:szCs w:val="56"/>
          <w:highlight w:val="none"/>
        </w:rPr>
      </w:pPr>
    </w:p>
    <w:p w14:paraId="571C5D74">
      <w:pPr>
        <w:spacing w:line="440" w:lineRule="atLeast"/>
        <w:jc w:val="center"/>
        <w:rPr>
          <w:rStyle w:val="89"/>
          <w:rFonts w:ascii="Times New Roman" w:hAnsi="Times New Roman" w:eastAsia="黑体"/>
          <w:color w:val="auto"/>
          <w:sz w:val="42"/>
          <w:szCs w:val="42"/>
          <w:highlight w:val="none"/>
        </w:rPr>
      </w:pPr>
      <w:r>
        <w:rPr>
          <w:rFonts w:eastAsia="黑体"/>
          <w:color w:val="auto"/>
          <w:sz w:val="56"/>
          <w:szCs w:val="56"/>
          <w:highlight w:val="none"/>
        </w:rPr>
        <w:t>第二卷</w:t>
      </w:r>
    </w:p>
    <w:p w14:paraId="2B7928C2">
      <w:pPr>
        <w:spacing w:line="440" w:lineRule="atLeast"/>
        <w:rPr>
          <w:rFonts w:eastAsia="黑体"/>
          <w:color w:val="auto"/>
          <w:sz w:val="29"/>
          <w:szCs w:val="29"/>
          <w:highlight w:val="none"/>
        </w:rPr>
      </w:pPr>
      <w:r>
        <w:rPr>
          <w:rStyle w:val="89"/>
          <w:rFonts w:ascii="Times New Roman" w:hAnsi="Times New Roman" w:eastAsia="黑体"/>
          <w:color w:val="auto"/>
          <w:sz w:val="42"/>
          <w:szCs w:val="42"/>
          <w:highlight w:val="none"/>
        </w:rPr>
        <w:br w:type="page"/>
      </w:r>
    </w:p>
    <w:p w14:paraId="771029D4">
      <w:pPr>
        <w:spacing w:line="440" w:lineRule="atLeast"/>
        <w:jc w:val="center"/>
        <w:rPr>
          <w:rFonts w:eastAsia="黑体"/>
          <w:color w:val="auto"/>
          <w:sz w:val="29"/>
          <w:szCs w:val="29"/>
          <w:highlight w:val="none"/>
        </w:rPr>
      </w:pPr>
    </w:p>
    <w:p w14:paraId="5929F45C">
      <w:pPr>
        <w:spacing w:line="440" w:lineRule="atLeast"/>
        <w:jc w:val="center"/>
        <w:rPr>
          <w:rFonts w:eastAsia="黑体"/>
          <w:color w:val="auto"/>
          <w:sz w:val="29"/>
          <w:szCs w:val="29"/>
          <w:highlight w:val="none"/>
        </w:rPr>
      </w:pPr>
    </w:p>
    <w:p w14:paraId="76DE9C87">
      <w:pPr>
        <w:spacing w:line="440" w:lineRule="atLeast"/>
        <w:jc w:val="center"/>
        <w:rPr>
          <w:rFonts w:eastAsia="黑体"/>
          <w:color w:val="auto"/>
          <w:sz w:val="29"/>
          <w:szCs w:val="29"/>
          <w:highlight w:val="none"/>
        </w:rPr>
      </w:pPr>
    </w:p>
    <w:p w14:paraId="67E4F16C">
      <w:pPr>
        <w:spacing w:line="440" w:lineRule="atLeast"/>
        <w:jc w:val="center"/>
        <w:rPr>
          <w:rFonts w:eastAsia="黑体"/>
          <w:color w:val="auto"/>
          <w:sz w:val="29"/>
          <w:szCs w:val="29"/>
          <w:highlight w:val="none"/>
        </w:rPr>
      </w:pPr>
    </w:p>
    <w:p w14:paraId="34CEBC7A">
      <w:pPr>
        <w:spacing w:line="440" w:lineRule="atLeast"/>
        <w:jc w:val="center"/>
        <w:rPr>
          <w:rFonts w:eastAsia="黑体"/>
          <w:color w:val="auto"/>
          <w:sz w:val="29"/>
          <w:szCs w:val="29"/>
          <w:highlight w:val="none"/>
        </w:rPr>
      </w:pPr>
    </w:p>
    <w:p w14:paraId="032FF34C">
      <w:pPr>
        <w:spacing w:line="440" w:lineRule="atLeast"/>
        <w:jc w:val="center"/>
        <w:rPr>
          <w:rFonts w:eastAsia="黑体"/>
          <w:color w:val="auto"/>
          <w:sz w:val="29"/>
          <w:szCs w:val="29"/>
          <w:highlight w:val="none"/>
        </w:rPr>
      </w:pPr>
    </w:p>
    <w:p w14:paraId="03A9D609">
      <w:pPr>
        <w:spacing w:line="440" w:lineRule="atLeast"/>
        <w:jc w:val="center"/>
        <w:rPr>
          <w:rFonts w:eastAsia="黑体"/>
          <w:color w:val="auto"/>
          <w:sz w:val="29"/>
          <w:szCs w:val="29"/>
          <w:highlight w:val="none"/>
        </w:rPr>
      </w:pPr>
    </w:p>
    <w:p w14:paraId="424E813B">
      <w:pPr>
        <w:spacing w:line="440" w:lineRule="atLeast"/>
        <w:jc w:val="center"/>
        <w:rPr>
          <w:rFonts w:eastAsia="黑体"/>
          <w:color w:val="auto"/>
          <w:sz w:val="29"/>
          <w:szCs w:val="29"/>
          <w:highlight w:val="none"/>
        </w:rPr>
      </w:pPr>
    </w:p>
    <w:p w14:paraId="48014AEF">
      <w:pPr>
        <w:spacing w:line="440" w:lineRule="atLeast"/>
        <w:jc w:val="center"/>
        <w:rPr>
          <w:rFonts w:eastAsia="黑体"/>
          <w:color w:val="auto"/>
          <w:sz w:val="29"/>
          <w:szCs w:val="29"/>
          <w:highlight w:val="none"/>
        </w:rPr>
      </w:pPr>
    </w:p>
    <w:p w14:paraId="6A6FB1B0">
      <w:pPr>
        <w:spacing w:line="440" w:lineRule="atLeast"/>
        <w:jc w:val="center"/>
        <w:rPr>
          <w:rFonts w:eastAsia="黑体"/>
          <w:color w:val="auto"/>
          <w:sz w:val="29"/>
          <w:szCs w:val="29"/>
          <w:highlight w:val="none"/>
        </w:rPr>
      </w:pPr>
    </w:p>
    <w:p w14:paraId="110641B3">
      <w:pPr>
        <w:pStyle w:val="51"/>
        <w:spacing w:line="440" w:lineRule="atLeast"/>
        <w:ind w:firstLine="720"/>
        <w:rPr>
          <w:rFonts w:ascii="Times New Roman" w:hAnsi="Times New Roman" w:eastAsia="黑体"/>
          <w:color w:val="auto"/>
          <w:sz w:val="36"/>
          <w:szCs w:val="36"/>
          <w:highlight w:val="none"/>
        </w:rPr>
      </w:pPr>
      <w:bookmarkStart w:id="647" w:name="_Toc267901496"/>
      <w:bookmarkStart w:id="648" w:name="_Toc461179552"/>
      <w:bookmarkStart w:id="649" w:name="_Toc510015793"/>
      <w:r>
        <w:rPr>
          <w:rFonts w:hint="eastAsia" w:ascii="Times New Roman" w:hAnsi="Times New Roman" w:eastAsia="黑体"/>
          <w:color w:val="auto"/>
          <w:sz w:val="56"/>
          <w:szCs w:val="56"/>
          <w:highlight w:val="none"/>
        </w:rPr>
        <w:t>第五章</w:t>
      </w:r>
      <w:r>
        <w:rPr>
          <w:rFonts w:ascii="Times New Roman" w:hAnsi="Times New Roman" w:eastAsia="黑体"/>
          <w:color w:val="auto"/>
          <w:sz w:val="56"/>
          <w:szCs w:val="56"/>
          <w:highlight w:val="none"/>
        </w:rPr>
        <w:t xml:space="preserve">  </w:t>
      </w:r>
      <w:bookmarkEnd w:id="647"/>
      <w:bookmarkEnd w:id="648"/>
      <w:r>
        <w:rPr>
          <w:rFonts w:hint="eastAsia" w:ascii="Times New Roman" w:hAnsi="Times New Roman" w:eastAsia="黑体"/>
          <w:color w:val="auto"/>
          <w:sz w:val="56"/>
          <w:szCs w:val="56"/>
          <w:highlight w:val="none"/>
        </w:rPr>
        <w:t>委托人要求</w:t>
      </w:r>
      <w:r>
        <w:rPr>
          <w:rStyle w:val="70"/>
          <w:rFonts w:ascii="Times New Roman" w:hAnsi="Times New Roman" w:eastAsia="黑体"/>
          <w:color w:val="auto"/>
          <w:sz w:val="44"/>
          <w:szCs w:val="44"/>
          <w:highlight w:val="none"/>
        </w:rPr>
        <w:footnoteReference w:id="6"/>
      </w:r>
      <w:bookmarkEnd w:id="649"/>
    </w:p>
    <w:p w14:paraId="1F0E46A5">
      <w:pPr>
        <w:spacing w:line="440" w:lineRule="atLeast"/>
        <w:rPr>
          <w:rFonts w:eastAsia="黑体"/>
          <w:color w:val="auto"/>
          <w:sz w:val="20"/>
          <w:szCs w:val="20"/>
          <w:highlight w:val="none"/>
        </w:rPr>
      </w:pPr>
    </w:p>
    <w:p w14:paraId="2BA2E436">
      <w:pPr>
        <w:spacing w:line="440" w:lineRule="atLeast"/>
        <w:rPr>
          <w:rFonts w:eastAsia="黑体"/>
          <w:color w:val="auto"/>
          <w:sz w:val="20"/>
          <w:szCs w:val="20"/>
          <w:highlight w:val="none"/>
        </w:rPr>
      </w:pPr>
    </w:p>
    <w:p w14:paraId="4E2E2E47">
      <w:pPr>
        <w:spacing w:line="440" w:lineRule="atLeast"/>
        <w:rPr>
          <w:rFonts w:eastAsia="黑体"/>
          <w:color w:val="auto"/>
          <w:sz w:val="20"/>
          <w:szCs w:val="20"/>
          <w:highlight w:val="none"/>
        </w:rPr>
      </w:pPr>
    </w:p>
    <w:p w14:paraId="773AC1CD">
      <w:pPr>
        <w:spacing w:line="440" w:lineRule="atLeast"/>
        <w:rPr>
          <w:rFonts w:eastAsia="黑体"/>
          <w:color w:val="auto"/>
          <w:sz w:val="20"/>
          <w:szCs w:val="20"/>
          <w:highlight w:val="none"/>
        </w:rPr>
      </w:pPr>
    </w:p>
    <w:p w14:paraId="589BF501">
      <w:pPr>
        <w:spacing w:line="440" w:lineRule="atLeast"/>
        <w:rPr>
          <w:rFonts w:eastAsia="黑体"/>
          <w:color w:val="auto"/>
          <w:sz w:val="20"/>
          <w:szCs w:val="20"/>
          <w:highlight w:val="none"/>
        </w:rPr>
      </w:pPr>
    </w:p>
    <w:p w14:paraId="25A58CE7">
      <w:pPr>
        <w:spacing w:line="440" w:lineRule="atLeast"/>
        <w:rPr>
          <w:rFonts w:eastAsia="黑体"/>
          <w:color w:val="auto"/>
          <w:sz w:val="20"/>
          <w:szCs w:val="20"/>
          <w:highlight w:val="none"/>
        </w:rPr>
      </w:pPr>
    </w:p>
    <w:p w14:paraId="3085A2FD">
      <w:pPr>
        <w:pStyle w:val="316"/>
        <w:spacing w:before="260" w:after="260" w:line="440" w:lineRule="atLeast"/>
        <w:jc w:val="center"/>
        <w:rPr>
          <w:rFonts w:hint="eastAsia" w:ascii="宋体" w:hAnsi="宋体" w:eastAsia="宋体" w:cs="宋体"/>
          <w:b/>
          <w:color w:val="auto"/>
          <w:spacing w:val="1"/>
          <w:sz w:val="36"/>
          <w:szCs w:val="36"/>
          <w:highlight w:val="none"/>
          <w:lang w:eastAsia="zh-CN"/>
        </w:rPr>
      </w:pPr>
      <w:r>
        <w:rPr>
          <w:rFonts w:ascii="Times New Roman" w:hAnsi="Times New Roman" w:eastAsia="黑体"/>
          <w:color w:val="auto"/>
          <w:sz w:val="20"/>
          <w:szCs w:val="20"/>
          <w:highlight w:val="none"/>
          <w:lang w:eastAsia="zh-CN"/>
        </w:rPr>
        <w:br w:type="page"/>
      </w:r>
      <w:r>
        <w:rPr>
          <w:rFonts w:hint="eastAsia" w:ascii="宋体" w:hAnsi="宋体" w:eastAsia="宋体" w:cs="宋体"/>
          <w:b/>
          <w:color w:val="auto"/>
          <w:spacing w:val="1"/>
          <w:sz w:val="36"/>
          <w:szCs w:val="36"/>
          <w:highlight w:val="none"/>
          <w:lang w:eastAsia="zh-CN"/>
        </w:rPr>
        <w:t>委托人要求</w:t>
      </w:r>
    </w:p>
    <w:p w14:paraId="7F3D865A">
      <w:pPr>
        <w:spacing w:before="0" w:after="0" w:line="360" w:lineRule="auto"/>
        <w:ind w:firstLine="480" w:firstLineChars="200"/>
        <w:jc w:val="both"/>
        <w:rPr>
          <w:rFonts w:hint="eastAsia" w:cs="宋体" w:asciiTheme="minorEastAsia" w:hAnsiTheme="minorEastAsia" w:eastAsiaTheme="minorEastAsia"/>
          <w:color w:val="auto"/>
          <w:sz w:val="24"/>
          <w:szCs w:val="24"/>
          <w:highlight w:val="none"/>
          <w:lang w:val="en-US" w:eastAsia="zh-CN" w:bidi="ar-SA"/>
        </w:rPr>
      </w:pPr>
      <w:r>
        <w:rPr>
          <w:rFonts w:hint="eastAsia" w:cs="宋体" w:asciiTheme="minorEastAsia" w:hAnsiTheme="minorEastAsia" w:eastAsiaTheme="minorEastAsia"/>
          <w:color w:val="auto"/>
          <w:sz w:val="24"/>
          <w:szCs w:val="24"/>
          <w:highlight w:val="none"/>
          <w:lang w:val="en-US" w:eastAsia="zh-CN" w:bidi="ar-SA"/>
        </w:rPr>
        <w:t>委托人要求包括但不限于以下内容：</w:t>
      </w:r>
    </w:p>
    <w:p w14:paraId="335951B6">
      <w:pPr>
        <w:numPr>
          <w:ilvl w:val="0"/>
          <w:numId w:val="5"/>
        </w:numPr>
        <w:spacing w:before="0" w:after="0" w:line="360" w:lineRule="auto"/>
        <w:jc w:val="both"/>
        <w:outlineLvl w:val="1"/>
        <w:rPr>
          <w:rFonts w:hint="eastAsia" w:cs="宋体" w:asciiTheme="minorEastAsia" w:hAnsiTheme="minorEastAsia" w:eastAsiaTheme="minorEastAsia"/>
          <w:b/>
          <w:color w:val="auto"/>
          <w:spacing w:val="1"/>
          <w:sz w:val="28"/>
          <w:szCs w:val="28"/>
          <w:highlight w:val="none"/>
          <w:lang w:val="en-US" w:eastAsia="zh-CN" w:bidi="ar-SA"/>
        </w:rPr>
      </w:pPr>
      <w:r>
        <w:rPr>
          <w:rFonts w:hint="eastAsia" w:cs="宋体" w:asciiTheme="minorEastAsia" w:hAnsiTheme="minorEastAsia" w:eastAsiaTheme="minorEastAsia"/>
          <w:b/>
          <w:color w:val="auto"/>
          <w:spacing w:val="1"/>
          <w:sz w:val="28"/>
          <w:szCs w:val="28"/>
          <w:highlight w:val="none"/>
          <w:lang w:val="en-US" w:eastAsia="zh-CN" w:bidi="ar-SA"/>
        </w:rPr>
        <w:t>咨询服务要求</w:t>
      </w:r>
    </w:p>
    <w:p w14:paraId="2A27AC44">
      <w:pPr>
        <w:widowControl/>
        <w:autoSpaceDE w:val="0"/>
        <w:spacing w:line="360" w:lineRule="auto"/>
        <w:ind w:firstLine="566" w:firstLineChars="200"/>
        <w:jc w:val="left"/>
        <w:rPr>
          <w:rFonts w:hint="default" w:cs="宋体" w:asciiTheme="minorEastAsia" w:hAnsiTheme="minorEastAsia" w:eastAsiaTheme="minorEastAsia"/>
          <w:b/>
          <w:color w:val="auto"/>
          <w:spacing w:val="1"/>
          <w:sz w:val="28"/>
          <w:szCs w:val="28"/>
          <w:highlight w:val="none"/>
          <w:lang w:val="en-US" w:eastAsia="zh-CN"/>
        </w:rPr>
      </w:pPr>
      <w:r>
        <w:rPr>
          <w:rFonts w:hint="eastAsia" w:cs="宋体" w:asciiTheme="minorEastAsia" w:hAnsiTheme="minorEastAsia" w:eastAsiaTheme="minorEastAsia"/>
          <w:b/>
          <w:color w:val="auto"/>
          <w:spacing w:val="1"/>
          <w:sz w:val="28"/>
          <w:szCs w:val="28"/>
          <w:highlight w:val="none"/>
          <w:lang w:val="en-US" w:eastAsia="zh-CN"/>
        </w:rPr>
        <w:t xml:space="preserve"> </w:t>
      </w:r>
      <w:r>
        <w:rPr>
          <w:rFonts w:hint="eastAsia" w:ascii="宋体" w:hAnsi="宋体" w:eastAsia="宋体" w:cs="Times New Roman"/>
          <w:sz w:val="24"/>
          <w:highlight w:val="none"/>
          <w:lang w:val="en-US" w:eastAsia="zh-CN"/>
        </w:rPr>
        <w:t>采购项目概况：</w:t>
      </w:r>
      <w:r>
        <w:rPr>
          <w:rFonts w:hint="eastAsia" w:ascii="宋体" w:hAnsi="宋体" w:eastAsia="宋体" w:cs="Times New Roman"/>
          <w:sz w:val="24"/>
          <w:highlight w:val="none"/>
        </w:rPr>
        <w:t>G59呼北高速张家界至官庄段第二合同段路线全27.368km，起讫桩号为K22+290~K49+658.413，起点位于张家界市永定区沅古坪镇沅古坪互通顺接1标，终点位于怀化市沅陵县七甲坪镇杜泉坪村杜泉坪隧道(长度468m)。线路整体跨越两个市级行政单位，其中张家界市境内有主线长度12.488km，怀化市境内有主线长度14.880km、连接线长度2</w:t>
      </w: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rPr>
        <w:t>.02km，其中南滩岗连接线全长6.18km，清浪连接线长</w:t>
      </w:r>
      <w:r>
        <w:rPr>
          <w:rFonts w:hint="eastAsia" w:ascii="宋体" w:hAnsi="宋体" w:eastAsia="宋体" w:cs="Times New Roman"/>
          <w:sz w:val="24"/>
          <w:highlight w:val="none"/>
          <w:lang w:val="en-US" w:eastAsia="zh-CN"/>
        </w:rPr>
        <w:t>度</w:t>
      </w:r>
      <w:r>
        <w:rPr>
          <w:rFonts w:hint="eastAsia" w:ascii="宋体" w:hAnsi="宋体" w:eastAsia="宋体" w:cs="Times New Roman"/>
          <w:sz w:val="24"/>
          <w:highlight w:val="none"/>
        </w:rPr>
        <w:t>1</w:t>
      </w:r>
      <w:r>
        <w:rPr>
          <w:rFonts w:hint="eastAsia" w:ascii="宋体" w:hAnsi="宋体" w:eastAsia="宋体" w:cs="Times New Roman"/>
          <w:sz w:val="24"/>
          <w:highlight w:val="none"/>
          <w:lang w:val="en-US" w:eastAsia="zh-CN"/>
        </w:rPr>
        <w:t>7</w:t>
      </w:r>
      <w:r>
        <w:rPr>
          <w:rFonts w:hint="eastAsia" w:ascii="宋体" w:hAnsi="宋体" w:eastAsia="宋体" w:cs="Times New Roman"/>
          <w:sz w:val="24"/>
          <w:highlight w:val="none"/>
        </w:rPr>
        <w:t>km。</w:t>
      </w:r>
    </w:p>
    <w:p w14:paraId="77A9A290">
      <w:pPr>
        <w:keepNext/>
        <w:keepLines/>
        <w:spacing w:before="280" w:after="290" w:line="376" w:lineRule="atLeast"/>
        <w:outlineLvl w:val="3"/>
        <w:rPr>
          <w:rFonts w:ascii="Arial" w:hAnsi="Arial" w:eastAsiaTheme="majorEastAsia" w:cstheme="majorBidi"/>
          <w:b/>
          <w:bCs/>
          <w:color w:val="auto"/>
          <w:kern w:val="2"/>
          <w:sz w:val="28"/>
          <w:szCs w:val="28"/>
          <w:highlight w:val="none"/>
          <w:lang w:val="en-US" w:eastAsia="zh-CN" w:bidi="ar-SA"/>
        </w:rPr>
      </w:pPr>
      <w:r>
        <w:rPr>
          <w:rFonts w:hint="eastAsia" w:asciiTheme="minorEastAsia" w:hAnsiTheme="minorEastAsia" w:eastAsiaTheme="minorEastAsia" w:cstheme="majorBidi"/>
          <w:b/>
          <w:bCs/>
          <w:color w:val="auto"/>
          <w:kern w:val="2"/>
          <w:sz w:val="24"/>
          <w:szCs w:val="24"/>
          <w:highlight w:val="none"/>
          <w:lang w:val="en-US" w:eastAsia="zh-CN" w:bidi="ar-SA"/>
        </w:rPr>
        <w:t xml:space="preserve"> </w:t>
      </w:r>
      <w:r>
        <w:rPr>
          <w:rFonts w:hint="eastAsia" w:ascii="黑体" w:hAnsi="黑体" w:eastAsiaTheme="majorEastAsia" w:cstheme="majorBidi"/>
          <w:b/>
          <w:bCs/>
          <w:color w:val="auto"/>
          <w:kern w:val="2"/>
          <w:sz w:val="28"/>
          <w:szCs w:val="28"/>
          <w:highlight w:val="none"/>
          <w:lang w:val="en-US" w:eastAsia="zh-CN" w:bidi="ar-SA"/>
        </w:rPr>
        <w:t xml:space="preserve">二、采购范围及相关要求 </w:t>
      </w:r>
    </w:p>
    <w:p w14:paraId="61134741">
      <w:pPr>
        <w:widowControl/>
        <w:autoSpaceDE w:val="0"/>
        <w:spacing w:line="400" w:lineRule="exact"/>
        <w:jc w:val="left"/>
        <w:rPr>
          <w:rFonts w:hint="eastAsia" w:ascii="宋体" w:hAnsi="宋体" w:eastAsia="宋体" w:cs="Times New Roman"/>
          <w:color w:val="auto"/>
          <w:sz w:val="24"/>
          <w:highlight w:val="none"/>
          <w:lang w:eastAsia="zh-CN"/>
        </w:rPr>
      </w:pPr>
      <w:r>
        <w:rPr>
          <w:rFonts w:hint="eastAsia" w:ascii="宋体" w:hAnsi="宋体" w:eastAsia="宋体" w:cs="Times New Roman"/>
          <w:b/>
          <w:bCs/>
          <w:color w:val="auto"/>
          <w:sz w:val="24"/>
          <w:highlight w:val="none"/>
        </w:rPr>
        <w:t xml:space="preserve">2.1 </w:t>
      </w:r>
      <w:r>
        <w:rPr>
          <w:rFonts w:hint="eastAsia" w:ascii="宋体" w:hAnsi="宋体" w:eastAsia="宋体" w:cs="Times New Roman"/>
          <w:color w:val="auto"/>
          <w:sz w:val="24"/>
          <w:highlight w:val="none"/>
        </w:rPr>
        <w:t>采购范围：本次采购</w:t>
      </w:r>
      <w:r>
        <w:rPr>
          <w:rFonts w:hint="eastAsia" w:ascii="宋体" w:hAnsi="宋体" w:eastAsia="宋体" w:cs="Times New Roman"/>
          <w:color w:val="auto"/>
          <w:sz w:val="24"/>
          <w:highlight w:val="none"/>
          <w:lang w:eastAsia="zh-CN"/>
        </w:rPr>
        <w:t>范围：</w:t>
      </w:r>
    </w:p>
    <w:p w14:paraId="66735F45">
      <w:pPr>
        <w:widowControl/>
        <w:spacing w:line="440" w:lineRule="atLeast"/>
        <w:ind w:firstLine="540" w:firstLineChars="22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w:t>
      </w:r>
      <w:r>
        <w:rPr>
          <w:rFonts w:hint="eastAsia" w:asciiTheme="minorEastAsia" w:hAnsiTheme="minorEastAsia" w:eastAsiaTheme="minorEastAsia" w:cstheme="minorEastAsia"/>
          <w:color w:val="auto"/>
          <w:sz w:val="24"/>
          <w:szCs w:val="24"/>
          <w:highlight w:val="none"/>
          <w:lang w:val="en-US" w:eastAsia="zh-CN"/>
        </w:rPr>
        <w:t>检测</w:t>
      </w:r>
      <w:r>
        <w:rPr>
          <w:rFonts w:hint="eastAsia" w:asciiTheme="minorEastAsia" w:hAnsiTheme="minorEastAsia" w:eastAsiaTheme="minorEastAsia" w:cstheme="minorEastAsia"/>
          <w:color w:val="auto"/>
          <w:sz w:val="24"/>
          <w:szCs w:val="24"/>
          <w:highlight w:val="none"/>
        </w:rPr>
        <w:t>服务招标共分为</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个标段。其标段划分及工程内容等见下表。</w:t>
      </w: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044"/>
        <w:gridCol w:w="961"/>
        <w:gridCol w:w="4906"/>
      </w:tblGrid>
      <w:tr w14:paraId="0BE0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51" w:type="pct"/>
            <w:vAlign w:val="center"/>
          </w:tcPr>
          <w:p w14:paraId="4DBD9D48">
            <w:pPr>
              <w:widowControl/>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标段号</w:t>
            </w:r>
          </w:p>
        </w:tc>
        <w:tc>
          <w:tcPr>
            <w:tcW w:w="1149" w:type="pct"/>
            <w:vAlign w:val="center"/>
          </w:tcPr>
          <w:p w14:paraId="2254D016">
            <w:pPr>
              <w:widowControl/>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桩号</w:t>
            </w:r>
          </w:p>
        </w:tc>
        <w:tc>
          <w:tcPr>
            <w:tcW w:w="540" w:type="pct"/>
            <w:vAlign w:val="center"/>
          </w:tcPr>
          <w:p w14:paraId="2ED22A10">
            <w:pPr>
              <w:widowControl/>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长度</w:t>
            </w:r>
          </w:p>
          <w:p w14:paraId="4BC3774C">
            <w:pPr>
              <w:widowControl/>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（Km）</w:t>
            </w:r>
          </w:p>
        </w:tc>
        <w:tc>
          <w:tcPr>
            <w:tcW w:w="2758" w:type="pct"/>
            <w:vAlign w:val="center"/>
          </w:tcPr>
          <w:p w14:paraId="34F3E5C4">
            <w:pPr>
              <w:widowControl/>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招标范围</w:t>
            </w:r>
          </w:p>
        </w:tc>
      </w:tr>
      <w:tr w14:paraId="145F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551" w:type="pct"/>
            <w:vAlign w:val="center"/>
          </w:tcPr>
          <w:p w14:paraId="4B5EA95F">
            <w:pPr>
              <w:widowControl/>
              <w:spacing w:line="440" w:lineRule="atLeast"/>
              <w:jc w:val="center"/>
              <w:rPr>
                <w:rFonts w:hint="eastAsia" w:asciiTheme="minorEastAsia" w:hAnsiTheme="minorEastAsia" w:eastAsiaTheme="minorEastAsia" w:cstheme="minorEastAsia"/>
                <w:b/>
                <w:color w:val="auto"/>
                <w:sz w:val="21"/>
                <w:szCs w:val="21"/>
                <w:highlight w:val="none"/>
                <w:lang w:val="en-US" w:eastAsia="zh-CN"/>
              </w:rPr>
            </w:pPr>
            <w:r>
              <w:rPr>
                <w:rStyle w:val="57"/>
                <w:rFonts w:hint="eastAsia" w:ascii="宋体" w:hAnsi="宋体" w:eastAsia="宋体" w:cs="宋体"/>
                <w:color w:val="auto"/>
                <w:sz w:val="18"/>
                <w:szCs w:val="18"/>
                <w:highlight w:val="none"/>
                <w:lang w:val="en-US" w:eastAsia="zh-CN"/>
              </w:rPr>
              <w:t>I标</w:t>
            </w:r>
          </w:p>
        </w:tc>
        <w:tc>
          <w:tcPr>
            <w:tcW w:w="1149" w:type="pct"/>
            <w:vAlign w:val="center"/>
          </w:tcPr>
          <w:p w14:paraId="76DB2545">
            <w:pPr>
              <w:widowControl/>
              <w:spacing w:line="440" w:lineRule="atLeast"/>
              <w:jc w:val="center"/>
              <w:rPr>
                <w:rFonts w:hint="eastAsia" w:asciiTheme="minorEastAsia" w:hAnsiTheme="minorEastAsia" w:eastAsiaTheme="minorEastAsia" w:cstheme="minorEastAsia"/>
                <w:b/>
                <w:color w:val="auto"/>
                <w:sz w:val="21"/>
                <w:szCs w:val="21"/>
                <w:highlight w:val="none"/>
                <w:lang w:eastAsia="zh-CN"/>
              </w:rPr>
            </w:pPr>
            <w:r>
              <w:rPr>
                <w:rStyle w:val="57"/>
                <w:rFonts w:hint="eastAsia" w:ascii="宋体" w:hAnsi="宋体" w:eastAsia="宋体" w:cs="宋体"/>
                <w:color w:val="auto"/>
                <w:sz w:val="18"/>
                <w:szCs w:val="18"/>
                <w:highlight w:val="none"/>
              </w:rPr>
              <w:t>K</w:t>
            </w:r>
            <w:r>
              <w:rPr>
                <w:rStyle w:val="57"/>
                <w:rFonts w:hint="eastAsia" w:ascii="宋体" w:hAnsi="宋体" w:eastAsia="宋体" w:cs="宋体"/>
                <w:color w:val="auto"/>
                <w:sz w:val="18"/>
                <w:szCs w:val="18"/>
                <w:highlight w:val="none"/>
                <w:lang w:val="en-US" w:eastAsia="zh-CN"/>
              </w:rPr>
              <w:t>22</w:t>
            </w:r>
            <w:r>
              <w:rPr>
                <w:rStyle w:val="57"/>
                <w:rFonts w:hint="eastAsia" w:ascii="宋体" w:hAnsi="宋体" w:eastAsia="宋体" w:cs="宋体"/>
                <w:color w:val="auto"/>
                <w:sz w:val="18"/>
                <w:szCs w:val="18"/>
                <w:highlight w:val="none"/>
              </w:rPr>
              <w:t>+</w:t>
            </w:r>
            <w:r>
              <w:rPr>
                <w:rStyle w:val="57"/>
                <w:rFonts w:hint="eastAsia" w:ascii="宋体" w:hAnsi="宋体" w:eastAsia="宋体" w:cs="宋体"/>
                <w:color w:val="auto"/>
                <w:sz w:val="18"/>
                <w:szCs w:val="18"/>
                <w:highlight w:val="none"/>
                <w:lang w:val="en-US" w:eastAsia="zh-CN"/>
              </w:rPr>
              <w:t>290</w:t>
            </w:r>
            <w:r>
              <w:rPr>
                <w:rStyle w:val="57"/>
                <w:rFonts w:hint="eastAsia" w:ascii="宋体" w:hAnsi="宋体" w:eastAsia="宋体" w:cs="宋体"/>
                <w:color w:val="auto"/>
                <w:sz w:val="18"/>
                <w:szCs w:val="18"/>
                <w:highlight w:val="none"/>
              </w:rPr>
              <w:t>～K</w:t>
            </w:r>
            <w:r>
              <w:rPr>
                <w:rStyle w:val="57"/>
                <w:rFonts w:hint="eastAsia" w:ascii="宋体" w:hAnsi="宋体" w:eastAsia="宋体" w:cs="宋体"/>
                <w:color w:val="auto"/>
                <w:sz w:val="18"/>
                <w:szCs w:val="18"/>
                <w:highlight w:val="none"/>
                <w:lang w:val="en-US" w:eastAsia="zh-CN"/>
              </w:rPr>
              <w:t>49+658.413及南滩岗、清浪连接线</w:t>
            </w:r>
            <w:r>
              <w:rPr>
                <w:rStyle w:val="57"/>
                <w:rFonts w:hint="eastAsia" w:asciiTheme="minorEastAsia" w:hAnsiTheme="minorEastAsia" w:eastAsiaTheme="minorEastAsia" w:cstheme="minorEastAsia"/>
                <w:color w:val="auto"/>
                <w:sz w:val="21"/>
                <w:szCs w:val="21"/>
                <w:highlight w:val="none"/>
                <w:lang w:val="en-US" w:eastAsia="zh-CN"/>
              </w:rPr>
              <w:t xml:space="preserve"> </w:t>
            </w:r>
          </w:p>
        </w:tc>
        <w:tc>
          <w:tcPr>
            <w:tcW w:w="540" w:type="pct"/>
            <w:vAlign w:val="center"/>
          </w:tcPr>
          <w:p w14:paraId="633B1287">
            <w:pPr>
              <w:widowControl/>
              <w:spacing w:line="440" w:lineRule="atLeast"/>
              <w:jc w:val="both"/>
              <w:rPr>
                <w:rFonts w:hint="default" w:asciiTheme="minorEastAsia" w:hAnsiTheme="minorEastAsia" w:eastAsiaTheme="minorEastAsia" w:cstheme="minorEastAsia"/>
                <w:b/>
                <w:color w:val="auto"/>
                <w:sz w:val="21"/>
                <w:szCs w:val="21"/>
                <w:highlight w:val="none"/>
                <w:lang w:val="en-US" w:eastAsia="zh-CN"/>
              </w:rPr>
            </w:pPr>
            <w:r>
              <w:rPr>
                <w:rStyle w:val="57"/>
                <w:rFonts w:hint="eastAsia" w:asciiTheme="minorEastAsia" w:hAnsiTheme="minorEastAsia" w:eastAsiaTheme="minorEastAsia" w:cstheme="minorEastAsia"/>
                <w:iCs/>
                <w:color w:val="auto"/>
                <w:sz w:val="21"/>
                <w:szCs w:val="21"/>
                <w:highlight w:val="none"/>
                <w:lang w:val="en-US" w:eastAsia="zh-CN"/>
              </w:rPr>
              <w:t>27.368</w:t>
            </w:r>
          </w:p>
        </w:tc>
        <w:tc>
          <w:tcPr>
            <w:tcW w:w="2758" w:type="pct"/>
            <w:vAlign w:val="center"/>
          </w:tcPr>
          <w:p w14:paraId="53E361B9">
            <w:pPr>
              <w:widowControl w:val="0"/>
              <w:spacing w:line="24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标段范围内的所有连续刚构、拱桥及部分连续梁桥梁动、静载试验检测全部内容。</w:t>
            </w:r>
          </w:p>
        </w:tc>
      </w:tr>
    </w:tbl>
    <w:p w14:paraId="5DA8EC6F">
      <w:pPr>
        <w:widowControl/>
        <w:spacing w:line="440" w:lineRule="atLeast"/>
        <w:ind w:firstLine="540" w:firstLineChars="225"/>
        <w:jc w:val="left"/>
        <w:rPr>
          <w:rFonts w:hint="eastAsia" w:ascii="宋体" w:hAnsi="宋体" w:eastAsia="宋体" w:cs="宋体"/>
          <w:color w:val="auto"/>
          <w:sz w:val="24"/>
          <w:highlight w:val="none"/>
        </w:rPr>
      </w:pPr>
    </w:p>
    <w:p w14:paraId="31AF6E66">
      <w:pPr>
        <w:spacing w:line="440" w:lineRule="atLeast"/>
        <w:ind w:firstLine="240" w:firstLineChars="100"/>
        <w:rPr>
          <w:rFonts w:ascii="宋体" w:hAnsi="宋体" w:eastAsia="宋体" w:cs="宋体"/>
          <w:color w:val="auto"/>
          <w:sz w:val="24"/>
          <w:szCs w:val="24"/>
          <w:highlight w:val="none"/>
        </w:rPr>
        <w:sectPr>
          <w:headerReference r:id="rId27" w:type="default"/>
          <w:footerReference r:id="rId29" w:type="default"/>
          <w:headerReference r:id="rId28" w:type="even"/>
          <w:footerReference r:id="rId30" w:type="even"/>
          <w:footnotePr>
            <w:numFmt w:val="decimalEnclosedCircleChinese"/>
            <w:numRestart w:val="eachPage"/>
          </w:footnotePr>
          <w:pgSz w:w="11907" w:h="16840"/>
          <w:pgMar w:top="1588" w:right="1588" w:bottom="1474" w:left="1644" w:header="851" w:footer="851" w:gutter="0"/>
          <w:pgNumType w:fmt="numberInDash"/>
          <w:cols w:space="425" w:num="1"/>
          <w:docGrid w:linePitch="312" w:charSpace="0"/>
        </w:sectPr>
      </w:pPr>
      <w:r>
        <w:rPr>
          <w:rFonts w:ascii="宋体" w:hAnsi="宋体" w:eastAsia="宋体" w:cs="宋体"/>
          <w:color w:val="auto"/>
          <w:sz w:val="24"/>
          <w:szCs w:val="24"/>
          <w:highlight w:val="none"/>
        </w:rPr>
        <w:t>本次招标咨询服务期限为：签订合同协议书之日起至本项目</w:t>
      </w:r>
      <w:r>
        <w:rPr>
          <w:rFonts w:hint="eastAsia" w:ascii="宋体" w:hAnsi="宋体" w:eastAsia="宋体" w:cs="宋体"/>
          <w:color w:val="auto"/>
          <w:sz w:val="24"/>
          <w:szCs w:val="24"/>
          <w:highlight w:val="none"/>
        </w:rPr>
        <w:t>成桥动静载检测（桥梁）</w:t>
      </w:r>
      <w:r>
        <w:rPr>
          <w:rFonts w:hint="eastAsia" w:ascii="宋体" w:hAnsi="宋体" w:cs="宋体"/>
          <w:color w:val="auto"/>
          <w:sz w:val="24"/>
          <w:szCs w:val="24"/>
          <w:highlight w:val="none"/>
          <w:lang w:val="en-US" w:eastAsia="zh-CN"/>
        </w:rPr>
        <w:t>完</w:t>
      </w:r>
      <w:r>
        <w:rPr>
          <w:rFonts w:hint="eastAsia" w:ascii="宋体" w:hAnsi="宋体" w:eastAsia="宋体" w:cs="宋体"/>
          <w:color w:val="auto"/>
          <w:sz w:val="24"/>
          <w:szCs w:val="24"/>
          <w:highlight w:val="none"/>
        </w:rPr>
        <w:t>工</w:t>
      </w:r>
      <w:r>
        <w:rPr>
          <w:rFonts w:ascii="宋体" w:hAnsi="宋体" w:eastAsia="宋体" w:cs="宋体"/>
          <w:color w:val="auto"/>
          <w:sz w:val="24"/>
          <w:szCs w:val="24"/>
          <w:highlight w:val="none"/>
        </w:rPr>
        <w:t>验收通过之日止。</w:t>
      </w:r>
      <w:r>
        <w:rPr>
          <w:rFonts w:hint="eastAsia" w:ascii="宋体" w:hAnsi="宋体" w:eastAsia="宋体" w:cs="宋体"/>
          <w:color w:val="auto"/>
          <w:sz w:val="24"/>
          <w:szCs w:val="24"/>
          <w:highlight w:val="none"/>
          <w:lang w:val="en-US" w:eastAsia="zh-CN"/>
        </w:rPr>
        <w:t xml:space="preserve">具体进场时间为合同签订之日起 </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lang w:val="en-US" w:eastAsia="zh-CN"/>
        </w:rPr>
        <w:t>日内。</w:t>
      </w:r>
    </w:p>
    <w:p w14:paraId="6C6F9699">
      <w:pPr>
        <w:widowControl w:val="0"/>
        <w:spacing w:line="240" w:lineRule="auto"/>
        <w:jc w:val="both"/>
        <w:rPr>
          <w:rFonts w:ascii="Calibri" w:hAnsi="Calibri" w:eastAsia="宋体" w:cs="Times New Roman"/>
          <w:color w:val="auto"/>
          <w:kern w:val="2"/>
          <w:sz w:val="18"/>
          <w:szCs w:val="18"/>
          <w:highlight w:val="none"/>
          <w:lang w:val="en-US" w:eastAsia="zh-CN" w:bidi="ar-SA"/>
        </w:rPr>
      </w:pPr>
    </w:p>
    <w:p w14:paraId="3A75F790">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2.服务依据</w:t>
      </w:r>
    </w:p>
    <w:p w14:paraId="6CED1109">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检测服务依据</w:t>
      </w:r>
    </w:p>
    <w:p w14:paraId="73514E66">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(1)适用的法律、行政法规及部门规章；</w:t>
      </w:r>
    </w:p>
    <w:p w14:paraId="683EA12E">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所有与工程施工有关的国家现行的公路建设标准、规范、规程及相关文件。</w:t>
      </w:r>
    </w:p>
    <w:p w14:paraId="146325FE">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(3)委托人签订的勘察、设计和施工承包合同；</w:t>
      </w:r>
    </w:p>
    <w:p w14:paraId="0AE2F4AF">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jc w:val="left"/>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二、规范要求 </w:t>
      </w:r>
    </w:p>
    <w:p w14:paraId="60E08E24">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荷载试验检测依据（以下规程、规范、标准等以现行最新颁布的要求为准）： </w:t>
      </w:r>
    </w:p>
    <w:p w14:paraId="43CD5A9B">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（1）中华人民共和国交通部颁《公路桥梁荷载试验规程》 </w:t>
      </w:r>
    </w:p>
    <w:p w14:paraId="37D246B7">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（2）中华人民共和国交通部颁《公路桥梁承载能力检测评定规程》 </w:t>
      </w:r>
    </w:p>
    <w:p w14:paraId="7DF2DBA0">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（3）《公路工程竣（交）工验收办法》 </w:t>
      </w:r>
    </w:p>
    <w:p w14:paraId="3F68C657">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（4）中华人民共和国交通部颁《公路工程技术标准》 </w:t>
      </w:r>
    </w:p>
    <w:p w14:paraId="54824C0F">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（5）中华人民共和国交通部颁《公路桥涵设计通用规范》 </w:t>
      </w:r>
    </w:p>
    <w:p w14:paraId="47C2BD6D">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（6）中华人民共和国交通部颁《公路钢筋混凝土及预应力混凝土桥涵设计规范》 </w:t>
      </w:r>
    </w:p>
    <w:p w14:paraId="06F586AC">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（7）中华人民共和国行业推荐性标准《公路桥梁技术状况评定标准》 </w:t>
      </w:r>
    </w:p>
    <w:p w14:paraId="0E4CDF30">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（8）中华人民共和国行业推荐性标准《公路工程质量检验评定标准》 </w:t>
      </w:r>
    </w:p>
    <w:p w14:paraId="3984607D">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（9）《钢管混凝土拱桥技术规范》 </w:t>
      </w:r>
    </w:p>
    <w:p w14:paraId="0BE35315">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（10）《钢结构设计规范》 </w:t>
      </w:r>
    </w:p>
    <w:p w14:paraId="478A8416">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（11）《钢结构焊接规范》</w:t>
      </w:r>
    </w:p>
    <w:p w14:paraId="50C516DA">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（12）《公路桥涵施工技术规范》 </w:t>
      </w:r>
    </w:p>
    <w:p w14:paraId="12891394">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（13）《钢结构现场检测技术标准》 </w:t>
      </w:r>
    </w:p>
    <w:p w14:paraId="321058E9">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（14）《钢结构工程施工质量验收规范》 </w:t>
      </w:r>
    </w:p>
    <w:p w14:paraId="5D1A3100">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（15）《焊缝无损检测超声检测技术、检测等级和评定》 </w:t>
      </w:r>
    </w:p>
    <w:p w14:paraId="25AE55C0">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（16）《回弹法检测混凝土抗压强度技术规范》 </w:t>
      </w:r>
    </w:p>
    <w:p w14:paraId="644235D0">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（17）《回弹法检测山砂混凝土抗压强度技术规程》 </w:t>
      </w:r>
    </w:p>
    <w:p w14:paraId="3AE827D3">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（18）《超声回弹综合法检测混凝土强度技术规程》 </w:t>
      </w:r>
    </w:p>
    <w:p w14:paraId="7A0B89EB">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（19）《混凝土中钢筋检测技术规程》 </w:t>
      </w:r>
    </w:p>
    <w:p w14:paraId="1FB28AF1">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kern w:val="0"/>
          <w:position w:val="-6"/>
          <w:sz w:val="24"/>
          <w:szCs w:val="24"/>
          <w:highlight w:val="none"/>
          <w:lang w:val="en-US" w:eastAsia="zh-CN" w:bidi="ar"/>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（20）《公路桥梁钢结构防腐涂装技术条件》 </w:t>
      </w:r>
    </w:p>
    <w:p w14:paraId="1702EEDE">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kern w:val="0"/>
          <w:position w:val="-6"/>
          <w:sz w:val="24"/>
          <w:szCs w:val="24"/>
          <w:highlight w:val="none"/>
          <w:lang w:val="en-US" w:eastAsia="zh-CN" w:bidi="ar"/>
        </w:rPr>
      </w:pPr>
      <w:r>
        <w:rPr>
          <w:rFonts w:hint="eastAsia" w:asciiTheme="minorEastAsia" w:hAnsiTheme="minorEastAsia" w:eastAsiaTheme="minorEastAsia" w:cstheme="minorEastAsia"/>
          <w:color w:val="auto"/>
          <w:kern w:val="0"/>
          <w:position w:val="-6"/>
          <w:sz w:val="24"/>
          <w:szCs w:val="24"/>
          <w:highlight w:val="none"/>
          <w:lang w:val="en-US" w:eastAsia="zh-CN" w:bidi="ar"/>
        </w:rPr>
        <w:t>（21）《公路工程基桩检测技术规程》</w:t>
      </w:r>
    </w:p>
    <w:p w14:paraId="560EFD93">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kern w:val="0"/>
          <w:position w:val="-6"/>
          <w:sz w:val="24"/>
          <w:szCs w:val="24"/>
          <w:highlight w:val="none"/>
          <w:lang w:val="en-US" w:eastAsia="zh-CN" w:bidi="ar"/>
        </w:rPr>
      </w:pPr>
      <w:r>
        <w:rPr>
          <w:rFonts w:hint="eastAsia" w:asciiTheme="minorEastAsia" w:hAnsiTheme="minorEastAsia" w:eastAsiaTheme="minorEastAsia" w:cstheme="minorEastAsia"/>
          <w:color w:val="auto"/>
          <w:kern w:val="0"/>
          <w:position w:val="-6"/>
          <w:sz w:val="24"/>
          <w:szCs w:val="24"/>
          <w:highlight w:val="none"/>
          <w:lang w:val="en-US" w:eastAsia="zh-CN" w:bidi="ar"/>
        </w:rPr>
        <w:t>（22）《公路桥梁锚下有效预应力检测技术规程》</w:t>
      </w:r>
    </w:p>
    <w:p w14:paraId="29DC5C8E">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kern w:val="0"/>
          <w:position w:val="-6"/>
          <w:sz w:val="24"/>
          <w:szCs w:val="24"/>
          <w:highlight w:val="none"/>
          <w:lang w:val="en-US" w:eastAsia="zh-CN" w:bidi="ar"/>
        </w:rPr>
      </w:pPr>
      <w:r>
        <w:rPr>
          <w:rFonts w:hint="eastAsia" w:asciiTheme="minorEastAsia" w:hAnsiTheme="minorEastAsia" w:eastAsiaTheme="minorEastAsia" w:cstheme="minorEastAsia"/>
          <w:color w:val="auto"/>
          <w:kern w:val="0"/>
          <w:position w:val="-6"/>
          <w:sz w:val="24"/>
          <w:szCs w:val="24"/>
          <w:highlight w:val="none"/>
          <w:lang w:val="en-US" w:eastAsia="zh-CN" w:bidi="ar"/>
        </w:rPr>
        <w:t>（23）《公路桥梁预应力施工质量检测评定技术规程》</w:t>
      </w:r>
    </w:p>
    <w:p w14:paraId="4FA7A846">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（24）国家现行的其他公路、隧道、桥涵工程试验检测标准、规范、规程其它与本项目检测相关的现行国家标准和行业规范，当有新颁布实施的规范、规程时，以新颁布的为准。 </w:t>
      </w:r>
    </w:p>
    <w:p w14:paraId="04B6409A">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p>
    <w:p w14:paraId="4077E6E3">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 主要检测设备最低要求</w:t>
      </w:r>
    </w:p>
    <w:p w14:paraId="3CA0891A">
      <w:pPr>
        <w:widowControl w:val="0"/>
        <w:spacing w:line="240" w:lineRule="auto"/>
        <w:jc w:val="both"/>
        <w:rPr>
          <w:rFonts w:hint="eastAsia" w:asciiTheme="minorEastAsia" w:hAnsiTheme="minorEastAsia" w:eastAsiaTheme="minorEastAsia" w:cstheme="minorEastAsia"/>
          <w:color w:val="auto"/>
          <w:kern w:val="2"/>
          <w:sz w:val="24"/>
          <w:szCs w:val="24"/>
          <w:highlight w:val="none"/>
          <w:lang w:val="en-US" w:eastAsia="zh-CN" w:bidi="ar-SA"/>
        </w:rPr>
      </w:pPr>
    </w:p>
    <w:p w14:paraId="2EB118A2">
      <w:pPr>
        <w:keepNext/>
        <w:keepLines w:val="0"/>
        <w:pageBreakBefore w:val="0"/>
        <w:widowControl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outlineLvl w:val="2"/>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主要仪器、检测设备及办公设备最低要求：</w:t>
      </w:r>
    </w:p>
    <w:p w14:paraId="300E0D7D">
      <w:pPr>
        <w:widowControl/>
        <w:spacing w:line="360" w:lineRule="exact"/>
        <w:jc w:val="left"/>
        <w:rPr>
          <w:rFonts w:hint="eastAsia" w:asciiTheme="minorEastAsia" w:hAnsiTheme="minorEastAsia" w:eastAsiaTheme="minorEastAsia" w:cstheme="minorEastAsia"/>
          <w:color w:val="auto"/>
          <w:sz w:val="24"/>
          <w:szCs w:val="24"/>
          <w:highlight w:val="none"/>
          <w:lang w:val="en-US" w:eastAsia="zh-CN"/>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2406"/>
        <w:gridCol w:w="1778"/>
        <w:gridCol w:w="1778"/>
        <w:gridCol w:w="1779"/>
      </w:tblGrid>
      <w:tr w14:paraId="6EFD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center"/>
          </w:tcPr>
          <w:p w14:paraId="1DF6EE8A">
            <w:pPr>
              <w:widowControl w:val="0"/>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序号</w:t>
            </w:r>
          </w:p>
        </w:tc>
        <w:tc>
          <w:tcPr>
            <w:tcW w:w="2406" w:type="dxa"/>
            <w:vAlign w:val="center"/>
          </w:tcPr>
          <w:p w14:paraId="78FF5F31">
            <w:pPr>
              <w:widowControl w:val="0"/>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仪器设备名称</w:t>
            </w:r>
          </w:p>
        </w:tc>
        <w:tc>
          <w:tcPr>
            <w:tcW w:w="1778" w:type="dxa"/>
            <w:vAlign w:val="center"/>
          </w:tcPr>
          <w:p w14:paraId="167C1CBC">
            <w:pPr>
              <w:widowControl w:val="0"/>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数量</w:t>
            </w:r>
          </w:p>
        </w:tc>
        <w:tc>
          <w:tcPr>
            <w:tcW w:w="1778" w:type="dxa"/>
            <w:vAlign w:val="center"/>
          </w:tcPr>
          <w:p w14:paraId="311D693E">
            <w:pPr>
              <w:widowControl w:val="0"/>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单位</w:t>
            </w:r>
          </w:p>
        </w:tc>
        <w:tc>
          <w:tcPr>
            <w:tcW w:w="1779" w:type="dxa"/>
            <w:vAlign w:val="top"/>
          </w:tcPr>
          <w:p w14:paraId="30D19F00">
            <w:pPr>
              <w:widowControl w:val="0"/>
              <w:spacing w:before="87" w:line="222"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2"/>
                <w:sz w:val="24"/>
                <w:szCs w:val="24"/>
                <w:highlight w:val="none"/>
              </w:rPr>
              <w:t>备注</w:t>
            </w:r>
          </w:p>
        </w:tc>
      </w:tr>
      <w:tr w14:paraId="068B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center"/>
          </w:tcPr>
          <w:p w14:paraId="15AABC49">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406" w:type="dxa"/>
            <w:vAlign w:val="center"/>
          </w:tcPr>
          <w:p w14:paraId="64388B14">
            <w:pPr>
              <w:widowControl w:val="0"/>
              <w:spacing w:line="360" w:lineRule="exact"/>
              <w:jc w:val="both"/>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四驱皮卡或越野车</w:t>
            </w:r>
          </w:p>
        </w:tc>
        <w:tc>
          <w:tcPr>
            <w:tcW w:w="1778" w:type="dxa"/>
            <w:vAlign w:val="center"/>
          </w:tcPr>
          <w:p w14:paraId="4C03BE22">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2</w:t>
            </w:r>
          </w:p>
        </w:tc>
        <w:tc>
          <w:tcPr>
            <w:tcW w:w="1778" w:type="dxa"/>
            <w:vAlign w:val="bottom"/>
          </w:tcPr>
          <w:p w14:paraId="42B6243F">
            <w:pPr>
              <w:widowControl w:val="0"/>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台</w:t>
            </w:r>
          </w:p>
        </w:tc>
        <w:tc>
          <w:tcPr>
            <w:tcW w:w="1779" w:type="dxa"/>
            <w:vMerge w:val="restart"/>
          </w:tcPr>
          <w:p w14:paraId="4DEF5E6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r w14:paraId="1649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center"/>
          </w:tcPr>
          <w:p w14:paraId="14762B1A">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2</w:t>
            </w:r>
          </w:p>
        </w:tc>
        <w:tc>
          <w:tcPr>
            <w:tcW w:w="2406" w:type="dxa"/>
            <w:vAlign w:val="center"/>
          </w:tcPr>
          <w:p w14:paraId="070CCA9C">
            <w:pPr>
              <w:widowControl w:val="0"/>
              <w:spacing w:line="360" w:lineRule="exact"/>
              <w:jc w:val="both"/>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　桥梁检测车</w:t>
            </w:r>
          </w:p>
        </w:tc>
        <w:tc>
          <w:tcPr>
            <w:tcW w:w="1778" w:type="dxa"/>
            <w:vAlign w:val="center"/>
          </w:tcPr>
          <w:p w14:paraId="3CAEFDEE">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2</w:t>
            </w:r>
          </w:p>
        </w:tc>
        <w:tc>
          <w:tcPr>
            <w:tcW w:w="1778" w:type="dxa"/>
            <w:vAlign w:val="bottom"/>
          </w:tcPr>
          <w:p w14:paraId="2DFA201D">
            <w:pPr>
              <w:widowControl w:val="0"/>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台</w:t>
            </w:r>
          </w:p>
        </w:tc>
        <w:tc>
          <w:tcPr>
            <w:tcW w:w="1779" w:type="dxa"/>
            <w:vMerge w:val="continue"/>
          </w:tcPr>
          <w:p w14:paraId="56A88FA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r w14:paraId="2FEC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center"/>
          </w:tcPr>
          <w:p w14:paraId="1185724F">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3</w:t>
            </w:r>
          </w:p>
        </w:tc>
        <w:tc>
          <w:tcPr>
            <w:tcW w:w="2406" w:type="dxa"/>
            <w:vAlign w:val="center"/>
          </w:tcPr>
          <w:p w14:paraId="14827681">
            <w:pPr>
              <w:widowControl w:val="0"/>
              <w:spacing w:line="360" w:lineRule="exact"/>
              <w:jc w:val="both"/>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动态数据采集系统</w:t>
            </w:r>
          </w:p>
        </w:tc>
        <w:tc>
          <w:tcPr>
            <w:tcW w:w="1778" w:type="dxa"/>
            <w:vAlign w:val="center"/>
          </w:tcPr>
          <w:p w14:paraId="62D86A2C">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1778" w:type="dxa"/>
            <w:vAlign w:val="bottom"/>
          </w:tcPr>
          <w:p w14:paraId="171B1228">
            <w:pPr>
              <w:widowControl w:val="0"/>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套</w:t>
            </w:r>
          </w:p>
        </w:tc>
        <w:tc>
          <w:tcPr>
            <w:tcW w:w="1779" w:type="dxa"/>
            <w:vMerge w:val="continue"/>
          </w:tcPr>
          <w:p w14:paraId="054D32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r w14:paraId="3D0F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1C9AF5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4</w:t>
            </w:r>
          </w:p>
        </w:tc>
        <w:tc>
          <w:tcPr>
            <w:tcW w:w="2406" w:type="dxa"/>
          </w:tcPr>
          <w:p w14:paraId="3352F31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静态数据采集系统</w:t>
            </w:r>
          </w:p>
        </w:tc>
        <w:tc>
          <w:tcPr>
            <w:tcW w:w="1778" w:type="dxa"/>
          </w:tcPr>
          <w:p w14:paraId="058A2E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1</w:t>
            </w:r>
          </w:p>
        </w:tc>
        <w:tc>
          <w:tcPr>
            <w:tcW w:w="1778" w:type="dxa"/>
          </w:tcPr>
          <w:p w14:paraId="7A0B4C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套</w:t>
            </w:r>
          </w:p>
        </w:tc>
        <w:tc>
          <w:tcPr>
            <w:tcW w:w="1779" w:type="dxa"/>
            <w:vMerge w:val="continue"/>
          </w:tcPr>
          <w:p w14:paraId="312013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bl>
    <w:p w14:paraId="75B15C31">
      <w:pPr>
        <w:widowControl/>
        <w:spacing w:line="360" w:lineRule="exact"/>
        <w:jc w:val="left"/>
        <w:rPr>
          <w:rFonts w:hint="eastAsia" w:asciiTheme="minorEastAsia" w:hAnsiTheme="minorEastAsia" w:eastAsiaTheme="minorEastAsia" w:cstheme="minorEastAsia"/>
          <w:color w:val="auto"/>
          <w:sz w:val="24"/>
          <w:szCs w:val="24"/>
          <w:highlight w:val="none"/>
          <w:lang w:val="en-US" w:eastAsia="zh-CN"/>
        </w:rPr>
      </w:pPr>
    </w:p>
    <w:p w14:paraId="6B8A4CB7">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w:t>
      </w:r>
    </w:p>
    <w:p w14:paraId="1FA99D64">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1、本表所列设备为最低要求， 有经验的受托人可依据本项目的实际情况，在合同履约中适当增加必要的检测设备，以充分满足检测工作的需要。</w:t>
      </w:r>
    </w:p>
    <w:p w14:paraId="684EB4E8">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2、受托人的检测能力、仪器设备、人员配置应满足湖南省交通运输工程质量监督管理机构的有关规定。</w:t>
      </w:r>
    </w:p>
    <w:p w14:paraId="27FF2282">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3、上述检测设备为最低要求(部分特殊检测项目报招标人同意后， 可委托有相应资质的单位实施，这部分检测项目所需设备经招标人同意后可不予进场)，委托人有权要求受托人根据实际检测需要增加检测设备的投入，招标人不因此增加任何投入。</w:t>
      </w:r>
    </w:p>
    <w:bookmarkEnd w:id="646"/>
    <w:p w14:paraId="02423AF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p w14:paraId="797C136A">
      <w:pPr>
        <w:spacing w:line="440" w:lineRule="atLeast"/>
        <w:jc w:val="center"/>
        <w:outlineLvl w:val="4"/>
        <w:rPr>
          <w:rFonts w:eastAsia="黑体"/>
          <w:color w:val="auto"/>
          <w:sz w:val="29"/>
          <w:szCs w:val="29"/>
          <w:highlight w:val="none"/>
        </w:rPr>
      </w:pPr>
      <w:r>
        <w:rPr>
          <w:rFonts w:eastAsia="黑体"/>
          <w:color w:val="auto"/>
          <w:sz w:val="29"/>
          <w:szCs w:val="29"/>
          <w:highlight w:val="none"/>
        </w:rPr>
        <w:br w:type="page"/>
      </w:r>
    </w:p>
    <w:p w14:paraId="683B09AB">
      <w:pPr>
        <w:spacing w:line="440" w:lineRule="atLeast"/>
        <w:jc w:val="center"/>
        <w:rPr>
          <w:rFonts w:eastAsia="黑体"/>
          <w:color w:val="auto"/>
          <w:sz w:val="29"/>
          <w:szCs w:val="29"/>
          <w:highlight w:val="none"/>
        </w:rPr>
      </w:pPr>
    </w:p>
    <w:p w14:paraId="33CF542F">
      <w:pPr>
        <w:spacing w:line="440" w:lineRule="atLeast"/>
        <w:jc w:val="center"/>
        <w:rPr>
          <w:rFonts w:eastAsia="黑体"/>
          <w:color w:val="auto"/>
          <w:sz w:val="29"/>
          <w:szCs w:val="29"/>
          <w:highlight w:val="none"/>
        </w:rPr>
      </w:pPr>
    </w:p>
    <w:p w14:paraId="74ED18D4">
      <w:pPr>
        <w:spacing w:line="440" w:lineRule="atLeast"/>
        <w:jc w:val="center"/>
        <w:rPr>
          <w:rFonts w:eastAsia="黑体"/>
          <w:color w:val="auto"/>
          <w:sz w:val="29"/>
          <w:szCs w:val="29"/>
          <w:highlight w:val="none"/>
        </w:rPr>
      </w:pPr>
    </w:p>
    <w:p w14:paraId="2418582B">
      <w:pPr>
        <w:spacing w:line="440" w:lineRule="atLeast"/>
        <w:jc w:val="center"/>
        <w:rPr>
          <w:rFonts w:eastAsia="黑体"/>
          <w:color w:val="auto"/>
          <w:sz w:val="29"/>
          <w:szCs w:val="29"/>
          <w:highlight w:val="none"/>
        </w:rPr>
      </w:pPr>
    </w:p>
    <w:p w14:paraId="7ABBE6F5">
      <w:pPr>
        <w:spacing w:line="440" w:lineRule="atLeast"/>
        <w:jc w:val="center"/>
        <w:rPr>
          <w:rFonts w:eastAsia="黑体"/>
          <w:color w:val="auto"/>
          <w:sz w:val="29"/>
          <w:szCs w:val="29"/>
          <w:highlight w:val="none"/>
        </w:rPr>
      </w:pPr>
    </w:p>
    <w:p w14:paraId="57F8B313">
      <w:pPr>
        <w:spacing w:line="440" w:lineRule="atLeast"/>
        <w:jc w:val="center"/>
        <w:rPr>
          <w:rFonts w:eastAsia="黑体"/>
          <w:color w:val="auto"/>
          <w:sz w:val="29"/>
          <w:szCs w:val="29"/>
          <w:highlight w:val="none"/>
        </w:rPr>
      </w:pPr>
    </w:p>
    <w:p w14:paraId="3CD2E04B">
      <w:pPr>
        <w:spacing w:line="440" w:lineRule="atLeast"/>
        <w:jc w:val="center"/>
        <w:rPr>
          <w:rFonts w:eastAsia="黑体"/>
          <w:color w:val="auto"/>
          <w:sz w:val="29"/>
          <w:szCs w:val="29"/>
          <w:highlight w:val="none"/>
        </w:rPr>
      </w:pPr>
    </w:p>
    <w:p w14:paraId="649015AC">
      <w:pPr>
        <w:spacing w:line="440" w:lineRule="atLeast"/>
        <w:jc w:val="center"/>
        <w:rPr>
          <w:rFonts w:eastAsia="黑体"/>
          <w:color w:val="auto"/>
          <w:sz w:val="29"/>
          <w:szCs w:val="29"/>
          <w:highlight w:val="none"/>
        </w:rPr>
      </w:pPr>
    </w:p>
    <w:p w14:paraId="2AE32CA3">
      <w:pPr>
        <w:spacing w:line="440" w:lineRule="atLeast"/>
        <w:jc w:val="center"/>
        <w:rPr>
          <w:rFonts w:eastAsia="黑体"/>
          <w:color w:val="auto"/>
          <w:sz w:val="29"/>
          <w:szCs w:val="29"/>
          <w:highlight w:val="none"/>
        </w:rPr>
      </w:pPr>
    </w:p>
    <w:p w14:paraId="1C663204">
      <w:pPr>
        <w:pStyle w:val="51"/>
        <w:spacing w:line="440" w:lineRule="atLeast"/>
        <w:ind w:firstLine="720"/>
        <w:rPr>
          <w:rFonts w:ascii="Times New Roman" w:hAnsi="Times New Roman" w:eastAsia="黑体"/>
          <w:color w:val="auto"/>
          <w:sz w:val="56"/>
          <w:szCs w:val="56"/>
          <w:highlight w:val="none"/>
        </w:rPr>
      </w:pPr>
      <w:bookmarkStart w:id="650" w:name="_Toc510015794"/>
      <w:r>
        <w:rPr>
          <w:rFonts w:hint="eastAsia" w:ascii="Times New Roman" w:hAnsi="Times New Roman" w:eastAsia="黑体"/>
          <w:color w:val="auto"/>
          <w:sz w:val="56"/>
          <w:szCs w:val="56"/>
          <w:highlight w:val="none"/>
        </w:rPr>
        <w:t>第六章</w:t>
      </w:r>
      <w:r>
        <w:rPr>
          <w:rFonts w:ascii="Times New Roman" w:hAnsi="Times New Roman" w:eastAsia="黑体"/>
          <w:color w:val="auto"/>
          <w:sz w:val="56"/>
          <w:szCs w:val="56"/>
          <w:highlight w:val="none"/>
        </w:rPr>
        <w:t xml:space="preserve">  </w:t>
      </w:r>
      <w:r>
        <w:rPr>
          <w:rFonts w:hint="eastAsia" w:ascii="Times New Roman" w:hAnsi="Times New Roman" w:eastAsia="黑体"/>
          <w:color w:val="auto"/>
          <w:sz w:val="56"/>
          <w:szCs w:val="56"/>
          <w:highlight w:val="none"/>
        </w:rPr>
        <w:t>图纸和资料</w:t>
      </w:r>
      <w:bookmarkEnd w:id="650"/>
    </w:p>
    <w:p w14:paraId="19E52E54">
      <w:pPr>
        <w:spacing w:line="440" w:lineRule="atLeast"/>
        <w:rPr>
          <w:rFonts w:eastAsia="黑体"/>
          <w:b/>
          <w:color w:val="auto"/>
          <w:sz w:val="42"/>
          <w:szCs w:val="42"/>
          <w:highlight w:val="none"/>
        </w:rPr>
      </w:pPr>
      <w:r>
        <w:rPr>
          <w:rFonts w:eastAsia="黑体"/>
          <w:b/>
          <w:color w:val="auto"/>
          <w:sz w:val="42"/>
          <w:szCs w:val="42"/>
          <w:highlight w:val="none"/>
        </w:rPr>
        <w:br w:type="page"/>
      </w:r>
    </w:p>
    <w:p w14:paraId="388C6315">
      <w:pPr>
        <w:spacing w:line="440" w:lineRule="atLeast"/>
        <w:jc w:val="center"/>
        <w:rPr>
          <w:rStyle w:val="89"/>
          <w:rFonts w:ascii="Times New Roman" w:hAnsi="Times New Roman" w:eastAsia="黑体"/>
          <w:color w:val="auto"/>
          <w:sz w:val="42"/>
          <w:szCs w:val="42"/>
          <w:highlight w:val="none"/>
        </w:rPr>
      </w:pPr>
    </w:p>
    <w:p w14:paraId="25CEDE99">
      <w:pPr>
        <w:spacing w:line="440" w:lineRule="atLeast"/>
        <w:jc w:val="center"/>
        <w:rPr>
          <w:rStyle w:val="89"/>
          <w:rFonts w:ascii="Times New Roman" w:hAnsi="Times New Roman" w:eastAsia="黑体"/>
          <w:color w:val="auto"/>
          <w:sz w:val="42"/>
          <w:szCs w:val="42"/>
          <w:highlight w:val="none"/>
        </w:rPr>
      </w:pPr>
    </w:p>
    <w:p w14:paraId="3CB4C374">
      <w:pPr>
        <w:spacing w:line="440" w:lineRule="atLeast"/>
        <w:jc w:val="center"/>
        <w:rPr>
          <w:rFonts w:eastAsia="黑体"/>
          <w:color w:val="auto"/>
          <w:sz w:val="56"/>
          <w:szCs w:val="56"/>
          <w:highlight w:val="none"/>
        </w:rPr>
      </w:pPr>
    </w:p>
    <w:p w14:paraId="55252C8B">
      <w:pPr>
        <w:spacing w:line="440" w:lineRule="atLeast"/>
        <w:jc w:val="center"/>
        <w:rPr>
          <w:rFonts w:eastAsia="黑体"/>
          <w:color w:val="auto"/>
          <w:sz w:val="56"/>
          <w:szCs w:val="56"/>
          <w:highlight w:val="none"/>
        </w:rPr>
      </w:pPr>
    </w:p>
    <w:p w14:paraId="2E58DBCE">
      <w:pPr>
        <w:spacing w:line="440" w:lineRule="atLeast"/>
        <w:jc w:val="center"/>
        <w:rPr>
          <w:rFonts w:eastAsia="黑体"/>
          <w:color w:val="auto"/>
          <w:sz w:val="56"/>
          <w:szCs w:val="56"/>
          <w:highlight w:val="none"/>
        </w:rPr>
      </w:pPr>
    </w:p>
    <w:p w14:paraId="62C8FF99">
      <w:pPr>
        <w:spacing w:line="440" w:lineRule="atLeast"/>
        <w:jc w:val="center"/>
        <w:rPr>
          <w:rFonts w:eastAsia="黑体"/>
          <w:color w:val="auto"/>
          <w:sz w:val="56"/>
          <w:szCs w:val="56"/>
          <w:highlight w:val="none"/>
        </w:rPr>
      </w:pPr>
    </w:p>
    <w:p w14:paraId="4C357AD2">
      <w:pPr>
        <w:spacing w:line="440" w:lineRule="atLeast"/>
        <w:jc w:val="center"/>
        <w:rPr>
          <w:rFonts w:eastAsia="黑体"/>
          <w:color w:val="auto"/>
          <w:sz w:val="56"/>
          <w:szCs w:val="56"/>
          <w:highlight w:val="none"/>
        </w:rPr>
      </w:pPr>
    </w:p>
    <w:p w14:paraId="1CFF6324">
      <w:pPr>
        <w:spacing w:line="440" w:lineRule="atLeast"/>
        <w:jc w:val="center"/>
        <w:rPr>
          <w:rStyle w:val="89"/>
          <w:rFonts w:ascii="Times New Roman" w:hAnsi="Times New Roman" w:eastAsia="黑体"/>
          <w:color w:val="auto"/>
          <w:sz w:val="42"/>
          <w:szCs w:val="42"/>
          <w:highlight w:val="none"/>
        </w:rPr>
      </w:pPr>
      <w:r>
        <w:rPr>
          <w:rFonts w:eastAsia="黑体"/>
          <w:color w:val="auto"/>
          <w:sz w:val="56"/>
          <w:szCs w:val="56"/>
          <w:highlight w:val="none"/>
        </w:rPr>
        <w:t>第三卷</w:t>
      </w:r>
    </w:p>
    <w:p w14:paraId="3A5A785D">
      <w:pPr>
        <w:spacing w:line="440" w:lineRule="atLeast"/>
        <w:jc w:val="center"/>
        <w:rPr>
          <w:rFonts w:eastAsia="黑体"/>
          <w:color w:val="auto"/>
          <w:sz w:val="29"/>
          <w:szCs w:val="29"/>
          <w:highlight w:val="none"/>
        </w:rPr>
      </w:pPr>
      <w:r>
        <w:rPr>
          <w:rStyle w:val="89"/>
          <w:rFonts w:ascii="Times New Roman" w:hAnsi="Times New Roman" w:eastAsia="黑体"/>
          <w:color w:val="auto"/>
          <w:sz w:val="42"/>
          <w:szCs w:val="42"/>
          <w:highlight w:val="none"/>
        </w:rPr>
        <w:br w:type="page"/>
      </w:r>
    </w:p>
    <w:p w14:paraId="3BB17D60">
      <w:pPr>
        <w:spacing w:line="440" w:lineRule="atLeast"/>
        <w:jc w:val="center"/>
        <w:rPr>
          <w:rFonts w:eastAsia="黑体"/>
          <w:color w:val="auto"/>
          <w:sz w:val="29"/>
          <w:szCs w:val="29"/>
          <w:highlight w:val="none"/>
        </w:rPr>
      </w:pPr>
    </w:p>
    <w:p w14:paraId="4DC3192E">
      <w:pPr>
        <w:spacing w:line="440" w:lineRule="atLeast"/>
        <w:jc w:val="center"/>
        <w:rPr>
          <w:rFonts w:eastAsia="黑体"/>
          <w:color w:val="auto"/>
          <w:sz w:val="29"/>
          <w:szCs w:val="29"/>
          <w:highlight w:val="none"/>
        </w:rPr>
      </w:pPr>
    </w:p>
    <w:p w14:paraId="0FE01C94">
      <w:pPr>
        <w:spacing w:line="440" w:lineRule="atLeast"/>
        <w:jc w:val="center"/>
        <w:rPr>
          <w:rFonts w:eastAsia="黑体"/>
          <w:color w:val="auto"/>
          <w:sz w:val="29"/>
          <w:szCs w:val="29"/>
          <w:highlight w:val="none"/>
        </w:rPr>
      </w:pPr>
    </w:p>
    <w:p w14:paraId="126A0DB9">
      <w:pPr>
        <w:spacing w:line="440" w:lineRule="atLeast"/>
        <w:jc w:val="center"/>
        <w:rPr>
          <w:rFonts w:eastAsia="黑体"/>
          <w:color w:val="auto"/>
          <w:sz w:val="29"/>
          <w:szCs w:val="29"/>
          <w:highlight w:val="none"/>
        </w:rPr>
      </w:pPr>
    </w:p>
    <w:p w14:paraId="75AB56CA">
      <w:pPr>
        <w:spacing w:line="440" w:lineRule="atLeast"/>
        <w:jc w:val="center"/>
        <w:rPr>
          <w:rFonts w:eastAsia="黑体"/>
          <w:color w:val="auto"/>
          <w:sz w:val="29"/>
          <w:szCs w:val="29"/>
          <w:highlight w:val="none"/>
        </w:rPr>
      </w:pPr>
    </w:p>
    <w:p w14:paraId="4774EB81">
      <w:pPr>
        <w:spacing w:line="440" w:lineRule="atLeast"/>
        <w:jc w:val="center"/>
        <w:rPr>
          <w:rFonts w:eastAsia="黑体"/>
          <w:color w:val="auto"/>
          <w:sz w:val="29"/>
          <w:szCs w:val="29"/>
          <w:highlight w:val="none"/>
        </w:rPr>
      </w:pPr>
    </w:p>
    <w:p w14:paraId="54B98DE6">
      <w:pPr>
        <w:spacing w:line="440" w:lineRule="atLeast"/>
        <w:jc w:val="center"/>
        <w:rPr>
          <w:rFonts w:eastAsia="黑体"/>
          <w:color w:val="auto"/>
          <w:sz w:val="29"/>
          <w:szCs w:val="29"/>
          <w:highlight w:val="none"/>
        </w:rPr>
      </w:pPr>
    </w:p>
    <w:p w14:paraId="04B73D38">
      <w:pPr>
        <w:spacing w:line="440" w:lineRule="atLeast"/>
        <w:jc w:val="center"/>
        <w:rPr>
          <w:rFonts w:eastAsia="黑体"/>
          <w:color w:val="auto"/>
          <w:sz w:val="29"/>
          <w:szCs w:val="29"/>
          <w:highlight w:val="none"/>
        </w:rPr>
      </w:pPr>
    </w:p>
    <w:p w14:paraId="0E280756">
      <w:pPr>
        <w:spacing w:line="440" w:lineRule="atLeast"/>
        <w:jc w:val="center"/>
        <w:rPr>
          <w:rFonts w:eastAsia="黑体"/>
          <w:color w:val="auto"/>
          <w:sz w:val="29"/>
          <w:szCs w:val="29"/>
          <w:highlight w:val="none"/>
        </w:rPr>
      </w:pPr>
    </w:p>
    <w:p w14:paraId="6C6391B7">
      <w:pPr>
        <w:pStyle w:val="2"/>
        <w:spacing w:before="360" w:beforeLines="150" w:after="240" w:afterLines="100" w:line="440" w:lineRule="atLeast"/>
        <w:jc w:val="center"/>
        <w:rPr>
          <w:rFonts w:eastAsia="黑体"/>
          <w:b w:val="0"/>
          <w:color w:val="auto"/>
          <w:sz w:val="56"/>
          <w:szCs w:val="56"/>
          <w:highlight w:val="none"/>
        </w:rPr>
      </w:pPr>
      <w:bookmarkStart w:id="651" w:name="_Toc510015795"/>
      <w:bookmarkStart w:id="652" w:name="_Toc234833252"/>
      <w:r>
        <w:rPr>
          <w:rFonts w:eastAsia="黑体"/>
          <w:b w:val="0"/>
          <w:color w:val="auto"/>
          <w:sz w:val="56"/>
          <w:szCs w:val="56"/>
          <w:highlight w:val="none"/>
        </w:rPr>
        <w:t>第七章  投标文件格式</w:t>
      </w:r>
      <w:bookmarkEnd w:id="651"/>
      <w:bookmarkEnd w:id="652"/>
    </w:p>
    <w:p w14:paraId="645CAF69">
      <w:pPr>
        <w:spacing w:line="440" w:lineRule="atLeast"/>
        <w:jc w:val="center"/>
        <w:rPr>
          <w:rFonts w:eastAsia="黑体"/>
          <w:color w:val="auto"/>
          <w:sz w:val="36"/>
          <w:szCs w:val="36"/>
          <w:highlight w:val="none"/>
        </w:rPr>
      </w:pPr>
    </w:p>
    <w:p w14:paraId="7AFD5ACF">
      <w:pPr>
        <w:spacing w:line="440" w:lineRule="atLeast"/>
        <w:rPr>
          <w:rFonts w:eastAsia="黑体"/>
          <w:color w:val="auto"/>
          <w:sz w:val="20"/>
          <w:szCs w:val="20"/>
          <w:highlight w:val="none"/>
        </w:rPr>
      </w:pPr>
      <w:r>
        <w:rPr>
          <w:rFonts w:eastAsia="黑体"/>
          <w:color w:val="auto"/>
          <w:sz w:val="20"/>
          <w:szCs w:val="20"/>
          <w:highlight w:val="none"/>
        </w:rPr>
        <w:t xml:space="preserve"> </w:t>
      </w:r>
    </w:p>
    <w:p w14:paraId="691B1436">
      <w:pPr>
        <w:spacing w:line="440" w:lineRule="atLeast"/>
        <w:rPr>
          <w:rFonts w:eastAsia="黑体"/>
          <w:color w:val="auto"/>
          <w:sz w:val="20"/>
          <w:szCs w:val="20"/>
          <w:highlight w:val="none"/>
        </w:rPr>
        <w:sectPr>
          <w:headerReference r:id="rId31" w:type="default"/>
          <w:footerReference r:id="rId32" w:type="default"/>
          <w:footnotePr>
            <w:numFmt w:val="decimalEnclosedCircleChinese"/>
            <w:numRestart w:val="eachPage"/>
          </w:footnotePr>
          <w:pgSz w:w="11907" w:h="16840"/>
          <w:pgMar w:top="1588" w:right="1588" w:bottom="1474" w:left="1644" w:header="851" w:footer="851" w:gutter="0"/>
          <w:pgNumType w:fmt="numberInDash"/>
          <w:cols w:space="425" w:num="1"/>
          <w:docGrid w:linePitch="312" w:charSpace="0"/>
        </w:sectPr>
      </w:pPr>
    </w:p>
    <w:p w14:paraId="7D4CFC71">
      <w:pPr>
        <w:spacing w:line="440" w:lineRule="atLeast"/>
        <w:rPr>
          <w:rFonts w:eastAsia="黑体"/>
          <w:color w:val="auto"/>
          <w:sz w:val="20"/>
          <w:szCs w:val="20"/>
          <w:highlight w:val="none"/>
        </w:rPr>
      </w:pPr>
    </w:p>
    <w:p w14:paraId="0CD6C3A9">
      <w:pPr>
        <w:spacing w:line="440" w:lineRule="atLeast"/>
        <w:rPr>
          <w:rFonts w:eastAsia="黑体"/>
          <w:color w:val="auto"/>
          <w:sz w:val="20"/>
          <w:szCs w:val="20"/>
          <w:highlight w:val="none"/>
        </w:rPr>
      </w:pPr>
    </w:p>
    <w:p w14:paraId="30E5DF28">
      <w:pPr>
        <w:pStyle w:val="18"/>
        <w:spacing w:line="440" w:lineRule="atLeast"/>
        <w:jc w:val="center"/>
        <w:rPr>
          <w:rFonts w:ascii="Times New Roman" w:eastAsia="黑体"/>
          <w:color w:val="auto"/>
          <w:sz w:val="31"/>
          <w:szCs w:val="31"/>
          <w:highlight w:val="none"/>
        </w:rPr>
      </w:pPr>
      <w:r>
        <w:rPr>
          <w:rFonts w:ascii="Times New Roman" w:eastAsia="黑体"/>
          <w:color w:val="auto"/>
          <w:sz w:val="31"/>
          <w:szCs w:val="31"/>
          <w:highlight w:val="none"/>
        </w:rPr>
        <w:t>湖南省</w:t>
      </w:r>
    </w:p>
    <w:p w14:paraId="49580BE0">
      <w:pPr>
        <w:spacing w:line="440" w:lineRule="atLeast"/>
        <w:rPr>
          <w:rFonts w:eastAsia="黑体"/>
          <w:color w:val="auto"/>
          <w:sz w:val="20"/>
          <w:szCs w:val="20"/>
          <w:highlight w:val="none"/>
        </w:rPr>
      </w:pPr>
    </w:p>
    <w:p w14:paraId="3D2B284A">
      <w:pPr>
        <w:spacing w:line="440" w:lineRule="atLeast"/>
        <w:rPr>
          <w:rFonts w:eastAsia="黑体"/>
          <w:color w:val="auto"/>
          <w:sz w:val="20"/>
          <w:szCs w:val="20"/>
          <w:highlight w:val="none"/>
        </w:rPr>
      </w:pPr>
    </w:p>
    <w:p w14:paraId="4E66ADE8">
      <w:pPr>
        <w:spacing w:line="440" w:lineRule="atLeast"/>
        <w:rPr>
          <w:rFonts w:eastAsia="黑体"/>
          <w:color w:val="auto"/>
          <w:sz w:val="24"/>
          <w:highlight w:val="none"/>
        </w:rPr>
      </w:pPr>
      <w:r>
        <w:rPr>
          <w:rFonts w:eastAsia="黑体"/>
          <w:color w:val="auto"/>
          <w:sz w:val="20"/>
          <w:szCs w:val="20"/>
          <w:highlight w:val="none"/>
        </w:rPr>
        <w:t xml:space="preserve">           </w:t>
      </w:r>
      <w:r>
        <w:rPr>
          <w:rFonts w:eastAsia="黑体"/>
          <w:color w:val="auto"/>
          <w:sz w:val="24"/>
          <w:highlight w:val="none"/>
          <w:u w:val="single"/>
        </w:rPr>
        <w:t xml:space="preserve">                  </w:t>
      </w:r>
      <w:r>
        <w:rPr>
          <w:rFonts w:eastAsia="黑体"/>
          <w:color w:val="auto"/>
          <w:sz w:val="24"/>
          <w:highlight w:val="none"/>
        </w:rPr>
        <w:t>（项目名称）</w:t>
      </w:r>
      <w:r>
        <w:rPr>
          <w:rFonts w:eastAsia="黑体"/>
          <w:color w:val="auto"/>
          <w:sz w:val="24"/>
          <w:highlight w:val="none"/>
          <w:u w:val="single"/>
        </w:rPr>
        <w:t xml:space="preserve">          </w:t>
      </w:r>
      <w:r>
        <w:rPr>
          <w:rFonts w:eastAsia="黑体"/>
          <w:color w:val="auto"/>
          <w:sz w:val="24"/>
          <w:highlight w:val="none"/>
        </w:rPr>
        <w:t>标段咨询服务招标</w:t>
      </w:r>
    </w:p>
    <w:p w14:paraId="4E522364">
      <w:pPr>
        <w:spacing w:line="440" w:lineRule="atLeast"/>
        <w:rPr>
          <w:rFonts w:eastAsia="黑体"/>
          <w:color w:val="auto"/>
          <w:sz w:val="20"/>
          <w:szCs w:val="20"/>
          <w:highlight w:val="none"/>
        </w:rPr>
      </w:pPr>
      <w:r>
        <w:rPr>
          <w:rFonts w:eastAsia="黑体"/>
          <w:color w:val="auto"/>
          <w:sz w:val="20"/>
          <w:szCs w:val="20"/>
          <w:highlight w:val="none"/>
        </w:rPr>
        <w:t xml:space="preserve"> </w:t>
      </w:r>
    </w:p>
    <w:p w14:paraId="733F6EDC">
      <w:pPr>
        <w:spacing w:line="440" w:lineRule="atLeast"/>
        <w:rPr>
          <w:rFonts w:eastAsia="黑体"/>
          <w:color w:val="auto"/>
          <w:sz w:val="40"/>
          <w:szCs w:val="40"/>
          <w:highlight w:val="none"/>
        </w:rPr>
      </w:pPr>
    </w:p>
    <w:p w14:paraId="591A1C78">
      <w:pPr>
        <w:spacing w:line="440" w:lineRule="atLeast"/>
        <w:jc w:val="center"/>
        <w:rPr>
          <w:rFonts w:eastAsia="黑体"/>
          <w:color w:val="auto"/>
          <w:sz w:val="40"/>
          <w:szCs w:val="40"/>
          <w:highlight w:val="none"/>
        </w:rPr>
      </w:pPr>
    </w:p>
    <w:p w14:paraId="28E744EB">
      <w:pPr>
        <w:spacing w:line="440" w:lineRule="atLeast"/>
        <w:jc w:val="center"/>
        <w:rPr>
          <w:rFonts w:eastAsia="黑体"/>
          <w:color w:val="auto"/>
          <w:sz w:val="40"/>
          <w:szCs w:val="40"/>
          <w:highlight w:val="none"/>
        </w:rPr>
      </w:pPr>
    </w:p>
    <w:p w14:paraId="473B20EA">
      <w:pPr>
        <w:spacing w:line="440" w:lineRule="atLeast"/>
        <w:jc w:val="center"/>
        <w:rPr>
          <w:rFonts w:eastAsia="黑体"/>
          <w:color w:val="auto"/>
          <w:sz w:val="40"/>
          <w:szCs w:val="40"/>
          <w:highlight w:val="none"/>
        </w:rPr>
      </w:pPr>
      <w:r>
        <w:rPr>
          <w:rStyle w:val="57"/>
          <w:rFonts w:hint="eastAsia" w:ascii="仿宋" w:hAnsi="仿宋" w:eastAsia="仿宋" w:cs="仿宋"/>
          <w:color w:val="auto"/>
          <w:sz w:val="32"/>
          <w:szCs w:val="32"/>
          <w:highlight w:val="none"/>
        </w:rPr>
        <w:t>（第一信封  商务及技术文件）</w:t>
      </w:r>
    </w:p>
    <w:p w14:paraId="232B0DDF">
      <w:pPr>
        <w:pStyle w:val="2"/>
        <w:spacing w:before="0" w:after="0" w:line="440" w:lineRule="atLeast"/>
        <w:jc w:val="center"/>
        <w:rPr>
          <w:rFonts w:eastAsia="黑体"/>
          <w:b w:val="0"/>
          <w:color w:val="auto"/>
          <w:sz w:val="50"/>
          <w:szCs w:val="50"/>
          <w:highlight w:val="none"/>
        </w:rPr>
      </w:pPr>
      <w:bookmarkStart w:id="653" w:name="_Toc470781649"/>
      <w:bookmarkStart w:id="654" w:name="_Toc510015796"/>
      <w:r>
        <w:rPr>
          <w:rFonts w:eastAsia="黑体"/>
          <w:b w:val="0"/>
          <w:color w:val="auto"/>
          <w:sz w:val="50"/>
          <w:szCs w:val="50"/>
          <w:highlight w:val="none"/>
        </w:rPr>
        <w:t>投  标  文  件</w:t>
      </w:r>
      <w:bookmarkEnd w:id="653"/>
      <w:bookmarkEnd w:id="654"/>
    </w:p>
    <w:p w14:paraId="4BDCCE0A">
      <w:pPr>
        <w:pStyle w:val="2"/>
        <w:spacing w:before="0" w:after="0" w:line="440" w:lineRule="atLeast"/>
        <w:jc w:val="center"/>
        <w:rPr>
          <w:rFonts w:eastAsia="黑体"/>
          <w:b w:val="0"/>
          <w:color w:val="auto"/>
          <w:sz w:val="30"/>
          <w:szCs w:val="30"/>
          <w:highlight w:val="none"/>
        </w:rPr>
      </w:pPr>
    </w:p>
    <w:p w14:paraId="04117CA6">
      <w:pPr>
        <w:pStyle w:val="2"/>
        <w:spacing w:before="0" w:after="0" w:line="440" w:lineRule="atLeast"/>
        <w:jc w:val="center"/>
        <w:rPr>
          <w:rFonts w:eastAsia="黑体"/>
          <w:b w:val="0"/>
          <w:color w:val="auto"/>
          <w:sz w:val="36"/>
          <w:szCs w:val="36"/>
          <w:highlight w:val="none"/>
        </w:rPr>
      </w:pPr>
    </w:p>
    <w:p w14:paraId="4BA54541">
      <w:pPr>
        <w:spacing w:line="440" w:lineRule="atLeast"/>
        <w:rPr>
          <w:rFonts w:eastAsia="黑体"/>
          <w:color w:val="auto"/>
          <w:sz w:val="20"/>
          <w:szCs w:val="20"/>
          <w:highlight w:val="none"/>
        </w:rPr>
      </w:pPr>
    </w:p>
    <w:p w14:paraId="7343A558">
      <w:pPr>
        <w:spacing w:line="440" w:lineRule="atLeast"/>
        <w:rPr>
          <w:rFonts w:eastAsia="黑体"/>
          <w:color w:val="auto"/>
          <w:sz w:val="20"/>
          <w:szCs w:val="20"/>
          <w:highlight w:val="none"/>
        </w:rPr>
      </w:pPr>
    </w:p>
    <w:p w14:paraId="4EC09DC5">
      <w:pPr>
        <w:spacing w:line="440" w:lineRule="atLeast"/>
        <w:rPr>
          <w:rFonts w:eastAsia="黑体"/>
          <w:color w:val="auto"/>
          <w:sz w:val="20"/>
          <w:szCs w:val="20"/>
          <w:highlight w:val="none"/>
        </w:rPr>
      </w:pPr>
    </w:p>
    <w:p w14:paraId="42519A5C">
      <w:pPr>
        <w:spacing w:line="440" w:lineRule="atLeast"/>
        <w:rPr>
          <w:rFonts w:eastAsia="黑体"/>
          <w:color w:val="auto"/>
          <w:sz w:val="20"/>
          <w:szCs w:val="20"/>
          <w:highlight w:val="none"/>
        </w:rPr>
      </w:pPr>
    </w:p>
    <w:p w14:paraId="46E60571">
      <w:pPr>
        <w:spacing w:line="440" w:lineRule="atLeast"/>
        <w:rPr>
          <w:rFonts w:eastAsia="黑体"/>
          <w:color w:val="auto"/>
          <w:sz w:val="20"/>
          <w:szCs w:val="20"/>
          <w:highlight w:val="none"/>
        </w:rPr>
      </w:pPr>
    </w:p>
    <w:p w14:paraId="7F31B874">
      <w:pPr>
        <w:spacing w:line="440" w:lineRule="atLeast"/>
        <w:rPr>
          <w:rFonts w:eastAsia="黑体"/>
          <w:color w:val="auto"/>
          <w:sz w:val="20"/>
          <w:szCs w:val="20"/>
          <w:highlight w:val="none"/>
        </w:rPr>
      </w:pPr>
    </w:p>
    <w:p w14:paraId="1BBCAA3D">
      <w:pPr>
        <w:spacing w:line="440" w:lineRule="atLeast"/>
        <w:rPr>
          <w:rFonts w:eastAsia="黑体"/>
          <w:color w:val="auto"/>
          <w:sz w:val="20"/>
          <w:szCs w:val="20"/>
          <w:highlight w:val="none"/>
        </w:rPr>
      </w:pPr>
    </w:p>
    <w:p w14:paraId="416CDB07">
      <w:pPr>
        <w:spacing w:line="440" w:lineRule="atLeast"/>
        <w:rPr>
          <w:rFonts w:eastAsia="黑体"/>
          <w:color w:val="auto"/>
          <w:sz w:val="20"/>
          <w:szCs w:val="20"/>
          <w:highlight w:val="none"/>
        </w:rPr>
      </w:pPr>
    </w:p>
    <w:p w14:paraId="574D2396">
      <w:pPr>
        <w:spacing w:line="440" w:lineRule="atLeast"/>
        <w:rPr>
          <w:rFonts w:eastAsia="黑体"/>
          <w:color w:val="auto"/>
          <w:sz w:val="20"/>
          <w:szCs w:val="20"/>
          <w:highlight w:val="none"/>
        </w:rPr>
      </w:pPr>
    </w:p>
    <w:p w14:paraId="2A531A91">
      <w:pPr>
        <w:spacing w:line="440" w:lineRule="atLeast"/>
        <w:jc w:val="center"/>
        <w:rPr>
          <w:rFonts w:eastAsia="黑体"/>
          <w:color w:val="auto"/>
          <w:sz w:val="28"/>
          <w:szCs w:val="28"/>
          <w:highlight w:val="non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（盖单位章）</w:t>
      </w:r>
    </w:p>
    <w:p w14:paraId="3303D895">
      <w:pPr>
        <w:spacing w:line="440" w:lineRule="atLeast"/>
        <w:rPr>
          <w:rFonts w:eastAsia="黑体"/>
          <w:color w:val="auto"/>
          <w:sz w:val="28"/>
          <w:szCs w:val="28"/>
          <w:highlight w:val="none"/>
        </w:rPr>
      </w:pPr>
    </w:p>
    <w:p w14:paraId="74CAFAC9">
      <w:pPr>
        <w:spacing w:line="440" w:lineRule="atLeas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2E9479C1">
      <w:pPr>
        <w:spacing w:line="440" w:lineRule="atLeast"/>
        <w:rPr>
          <w:rFonts w:eastAsia="黑体"/>
          <w:color w:val="auto"/>
          <w:sz w:val="28"/>
          <w:szCs w:val="28"/>
          <w:highlight w:val="none"/>
        </w:rPr>
      </w:pPr>
    </w:p>
    <w:p w14:paraId="5A8D31F6">
      <w:pPr>
        <w:pStyle w:val="2"/>
        <w:spacing w:before="360" w:beforeLines="150" w:after="240" w:afterLines="100" w:line="440" w:lineRule="atLeast"/>
        <w:jc w:val="center"/>
        <w:rPr>
          <w:rFonts w:eastAsia="黑体"/>
          <w:b w:val="0"/>
          <w:color w:val="auto"/>
          <w:sz w:val="30"/>
          <w:szCs w:val="30"/>
          <w:highlight w:val="none"/>
        </w:rPr>
      </w:pPr>
      <w:r>
        <w:rPr>
          <w:rFonts w:eastAsia="黑体"/>
          <w:color w:val="auto"/>
          <w:sz w:val="20"/>
          <w:szCs w:val="20"/>
          <w:highlight w:val="none"/>
        </w:rPr>
        <w:br w:type="page"/>
      </w:r>
      <w:bookmarkStart w:id="655" w:name="_Toc510015798"/>
      <w:bookmarkStart w:id="656" w:name="_Toc234833253"/>
      <w:r>
        <w:rPr>
          <w:rFonts w:eastAsia="黑体"/>
          <w:b w:val="0"/>
          <w:color w:val="auto"/>
          <w:sz w:val="30"/>
          <w:szCs w:val="30"/>
          <w:highlight w:val="none"/>
        </w:rPr>
        <w:t xml:space="preserve"> </w:t>
      </w:r>
      <w:bookmarkEnd w:id="655"/>
      <w:bookmarkEnd w:id="656"/>
      <w:bookmarkStart w:id="657" w:name="_Toc352691660"/>
      <w:bookmarkEnd w:id="657"/>
      <w:bookmarkStart w:id="658" w:name="_Toc369531696"/>
      <w:bookmarkEnd w:id="658"/>
      <w:bookmarkStart w:id="659" w:name="_Toc352691659"/>
      <w:bookmarkEnd w:id="659"/>
      <w:bookmarkStart w:id="660" w:name="_Toc16568"/>
      <w:bookmarkEnd w:id="660"/>
      <w:bookmarkStart w:id="661" w:name="_Toc16824"/>
      <w:bookmarkEnd w:id="661"/>
      <w:bookmarkStart w:id="662" w:name="_Toc369531695"/>
      <w:bookmarkEnd w:id="662"/>
      <w:r>
        <w:rPr>
          <w:rFonts w:eastAsia="黑体"/>
          <w:b w:val="0"/>
          <w:color w:val="auto"/>
          <w:sz w:val="30"/>
          <w:szCs w:val="30"/>
          <w:highlight w:val="none"/>
        </w:rPr>
        <w:t>目     录</w:t>
      </w:r>
    </w:p>
    <w:p w14:paraId="140C5E54">
      <w:pPr>
        <w:spacing w:line="440" w:lineRule="atLeast"/>
        <w:rPr>
          <w:rFonts w:eastAsia="黑体"/>
          <w:color w:val="auto"/>
          <w:sz w:val="20"/>
          <w:szCs w:val="20"/>
          <w:highlight w:val="none"/>
        </w:rPr>
      </w:pPr>
    </w:p>
    <w:p w14:paraId="29A331F4">
      <w:pPr>
        <w:spacing w:line="440" w:lineRule="atLeast"/>
        <w:ind w:left="1619" w:leftChars="771" w:firstLine="1"/>
        <w:rPr>
          <w:color w:val="auto"/>
          <w:sz w:val="24"/>
          <w:highlight w:val="none"/>
        </w:rPr>
      </w:pPr>
      <w:r>
        <w:rPr>
          <w:color w:val="auto"/>
          <w:sz w:val="24"/>
          <w:highlight w:val="none"/>
        </w:rPr>
        <w:t>一、</w:t>
      </w:r>
      <w:r>
        <w:rPr>
          <w:rFonts w:hint="eastAsia"/>
          <w:color w:val="auto"/>
          <w:sz w:val="24"/>
          <w:highlight w:val="none"/>
          <w:lang w:eastAsia="zh-CN"/>
        </w:rPr>
        <w:t>第一信封</w:t>
      </w:r>
      <w:r>
        <w:rPr>
          <w:color w:val="auto"/>
          <w:sz w:val="24"/>
          <w:highlight w:val="none"/>
        </w:rPr>
        <w:t>投标函</w:t>
      </w:r>
    </w:p>
    <w:p w14:paraId="781BB307">
      <w:pPr>
        <w:spacing w:line="440" w:lineRule="atLeast"/>
        <w:ind w:left="1619" w:leftChars="771" w:firstLine="1"/>
        <w:rPr>
          <w:color w:val="auto"/>
          <w:sz w:val="24"/>
          <w:highlight w:val="none"/>
        </w:rPr>
      </w:pPr>
      <w:r>
        <w:rPr>
          <w:color w:val="auto"/>
          <w:sz w:val="24"/>
          <w:highlight w:val="none"/>
        </w:rPr>
        <w:t>二、授权委托书或法定代表人身份证明</w:t>
      </w:r>
    </w:p>
    <w:p w14:paraId="29B0E2C7">
      <w:pPr>
        <w:spacing w:line="440" w:lineRule="atLeast"/>
        <w:ind w:left="1619" w:leftChars="771" w:firstLine="1"/>
        <w:rPr>
          <w:color w:val="auto"/>
          <w:sz w:val="24"/>
          <w:highlight w:val="none"/>
        </w:rPr>
      </w:pPr>
      <w:r>
        <w:rPr>
          <w:rFonts w:hint="eastAsia"/>
          <w:color w:val="auto"/>
          <w:sz w:val="24"/>
          <w:highlight w:val="none"/>
        </w:rPr>
        <w:t>三</w:t>
      </w:r>
      <w:r>
        <w:rPr>
          <w:color w:val="auto"/>
          <w:sz w:val="24"/>
          <w:highlight w:val="none"/>
        </w:rPr>
        <w:t>、投标保证金</w:t>
      </w:r>
    </w:p>
    <w:p w14:paraId="234091C0">
      <w:pPr>
        <w:spacing w:line="440" w:lineRule="atLeast"/>
        <w:ind w:left="1619" w:leftChars="771" w:firstLine="1"/>
        <w:rPr>
          <w:color w:val="auto"/>
          <w:sz w:val="24"/>
          <w:highlight w:val="none"/>
        </w:rPr>
      </w:pPr>
      <w:r>
        <w:rPr>
          <w:rFonts w:hint="eastAsia"/>
          <w:color w:val="auto"/>
          <w:sz w:val="24"/>
          <w:highlight w:val="none"/>
        </w:rPr>
        <w:t>四</w:t>
      </w:r>
      <w:r>
        <w:rPr>
          <w:color w:val="auto"/>
          <w:sz w:val="24"/>
          <w:highlight w:val="none"/>
        </w:rPr>
        <w:t>、</w:t>
      </w:r>
      <w:r>
        <w:rPr>
          <w:rFonts w:hint="eastAsia"/>
          <w:color w:val="auto"/>
          <w:sz w:val="24"/>
          <w:highlight w:val="none"/>
        </w:rPr>
        <w:t>拟分包项目情况表</w:t>
      </w:r>
    </w:p>
    <w:p w14:paraId="4DDE8673">
      <w:pPr>
        <w:spacing w:line="440" w:lineRule="atLeast"/>
        <w:ind w:left="1619" w:leftChars="771" w:firstLine="1"/>
        <w:rPr>
          <w:color w:val="auto"/>
          <w:sz w:val="24"/>
          <w:highlight w:val="none"/>
        </w:rPr>
      </w:pPr>
      <w:r>
        <w:rPr>
          <w:rFonts w:hint="eastAsia"/>
          <w:color w:val="auto"/>
          <w:sz w:val="24"/>
          <w:highlight w:val="none"/>
        </w:rPr>
        <w:t>五、</w:t>
      </w:r>
      <w:r>
        <w:rPr>
          <w:color w:val="auto"/>
          <w:sz w:val="24"/>
          <w:highlight w:val="none"/>
        </w:rPr>
        <w:t>资格审查资料</w:t>
      </w:r>
    </w:p>
    <w:p w14:paraId="3EEFB95C">
      <w:pPr>
        <w:spacing w:line="440" w:lineRule="atLeast"/>
        <w:ind w:left="1619" w:leftChars="771" w:firstLine="1"/>
        <w:rPr>
          <w:color w:val="auto"/>
          <w:sz w:val="24"/>
          <w:highlight w:val="none"/>
        </w:rPr>
      </w:pPr>
      <w:r>
        <w:rPr>
          <w:rFonts w:hint="eastAsia"/>
          <w:color w:val="auto"/>
          <w:sz w:val="24"/>
          <w:highlight w:val="none"/>
        </w:rPr>
        <w:t>六</w:t>
      </w:r>
      <w:r>
        <w:rPr>
          <w:color w:val="auto"/>
          <w:sz w:val="24"/>
          <w:highlight w:val="none"/>
        </w:rPr>
        <w:t>、技术建议书</w:t>
      </w:r>
    </w:p>
    <w:p w14:paraId="3F901612">
      <w:pPr>
        <w:spacing w:line="440" w:lineRule="atLeast"/>
        <w:ind w:left="1619" w:leftChars="771" w:firstLine="1"/>
        <w:rPr>
          <w:color w:val="auto"/>
          <w:sz w:val="24"/>
          <w:highlight w:val="none"/>
        </w:rPr>
      </w:pPr>
      <w:r>
        <w:rPr>
          <w:rFonts w:hint="eastAsia"/>
          <w:color w:val="auto"/>
          <w:sz w:val="24"/>
          <w:highlight w:val="none"/>
        </w:rPr>
        <w:t>七</w:t>
      </w:r>
      <w:r>
        <w:rPr>
          <w:color w:val="auto"/>
          <w:sz w:val="24"/>
          <w:highlight w:val="none"/>
        </w:rPr>
        <w:t>、其他资料</w:t>
      </w:r>
    </w:p>
    <w:p w14:paraId="541B7B4C">
      <w:pPr>
        <w:spacing w:line="440" w:lineRule="atLeast"/>
        <w:ind w:left="1619" w:leftChars="771" w:firstLine="1"/>
        <w:rPr>
          <w:color w:val="auto"/>
          <w:sz w:val="24"/>
          <w:highlight w:val="none"/>
        </w:rPr>
      </w:pPr>
    </w:p>
    <w:p w14:paraId="00BFEABC">
      <w:pPr>
        <w:pStyle w:val="2"/>
        <w:spacing w:before="0" w:after="0" w:line="440" w:lineRule="atLeast"/>
        <w:jc w:val="center"/>
        <w:rPr>
          <w:rFonts w:eastAsia="黑体"/>
          <w:b w:val="0"/>
          <w:color w:val="auto"/>
          <w:sz w:val="30"/>
          <w:szCs w:val="30"/>
          <w:highlight w:val="none"/>
        </w:rPr>
      </w:pPr>
      <w:r>
        <w:rPr>
          <w:rFonts w:eastAsia="黑体"/>
          <w:b w:val="0"/>
          <w:color w:val="auto"/>
          <w:sz w:val="30"/>
          <w:szCs w:val="30"/>
          <w:highlight w:val="none"/>
        </w:rPr>
        <w:br w:type="page"/>
      </w:r>
      <w:r>
        <w:rPr>
          <w:rFonts w:eastAsia="黑体"/>
          <w:b w:val="0"/>
          <w:color w:val="auto"/>
          <w:sz w:val="30"/>
          <w:szCs w:val="30"/>
          <w:highlight w:val="none"/>
        </w:rPr>
        <w:t>一、投标函</w:t>
      </w:r>
    </w:p>
    <w:p w14:paraId="0889FC94">
      <w:pPr>
        <w:spacing w:before="240" w:beforeLines="100" w:after="120" w:afterLines="50" w:line="440" w:lineRule="atLeast"/>
        <w:rPr>
          <w:color w:val="auto"/>
          <w:sz w:val="24"/>
          <w:highlight w:val="none"/>
        </w:rPr>
      </w:pPr>
      <w:r>
        <w:rPr>
          <w:color w:val="auto"/>
          <w:sz w:val="24"/>
          <w:highlight w:val="none"/>
          <w:u w:val="single"/>
        </w:rPr>
        <w:t xml:space="preserve">                        </w:t>
      </w:r>
      <w:r>
        <w:rPr>
          <w:color w:val="auto"/>
          <w:sz w:val="24"/>
          <w:highlight w:val="none"/>
        </w:rPr>
        <w:t>（招标人名称）：</w:t>
      </w:r>
    </w:p>
    <w:p w14:paraId="20F3C505">
      <w:pPr>
        <w:spacing w:line="440" w:lineRule="atLeast"/>
        <w:ind w:firstLine="480" w:firstLineChars="200"/>
        <w:rPr>
          <w:color w:val="auto"/>
          <w:sz w:val="24"/>
          <w:highlight w:val="none"/>
        </w:rPr>
      </w:pPr>
      <w:r>
        <w:rPr>
          <w:color w:val="auto"/>
          <w:sz w:val="24"/>
          <w:highlight w:val="none"/>
        </w:rPr>
        <w:t>1．我方已仔细研究</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标段咨询服务招标文件的全部内容（含补遗书第___号至第___号），在考察工程现场后，</w:t>
      </w:r>
      <w:r>
        <w:rPr>
          <w:rFonts w:hint="eastAsia"/>
          <w:color w:val="auto"/>
          <w:sz w:val="24"/>
          <w:highlight w:val="none"/>
        </w:rPr>
        <w:t>愿意以第二个信封（报价文件）中的投标总报价（或根据招标文件规定修正核实后确定的另一金额），</w:t>
      </w:r>
      <w:r>
        <w:rPr>
          <w:rFonts w:hint="eastAsia" w:ascii="宋体" w:hAnsi="宋体" w:cs="宋体"/>
          <w:color w:val="auto"/>
          <w:sz w:val="24"/>
          <w:szCs w:val="24"/>
          <w:highlight w:val="none"/>
        </w:rPr>
        <w:t>按合同约定完成服务工作。</w:t>
      </w:r>
    </w:p>
    <w:p w14:paraId="269C2ABD">
      <w:pPr>
        <w:spacing w:line="440" w:lineRule="atLeast"/>
        <w:ind w:firstLine="480" w:firstLineChars="200"/>
        <w:rPr>
          <w:color w:val="auto"/>
          <w:sz w:val="24"/>
          <w:highlight w:val="none"/>
        </w:rPr>
      </w:pPr>
      <w:r>
        <w:rPr>
          <w:color w:val="auto"/>
          <w:sz w:val="24"/>
          <w:highlight w:val="none"/>
        </w:rPr>
        <w:t>2．我方承诺在招标文件规定的投标有效期内不撤销投标文件。</w:t>
      </w:r>
    </w:p>
    <w:p w14:paraId="0A517E9C">
      <w:pPr>
        <w:spacing w:line="440" w:lineRule="atLeast"/>
        <w:ind w:firstLine="480" w:firstLineChars="200"/>
        <w:rPr>
          <w:color w:val="auto"/>
          <w:sz w:val="24"/>
          <w:highlight w:val="none"/>
        </w:rPr>
      </w:pPr>
      <w:r>
        <w:rPr>
          <w:color w:val="auto"/>
          <w:sz w:val="24"/>
          <w:highlight w:val="none"/>
        </w:rPr>
        <w:t>3．项目负责人姓名：</w:t>
      </w:r>
      <w:r>
        <w:rPr>
          <w:color w:val="auto"/>
          <w:sz w:val="24"/>
          <w:highlight w:val="none"/>
          <w:u w:val="single"/>
        </w:rPr>
        <w:t xml:space="preserve">          </w:t>
      </w:r>
      <w:r>
        <w:rPr>
          <w:color w:val="auto"/>
          <w:sz w:val="24"/>
          <w:highlight w:val="none"/>
        </w:rPr>
        <w:t>，年龄：</w:t>
      </w:r>
      <w:r>
        <w:rPr>
          <w:color w:val="auto"/>
          <w:sz w:val="24"/>
          <w:highlight w:val="none"/>
          <w:u w:val="single"/>
        </w:rPr>
        <w:t xml:space="preserve">         </w:t>
      </w:r>
      <w:r>
        <w:rPr>
          <w:color w:val="auto"/>
          <w:sz w:val="24"/>
          <w:highlight w:val="none"/>
        </w:rPr>
        <w:t>，职称：</w:t>
      </w:r>
      <w:r>
        <w:rPr>
          <w:color w:val="auto"/>
          <w:sz w:val="24"/>
          <w:highlight w:val="none"/>
          <w:u w:val="single"/>
        </w:rPr>
        <w:t xml:space="preserve">            </w:t>
      </w:r>
      <w:r>
        <w:rPr>
          <w:color w:val="auto"/>
          <w:sz w:val="24"/>
          <w:highlight w:val="none"/>
        </w:rPr>
        <w:t>。</w:t>
      </w:r>
    </w:p>
    <w:p w14:paraId="678D5DE0">
      <w:pPr>
        <w:spacing w:line="440" w:lineRule="atLeast"/>
        <w:ind w:firstLine="480" w:firstLineChars="200"/>
        <w:rPr>
          <w:color w:val="auto"/>
          <w:sz w:val="24"/>
          <w:highlight w:val="none"/>
        </w:rPr>
      </w:pPr>
      <w:r>
        <w:rPr>
          <w:color w:val="auto"/>
          <w:sz w:val="24"/>
          <w:highlight w:val="none"/>
        </w:rPr>
        <w:t>4. 质量要求：</w:t>
      </w:r>
      <w:r>
        <w:rPr>
          <w:color w:val="auto"/>
          <w:sz w:val="24"/>
          <w:highlight w:val="none"/>
          <w:u w:val="single"/>
        </w:rPr>
        <w:t xml:space="preserve">           </w:t>
      </w:r>
      <w:r>
        <w:rPr>
          <w:color w:val="auto"/>
          <w:sz w:val="24"/>
          <w:highlight w:val="none"/>
        </w:rPr>
        <w:t>，安全目标：</w:t>
      </w:r>
      <w:r>
        <w:rPr>
          <w:color w:val="auto"/>
          <w:sz w:val="24"/>
          <w:highlight w:val="none"/>
          <w:u w:val="single"/>
        </w:rPr>
        <w:t xml:space="preserve">           </w:t>
      </w:r>
      <w:r>
        <w:rPr>
          <w:color w:val="auto"/>
          <w:sz w:val="24"/>
          <w:highlight w:val="none"/>
        </w:rPr>
        <w:t>，环保目标：</w:t>
      </w:r>
      <w:r>
        <w:rPr>
          <w:color w:val="auto"/>
          <w:sz w:val="24"/>
          <w:highlight w:val="none"/>
          <w:u w:val="single"/>
        </w:rPr>
        <w:t xml:space="preserve">         </w:t>
      </w:r>
      <w:r>
        <w:rPr>
          <w:color w:val="auto"/>
          <w:sz w:val="24"/>
          <w:highlight w:val="none"/>
        </w:rPr>
        <w:t>。咨询服务期限：</w:t>
      </w:r>
      <w:r>
        <w:rPr>
          <w:color w:val="auto"/>
          <w:sz w:val="24"/>
          <w:highlight w:val="none"/>
          <w:u w:val="single"/>
        </w:rPr>
        <w:t xml:space="preserve">       </w:t>
      </w:r>
      <w:r>
        <w:rPr>
          <w:color w:val="auto"/>
          <w:sz w:val="24"/>
          <w:highlight w:val="none"/>
        </w:rPr>
        <w:t>。</w:t>
      </w:r>
    </w:p>
    <w:p w14:paraId="47678716">
      <w:pPr>
        <w:spacing w:line="440" w:lineRule="atLeast"/>
        <w:ind w:firstLine="480" w:firstLineChars="200"/>
        <w:rPr>
          <w:color w:val="auto"/>
          <w:sz w:val="24"/>
          <w:highlight w:val="none"/>
        </w:rPr>
      </w:pPr>
      <w:r>
        <w:rPr>
          <w:color w:val="auto"/>
          <w:sz w:val="24"/>
          <w:highlight w:val="none"/>
        </w:rPr>
        <w:t>5. 如我方中标，我方承诺：</w:t>
      </w:r>
    </w:p>
    <w:p w14:paraId="732C4523">
      <w:pPr>
        <w:spacing w:line="440" w:lineRule="atLeast"/>
        <w:ind w:firstLine="480" w:firstLineChars="200"/>
        <w:rPr>
          <w:color w:val="auto"/>
          <w:sz w:val="24"/>
          <w:highlight w:val="none"/>
        </w:rPr>
      </w:pPr>
      <w:r>
        <w:rPr>
          <w:color w:val="auto"/>
          <w:sz w:val="24"/>
          <w:highlight w:val="none"/>
        </w:rPr>
        <w:t>（1）在收到中标通知书后，在中标通知书规定的期限内与你方签订合同；</w:t>
      </w:r>
    </w:p>
    <w:p w14:paraId="4A95A09A">
      <w:pPr>
        <w:spacing w:line="440" w:lineRule="atLeast"/>
        <w:ind w:firstLine="480" w:firstLineChars="200"/>
        <w:rPr>
          <w:color w:val="auto"/>
          <w:sz w:val="24"/>
          <w:highlight w:val="none"/>
        </w:rPr>
      </w:pPr>
      <w:r>
        <w:rPr>
          <w:color w:val="auto"/>
          <w:sz w:val="24"/>
          <w:highlight w:val="none"/>
        </w:rPr>
        <w:t>（2）在签订合同时不向你方提出附加条件；</w:t>
      </w:r>
    </w:p>
    <w:p w14:paraId="7DC5A9DE">
      <w:pPr>
        <w:spacing w:line="440" w:lineRule="atLeast"/>
        <w:ind w:firstLine="480" w:firstLineChars="200"/>
        <w:rPr>
          <w:color w:val="auto"/>
          <w:sz w:val="24"/>
          <w:highlight w:val="none"/>
        </w:rPr>
      </w:pPr>
      <w:r>
        <w:rPr>
          <w:color w:val="auto"/>
          <w:sz w:val="24"/>
          <w:highlight w:val="none"/>
        </w:rPr>
        <w:t>（3）按照招标文件要求提交履约保证金；</w:t>
      </w:r>
    </w:p>
    <w:p w14:paraId="678C26B0">
      <w:pPr>
        <w:spacing w:line="440" w:lineRule="atLeast"/>
        <w:ind w:firstLine="480" w:firstLineChars="200"/>
        <w:rPr>
          <w:color w:val="auto"/>
          <w:sz w:val="24"/>
          <w:highlight w:val="none"/>
        </w:rPr>
      </w:pPr>
      <w:r>
        <w:rPr>
          <w:color w:val="auto"/>
          <w:sz w:val="24"/>
          <w:highlight w:val="none"/>
        </w:rPr>
        <w:t>（4）在合同约定的期限内完成合同规定的全部义务；</w:t>
      </w:r>
    </w:p>
    <w:p w14:paraId="53838004">
      <w:pPr>
        <w:spacing w:line="440" w:lineRule="atLeast"/>
        <w:ind w:firstLine="480" w:firstLineChars="200"/>
        <w:rPr>
          <w:color w:val="auto"/>
          <w:sz w:val="24"/>
          <w:highlight w:val="none"/>
          <w:vertAlign w:val="superscript"/>
        </w:rPr>
      </w:pPr>
      <w:r>
        <w:rPr>
          <w:color w:val="auto"/>
          <w:sz w:val="24"/>
          <w:highlight w:val="none"/>
        </w:rPr>
        <w:t>（5）在你方和我方进行合同谈判之前，我方将按照合同附件提出的最低要求填报派驻本标段的其他主要咨询服务人员，经你方审批后作为派驻本标段的主要咨询服务人员且不进行更换。如我方拟派驻的人员不满足合同附件要求，你方有权取消我方中标资格。</w:t>
      </w:r>
    </w:p>
    <w:p w14:paraId="5B055BCC">
      <w:pPr>
        <w:spacing w:line="440" w:lineRule="atLeast"/>
        <w:ind w:firstLine="480" w:firstLineChars="200"/>
        <w:rPr>
          <w:color w:val="auto"/>
          <w:sz w:val="24"/>
          <w:highlight w:val="none"/>
        </w:rPr>
      </w:pPr>
      <w:r>
        <w:rPr>
          <w:color w:val="auto"/>
          <w:sz w:val="24"/>
          <w:highlight w:val="none"/>
        </w:rPr>
        <w:t>6．我方在此声明，所递交的投标文件及有关资料内容完整、真实和准确，且不存在招标文件第二章“投标人须知”第1.4.3项和第1.4.4项规定的任何一种情形。</w:t>
      </w:r>
    </w:p>
    <w:p w14:paraId="78B9549B">
      <w:pPr>
        <w:spacing w:line="440" w:lineRule="atLeast"/>
        <w:ind w:firstLine="480" w:firstLineChars="200"/>
        <w:rPr>
          <w:color w:val="auto"/>
          <w:sz w:val="24"/>
          <w:highlight w:val="none"/>
        </w:rPr>
      </w:pPr>
      <w:r>
        <w:rPr>
          <w:color w:val="auto"/>
          <w:sz w:val="24"/>
          <w:highlight w:val="none"/>
        </w:rPr>
        <w:t>7．在合同协议书正式签署生效之前，本投标函连同你方的中标通知书将构成我们双方之间共同遵守的文件，对双方具有约束力。</w:t>
      </w:r>
    </w:p>
    <w:p w14:paraId="2D4F8A7F">
      <w:pPr>
        <w:spacing w:line="3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将按投标文件中填报的项目负责人进场并履行合同。如有变更（不可抗力除外），委托人可按照招标文件规定取消我方的中标资格，解除合同并要求我方支付合同总价款10%的违约金，我方自愿接受湖南省交通运输厅给予的任何行政处罚。</w:t>
      </w:r>
    </w:p>
    <w:p w14:paraId="4F3693E1">
      <w:pPr>
        <w:spacing w:line="3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我方承诺在项目实施过程中，不变更项目负责人，如有变更（不可抗力除外），委托人可解除合同并按照招标文件规定向我方课以违约金，我方自愿接受湖南省交通运输厅给予的任何行政处罚。</w:t>
      </w:r>
    </w:p>
    <w:p w14:paraId="4669315F">
      <w:pPr>
        <w:spacing w:line="400" w:lineRule="atLeast"/>
        <w:ind w:firstLine="480" w:firstLineChars="200"/>
        <w:rPr>
          <w:color w:val="auto"/>
          <w:sz w:val="24"/>
          <w:highlight w:val="none"/>
        </w:rPr>
      </w:pPr>
      <w:r>
        <w:rPr>
          <w:color w:val="auto"/>
          <w:sz w:val="24"/>
          <w:highlight w:val="none"/>
        </w:rPr>
        <w:t>9．</w:t>
      </w:r>
      <w:r>
        <w:rPr>
          <w:color w:val="auto"/>
          <w:sz w:val="24"/>
          <w:highlight w:val="none"/>
          <w:u w:val="single"/>
        </w:rPr>
        <w:t xml:space="preserve">                                       </w:t>
      </w:r>
      <w:r>
        <w:rPr>
          <w:color w:val="auto"/>
          <w:sz w:val="24"/>
          <w:highlight w:val="none"/>
        </w:rPr>
        <w:t>（其他补充说明）。</w:t>
      </w:r>
    </w:p>
    <w:p w14:paraId="38BB86FE">
      <w:pPr>
        <w:spacing w:line="440" w:lineRule="atLeast"/>
        <w:ind w:firstLine="480" w:firstLineChars="200"/>
        <w:rPr>
          <w:color w:val="auto"/>
          <w:sz w:val="24"/>
          <w:highlight w:val="none"/>
        </w:rPr>
      </w:pPr>
    </w:p>
    <w:p w14:paraId="5437B262">
      <w:pPr>
        <w:spacing w:line="440" w:lineRule="atLeast"/>
        <w:ind w:firstLine="3420" w:firstLineChars="1425"/>
        <w:rPr>
          <w:color w:val="auto"/>
          <w:sz w:val="24"/>
          <w:highlight w:val="none"/>
        </w:rPr>
      </w:pPr>
      <w:r>
        <w:rPr>
          <w:color w:val="auto"/>
          <w:sz w:val="24"/>
          <w:highlight w:val="none"/>
        </w:rPr>
        <w:t>投 标 人：</w:t>
      </w:r>
      <w:r>
        <w:rPr>
          <w:color w:val="auto"/>
          <w:sz w:val="24"/>
          <w:highlight w:val="none"/>
          <w:u w:val="single"/>
        </w:rPr>
        <w:t xml:space="preserve">                    </w:t>
      </w:r>
      <w:r>
        <w:rPr>
          <w:color w:val="auto"/>
          <w:sz w:val="24"/>
          <w:highlight w:val="none"/>
        </w:rPr>
        <w:t>（盖单位章）</w:t>
      </w:r>
    </w:p>
    <w:p w14:paraId="3879B6A3">
      <w:pPr>
        <w:spacing w:line="440" w:lineRule="atLeast"/>
        <w:ind w:firstLine="3420" w:firstLineChars="1425"/>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w:t>
      </w:r>
      <w:r>
        <w:rPr>
          <w:rFonts w:hint="eastAsia"/>
          <w:color w:val="auto"/>
          <w:sz w:val="24"/>
          <w:highlight w:val="none"/>
        </w:rPr>
        <w:t>章</w:t>
      </w:r>
      <w:r>
        <w:rPr>
          <w:color w:val="auto"/>
          <w:sz w:val="24"/>
          <w:highlight w:val="none"/>
        </w:rPr>
        <w:t>）</w:t>
      </w:r>
    </w:p>
    <w:p w14:paraId="7E5F964B">
      <w:pPr>
        <w:spacing w:line="440" w:lineRule="atLeast"/>
        <w:ind w:firstLine="3420" w:firstLineChars="1425"/>
        <w:rPr>
          <w:color w:val="auto"/>
          <w:sz w:val="24"/>
          <w:highlight w:val="none"/>
        </w:rPr>
      </w:pPr>
      <w:r>
        <w:rPr>
          <w:color w:val="auto"/>
          <w:sz w:val="24"/>
          <w:highlight w:val="none"/>
        </w:rPr>
        <w:t>地    址：</w:t>
      </w:r>
      <w:r>
        <w:rPr>
          <w:color w:val="auto"/>
          <w:sz w:val="24"/>
          <w:highlight w:val="none"/>
          <w:u w:val="single"/>
        </w:rPr>
        <w:t xml:space="preserve">                                     </w:t>
      </w:r>
      <w:r>
        <w:rPr>
          <w:color w:val="auto"/>
          <w:sz w:val="24"/>
          <w:highlight w:val="none"/>
        </w:rPr>
        <w:t xml:space="preserve"> </w:t>
      </w:r>
    </w:p>
    <w:p w14:paraId="0C261668">
      <w:pPr>
        <w:spacing w:line="440" w:lineRule="atLeast"/>
        <w:ind w:firstLine="3420" w:firstLineChars="1425"/>
        <w:rPr>
          <w:color w:val="auto"/>
          <w:sz w:val="24"/>
          <w:highlight w:val="none"/>
        </w:rPr>
      </w:pPr>
      <w:r>
        <w:rPr>
          <w:color w:val="auto"/>
          <w:sz w:val="24"/>
          <w:highlight w:val="none"/>
        </w:rPr>
        <w:t>网    址：</w:t>
      </w:r>
      <w:r>
        <w:rPr>
          <w:color w:val="auto"/>
          <w:sz w:val="24"/>
          <w:highlight w:val="none"/>
          <w:u w:val="single"/>
        </w:rPr>
        <w:t xml:space="preserve">                                     </w:t>
      </w:r>
    </w:p>
    <w:p w14:paraId="164C11B8">
      <w:pPr>
        <w:spacing w:line="440" w:lineRule="atLeast"/>
        <w:ind w:firstLine="3420" w:firstLineChars="1425"/>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14:paraId="5404E752">
      <w:pPr>
        <w:spacing w:line="440" w:lineRule="atLeast"/>
        <w:ind w:firstLine="3420" w:firstLineChars="1425"/>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14:paraId="7252D55F">
      <w:pPr>
        <w:spacing w:line="440" w:lineRule="atLeast"/>
        <w:ind w:firstLine="3420" w:firstLineChars="1425"/>
        <w:rPr>
          <w:color w:val="auto"/>
          <w:sz w:val="24"/>
          <w:highlight w:val="none"/>
        </w:rPr>
      </w:pPr>
      <w:r>
        <w:rPr>
          <w:color w:val="auto"/>
          <w:sz w:val="24"/>
          <w:highlight w:val="none"/>
        </w:rPr>
        <w:t>邮政编码：</w:t>
      </w:r>
      <w:r>
        <w:rPr>
          <w:color w:val="auto"/>
          <w:sz w:val="24"/>
          <w:highlight w:val="none"/>
          <w:u w:val="single"/>
        </w:rPr>
        <w:t xml:space="preserve">                                  </w:t>
      </w:r>
    </w:p>
    <w:p w14:paraId="4E4B9950">
      <w:pPr>
        <w:spacing w:line="440" w:lineRule="atLeast"/>
        <w:ind w:firstLine="3420" w:firstLineChars="1425"/>
        <w:rPr>
          <w:color w:val="auto"/>
          <w:sz w:val="24"/>
          <w:highlight w:val="none"/>
        </w:rPr>
      </w:pPr>
    </w:p>
    <w:p w14:paraId="2BE182DD">
      <w:pPr>
        <w:spacing w:line="440" w:lineRule="atLeast"/>
        <w:ind w:firstLine="4740" w:firstLineChars="1975"/>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7356DBA8">
      <w:pPr>
        <w:spacing w:line="400" w:lineRule="atLeast"/>
        <w:ind w:left="424" w:leftChars="202" w:firstLine="420" w:firstLineChars="150"/>
        <w:rPr>
          <w:rFonts w:eastAsia="黑体"/>
          <w:color w:val="auto"/>
          <w:szCs w:val="21"/>
          <w:highlight w:val="none"/>
        </w:rPr>
      </w:pPr>
      <w:r>
        <w:rPr>
          <w:rFonts w:eastAsia="黑体"/>
          <w:b w:val="0"/>
          <w:color w:val="auto"/>
          <w:sz w:val="28"/>
          <w:szCs w:val="28"/>
          <w:highlight w:val="none"/>
        </w:rPr>
        <w:br w:type="page"/>
      </w:r>
    </w:p>
    <w:p w14:paraId="55842CB8">
      <w:pPr>
        <w:spacing w:line="440" w:lineRule="atLeast"/>
        <w:ind w:firstLine="2700" w:firstLineChars="1125"/>
        <w:jc w:val="right"/>
        <w:rPr>
          <w:rFonts w:eastAsia="黑体"/>
          <w:color w:val="auto"/>
          <w:sz w:val="24"/>
          <w:highlight w:val="none"/>
          <w:u w:val="single"/>
        </w:rPr>
      </w:pPr>
    </w:p>
    <w:p w14:paraId="7942B3D0">
      <w:pPr>
        <w:pStyle w:val="2"/>
        <w:spacing w:before="0" w:after="0" w:line="440" w:lineRule="atLeast"/>
        <w:jc w:val="center"/>
        <w:rPr>
          <w:rFonts w:eastAsia="黑体"/>
          <w:b w:val="0"/>
          <w:color w:val="auto"/>
          <w:sz w:val="28"/>
          <w:szCs w:val="28"/>
          <w:highlight w:val="none"/>
        </w:rPr>
      </w:pPr>
      <w:r>
        <w:rPr>
          <w:rFonts w:hint="eastAsia" w:eastAsia="黑体"/>
          <w:b w:val="0"/>
          <w:color w:val="auto"/>
          <w:sz w:val="28"/>
          <w:szCs w:val="28"/>
          <w:highlight w:val="none"/>
          <w:lang w:val="en-US" w:eastAsia="zh-CN"/>
        </w:rPr>
        <w:t>二</w:t>
      </w:r>
      <w:r>
        <w:rPr>
          <w:rFonts w:eastAsia="黑体"/>
          <w:b w:val="0"/>
          <w:color w:val="auto"/>
          <w:sz w:val="28"/>
          <w:szCs w:val="28"/>
          <w:highlight w:val="none"/>
        </w:rPr>
        <w:t>、投标保证金</w:t>
      </w:r>
    </w:p>
    <w:p w14:paraId="073B008D">
      <w:pPr>
        <w:spacing w:line="440" w:lineRule="atLeast"/>
        <w:jc w:val="center"/>
        <w:rPr>
          <w:rFonts w:eastAsia="黑体"/>
          <w:color w:val="auto"/>
          <w:sz w:val="28"/>
          <w:szCs w:val="28"/>
          <w:highlight w:val="none"/>
        </w:rPr>
      </w:pPr>
    </w:p>
    <w:p w14:paraId="04C5D737">
      <w:pPr>
        <w:spacing w:line="440" w:lineRule="atLeast"/>
        <w:ind w:firstLine="508" w:firstLineChars="212"/>
        <w:rPr>
          <w:color w:val="auto"/>
          <w:sz w:val="24"/>
          <w:highlight w:val="none"/>
        </w:rPr>
      </w:pPr>
      <w:r>
        <w:rPr>
          <w:color w:val="auto"/>
          <w:sz w:val="24"/>
          <w:highlight w:val="none"/>
        </w:rPr>
        <w:t>若采用现金方式递交投标保证金的，投标人应在此上传提供汇款凭证的彩色扫描件。</w:t>
      </w:r>
    </w:p>
    <w:p w14:paraId="0F2DE7AE">
      <w:pPr>
        <w:spacing w:line="440" w:lineRule="atLeast"/>
        <w:ind w:firstLine="508" w:firstLineChars="212"/>
        <w:rPr>
          <w:color w:val="auto"/>
          <w:sz w:val="24"/>
          <w:highlight w:val="none"/>
        </w:rPr>
      </w:pPr>
      <w:r>
        <w:rPr>
          <w:color w:val="auto"/>
          <w:sz w:val="24"/>
          <w:highlight w:val="none"/>
        </w:rPr>
        <w:t>若采用银行保函形式的，投标人应在此上传银行保函和银行查询授权书的彩色扫描件。</w:t>
      </w:r>
    </w:p>
    <w:p w14:paraId="3A0F5A93">
      <w:pPr>
        <w:spacing w:line="440" w:lineRule="atLeast"/>
        <w:ind w:firstLine="508" w:firstLineChars="212"/>
        <w:rPr>
          <w:rFonts w:eastAsia="黑体"/>
          <w:color w:val="auto"/>
          <w:sz w:val="24"/>
          <w:highlight w:val="none"/>
        </w:rPr>
      </w:pPr>
      <w:r>
        <w:rPr>
          <w:rFonts w:eastAsia="黑体"/>
          <w:color w:val="auto"/>
          <w:sz w:val="24"/>
          <w:highlight w:val="none"/>
        </w:rPr>
        <w:t>投标保证金银行保函格式和投标人开立基本账户的银行出具的《银行查询授权书》格式如下，《银行查询授权书》原件与银行保函的原件在投标截止时间前单独递交给招标人。</w:t>
      </w:r>
    </w:p>
    <w:p w14:paraId="314C1240">
      <w:pPr>
        <w:spacing w:line="440" w:lineRule="atLeast"/>
        <w:ind w:firstLine="508" w:firstLineChars="212"/>
        <w:rPr>
          <w:color w:val="auto"/>
          <w:sz w:val="24"/>
          <w:highlight w:val="none"/>
        </w:rPr>
      </w:pPr>
    </w:p>
    <w:p w14:paraId="437B4CD3">
      <w:pPr>
        <w:spacing w:line="440" w:lineRule="atLeast"/>
        <w:ind w:firstLine="508" w:firstLineChars="212"/>
        <w:rPr>
          <w:color w:val="auto"/>
          <w:sz w:val="24"/>
          <w:highlight w:val="none"/>
        </w:rPr>
      </w:pPr>
    </w:p>
    <w:p w14:paraId="303EC1F0">
      <w:pPr>
        <w:widowControl/>
        <w:jc w:val="left"/>
        <w:rPr>
          <w:color w:val="auto"/>
          <w:sz w:val="24"/>
          <w:highlight w:val="none"/>
        </w:rPr>
      </w:pPr>
      <w:r>
        <w:rPr>
          <w:color w:val="auto"/>
          <w:sz w:val="24"/>
          <w:highlight w:val="none"/>
        </w:rPr>
        <w:br w:type="page"/>
      </w:r>
    </w:p>
    <w:p w14:paraId="3C37682B">
      <w:pPr>
        <w:spacing w:line="440" w:lineRule="atLeast"/>
        <w:rPr>
          <w:color w:val="auto"/>
          <w:sz w:val="24"/>
          <w:highlight w:val="none"/>
        </w:rPr>
      </w:pPr>
    </w:p>
    <w:p w14:paraId="04A9637C">
      <w:pPr>
        <w:adjustRightInd w:val="0"/>
        <w:spacing w:line="440" w:lineRule="atLeast"/>
        <w:jc w:val="center"/>
        <w:rPr>
          <w:b/>
          <w:color w:val="auto"/>
          <w:sz w:val="36"/>
          <w:szCs w:val="36"/>
          <w:highlight w:val="none"/>
        </w:rPr>
      </w:pPr>
      <w:r>
        <w:rPr>
          <w:b/>
          <w:color w:val="auto"/>
          <w:sz w:val="36"/>
          <w:szCs w:val="36"/>
          <w:highlight w:val="none"/>
        </w:rPr>
        <w:t>投标保证金银行保函格式</w:t>
      </w:r>
    </w:p>
    <w:p w14:paraId="77B468E3">
      <w:pPr>
        <w:spacing w:line="440" w:lineRule="atLeast"/>
        <w:rPr>
          <w:color w:val="auto"/>
          <w:sz w:val="24"/>
          <w:highlight w:val="none"/>
          <w:u w:val="single"/>
        </w:rPr>
      </w:pPr>
    </w:p>
    <w:p w14:paraId="60A9DA74">
      <w:pPr>
        <w:spacing w:line="440" w:lineRule="atLeast"/>
        <w:rPr>
          <w:color w:val="auto"/>
          <w:sz w:val="24"/>
          <w:highlight w:val="none"/>
        </w:rPr>
      </w:pP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rPr>
        <w:t>（招标人名称）：</w:t>
      </w:r>
    </w:p>
    <w:p w14:paraId="726B706D">
      <w:pPr>
        <w:spacing w:line="440" w:lineRule="atLeast"/>
        <w:ind w:firstLine="480" w:firstLineChars="200"/>
        <w:rPr>
          <w:color w:val="auto"/>
          <w:sz w:val="24"/>
          <w:highlight w:val="none"/>
        </w:rPr>
      </w:pPr>
      <w:r>
        <w:rPr>
          <w:color w:val="auto"/>
          <w:sz w:val="24"/>
          <w:highlight w:val="none"/>
        </w:rPr>
        <w:t>鉴于</w:t>
      </w:r>
      <w:r>
        <w:rPr>
          <w:color w:val="auto"/>
          <w:sz w:val="24"/>
          <w:highlight w:val="none"/>
          <w:u w:val="single"/>
        </w:rPr>
        <w:t xml:space="preserve">             </w:t>
      </w:r>
      <w:r>
        <w:rPr>
          <w:color w:val="auto"/>
          <w:sz w:val="24"/>
          <w:highlight w:val="none"/>
        </w:rPr>
        <w:t>（投标人名称）（以下称“投标人”）于</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日参加</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标段咨询服务的投标，</w:t>
      </w:r>
      <w:r>
        <w:rPr>
          <w:color w:val="auto"/>
          <w:sz w:val="24"/>
          <w:highlight w:val="none"/>
          <w:u w:val="single"/>
        </w:rPr>
        <w:t xml:space="preserve">        </w:t>
      </w:r>
      <w:r>
        <w:rPr>
          <w:color w:val="auto"/>
          <w:sz w:val="24"/>
          <w:highlight w:val="none"/>
        </w:rPr>
        <w:t>（担保人名称，以下简称“我方”）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人民币（大写）</w:t>
      </w:r>
      <w:r>
        <w:rPr>
          <w:color w:val="auto"/>
          <w:sz w:val="24"/>
          <w:highlight w:val="none"/>
          <w:u w:val="single"/>
        </w:rPr>
        <w:t xml:space="preserve">            </w:t>
      </w:r>
      <w:r>
        <w:rPr>
          <w:color w:val="auto"/>
          <w:sz w:val="24"/>
          <w:highlight w:val="none"/>
        </w:rPr>
        <w:t>元。</w:t>
      </w:r>
    </w:p>
    <w:p w14:paraId="2D5D42EC">
      <w:pPr>
        <w:spacing w:line="440" w:lineRule="exact"/>
        <w:ind w:firstLine="480" w:firstLineChars="200"/>
        <w:rPr>
          <w:color w:val="auto"/>
          <w:sz w:val="24"/>
          <w:szCs w:val="20"/>
          <w:highlight w:val="none"/>
        </w:rPr>
      </w:pPr>
      <w:r>
        <w:rPr>
          <w:rFonts w:hint="eastAsia"/>
          <w:color w:val="auto"/>
          <w:sz w:val="24"/>
          <w:szCs w:val="20"/>
          <w:highlight w:val="none"/>
        </w:rPr>
        <w:t>第一种方式：</w:t>
      </w:r>
    </w:p>
    <w:p w14:paraId="6093DCBD">
      <w:pPr>
        <w:spacing w:line="440" w:lineRule="exact"/>
        <w:ind w:firstLine="480" w:firstLineChars="200"/>
        <w:rPr>
          <w:color w:val="auto"/>
          <w:sz w:val="24"/>
          <w:szCs w:val="20"/>
          <w:highlight w:val="none"/>
        </w:rPr>
      </w:pPr>
      <w:r>
        <w:rPr>
          <w:rFonts w:hint="eastAsia"/>
          <w:color w:val="auto"/>
          <w:sz w:val="24"/>
          <w:szCs w:val="20"/>
          <w:highlight w:val="none"/>
        </w:rPr>
        <w:t>本保函在投标有效期或经延长的投标有效期内保持有效。要求我方承担保证责任的通知应在上述期限内送达我方。你方延长投标有效期的决定，应通知我方。</w:t>
      </w:r>
    </w:p>
    <w:p w14:paraId="773D4381">
      <w:pPr>
        <w:spacing w:line="440" w:lineRule="exact"/>
        <w:ind w:firstLine="480" w:firstLineChars="200"/>
        <w:rPr>
          <w:color w:val="auto"/>
          <w:sz w:val="24"/>
          <w:szCs w:val="20"/>
          <w:highlight w:val="none"/>
        </w:rPr>
      </w:pPr>
    </w:p>
    <w:p w14:paraId="064363AA">
      <w:pPr>
        <w:spacing w:line="440" w:lineRule="exact"/>
        <w:ind w:firstLine="480" w:firstLineChars="200"/>
        <w:rPr>
          <w:color w:val="auto"/>
          <w:sz w:val="24"/>
          <w:szCs w:val="20"/>
          <w:highlight w:val="none"/>
        </w:rPr>
      </w:pPr>
      <w:r>
        <w:rPr>
          <w:rFonts w:hint="eastAsia"/>
          <w:color w:val="auto"/>
          <w:sz w:val="24"/>
          <w:szCs w:val="20"/>
          <w:highlight w:val="none"/>
        </w:rPr>
        <w:t>第二种方式：</w:t>
      </w:r>
    </w:p>
    <w:p w14:paraId="7EAFEFC2">
      <w:pPr>
        <w:spacing w:line="440" w:lineRule="exact"/>
        <w:ind w:firstLine="480" w:firstLineChars="200"/>
        <w:rPr>
          <w:color w:val="auto"/>
          <w:sz w:val="24"/>
          <w:szCs w:val="20"/>
          <w:highlight w:val="none"/>
        </w:rPr>
      </w:pPr>
      <w:r>
        <w:rPr>
          <w:rFonts w:hint="eastAsia"/>
          <w:color w:val="auto"/>
          <w:sz w:val="24"/>
          <w:szCs w:val="20"/>
          <w:highlight w:val="none"/>
        </w:rPr>
        <w:t>本保函自</w:t>
      </w:r>
      <w:r>
        <w:rPr>
          <w:color w:val="auto"/>
          <w:sz w:val="24"/>
          <w:szCs w:val="20"/>
          <w:highlight w:val="none"/>
          <w:u w:val="single"/>
        </w:rPr>
        <w:t xml:space="preserve">      </w:t>
      </w:r>
      <w:r>
        <w:rPr>
          <w:rFonts w:hint="eastAsia"/>
          <w:color w:val="auto"/>
          <w:sz w:val="24"/>
          <w:szCs w:val="20"/>
          <w:highlight w:val="none"/>
        </w:rPr>
        <w:t>（生效日期）之日起生效，至</w:t>
      </w:r>
      <w:r>
        <w:rPr>
          <w:color w:val="auto"/>
          <w:sz w:val="24"/>
          <w:szCs w:val="20"/>
          <w:highlight w:val="none"/>
          <w:u w:val="single"/>
        </w:rPr>
        <w:t xml:space="preserve">         </w:t>
      </w:r>
      <w:r>
        <w:rPr>
          <w:rFonts w:hint="eastAsia"/>
          <w:color w:val="auto"/>
          <w:sz w:val="24"/>
          <w:szCs w:val="20"/>
          <w:highlight w:val="none"/>
        </w:rPr>
        <w:t>（失效日期）之日失效。要求</w:t>
      </w:r>
      <w:bookmarkStart w:id="663" w:name="_Hlk28873332"/>
      <w:r>
        <w:rPr>
          <w:rFonts w:hint="eastAsia"/>
          <w:color w:val="auto"/>
          <w:sz w:val="24"/>
          <w:szCs w:val="20"/>
          <w:highlight w:val="none"/>
        </w:rPr>
        <w:t>我方承担保证责任的通知应在保函有效期内送达我方。你方延长投标有效期的决定，应通知我方。（说明：具体日期由招标人在制定招标文件时明确，生效之日为投标截止日，失效之日为投标有效期届满之日）</w:t>
      </w:r>
      <w:bookmarkEnd w:id="663"/>
    </w:p>
    <w:p w14:paraId="0F71BC66">
      <w:pPr>
        <w:spacing w:line="440" w:lineRule="atLeast"/>
        <w:rPr>
          <w:color w:val="auto"/>
          <w:sz w:val="24"/>
          <w:highlight w:val="none"/>
        </w:rPr>
      </w:pPr>
      <w:r>
        <w:rPr>
          <w:color w:val="auto"/>
          <w:sz w:val="24"/>
          <w:highlight w:val="none"/>
        </w:rPr>
        <w:t xml:space="preserve"> </w:t>
      </w:r>
    </w:p>
    <w:p w14:paraId="1685E287">
      <w:pPr>
        <w:spacing w:line="440" w:lineRule="atLeast"/>
        <w:ind w:firstLine="1980" w:firstLineChars="825"/>
        <w:rPr>
          <w:color w:val="auto"/>
          <w:sz w:val="24"/>
          <w:highlight w:val="none"/>
        </w:rPr>
      </w:pPr>
      <w:r>
        <w:rPr>
          <w:color w:val="auto"/>
          <w:sz w:val="24"/>
          <w:highlight w:val="none"/>
        </w:rPr>
        <w:t>担保人名称：</w:t>
      </w:r>
      <w:r>
        <w:rPr>
          <w:color w:val="auto"/>
          <w:sz w:val="24"/>
          <w:highlight w:val="none"/>
          <w:u w:val="single"/>
        </w:rPr>
        <w:t xml:space="preserve">                              </w:t>
      </w:r>
      <w:r>
        <w:rPr>
          <w:color w:val="auto"/>
          <w:sz w:val="24"/>
          <w:highlight w:val="none"/>
        </w:rPr>
        <w:t>（盖单位章）</w:t>
      </w:r>
    </w:p>
    <w:p w14:paraId="470752FA">
      <w:pPr>
        <w:spacing w:line="440" w:lineRule="atLeast"/>
        <w:ind w:firstLine="1980" w:firstLineChars="825"/>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14:paraId="5FD2C68A">
      <w:pPr>
        <w:spacing w:line="440" w:lineRule="atLeast"/>
        <w:ind w:firstLine="1980" w:firstLineChars="825"/>
        <w:rPr>
          <w:color w:val="auto"/>
          <w:sz w:val="24"/>
          <w:highlight w:val="none"/>
        </w:rPr>
      </w:pPr>
      <w:r>
        <w:rPr>
          <w:color w:val="auto"/>
          <w:sz w:val="24"/>
          <w:highlight w:val="none"/>
        </w:rPr>
        <w:t>地    址：</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 xml:space="preserve"> </w:t>
      </w:r>
    </w:p>
    <w:p w14:paraId="52FCE223">
      <w:pPr>
        <w:spacing w:line="440" w:lineRule="atLeast"/>
        <w:ind w:firstLine="1980" w:firstLineChars="825"/>
        <w:rPr>
          <w:color w:val="auto"/>
          <w:sz w:val="24"/>
          <w:highlight w:val="none"/>
          <w:u w:val="single"/>
        </w:rPr>
      </w:pPr>
      <w:r>
        <w:rPr>
          <w:color w:val="auto"/>
          <w:sz w:val="24"/>
          <w:highlight w:val="none"/>
        </w:rPr>
        <w:t>邮政编码：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p>
    <w:p w14:paraId="07D2E99B">
      <w:pPr>
        <w:spacing w:line="440" w:lineRule="atLeast"/>
        <w:ind w:firstLine="1980" w:firstLineChars="825"/>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14:paraId="50ECFD0D">
      <w:pPr>
        <w:spacing w:line="440" w:lineRule="atLeast"/>
        <w:ind w:firstLine="1980" w:firstLineChars="825"/>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14:paraId="07F22275">
      <w:pPr>
        <w:spacing w:line="440" w:lineRule="atLeast"/>
        <w:ind w:firstLine="5040" w:firstLineChars="2100"/>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50CA44F4">
      <w:pPr>
        <w:spacing w:line="440" w:lineRule="atLeast"/>
        <w:rPr>
          <w:color w:val="auto"/>
          <w:sz w:val="24"/>
          <w:highlight w:val="none"/>
        </w:rPr>
      </w:pPr>
    </w:p>
    <w:p w14:paraId="47DBE01D">
      <w:pPr>
        <w:rPr>
          <w:color w:val="auto"/>
          <w:sz w:val="24"/>
          <w:szCs w:val="20"/>
          <w:highlight w:val="none"/>
        </w:rPr>
      </w:pPr>
      <w:r>
        <w:rPr>
          <w:rFonts w:hint="eastAsia"/>
          <w:color w:val="auto"/>
          <w:sz w:val="24"/>
          <w:szCs w:val="20"/>
          <w:highlight w:val="none"/>
        </w:rPr>
        <w:t>注：</w:t>
      </w:r>
    </w:p>
    <w:p w14:paraId="407BA506">
      <w:pPr>
        <w:spacing w:before="120" w:beforeLines="50" w:after="120" w:afterLines="50"/>
        <w:rPr>
          <w:color w:val="auto"/>
          <w:sz w:val="24"/>
          <w:szCs w:val="20"/>
          <w:highlight w:val="none"/>
        </w:rPr>
      </w:pPr>
      <w:r>
        <w:rPr>
          <w:color w:val="auto"/>
          <w:sz w:val="24"/>
          <w:szCs w:val="20"/>
          <w:highlight w:val="none"/>
        </w:rPr>
        <w:t>1.</w:t>
      </w:r>
      <w:r>
        <w:rPr>
          <w:rFonts w:hint="eastAsia"/>
          <w:color w:val="auto"/>
          <w:sz w:val="24"/>
          <w:szCs w:val="20"/>
          <w:highlight w:val="none"/>
        </w:rPr>
        <w:t>投标人可以选择以上两种方式的任一种。若因招标人推迟投标截止时间而导致投标人已开具的保函时效不足，投标人应另行提交满足时效的银行保函，否则视为投标人未提供保函。</w:t>
      </w:r>
    </w:p>
    <w:p w14:paraId="1D128A14">
      <w:pPr>
        <w:spacing w:before="120" w:beforeLines="50" w:after="120" w:afterLines="50" w:line="240" w:lineRule="auto"/>
        <w:rPr>
          <w:color w:val="auto"/>
          <w:sz w:val="24"/>
          <w:highlight w:val="none"/>
        </w:rPr>
      </w:pPr>
      <w:r>
        <w:rPr>
          <w:color w:val="auto"/>
          <w:sz w:val="24"/>
          <w:szCs w:val="20"/>
          <w:highlight w:val="none"/>
        </w:rPr>
        <w:t>2.</w:t>
      </w:r>
      <w:r>
        <w:rPr>
          <w:rFonts w:hint="eastAsia"/>
          <w:color w:val="auto"/>
          <w:sz w:val="24"/>
          <w:szCs w:val="20"/>
          <w:highlight w:val="none"/>
        </w:rPr>
        <w:t>银行如在保函加盖单位章处加盖业务公章的，另由银行出具同等法律效力证明。</w:t>
      </w:r>
    </w:p>
    <w:p w14:paraId="0C69F9A4">
      <w:pPr>
        <w:spacing w:line="440" w:lineRule="atLeast"/>
        <w:rPr>
          <w:rFonts w:eastAsia="黑体"/>
          <w:color w:val="auto"/>
          <w:sz w:val="24"/>
          <w:highlight w:val="none"/>
        </w:rPr>
      </w:pPr>
      <w:r>
        <w:rPr>
          <w:color w:val="auto"/>
          <w:sz w:val="24"/>
          <w:highlight w:val="none"/>
        </w:rPr>
        <w:br w:type="page"/>
      </w:r>
    </w:p>
    <w:p w14:paraId="054AFF27">
      <w:pPr>
        <w:spacing w:line="440" w:lineRule="atLeast"/>
        <w:jc w:val="center"/>
        <w:rPr>
          <w:rFonts w:eastAsia="黑体"/>
          <w:color w:val="auto"/>
          <w:sz w:val="32"/>
          <w:szCs w:val="32"/>
          <w:highlight w:val="none"/>
        </w:rPr>
      </w:pPr>
      <w:r>
        <w:rPr>
          <w:rFonts w:eastAsia="黑体"/>
          <w:color w:val="auto"/>
          <w:sz w:val="32"/>
          <w:szCs w:val="32"/>
          <w:highlight w:val="none"/>
        </w:rPr>
        <w:t>银行查询授权书</w:t>
      </w:r>
    </w:p>
    <w:p w14:paraId="58278FA0">
      <w:pPr>
        <w:spacing w:line="440" w:lineRule="atLeast"/>
        <w:rPr>
          <w:rFonts w:eastAsia="黑体"/>
          <w:color w:val="auto"/>
          <w:sz w:val="24"/>
          <w:highlight w:val="none"/>
        </w:rPr>
      </w:pPr>
    </w:p>
    <w:p w14:paraId="15A459BA">
      <w:pPr>
        <w:autoSpaceDE w:val="0"/>
        <w:autoSpaceDN w:val="0"/>
        <w:adjustRightInd w:val="0"/>
        <w:spacing w:line="440" w:lineRule="atLeast"/>
        <w:rPr>
          <w:rFonts w:eastAsia="黑体"/>
          <w:color w:val="auto"/>
          <w:sz w:val="24"/>
          <w:szCs w:val="20"/>
          <w:highlight w:val="none"/>
        </w:rPr>
      </w:pPr>
    </w:p>
    <w:p w14:paraId="3C06BC72">
      <w:pPr>
        <w:autoSpaceDE w:val="0"/>
        <w:autoSpaceDN w:val="0"/>
        <w:adjustRightInd w:val="0"/>
        <w:spacing w:line="440" w:lineRule="atLeas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本授权书申明：</w:t>
      </w:r>
      <w:r>
        <w:rPr>
          <w:rFonts w:hint="eastAsia" w:ascii="宋体" w:hAnsi="宋体" w:eastAsia="宋体" w:cs="宋体"/>
          <w:color w:val="auto"/>
          <w:sz w:val="24"/>
          <w:szCs w:val="20"/>
          <w:highlight w:val="none"/>
          <w:u w:val="single"/>
        </w:rPr>
        <w:t>（投标人注册地点）（投标人名称）（法定代表人职务）（法定代表人姓名）</w:t>
      </w:r>
      <w:r>
        <w:rPr>
          <w:rFonts w:hint="eastAsia" w:ascii="宋体" w:hAnsi="宋体" w:eastAsia="宋体" w:cs="宋体"/>
          <w:color w:val="auto"/>
          <w:sz w:val="24"/>
          <w:szCs w:val="20"/>
          <w:highlight w:val="none"/>
        </w:rPr>
        <w:t>经合法授权</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（以下称“招标人”）可向</w:t>
      </w:r>
      <w:r>
        <w:rPr>
          <w:rFonts w:hint="eastAsia" w:ascii="宋体" w:hAnsi="宋体" w:eastAsia="宋体" w:cs="宋体"/>
          <w:color w:val="auto"/>
          <w:sz w:val="24"/>
          <w:szCs w:val="20"/>
          <w:highlight w:val="none"/>
          <w:u w:val="single"/>
        </w:rPr>
        <w:t>（银行名称）</w:t>
      </w:r>
      <w:r>
        <w:rPr>
          <w:rFonts w:hint="eastAsia" w:ascii="宋体" w:hAnsi="宋体" w:eastAsia="宋体" w:cs="宋体"/>
          <w:color w:val="auto"/>
          <w:sz w:val="24"/>
          <w:szCs w:val="20"/>
          <w:highlight w:val="none"/>
        </w:rPr>
        <w:t>进行有关我公司投标保证金方面的查询，并由</w:t>
      </w:r>
      <w:r>
        <w:rPr>
          <w:rFonts w:hint="eastAsia" w:ascii="宋体" w:hAnsi="宋体" w:eastAsia="宋体" w:cs="宋体"/>
          <w:color w:val="auto"/>
          <w:sz w:val="24"/>
          <w:szCs w:val="20"/>
          <w:highlight w:val="none"/>
          <w:u w:val="single"/>
        </w:rPr>
        <w:t>（银行名称）</w:t>
      </w:r>
      <w:r>
        <w:rPr>
          <w:rFonts w:hint="eastAsia" w:ascii="宋体" w:hAnsi="宋体" w:eastAsia="宋体" w:cs="宋体"/>
          <w:color w:val="auto"/>
          <w:sz w:val="24"/>
          <w:szCs w:val="20"/>
          <w:highlight w:val="none"/>
        </w:rPr>
        <w:t>提供招标人所需的有关证明。</w:t>
      </w:r>
    </w:p>
    <w:p w14:paraId="5F143042">
      <w:pPr>
        <w:autoSpaceDE w:val="0"/>
        <w:autoSpaceDN w:val="0"/>
        <w:adjustRightInd w:val="0"/>
        <w:spacing w:line="440" w:lineRule="atLeast"/>
        <w:rPr>
          <w:rFonts w:hint="eastAsia" w:ascii="宋体" w:hAnsi="宋体" w:eastAsia="宋体" w:cs="宋体"/>
          <w:color w:val="auto"/>
          <w:sz w:val="24"/>
          <w:szCs w:val="20"/>
          <w:highlight w:val="none"/>
        </w:rPr>
      </w:pPr>
    </w:p>
    <w:p w14:paraId="6CDDBD38">
      <w:pPr>
        <w:autoSpaceDE w:val="0"/>
        <w:autoSpaceDN w:val="0"/>
        <w:adjustRightInd w:val="0"/>
        <w:spacing w:line="440" w:lineRule="atLeas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各方在此分别签字盖章，以资证明。</w:t>
      </w:r>
    </w:p>
    <w:p w14:paraId="259F7140">
      <w:pPr>
        <w:autoSpaceDE w:val="0"/>
        <w:autoSpaceDN w:val="0"/>
        <w:adjustRightInd w:val="0"/>
        <w:spacing w:line="440" w:lineRule="atLeas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授权人（投标人）：</w:t>
      </w:r>
      <w:r>
        <w:rPr>
          <w:rFonts w:hint="eastAsia" w:ascii="宋体" w:hAnsi="宋体" w:eastAsia="宋体" w:cs="宋体"/>
          <w:color w:val="auto"/>
          <w:sz w:val="24"/>
          <w:szCs w:val="20"/>
          <w:highlight w:val="none"/>
          <w:u w:val="single"/>
        </w:rPr>
        <w:t>（法定代表人签署全名、盖单位章）</w:t>
      </w:r>
    </w:p>
    <w:p w14:paraId="1794738F">
      <w:pPr>
        <w:autoSpaceDE w:val="0"/>
        <w:autoSpaceDN w:val="0"/>
        <w:adjustRightInd w:val="0"/>
        <w:spacing w:line="440" w:lineRule="atLeas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银            行：</w:t>
      </w:r>
      <w:r>
        <w:rPr>
          <w:rFonts w:hint="eastAsia" w:ascii="宋体" w:hAnsi="宋体" w:eastAsia="宋体" w:cs="宋体"/>
          <w:color w:val="auto"/>
          <w:sz w:val="24"/>
          <w:szCs w:val="20"/>
          <w:highlight w:val="none"/>
          <w:u w:val="single"/>
        </w:rPr>
        <w:t>（全称、单位章）</w:t>
      </w:r>
    </w:p>
    <w:p w14:paraId="718B5D2C">
      <w:pPr>
        <w:autoSpaceDE w:val="0"/>
        <w:autoSpaceDN w:val="0"/>
        <w:adjustRightInd w:val="0"/>
        <w:spacing w:line="440" w:lineRule="atLeast"/>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银  行 负 责  人：</w:t>
      </w:r>
      <w:r>
        <w:rPr>
          <w:rFonts w:hint="eastAsia" w:ascii="宋体" w:hAnsi="宋体" w:eastAsia="宋体" w:cs="宋体"/>
          <w:color w:val="auto"/>
          <w:sz w:val="24"/>
          <w:szCs w:val="20"/>
          <w:highlight w:val="none"/>
          <w:u w:val="single"/>
        </w:rPr>
        <w:t>（签署全名）</w:t>
      </w:r>
    </w:p>
    <w:p w14:paraId="5C9B58D0">
      <w:pPr>
        <w:autoSpaceDE w:val="0"/>
        <w:autoSpaceDN w:val="0"/>
        <w:adjustRightInd w:val="0"/>
        <w:spacing w:line="440" w:lineRule="atLeast"/>
        <w:rPr>
          <w:rFonts w:hint="eastAsia" w:ascii="宋体" w:hAnsi="宋体" w:eastAsia="宋体" w:cs="宋体"/>
          <w:color w:val="auto"/>
          <w:szCs w:val="21"/>
          <w:highlight w:val="none"/>
        </w:rPr>
      </w:pPr>
      <w:r>
        <w:rPr>
          <w:rFonts w:hint="eastAsia" w:ascii="宋体" w:hAnsi="宋体" w:eastAsia="宋体" w:cs="宋体"/>
          <w:color w:val="auto"/>
          <w:sz w:val="24"/>
          <w:szCs w:val="20"/>
          <w:highlight w:val="none"/>
        </w:rPr>
        <w:t>银   行  地   址：</w:t>
      </w:r>
      <w:r>
        <w:rPr>
          <w:rFonts w:hint="eastAsia" w:ascii="宋体" w:hAnsi="宋体" w:eastAsia="宋体" w:cs="宋体"/>
          <w:color w:val="auto"/>
          <w:sz w:val="24"/>
          <w:szCs w:val="20"/>
          <w:highlight w:val="none"/>
          <w:u w:val="single"/>
        </w:rPr>
        <w:t xml:space="preserve">             </w:t>
      </w:r>
    </w:p>
    <w:p w14:paraId="00557038">
      <w:pPr>
        <w:autoSpaceDE w:val="0"/>
        <w:autoSpaceDN w:val="0"/>
        <w:adjustRightInd w:val="0"/>
        <w:spacing w:line="440" w:lineRule="atLeast"/>
        <w:rPr>
          <w:rFonts w:hint="eastAsia" w:ascii="宋体" w:hAnsi="宋体" w:eastAsia="宋体" w:cs="宋体"/>
          <w:color w:val="auto"/>
          <w:szCs w:val="21"/>
          <w:highlight w:val="none"/>
        </w:rPr>
      </w:pPr>
      <w:r>
        <w:rPr>
          <w:rFonts w:hint="eastAsia" w:ascii="宋体" w:hAnsi="宋体" w:eastAsia="宋体" w:cs="宋体"/>
          <w:color w:val="auto"/>
          <w:sz w:val="24"/>
          <w:szCs w:val="20"/>
          <w:highlight w:val="none"/>
        </w:rPr>
        <w:t>银   行  电   话：</w:t>
      </w:r>
      <w:r>
        <w:rPr>
          <w:rFonts w:hint="eastAsia" w:ascii="宋体" w:hAnsi="宋体" w:eastAsia="宋体" w:cs="宋体"/>
          <w:color w:val="auto"/>
          <w:sz w:val="24"/>
          <w:szCs w:val="20"/>
          <w:highlight w:val="none"/>
          <w:u w:val="single"/>
        </w:rPr>
        <w:t xml:space="preserve">             </w:t>
      </w:r>
    </w:p>
    <w:p w14:paraId="6B2DB100">
      <w:pPr>
        <w:autoSpaceDE w:val="0"/>
        <w:autoSpaceDN w:val="0"/>
        <w:adjustRightInd w:val="0"/>
        <w:spacing w:line="440" w:lineRule="atLeast"/>
        <w:rPr>
          <w:rFonts w:hint="eastAsia" w:ascii="宋体" w:hAnsi="宋体" w:eastAsia="宋体" w:cs="宋体"/>
          <w:color w:val="auto"/>
          <w:szCs w:val="21"/>
          <w:highlight w:val="none"/>
        </w:rPr>
      </w:pPr>
      <w:r>
        <w:rPr>
          <w:rFonts w:hint="eastAsia" w:ascii="宋体" w:hAnsi="宋体" w:eastAsia="宋体" w:cs="宋体"/>
          <w:color w:val="auto"/>
          <w:sz w:val="24"/>
          <w:szCs w:val="20"/>
          <w:highlight w:val="none"/>
        </w:rPr>
        <w:t>银   行  传   真：</w:t>
      </w:r>
      <w:r>
        <w:rPr>
          <w:rFonts w:hint="eastAsia" w:ascii="宋体" w:hAnsi="宋体" w:eastAsia="宋体" w:cs="宋体"/>
          <w:color w:val="auto"/>
          <w:sz w:val="24"/>
          <w:szCs w:val="20"/>
          <w:highlight w:val="none"/>
          <w:u w:val="single"/>
        </w:rPr>
        <w:t xml:space="preserve">             </w:t>
      </w:r>
    </w:p>
    <w:p w14:paraId="24A283E5">
      <w:pPr>
        <w:autoSpaceDE w:val="0"/>
        <w:autoSpaceDN w:val="0"/>
        <w:adjustRightInd w:val="0"/>
        <w:spacing w:line="440" w:lineRule="atLeast"/>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银  行 联 系  人：</w:t>
      </w:r>
      <w:r>
        <w:rPr>
          <w:rFonts w:hint="eastAsia" w:ascii="宋体" w:hAnsi="宋体" w:eastAsia="宋体" w:cs="宋体"/>
          <w:color w:val="auto"/>
          <w:sz w:val="24"/>
          <w:szCs w:val="20"/>
          <w:highlight w:val="none"/>
          <w:u w:val="single"/>
        </w:rPr>
        <w:t xml:space="preserve">           </w:t>
      </w:r>
    </w:p>
    <w:p w14:paraId="4B5044E9">
      <w:pPr>
        <w:autoSpaceDE w:val="0"/>
        <w:autoSpaceDN w:val="0"/>
        <w:adjustRightInd w:val="0"/>
        <w:spacing w:line="440" w:lineRule="atLeast"/>
        <w:jc w:val="right"/>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06B1795F">
      <w:pPr>
        <w:autoSpaceDE w:val="0"/>
        <w:autoSpaceDN w:val="0"/>
        <w:adjustRightInd w:val="0"/>
        <w:spacing w:line="440" w:lineRule="atLeast"/>
        <w:rPr>
          <w:rFonts w:hint="eastAsia" w:ascii="宋体" w:hAnsi="宋体" w:eastAsia="宋体" w:cs="宋体"/>
          <w:color w:val="auto"/>
          <w:szCs w:val="21"/>
          <w:highlight w:val="none"/>
        </w:rPr>
      </w:pPr>
    </w:p>
    <w:p w14:paraId="239ED2E2">
      <w:pPr>
        <w:snapToGrid w:val="0"/>
        <w:spacing w:line="44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注：1、此银行查询授权书由投标人开立基本账户的银行出具。</w:t>
      </w:r>
    </w:p>
    <w:p w14:paraId="460B13C4">
      <w:pPr>
        <w:snapToGrid w:val="0"/>
        <w:spacing w:line="440" w:lineRule="atLeas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2、银行负责人应亲笔签名，不得使用印章、签名章或其他电子制版签名，否则，视为无效。</w:t>
      </w:r>
    </w:p>
    <w:p w14:paraId="49EBEEC5">
      <w:pPr>
        <w:spacing w:line="440" w:lineRule="atLeast"/>
        <w:rPr>
          <w:rFonts w:hint="eastAsia" w:ascii="宋体" w:hAnsi="宋体" w:eastAsia="宋体" w:cs="宋体"/>
          <w:color w:val="auto"/>
          <w:sz w:val="24"/>
          <w:highlight w:val="none"/>
        </w:rPr>
      </w:pPr>
    </w:p>
    <w:p w14:paraId="1764F505">
      <w:pPr>
        <w:spacing w:line="440" w:lineRule="atLeast"/>
        <w:rPr>
          <w:color w:val="auto"/>
          <w:sz w:val="24"/>
          <w:highlight w:val="none"/>
        </w:rPr>
      </w:pPr>
    </w:p>
    <w:p w14:paraId="48C28D42">
      <w:pPr>
        <w:spacing w:line="440" w:lineRule="atLeast"/>
        <w:rPr>
          <w:color w:val="auto"/>
          <w:sz w:val="24"/>
          <w:highlight w:val="none"/>
        </w:rPr>
      </w:pPr>
    </w:p>
    <w:p w14:paraId="1FBD9987">
      <w:pPr>
        <w:spacing w:line="440" w:lineRule="atLeast"/>
        <w:rPr>
          <w:color w:val="auto"/>
          <w:sz w:val="24"/>
          <w:highlight w:val="none"/>
        </w:rPr>
      </w:pPr>
    </w:p>
    <w:p w14:paraId="7AE78C06">
      <w:pPr>
        <w:pStyle w:val="2"/>
        <w:spacing w:before="0" w:after="0" w:line="380" w:lineRule="atLeast"/>
        <w:jc w:val="center"/>
        <w:rPr>
          <w:rFonts w:eastAsia="黑体"/>
          <w:b w:val="0"/>
          <w:color w:val="auto"/>
          <w:sz w:val="28"/>
          <w:szCs w:val="28"/>
          <w:highlight w:val="none"/>
        </w:rPr>
      </w:pPr>
      <w:r>
        <w:rPr>
          <w:color w:val="auto"/>
          <w:sz w:val="24"/>
          <w:highlight w:val="none"/>
        </w:rPr>
        <w:br w:type="page"/>
      </w:r>
      <w:bookmarkStart w:id="664" w:name="_Toc509993941"/>
      <w:bookmarkStart w:id="665" w:name="_Toc234833276"/>
      <w:r>
        <w:rPr>
          <w:rFonts w:hint="eastAsia" w:eastAsia="黑体"/>
          <w:b w:val="0"/>
          <w:color w:val="auto"/>
          <w:sz w:val="28"/>
          <w:szCs w:val="28"/>
          <w:highlight w:val="none"/>
          <w:lang w:val="en-US" w:eastAsia="zh-CN"/>
        </w:rPr>
        <w:t>三</w:t>
      </w:r>
      <w:r>
        <w:rPr>
          <w:rFonts w:eastAsia="黑体"/>
          <w:b w:val="0"/>
          <w:color w:val="auto"/>
          <w:sz w:val="28"/>
          <w:szCs w:val="28"/>
          <w:highlight w:val="none"/>
        </w:rPr>
        <w:t>、拟分包项目情况表</w:t>
      </w:r>
      <w:bookmarkEnd w:id="664"/>
      <w:bookmarkEnd w:id="665"/>
    </w:p>
    <w:p w14:paraId="34FEB14F">
      <w:pPr>
        <w:spacing w:line="440" w:lineRule="exact"/>
        <w:rPr>
          <w:rFonts w:eastAsia="黑体"/>
          <w:color w:val="auto"/>
          <w:sz w:val="20"/>
          <w:szCs w:val="20"/>
          <w:highlight w:val="none"/>
        </w:rPr>
      </w:pPr>
      <w:r>
        <w:rPr>
          <w:rFonts w:eastAsia="黑体"/>
          <w:color w:val="auto"/>
          <w:sz w:val="20"/>
          <w:szCs w:val="20"/>
          <w:highlight w:val="none"/>
        </w:rPr>
        <w:t xml:space="preserve">                          </w:t>
      </w:r>
    </w:p>
    <w:tbl>
      <w:tblPr>
        <w:tblStyle w:val="55"/>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741"/>
        <w:gridCol w:w="1476"/>
        <w:gridCol w:w="2412"/>
        <w:gridCol w:w="1741"/>
      </w:tblGrid>
      <w:tr w14:paraId="7AA3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Borders>
              <w:top w:val="single" w:color="auto" w:sz="4" w:space="0"/>
              <w:left w:val="single" w:color="auto" w:sz="4" w:space="0"/>
              <w:bottom w:val="single" w:color="auto" w:sz="4" w:space="0"/>
              <w:right w:val="single" w:color="auto" w:sz="4" w:space="0"/>
            </w:tcBorders>
            <w:vAlign w:val="center"/>
          </w:tcPr>
          <w:p w14:paraId="4070AD71">
            <w:pPr>
              <w:spacing w:line="440" w:lineRule="exact"/>
              <w:jc w:val="center"/>
              <w:rPr>
                <w:color w:val="auto"/>
                <w:szCs w:val="21"/>
                <w:highlight w:val="none"/>
              </w:rPr>
            </w:pPr>
            <w:r>
              <w:rPr>
                <w:color w:val="auto"/>
                <w:szCs w:val="21"/>
                <w:highlight w:val="none"/>
              </w:rPr>
              <w:t>拟分包的工程项目</w:t>
            </w:r>
          </w:p>
        </w:tc>
        <w:tc>
          <w:tcPr>
            <w:tcW w:w="1741" w:type="dxa"/>
            <w:tcBorders>
              <w:top w:val="single" w:color="auto" w:sz="4" w:space="0"/>
              <w:left w:val="single" w:color="auto" w:sz="4" w:space="0"/>
              <w:bottom w:val="single" w:color="auto" w:sz="4" w:space="0"/>
              <w:right w:val="single" w:color="auto" w:sz="4" w:space="0"/>
            </w:tcBorders>
            <w:vAlign w:val="center"/>
          </w:tcPr>
          <w:p w14:paraId="34964722">
            <w:pPr>
              <w:spacing w:line="440" w:lineRule="exact"/>
              <w:jc w:val="center"/>
              <w:rPr>
                <w:color w:val="auto"/>
                <w:szCs w:val="21"/>
                <w:highlight w:val="none"/>
              </w:rPr>
            </w:pPr>
            <w:r>
              <w:rPr>
                <w:color w:val="auto"/>
                <w:szCs w:val="21"/>
                <w:highlight w:val="none"/>
              </w:rPr>
              <w:t>主要工程内容</w:t>
            </w:r>
          </w:p>
        </w:tc>
        <w:tc>
          <w:tcPr>
            <w:tcW w:w="1476" w:type="dxa"/>
            <w:tcBorders>
              <w:top w:val="single" w:color="auto" w:sz="4" w:space="0"/>
              <w:left w:val="single" w:color="auto" w:sz="4" w:space="0"/>
              <w:bottom w:val="single" w:color="auto" w:sz="4" w:space="0"/>
              <w:right w:val="single" w:color="auto" w:sz="4" w:space="0"/>
            </w:tcBorders>
            <w:vAlign w:val="center"/>
          </w:tcPr>
          <w:p w14:paraId="07D0BCE7">
            <w:pPr>
              <w:spacing w:line="440" w:lineRule="exact"/>
              <w:jc w:val="center"/>
              <w:rPr>
                <w:color w:val="auto"/>
                <w:szCs w:val="21"/>
                <w:highlight w:val="none"/>
              </w:rPr>
            </w:pPr>
            <w:r>
              <w:rPr>
                <w:color w:val="auto"/>
                <w:szCs w:val="21"/>
                <w:highlight w:val="none"/>
              </w:rPr>
              <w:t>咨询服务任务</w:t>
            </w:r>
          </w:p>
        </w:tc>
        <w:tc>
          <w:tcPr>
            <w:tcW w:w="2412" w:type="dxa"/>
            <w:tcBorders>
              <w:top w:val="single" w:color="auto" w:sz="4" w:space="0"/>
              <w:left w:val="single" w:color="auto" w:sz="4" w:space="0"/>
              <w:bottom w:val="single" w:color="auto" w:sz="4" w:space="0"/>
              <w:right w:val="single" w:color="auto" w:sz="4" w:space="0"/>
            </w:tcBorders>
            <w:vAlign w:val="center"/>
          </w:tcPr>
          <w:p w14:paraId="768D35AD">
            <w:pPr>
              <w:spacing w:line="440" w:lineRule="exact"/>
              <w:jc w:val="center"/>
              <w:rPr>
                <w:color w:val="auto"/>
                <w:szCs w:val="21"/>
                <w:highlight w:val="none"/>
              </w:rPr>
            </w:pPr>
            <w:r>
              <w:rPr>
                <w:color w:val="auto"/>
                <w:szCs w:val="21"/>
                <w:highlight w:val="none"/>
              </w:rPr>
              <w:t>分包工作量占总工作量的比例</w:t>
            </w:r>
            <w:r>
              <w:rPr>
                <w:color w:val="auto"/>
                <w:sz w:val="24"/>
                <w:highlight w:val="none"/>
              </w:rPr>
              <w:t>（%）</w:t>
            </w:r>
          </w:p>
        </w:tc>
        <w:tc>
          <w:tcPr>
            <w:tcW w:w="1741" w:type="dxa"/>
            <w:tcBorders>
              <w:top w:val="single" w:color="auto" w:sz="4" w:space="0"/>
              <w:left w:val="single" w:color="auto" w:sz="4" w:space="0"/>
              <w:bottom w:val="single" w:color="auto" w:sz="4" w:space="0"/>
              <w:right w:val="single" w:color="auto" w:sz="4" w:space="0"/>
            </w:tcBorders>
            <w:vAlign w:val="center"/>
          </w:tcPr>
          <w:p w14:paraId="0E0B2E12">
            <w:pPr>
              <w:spacing w:line="440" w:lineRule="exact"/>
              <w:jc w:val="center"/>
              <w:rPr>
                <w:color w:val="auto"/>
                <w:szCs w:val="21"/>
                <w:highlight w:val="none"/>
              </w:rPr>
            </w:pPr>
            <w:r>
              <w:rPr>
                <w:color w:val="auto"/>
                <w:szCs w:val="21"/>
                <w:highlight w:val="none"/>
              </w:rPr>
              <w:t>备 注</w:t>
            </w:r>
          </w:p>
        </w:tc>
      </w:tr>
      <w:tr w14:paraId="6CEA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77" w:type="dxa"/>
            <w:tcBorders>
              <w:top w:val="single" w:color="auto" w:sz="4" w:space="0"/>
              <w:left w:val="single" w:color="auto" w:sz="4" w:space="0"/>
              <w:bottom w:val="single" w:color="auto" w:sz="4" w:space="0"/>
              <w:right w:val="single" w:color="auto" w:sz="4" w:space="0"/>
            </w:tcBorders>
            <w:vAlign w:val="center"/>
          </w:tcPr>
          <w:p w14:paraId="47937DD0">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612FFF0B">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4450F9AB">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1CF5A67C">
            <w:pPr>
              <w:spacing w:line="440" w:lineRule="exact"/>
              <w:jc w:val="center"/>
              <w:rPr>
                <w:color w:val="auto"/>
                <w:szCs w:val="21"/>
                <w:highlight w:val="none"/>
              </w:rPr>
            </w:pPr>
          </w:p>
        </w:tc>
        <w:tc>
          <w:tcPr>
            <w:tcW w:w="1741" w:type="dxa"/>
            <w:vMerge w:val="restart"/>
            <w:tcBorders>
              <w:top w:val="single" w:color="auto" w:sz="4" w:space="0"/>
              <w:left w:val="single" w:color="auto" w:sz="4" w:space="0"/>
              <w:bottom w:val="single" w:color="auto" w:sz="4" w:space="0"/>
              <w:right w:val="single" w:color="auto" w:sz="4" w:space="0"/>
            </w:tcBorders>
            <w:vAlign w:val="center"/>
          </w:tcPr>
          <w:p w14:paraId="5E41CCB8">
            <w:pPr>
              <w:snapToGrid w:val="0"/>
              <w:spacing w:line="400" w:lineRule="atLeast"/>
              <w:rPr>
                <w:color w:val="auto"/>
                <w:szCs w:val="21"/>
                <w:highlight w:val="none"/>
              </w:rPr>
            </w:pPr>
            <w:r>
              <w:rPr>
                <w:color w:val="auto"/>
                <w:szCs w:val="21"/>
                <w:highlight w:val="none"/>
              </w:rPr>
              <w:t>若无分包计划，则投标人应在本表填写“无”</w:t>
            </w:r>
          </w:p>
        </w:tc>
      </w:tr>
      <w:tr w14:paraId="10AB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77" w:type="dxa"/>
            <w:tcBorders>
              <w:top w:val="single" w:color="auto" w:sz="4" w:space="0"/>
              <w:left w:val="single" w:color="auto" w:sz="4" w:space="0"/>
              <w:bottom w:val="single" w:color="auto" w:sz="4" w:space="0"/>
              <w:right w:val="single" w:color="auto" w:sz="4" w:space="0"/>
            </w:tcBorders>
            <w:vAlign w:val="center"/>
          </w:tcPr>
          <w:p w14:paraId="463D948F">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66D8C5B0">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2A3D3229">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7290EBB0">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12E76DF0">
            <w:pPr>
              <w:widowControl/>
              <w:jc w:val="left"/>
              <w:rPr>
                <w:color w:val="auto"/>
                <w:szCs w:val="21"/>
                <w:highlight w:val="none"/>
              </w:rPr>
            </w:pPr>
          </w:p>
        </w:tc>
      </w:tr>
      <w:tr w14:paraId="6527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32DC4009">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0C409803">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46AB0D0D">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4AC8896E">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6F6703E6">
            <w:pPr>
              <w:widowControl/>
              <w:jc w:val="left"/>
              <w:rPr>
                <w:color w:val="auto"/>
                <w:szCs w:val="21"/>
                <w:highlight w:val="none"/>
              </w:rPr>
            </w:pPr>
          </w:p>
        </w:tc>
      </w:tr>
      <w:tr w14:paraId="1A29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577" w:type="dxa"/>
            <w:tcBorders>
              <w:top w:val="single" w:color="auto" w:sz="4" w:space="0"/>
              <w:left w:val="single" w:color="auto" w:sz="4" w:space="0"/>
              <w:bottom w:val="single" w:color="auto" w:sz="4" w:space="0"/>
              <w:right w:val="single" w:color="auto" w:sz="4" w:space="0"/>
            </w:tcBorders>
            <w:vAlign w:val="center"/>
          </w:tcPr>
          <w:p w14:paraId="1FF1EE69">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7FFF0675">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0D0B7E21">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51263D22">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6ACE59B7">
            <w:pPr>
              <w:widowControl/>
              <w:jc w:val="left"/>
              <w:rPr>
                <w:color w:val="auto"/>
                <w:szCs w:val="21"/>
                <w:highlight w:val="none"/>
              </w:rPr>
            </w:pPr>
          </w:p>
        </w:tc>
      </w:tr>
      <w:tr w14:paraId="2433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577" w:type="dxa"/>
            <w:tcBorders>
              <w:top w:val="single" w:color="auto" w:sz="4" w:space="0"/>
              <w:left w:val="single" w:color="auto" w:sz="4" w:space="0"/>
              <w:bottom w:val="single" w:color="auto" w:sz="4" w:space="0"/>
              <w:right w:val="single" w:color="auto" w:sz="4" w:space="0"/>
            </w:tcBorders>
            <w:vAlign w:val="center"/>
          </w:tcPr>
          <w:p w14:paraId="793B56E9">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3E4A11CC">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54D97EDE">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7CBC644E">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350F746D">
            <w:pPr>
              <w:widowControl/>
              <w:jc w:val="left"/>
              <w:rPr>
                <w:color w:val="auto"/>
                <w:szCs w:val="21"/>
                <w:highlight w:val="none"/>
              </w:rPr>
            </w:pPr>
          </w:p>
        </w:tc>
      </w:tr>
      <w:tr w14:paraId="3E98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3D7BF5A3">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3C099B06">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0D3D2CCE">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2542D9E0">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286AC840">
            <w:pPr>
              <w:widowControl/>
              <w:jc w:val="left"/>
              <w:rPr>
                <w:color w:val="auto"/>
                <w:szCs w:val="21"/>
                <w:highlight w:val="none"/>
              </w:rPr>
            </w:pPr>
          </w:p>
        </w:tc>
      </w:tr>
      <w:tr w14:paraId="2FEF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34C1CF48">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1ABE88D2">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5380F0DB">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057ED83B">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23A09B99">
            <w:pPr>
              <w:widowControl/>
              <w:jc w:val="left"/>
              <w:rPr>
                <w:color w:val="auto"/>
                <w:szCs w:val="21"/>
                <w:highlight w:val="none"/>
              </w:rPr>
            </w:pPr>
          </w:p>
        </w:tc>
      </w:tr>
      <w:tr w14:paraId="669D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1FC719A7">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20A5D51B">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206AD070">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32AD616B">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7E0EF4A1">
            <w:pPr>
              <w:widowControl/>
              <w:jc w:val="left"/>
              <w:rPr>
                <w:color w:val="auto"/>
                <w:szCs w:val="21"/>
                <w:highlight w:val="none"/>
              </w:rPr>
            </w:pPr>
          </w:p>
        </w:tc>
      </w:tr>
      <w:tr w14:paraId="569A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22EE3616">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05810A3A">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7833A698">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3A7BB7F3">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03CD9373">
            <w:pPr>
              <w:widowControl/>
              <w:jc w:val="left"/>
              <w:rPr>
                <w:color w:val="auto"/>
                <w:szCs w:val="21"/>
                <w:highlight w:val="none"/>
              </w:rPr>
            </w:pPr>
          </w:p>
        </w:tc>
      </w:tr>
      <w:tr w14:paraId="067D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7757A110">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60A2F0FE">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11CC5246">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59184771">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0243C31E">
            <w:pPr>
              <w:widowControl/>
              <w:jc w:val="left"/>
              <w:rPr>
                <w:color w:val="auto"/>
                <w:szCs w:val="21"/>
                <w:highlight w:val="none"/>
              </w:rPr>
            </w:pPr>
          </w:p>
        </w:tc>
      </w:tr>
      <w:tr w14:paraId="3DC0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40566931">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58034020">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5926A952">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0E97C2C3">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391A4E9F">
            <w:pPr>
              <w:widowControl/>
              <w:jc w:val="left"/>
              <w:rPr>
                <w:color w:val="auto"/>
                <w:szCs w:val="21"/>
                <w:highlight w:val="none"/>
              </w:rPr>
            </w:pPr>
          </w:p>
        </w:tc>
      </w:tr>
      <w:tr w14:paraId="2B73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5510B272">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296D4817">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7B86E8C9">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6C70E4BB">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4277FE04">
            <w:pPr>
              <w:widowControl/>
              <w:jc w:val="left"/>
              <w:rPr>
                <w:color w:val="auto"/>
                <w:szCs w:val="21"/>
                <w:highlight w:val="none"/>
              </w:rPr>
            </w:pPr>
          </w:p>
        </w:tc>
      </w:tr>
      <w:tr w14:paraId="4130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2F129007">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05943823">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5653C5A4">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7F22E21E">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0FE9E6F4">
            <w:pPr>
              <w:widowControl/>
              <w:jc w:val="left"/>
              <w:rPr>
                <w:color w:val="auto"/>
                <w:szCs w:val="21"/>
                <w:highlight w:val="none"/>
              </w:rPr>
            </w:pPr>
          </w:p>
        </w:tc>
      </w:tr>
      <w:tr w14:paraId="10B2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62F8CF94">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02A536F5">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384E1CCD">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3DA5F193">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19E0C842">
            <w:pPr>
              <w:widowControl/>
              <w:jc w:val="left"/>
              <w:rPr>
                <w:color w:val="auto"/>
                <w:szCs w:val="21"/>
                <w:highlight w:val="none"/>
              </w:rPr>
            </w:pPr>
          </w:p>
        </w:tc>
      </w:tr>
      <w:tr w14:paraId="5FD9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62E3E931">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2EE14976">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79CD869B">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1C3E5C6D">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34252C38">
            <w:pPr>
              <w:widowControl/>
              <w:jc w:val="left"/>
              <w:rPr>
                <w:color w:val="auto"/>
                <w:szCs w:val="21"/>
                <w:highlight w:val="none"/>
              </w:rPr>
            </w:pPr>
          </w:p>
        </w:tc>
      </w:tr>
      <w:tr w14:paraId="296C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440A9064">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13D7C64D">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2F6C4CBA">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0F906CEF">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429B466C">
            <w:pPr>
              <w:widowControl/>
              <w:jc w:val="left"/>
              <w:rPr>
                <w:color w:val="auto"/>
                <w:szCs w:val="21"/>
                <w:highlight w:val="none"/>
              </w:rPr>
            </w:pPr>
          </w:p>
        </w:tc>
      </w:tr>
      <w:tr w14:paraId="3597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640D5793">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45B5C182">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6ADFBE7E">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1A62F875">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3FFB999F">
            <w:pPr>
              <w:widowControl/>
              <w:jc w:val="left"/>
              <w:rPr>
                <w:color w:val="auto"/>
                <w:szCs w:val="21"/>
                <w:highlight w:val="none"/>
              </w:rPr>
            </w:pPr>
          </w:p>
        </w:tc>
      </w:tr>
      <w:tr w14:paraId="694E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4D28BC03">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605835A9">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43F1AF88">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79FA454C">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478DD7F3">
            <w:pPr>
              <w:widowControl/>
              <w:jc w:val="left"/>
              <w:rPr>
                <w:color w:val="auto"/>
                <w:szCs w:val="21"/>
                <w:highlight w:val="none"/>
              </w:rPr>
            </w:pPr>
          </w:p>
        </w:tc>
      </w:tr>
      <w:tr w14:paraId="77E3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77" w:type="dxa"/>
            <w:tcBorders>
              <w:top w:val="single" w:color="auto" w:sz="4" w:space="0"/>
              <w:left w:val="single" w:color="auto" w:sz="4" w:space="0"/>
              <w:bottom w:val="single" w:color="auto" w:sz="4" w:space="0"/>
              <w:right w:val="single" w:color="auto" w:sz="4" w:space="0"/>
            </w:tcBorders>
            <w:vAlign w:val="center"/>
          </w:tcPr>
          <w:p w14:paraId="67D5F4ED">
            <w:pPr>
              <w:spacing w:line="440" w:lineRule="exact"/>
              <w:jc w:val="center"/>
              <w:rPr>
                <w:color w:val="auto"/>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53D0C6D2">
            <w:pPr>
              <w:spacing w:line="440" w:lineRule="exact"/>
              <w:jc w:val="center"/>
              <w:rPr>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14:paraId="7F48DBDB">
            <w:pPr>
              <w:spacing w:line="440" w:lineRule="exact"/>
              <w:jc w:val="center"/>
              <w:rPr>
                <w:color w:val="auto"/>
                <w:szCs w:val="21"/>
                <w:highlight w:val="none"/>
              </w:rPr>
            </w:pPr>
          </w:p>
        </w:tc>
        <w:tc>
          <w:tcPr>
            <w:tcW w:w="2412" w:type="dxa"/>
            <w:tcBorders>
              <w:top w:val="single" w:color="auto" w:sz="4" w:space="0"/>
              <w:left w:val="single" w:color="auto" w:sz="4" w:space="0"/>
              <w:bottom w:val="single" w:color="auto" w:sz="4" w:space="0"/>
              <w:right w:val="single" w:color="auto" w:sz="4" w:space="0"/>
            </w:tcBorders>
            <w:vAlign w:val="center"/>
          </w:tcPr>
          <w:p w14:paraId="278FBB40">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1A14465F">
            <w:pPr>
              <w:widowControl/>
              <w:jc w:val="left"/>
              <w:rPr>
                <w:color w:val="auto"/>
                <w:szCs w:val="21"/>
                <w:highlight w:val="none"/>
              </w:rPr>
            </w:pPr>
          </w:p>
        </w:tc>
      </w:tr>
      <w:tr w14:paraId="7F87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794" w:type="dxa"/>
            <w:gridSpan w:val="3"/>
            <w:tcBorders>
              <w:top w:val="single" w:color="auto" w:sz="4" w:space="0"/>
              <w:left w:val="single" w:color="auto" w:sz="4" w:space="0"/>
              <w:bottom w:val="single" w:color="auto" w:sz="4" w:space="0"/>
              <w:right w:val="single" w:color="auto" w:sz="4" w:space="0"/>
            </w:tcBorders>
            <w:vAlign w:val="center"/>
          </w:tcPr>
          <w:p w14:paraId="5F1D20E9">
            <w:pPr>
              <w:spacing w:line="440" w:lineRule="exact"/>
              <w:jc w:val="center"/>
              <w:rPr>
                <w:color w:val="auto"/>
                <w:szCs w:val="21"/>
                <w:highlight w:val="none"/>
              </w:rPr>
            </w:pPr>
            <w:r>
              <w:rPr>
                <w:color w:val="auto"/>
                <w:szCs w:val="21"/>
                <w:highlight w:val="none"/>
              </w:rPr>
              <w:t>拟分包工作量合计比例</w:t>
            </w:r>
            <w:r>
              <w:rPr>
                <w:color w:val="auto"/>
                <w:sz w:val="24"/>
                <w:highlight w:val="none"/>
              </w:rPr>
              <w:t>（%）</w:t>
            </w:r>
          </w:p>
        </w:tc>
        <w:tc>
          <w:tcPr>
            <w:tcW w:w="2412" w:type="dxa"/>
            <w:tcBorders>
              <w:top w:val="single" w:color="auto" w:sz="4" w:space="0"/>
              <w:left w:val="single" w:color="auto" w:sz="4" w:space="0"/>
              <w:bottom w:val="single" w:color="auto" w:sz="4" w:space="0"/>
              <w:right w:val="single" w:color="auto" w:sz="4" w:space="0"/>
            </w:tcBorders>
            <w:vAlign w:val="center"/>
          </w:tcPr>
          <w:p w14:paraId="29B61120">
            <w:pPr>
              <w:spacing w:line="440" w:lineRule="exact"/>
              <w:jc w:val="center"/>
              <w:rPr>
                <w:color w:val="auto"/>
                <w:szCs w:val="21"/>
                <w:highlight w:val="none"/>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02822BF3">
            <w:pPr>
              <w:widowControl/>
              <w:jc w:val="left"/>
              <w:rPr>
                <w:color w:val="auto"/>
                <w:szCs w:val="21"/>
                <w:highlight w:val="none"/>
              </w:rPr>
            </w:pPr>
          </w:p>
        </w:tc>
      </w:tr>
    </w:tbl>
    <w:p w14:paraId="723F9A84">
      <w:pPr>
        <w:pStyle w:val="2"/>
        <w:spacing w:before="0" w:after="0" w:line="440" w:lineRule="atLeast"/>
        <w:jc w:val="center"/>
        <w:rPr>
          <w:rFonts w:eastAsia="黑体"/>
          <w:b w:val="0"/>
          <w:color w:val="auto"/>
          <w:sz w:val="28"/>
          <w:szCs w:val="28"/>
          <w:highlight w:val="none"/>
        </w:rPr>
      </w:pPr>
      <w:r>
        <w:rPr>
          <w:rFonts w:eastAsia="黑体"/>
          <w:color w:val="auto"/>
          <w:sz w:val="27"/>
          <w:szCs w:val="27"/>
          <w:highlight w:val="none"/>
        </w:rPr>
        <w:br w:type="page"/>
      </w:r>
      <w:r>
        <w:rPr>
          <w:rFonts w:hint="eastAsia" w:eastAsia="黑体"/>
          <w:b w:val="0"/>
          <w:color w:val="auto"/>
          <w:sz w:val="28"/>
          <w:szCs w:val="28"/>
          <w:highlight w:val="none"/>
          <w:lang w:val="en-US" w:eastAsia="zh-CN"/>
        </w:rPr>
        <w:t>四</w:t>
      </w:r>
      <w:r>
        <w:rPr>
          <w:rFonts w:eastAsia="黑体"/>
          <w:b w:val="0"/>
          <w:color w:val="auto"/>
          <w:sz w:val="28"/>
          <w:szCs w:val="28"/>
          <w:highlight w:val="none"/>
        </w:rPr>
        <w:t>、资格审查资料</w:t>
      </w:r>
    </w:p>
    <w:p w14:paraId="784A5A02">
      <w:pPr>
        <w:pStyle w:val="2"/>
        <w:spacing w:before="0" w:after="0" w:line="440" w:lineRule="atLeast"/>
        <w:jc w:val="center"/>
        <w:rPr>
          <w:rFonts w:eastAsia="黑体"/>
          <w:b w:val="0"/>
          <w:color w:val="auto"/>
          <w:sz w:val="28"/>
          <w:szCs w:val="28"/>
          <w:highlight w:val="none"/>
        </w:rPr>
      </w:pPr>
    </w:p>
    <w:p w14:paraId="76B7BEF5">
      <w:pPr>
        <w:pStyle w:val="2"/>
        <w:spacing w:before="0" w:after="0" w:line="440" w:lineRule="atLeast"/>
        <w:jc w:val="center"/>
        <w:rPr>
          <w:rFonts w:eastAsia="黑体"/>
          <w:b w:val="0"/>
          <w:color w:val="auto"/>
          <w:sz w:val="24"/>
          <w:szCs w:val="24"/>
          <w:highlight w:val="none"/>
        </w:rPr>
      </w:pPr>
      <w:r>
        <w:rPr>
          <w:rFonts w:eastAsia="黑体"/>
          <w:b w:val="0"/>
          <w:color w:val="auto"/>
          <w:sz w:val="24"/>
          <w:szCs w:val="24"/>
          <w:highlight w:val="none"/>
        </w:rPr>
        <w:t>（一）投标人基本情况表</w:t>
      </w:r>
    </w:p>
    <w:p w14:paraId="694535A7">
      <w:pPr>
        <w:spacing w:line="440" w:lineRule="atLeast"/>
        <w:jc w:val="center"/>
        <w:rPr>
          <w:rFonts w:eastAsia="黑体"/>
          <w:color w:val="auto"/>
          <w:sz w:val="23"/>
          <w:szCs w:val="23"/>
          <w:highlight w:val="none"/>
        </w:rPr>
      </w:pPr>
    </w:p>
    <w:tbl>
      <w:tblPr>
        <w:tblStyle w:val="55"/>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45DC4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5A3E80F">
            <w:pPr>
              <w:topLinePunct/>
              <w:spacing w:line="440" w:lineRule="atLeast"/>
              <w:jc w:val="center"/>
              <w:rPr>
                <w:color w:val="auto"/>
                <w:highlight w:val="none"/>
              </w:rPr>
            </w:pPr>
            <w:r>
              <w:rPr>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B54A69A">
            <w:pPr>
              <w:topLinePunct/>
              <w:spacing w:line="440" w:lineRule="atLeast"/>
              <w:jc w:val="center"/>
              <w:rPr>
                <w:color w:val="auto"/>
                <w:highlight w:val="none"/>
              </w:rPr>
            </w:pPr>
          </w:p>
        </w:tc>
      </w:tr>
      <w:tr w14:paraId="2E6D6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57910C7">
            <w:pPr>
              <w:topLinePunct/>
              <w:spacing w:line="440" w:lineRule="atLeast"/>
              <w:jc w:val="center"/>
              <w:rPr>
                <w:color w:val="auto"/>
                <w:highlight w:val="none"/>
              </w:rPr>
            </w:pPr>
            <w:r>
              <w:rPr>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75503E7">
            <w:pPr>
              <w:topLinePunct/>
              <w:spacing w:line="440" w:lineRule="atLeast"/>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79FD7DD">
            <w:pPr>
              <w:topLinePunct/>
              <w:spacing w:before="100" w:beforeAutospacing="1" w:after="100" w:afterAutospacing="1" w:line="440" w:lineRule="atLeast"/>
              <w:jc w:val="center"/>
              <w:rPr>
                <w:color w:val="auto"/>
                <w:highlight w:val="none"/>
              </w:rPr>
            </w:pPr>
            <w:r>
              <w:rPr>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4555EDB">
            <w:pPr>
              <w:topLinePunct/>
              <w:spacing w:line="440" w:lineRule="atLeast"/>
              <w:jc w:val="center"/>
              <w:rPr>
                <w:color w:val="auto"/>
                <w:highlight w:val="none"/>
              </w:rPr>
            </w:pPr>
          </w:p>
        </w:tc>
      </w:tr>
      <w:tr w14:paraId="58058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30D3415A">
            <w:pPr>
              <w:topLinePunct/>
              <w:spacing w:line="440" w:lineRule="atLeast"/>
              <w:jc w:val="center"/>
              <w:rPr>
                <w:color w:val="auto"/>
                <w:highlight w:val="none"/>
              </w:rPr>
            </w:pPr>
            <w:r>
              <w:rPr>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450E767D">
            <w:pPr>
              <w:topLinePunct/>
              <w:spacing w:before="100" w:beforeAutospacing="1" w:after="100" w:afterAutospacing="1" w:line="440" w:lineRule="atLeast"/>
              <w:jc w:val="center"/>
              <w:rPr>
                <w:color w:val="auto"/>
                <w:highlight w:val="none"/>
              </w:rPr>
            </w:pPr>
            <w:r>
              <w:rPr>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986ED85">
            <w:pPr>
              <w:topLinePunct/>
              <w:spacing w:line="440" w:lineRule="atLeast"/>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D30640B">
            <w:pPr>
              <w:topLinePunct/>
              <w:spacing w:before="100" w:beforeAutospacing="1" w:after="100" w:afterAutospacing="1" w:line="440" w:lineRule="atLeast"/>
              <w:jc w:val="center"/>
              <w:rPr>
                <w:color w:val="auto"/>
                <w:highlight w:val="none"/>
              </w:rPr>
            </w:pPr>
            <w:r>
              <w:rPr>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4641F4E">
            <w:pPr>
              <w:topLinePunct/>
              <w:spacing w:line="440" w:lineRule="atLeast"/>
              <w:jc w:val="center"/>
              <w:rPr>
                <w:color w:val="auto"/>
                <w:highlight w:val="none"/>
              </w:rPr>
            </w:pPr>
          </w:p>
        </w:tc>
      </w:tr>
      <w:tr w14:paraId="42153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0664116E">
            <w:pPr>
              <w:spacing w:line="440" w:lineRule="atLeast"/>
              <w:jc w:val="center"/>
              <w:rPr>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7D486A1D">
            <w:pPr>
              <w:topLinePunct/>
              <w:spacing w:before="100" w:beforeAutospacing="1" w:after="100" w:afterAutospacing="1" w:line="440" w:lineRule="atLeast"/>
              <w:jc w:val="center"/>
              <w:rPr>
                <w:color w:val="auto"/>
                <w:highlight w:val="none"/>
              </w:rPr>
            </w:pPr>
            <w:r>
              <w:rPr>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6667429A">
            <w:pPr>
              <w:topLinePunct/>
              <w:spacing w:line="440" w:lineRule="atLeast"/>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BC78EFC">
            <w:pPr>
              <w:topLinePunct/>
              <w:spacing w:before="100" w:beforeAutospacing="1" w:after="100" w:afterAutospacing="1" w:line="440" w:lineRule="atLeast"/>
              <w:jc w:val="center"/>
              <w:rPr>
                <w:color w:val="auto"/>
                <w:highlight w:val="none"/>
              </w:rPr>
            </w:pPr>
            <w:r>
              <w:rPr>
                <w:color w:val="auto"/>
                <w:szCs w:val="21"/>
                <w:highlight w:val="none"/>
              </w:rPr>
              <w:t>电子邮件</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F2E26CE">
            <w:pPr>
              <w:topLinePunct/>
              <w:spacing w:line="440" w:lineRule="atLeast"/>
              <w:jc w:val="center"/>
              <w:rPr>
                <w:color w:val="auto"/>
                <w:highlight w:val="none"/>
              </w:rPr>
            </w:pPr>
          </w:p>
        </w:tc>
      </w:tr>
      <w:tr w14:paraId="34751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696AB5C">
            <w:pPr>
              <w:topLinePunct/>
              <w:spacing w:before="100" w:beforeAutospacing="1" w:after="100" w:afterAutospacing="1" w:line="440" w:lineRule="atLeast"/>
              <w:jc w:val="center"/>
              <w:rPr>
                <w:color w:val="auto"/>
                <w:highlight w:val="none"/>
              </w:rPr>
            </w:pPr>
            <w:r>
              <w:rPr>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E014AF9">
            <w:pPr>
              <w:topLinePunct/>
              <w:spacing w:before="100" w:beforeAutospacing="1" w:after="100" w:afterAutospacing="1" w:line="440" w:lineRule="atLeast"/>
              <w:jc w:val="center"/>
              <w:rPr>
                <w:color w:val="auto"/>
                <w:highlight w:val="none"/>
              </w:rPr>
            </w:pPr>
            <w:r>
              <w:rPr>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3A0507A">
            <w:pPr>
              <w:topLinePunct/>
              <w:spacing w:line="440" w:lineRule="atLeast"/>
              <w:jc w:val="center"/>
              <w:rPr>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199A0958">
            <w:pPr>
              <w:topLinePunct/>
              <w:spacing w:before="100" w:beforeAutospacing="1" w:after="100" w:afterAutospacing="1" w:line="440" w:lineRule="atLeast"/>
              <w:jc w:val="center"/>
              <w:rPr>
                <w:color w:val="auto"/>
                <w:highlight w:val="none"/>
              </w:rPr>
            </w:pPr>
            <w:r>
              <w:rPr>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3AA1741">
            <w:pPr>
              <w:topLinePunct/>
              <w:spacing w:line="440" w:lineRule="atLeast"/>
              <w:jc w:val="center"/>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828E285">
            <w:pPr>
              <w:topLinePunct/>
              <w:spacing w:before="100" w:beforeAutospacing="1" w:after="100" w:afterAutospacing="1" w:line="440" w:lineRule="atLeast"/>
              <w:jc w:val="center"/>
              <w:rPr>
                <w:color w:val="auto"/>
                <w:highlight w:val="none"/>
              </w:rPr>
            </w:pPr>
            <w:r>
              <w:rPr>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3843473F">
            <w:pPr>
              <w:topLinePunct/>
              <w:spacing w:line="440" w:lineRule="atLeast"/>
              <w:jc w:val="center"/>
              <w:rPr>
                <w:color w:val="auto"/>
                <w:highlight w:val="none"/>
              </w:rPr>
            </w:pPr>
          </w:p>
        </w:tc>
      </w:tr>
      <w:tr w14:paraId="34F66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8B6D04B">
            <w:pPr>
              <w:topLinePunct/>
              <w:spacing w:line="440" w:lineRule="atLeast"/>
              <w:jc w:val="center"/>
              <w:rPr>
                <w:color w:val="auto"/>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0DF5021">
            <w:pPr>
              <w:topLinePunct/>
              <w:spacing w:before="100" w:beforeAutospacing="1" w:after="100" w:afterAutospacing="1" w:line="440" w:lineRule="atLeast"/>
              <w:jc w:val="center"/>
              <w:rPr>
                <w:color w:val="auto"/>
                <w:highlight w:val="none"/>
              </w:rPr>
            </w:pPr>
            <w:r>
              <w:rPr>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70CE0E6">
            <w:pPr>
              <w:topLinePunct/>
              <w:spacing w:line="440" w:lineRule="atLeast"/>
              <w:jc w:val="center"/>
              <w:rPr>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17DCE44E">
            <w:pPr>
              <w:topLinePunct/>
              <w:spacing w:before="100" w:beforeAutospacing="1" w:after="100" w:afterAutospacing="1" w:line="440" w:lineRule="atLeast"/>
              <w:jc w:val="center"/>
              <w:rPr>
                <w:color w:val="auto"/>
                <w:highlight w:val="none"/>
              </w:rPr>
            </w:pPr>
            <w:r>
              <w:rPr>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EFDA06B">
            <w:pPr>
              <w:topLinePunct/>
              <w:spacing w:line="440" w:lineRule="atLeast"/>
              <w:jc w:val="center"/>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DCC792">
            <w:pPr>
              <w:topLinePunct/>
              <w:spacing w:before="100" w:beforeAutospacing="1" w:after="100" w:afterAutospacing="1" w:line="440" w:lineRule="atLeast"/>
              <w:jc w:val="center"/>
              <w:rPr>
                <w:color w:val="auto"/>
                <w:highlight w:val="none"/>
              </w:rPr>
            </w:pPr>
            <w:r>
              <w:rPr>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1C421A59">
            <w:pPr>
              <w:topLinePunct/>
              <w:spacing w:line="440" w:lineRule="atLeast"/>
              <w:jc w:val="center"/>
              <w:rPr>
                <w:color w:val="auto"/>
                <w:highlight w:val="none"/>
              </w:rPr>
            </w:pPr>
          </w:p>
        </w:tc>
      </w:tr>
      <w:tr w14:paraId="4A2A5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0B37AB4">
            <w:pPr>
              <w:topLinePunct/>
              <w:spacing w:before="100" w:beforeAutospacing="1" w:after="100" w:afterAutospacing="1" w:line="440" w:lineRule="atLeast"/>
              <w:jc w:val="center"/>
              <w:rPr>
                <w:color w:val="auto"/>
                <w:highlight w:val="none"/>
              </w:rPr>
            </w:pPr>
            <w:r>
              <w:rPr>
                <w:color w:val="auto"/>
                <w:highlight w:val="none"/>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16F5E11">
            <w:pPr>
              <w:topLinePunct/>
              <w:spacing w:before="100" w:beforeAutospacing="1" w:after="100" w:afterAutospacing="1" w:line="440" w:lineRule="atLeast"/>
              <w:ind w:firstLine="105" w:firstLineChars="50"/>
              <w:jc w:val="center"/>
              <w:rPr>
                <w:color w:val="auto"/>
                <w:highlight w:val="none"/>
              </w:rPr>
            </w:pPr>
            <w:r>
              <w:rPr>
                <w:color w:val="auto"/>
                <w:highlight w:val="none"/>
              </w:rPr>
              <w:t>类型：                    等级：      证书号：</w:t>
            </w:r>
          </w:p>
        </w:tc>
      </w:tr>
      <w:tr w14:paraId="3AB7D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A8A0239">
            <w:pPr>
              <w:topLinePunct/>
              <w:spacing w:before="100" w:beforeAutospacing="1" w:after="100" w:afterAutospacing="1" w:line="440" w:lineRule="atLeast"/>
              <w:jc w:val="center"/>
              <w:rPr>
                <w:color w:val="auto"/>
                <w:highlight w:val="none"/>
              </w:rPr>
            </w:pPr>
            <w:r>
              <w:rPr>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6F919F8">
            <w:pPr>
              <w:topLinePunct/>
              <w:spacing w:line="440" w:lineRule="atLeast"/>
              <w:jc w:val="center"/>
              <w:rPr>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40113E1A">
            <w:pPr>
              <w:topLinePunct/>
              <w:spacing w:before="100" w:beforeAutospacing="1" w:after="100" w:afterAutospacing="1" w:line="440" w:lineRule="atLeast"/>
              <w:jc w:val="center"/>
              <w:rPr>
                <w:color w:val="auto"/>
                <w:highlight w:val="none"/>
              </w:rPr>
            </w:pPr>
            <w:r>
              <w:rPr>
                <w:color w:val="auto"/>
                <w:highlight w:val="none"/>
              </w:rPr>
              <w:t>员工总人数：</w:t>
            </w:r>
          </w:p>
        </w:tc>
      </w:tr>
      <w:tr w14:paraId="0C7AC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2D7FFF5">
            <w:pPr>
              <w:topLinePunct/>
              <w:spacing w:before="100" w:beforeAutospacing="1" w:after="100" w:afterAutospacing="1" w:line="440" w:lineRule="atLeast"/>
              <w:jc w:val="center"/>
              <w:rPr>
                <w:color w:val="auto"/>
                <w:highlight w:val="none"/>
              </w:rPr>
            </w:pPr>
            <w:r>
              <w:rPr>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140B9E2">
            <w:pPr>
              <w:topLinePunct/>
              <w:spacing w:line="440" w:lineRule="atLeast"/>
              <w:jc w:val="center"/>
              <w:rPr>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22F2A507">
            <w:pPr>
              <w:topLinePunct/>
              <w:spacing w:before="100" w:beforeAutospacing="1" w:after="100" w:afterAutospacing="1" w:line="440" w:lineRule="atLeast"/>
              <w:jc w:val="center"/>
              <w:rPr>
                <w:color w:val="auto"/>
                <w:highlight w:val="none"/>
              </w:rPr>
            </w:pPr>
            <w:r>
              <w:rPr>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0E12C16">
            <w:pPr>
              <w:topLinePunct/>
              <w:spacing w:before="100" w:beforeAutospacing="1" w:after="100" w:afterAutospacing="1" w:line="440" w:lineRule="atLeast"/>
              <w:jc w:val="center"/>
              <w:rPr>
                <w:color w:val="auto"/>
                <w:highlight w:val="none"/>
              </w:rPr>
            </w:pPr>
            <w:r>
              <w:rPr>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DCA7A22">
            <w:pPr>
              <w:topLinePunct/>
              <w:spacing w:line="440" w:lineRule="atLeast"/>
              <w:jc w:val="center"/>
              <w:rPr>
                <w:color w:val="auto"/>
                <w:highlight w:val="none"/>
              </w:rPr>
            </w:pPr>
          </w:p>
        </w:tc>
      </w:tr>
      <w:tr w14:paraId="0503B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E7FC25A">
            <w:pPr>
              <w:topLinePunct/>
              <w:spacing w:before="100" w:beforeAutospacing="1" w:after="100" w:afterAutospacing="1" w:line="440" w:lineRule="atLeast"/>
              <w:jc w:val="center"/>
              <w:rPr>
                <w:color w:val="auto"/>
                <w:highlight w:val="none"/>
              </w:rPr>
            </w:pPr>
            <w:r>
              <w:rPr>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BD34FD0">
            <w:pPr>
              <w:topLinePunct/>
              <w:spacing w:line="440" w:lineRule="atLeast"/>
              <w:jc w:val="center"/>
              <w:rPr>
                <w:color w:val="auto"/>
                <w:highlight w:val="none"/>
              </w:rPr>
            </w:pPr>
          </w:p>
        </w:tc>
        <w:tc>
          <w:tcPr>
            <w:tcW w:w="414" w:type="dxa"/>
            <w:vMerge w:val="continue"/>
            <w:tcBorders>
              <w:left w:val="single" w:color="auto" w:sz="4" w:space="0"/>
              <w:right w:val="single" w:color="auto" w:sz="4" w:space="0"/>
            </w:tcBorders>
            <w:vAlign w:val="center"/>
          </w:tcPr>
          <w:p w14:paraId="563B0060">
            <w:pPr>
              <w:spacing w:line="440" w:lineRule="atLeast"/>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430F378">
            <w:pPr>
              <w:topLinePunct/>
              <w:spacing w:before="100" w:beforeAutospacing="1" w:after="100" w:afterAutospacing="1" w:line="440" w:lineRule="atLeast"/>
              <w:jc w:val="center"/>
              <w:rPr>
                <w:color w:val="auto"/>
                <w:highlight w:val="none"/>
              </w:rPr>
            </w:pPr>
            <w:r>
              <w:rPr>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6144438">
            <w:pPr>
              <w:topLinePunct/>
              <w:spacing w:line="440" w:lineRule="atLeast"/>
              <w:jc w:val="center"/>
              <w:rPr>
                <w:color w:val="auto"/>
                <w:highlight w:val="none"/>
              </w:rPr>
            </w:pPr>
          </w:p>
        </w:tc>
      </w:tr>
      <w:tr w14:paraId="2E07D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023AC49">
            <w:pPr>
              <w:topLinePunct/>
              <w:spacing w:before="100" w:beforeAutospacing="1" w:after="100" w:afterAutospacing="1" w:line="440" w:lineRule="atLeast"/>
              <w:jc w:val="center"/>
              <w:rPr>
                <w:color w:val="auto"/>
                <w:highlight w:val="none"/>
              </w:rPr>
            </w:pPr>
            <w:r>
              <w:rPr>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83D48DB">
            <w:pPr>
              <w:topLinePunct/>
              <w:spacing w:line="440" w:lineRule="atLeast"/>
              <w:jc w:val="center"/>
              <w:rPr>
                <w:color w:val="auto"/>
                <w:highlight w:val="none"/>
              </w:rPr>
            </w:pPr>
          </w:p>
        </w:tc>
        <w:tc>
          <w:tcPr>
            <w:tcW w:w="414" w:type="dxa"/>
            <w:vMerge w:val="continue"/>
            <w:tcBorders>
              <w:left w:val="single" w:color="auto" w:sz="4" w:space="0"/>
              <w:right w:val="single" w:color="auto" w:sz="4" w:space="0"/>
            </w:tcBorders>
            <w:vAlign w:val="center"/>
          </w:tcPr>
          <w:p w14:paraId="62461398">
            <w:pPr>
              <w:spacing w:line="440" w:lineRule="atLeast"/>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31458BA">
            <w:pPr>
              <w:topLinePunct/>
              <w:spacing w:before="100" w:beforeAutospacing="1" w:after="100" w:afterAutospacing="1" w:line="440" w:lineRule="atLeast"/>
              <w:jc w:val="center"/>
              <w:rPr>
                <w:color w:val="auto"/>
                <w:highlight w:val="none"/>
              </w:rPr>
            </w:pPr>
            <w:r>
              <w:rPr>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8727CE6">
            <w:pPr>
              <w:topLinePunct/>
              <w:spacing w:line="440" w:lineRule="atLeast"/>
              <w:jc w:val="center"/>
              <w:rPr>
                <w:color w:val="auto"/>
                <w:highlight w:val="none"/>
              </w:rPr>
            </w:pPr>
          </w:p>
        </w:tc>
      </w:tr>
      <w:tr w14:paraId="3F538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6582D14">
            <w:pPr>
              <w:topLinePunct/>
              <w:spacing w:before="100" w:beforeAutospacing="1" w:after="100" w:afterAutospacing="1" w:line="440" w:lineRule="atLeast"/>
              <w:jc w:val="center"/>
              <w:rPr>
                <w:color w:val="auto"/>
                <w:highlight w:val="none"/>
              </w:rPr>
            </w:pPr>
            <w:r>
              <w:rPr>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C4635A6">
            <w:pPr>
              <w:topLinePunct/>
              <w:spacing w:line="440" w:lineRule="atLeast"/>
              <w:jc w:val="center"/>
              <w:rPr>
                <w:color w:val="auto"/>
                <w:highlight w:val="none"/>
              </w:rPr>
            </w:pPr>
          </w:p>
        </w:tc>
        <w:tc>
          <w:tcPr>
            <w:tcW w:w="414" w:type="dxa"/>
            <w:vMerge w:val="continue"/>
            <w:tcBorders>
              <w:left w:val="single" w:color="auto" w:sz="4" w:space="0"/>
              <w:right w:val="single" w:color="auto" w:sz="4" w:space="0"/>
            </w:tcBorders>
            <w:vAlign w:val="center"/>
          </w:tcPr>
          <w:p w14:paraId="620D0A89">
            <w:pPr>
              <w:spacing w:line="440" w:lineRule="atLeast"/>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0FE58A8">
            <w:pPr>
              <w:topLinePunct/>
              <w:spacing w:before="100" w:beforeAutospacing="1" w:after="100" w:afterAutospacing="1" w:line="440" w:lineRule="atLeast"/>
              <w:jc w:val="center"/>
              <w:rPr>
                <w:color w:val="auto"/>
                <w:highlight w:val="none"/>
              </w:rPr>
            </w:pPr>
            <w:r>
              <w:rPr>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892AA3A">
            <w:pPr>
              <w:topLinePunct/>
              <w:spacing w:line="440" w:lineRule="atLeast"/>
              <w:jc w:val="center"/>
              <w:rPr>
                <w:color w:val="auto"/>
                <w:highlight w:val="none"/>
              </w:rPr>
            </w:pPr>
          </w:p>
        </w:tc>
      </w:tr>
      <w:tr w14:paraId="1E8DD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0DE9FC31">
            <w:pPr>
              <w:topLinePunct/>
              <w:spacing w:before="100" w:beforeAutospacing="1" w:after="100" w:afterAutospacing="1" w:line="440" w:lineRule="atLeast"/>
              <w:ind w:firstLine="210" w:firstLineChars="100"/>
              <w:jc w:val="center"/>
              <w:rPr>
                <w:color w:val="auto"/>
                <w:highlight w:val="none"/>
              </w:rPr>
            </w:pPr>
            <w:r>
              <w:rPr>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417F5FE0">
            <w:pPr>
              <w:topLinePunct/>
              <w:spacing w:line="440" w:lineRule="atLeast"/>
              <w:jc w:val="center"/>
              <w:rPr>
                <w:color w:val="auto"/>
                <w:highlight w:val="none"/>
              </w:rPr>
            </w:pPr>
          </w:p>
        </w:tc>
      </w:tr>
      <w:tr w14:paraId="7A779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46B97814">
            <w:pPr>
              <w:topLinePunct/>
              <w:spacing w:before="100" w:beforeAutospacing="1" w:after="100" w:afterAutospacing="1" w:line="440" w:lineRule="atLeast"/>
              <w:jc w:val="center"/>
              <w:rPr>
                <w:color w:val="auto"/>
                <w:highlight w:val="none"/>
              </w:rPr>
            </w:pPr>
            <w:r>
              <w:rPr>
                <w:color w:val="auto"/>
                <w:szCs w:val="21"/>
                <w:highlight w:val="none"/>
              </w:rPr>
              <w:t>投标人关联企业情况</w:t>
            </w:r>
          </w:p>
        </w:tc>
        <w:tc>
          <w:tcPr>
            <w:tcW w:w="6840" w:type="dxa"/>
            <w:gridSpan w:val="8"/>
            <w:tcBorders>
              <w:top w:val="single" w:color="auto" w:sz="4" w:space="0"/>
              <w:left w:val="single" w:color="auto" w:sz="4" w:space="0"/>
              <w:right w:val="single" w:color="auto" w:sz="4" w:space="0"/>
            </w:tcBorders>
            <w:vAlign w:val="center"/>
          </w:tcPr>
          <w:p w14:paraId="2C8EA7B1">
            <w:pPr>
              <w:topLinePunct/>
              <w:spacing w:line="440" w:lineRule="atLeast"/>
              <w:rPr>
                <w:color w:val="auto"/>
                <w:szCs w:val="21"/>
                <w:highlight w:val="none"/>
              </w:rPr>
            </w:pPr>
            <w:r>
              <w:rPr>
                <w:color w:val="auto"/>
                <w:szCs w:val="21"/>
                <w:highlight w:val="none"/>
              </w:rPr>
              <w:t>投标人应提供关联企业情况，包括：</w:t>
            </w:r>
          </w:p>
          <w:p w14:paraId="09393DF3">
            <w:pPr>
              <w:topLinePunct/>
              <w:spacing w:line="440" w:lineRule="atLeast"/>
              <w:rPr>
                <w:color w:val="auto"/>
                <w:szCs w:val="21"/>
                <w:highlight w:val="none"/>
              </w:rPr>
            </w:pPr>
            <w:r>
              <w:rPr>
                <w:color w:val="auto"/>
                <w:szCs w:val="21"/>
                <w:highlight w:val="none"/>
              </w:rPr>
              <w:t>（1）投标人的所有股东名称及相应股权（出资额）比例；如投标人为上市公司，投标人应提供股权占公司股份总数</w:t>
            </w:r>
            <w:r>
              <w:rPr>
                <w:color w:val="auto"/>
                <w:szCs w:val="21"/>
                <w:highlight w:val="none"/>
                <w:u w:val="single"/>
              </w:rPr>
              <w:t xml:space="preserve">   </w:t>
            </w:r>
            <w:r>
              <w:rPr>
                <w:color w:val="auto"/>
                <w:szCs w:val="21"/>
                <w:highlight w:val="none"/>
              </w:rPr>
              <w:t>%以上的所有股东名称及相应股权比例；</w:t>
            </w:r>
          </w:p>
          <w:p w14:paraId="6C4EA4CD">
            <w:pPr>
              <w:topLinePunct/>
              <w:spacing w:line="440" w:lineRule="atLeast"/>
              <w:rPr>
                <w:color w:val="auto"/>
                <w:szCs w:val="21"/>
                <w:highlight w:val="none"/>
              </w:rPr>
            </w:pPr>
            <w:r>
              <w:rPr>
                <w:color w:val="auto"/>
                <w:szCs w:val="21"/>
                <w:highlight w:val="none"/>
              </w:rPr>
              <w:t>（2）投标人投资（控股）或管理的下属企业名称、持有股权（出资额）比例；</w:t>
            </w:r>
          </w:p>
          <w:p w14:paraId="0A089B14">
            <w:pPr>
              <w:topLinePunct/>
              <w:spacing w:line="440" w:lineRule="atLeast"/>
              <w:rPr>
                <w:color w:val="auto"/>
                <w:szCs w:val="21"/>
                <w:highlight w:val="none"/>
              </w:rPr>
            </w:pPr>
            <w:r>
              <w:rPr>
                <w:color w:val="auto"/>
                <w:szCs w:val="21"/>
                <w:highlight w:val="none"/>
              </w:rPr>
              <w:t>（3）与投标人</w:t>
            </w:r>
            <w:r>
              <w:rPr>
                <w:color w:val="auto"/>
                <w:highlight w:val="none"/>
              </w:rPr>
              <w:t>单位负责人（即法定代表人）为同一人的其他单位名称</w:t>
            </w:r>
          </w:p>
          <w:p w14:paraId="0A4D0143">
            <w:pPr>
              <w:topLinePunct/>
              <w:spacing w:line="440" w:lineRule="atLeast"/>
              <w:jc w:val="center"/>
              <w:rPr>
                <w:color w:val="auto"/>
                <w:highlight w:val="none"/>
              </w:rPr>
            </w:pPr>
          </w:p>
        </w:tc>
      </w:tr>
      <w:tr w14:paraId="0326A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574351D">
            <w:pPr>
              <w:topLinePunct/>
              <w:spacing w:before="100" w:beforeAutospacing="1" w:after="100" w:afterAutospacing="1" w:line="440" w:lineRule="atLeast"/>
              <w:jc w:val="center"/>
              <w:rPr>
                <w:color w:val="auto"/>
                <w:highlight w:val="none"/>
              </w:rPr>
            </w:pPr>
            <w:r>
              <w:rPr>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3AA5ADF">
            <w:pPr>
              <w:topLinePunct/>
              <w:spacing w:line="440" w:lineRule="atLeast"/>
              <w:jc w:val="center"/>
              <w:rPr>
                <w:color w:val="auto"/>
                <w:highlight w:val="none"/>
              </w:rPr>
            </w:pPr>
          </w:p>
        </w:tc>
      </w:tr>
    </w:tbl>
    <w:p w14:paraId="3F6A239C">
      <w:pPr>
        <w:widowControl/>
        <w:autoSpaceDE w:val="0"/>
        <w:autoSpaceDN w:val="0"/>
        <w:spacing w:line="440" w:lineRule="atLeast"/>
        <w:ind w:left="630" w:hanging="630" w:hangingChars="300"/>
        <w:textAlignment w:val="bottom"/>
        <w:rPr>
          <w:color w:val="auto"/>
          <w:szCs w:val="21"/>
          <w:highlight w:val="none"/>
        </w:rPr>
      </w:pPr>
      <w:r>
        <w:rPr>
          <w:color w:val="auto"/>
          <w:szCs w:val="21"/>
          <w:highlight w:val="none"/>
        </w:rPr>
        <w:t>注：1.</w:t>
      </w:r>
      <w:r>
        <w:rPr>
          <w:color w:val="auto"/>
          <w:highlight w:val="none"/>
        </w:rPr>
        <w:t>投标人应根据招标文件第二章“投标人须知”第3.5.1项的要求在本表后附相关证明材料。</w:t>
      </w:r>
    </w:p>
    <w:p w14:paraId="3CA6ED90">
      <w:pPr>
        <w:spacing w:line="440" w:lineRule="atLeast"/>
        <w:ind w:firstLine="420" w:firstLineChars="200"/>
        <w:rPr>
          <w:color w:val="auto"/>
          <w:szCs w:val="21"/>
          <w:highlight w:val="none"/>
        </w:rPr>
      </w:pPr>
    </w:p>
    <w:p w14:paraId="25C394B7">
      <w:pPr>
        <w:pStyle w:val="2"/>
        <w:spacing w:before="0" w:after="0" w:line="440" w:lineRule="atLeast"/>
        <w:jc w:val="center"/>
        <w:rPr>
          <w:rFonts w:eastAsia="黑体"/>
          <w:b w:val="0"/>
          <w:color w:val="auto"/>
          <w:sz w:val="24"/>
          <w:szCs w:val="24"/>
          <w:highlight w:val="none"/>
        </w:rPr>
      </w:pPr>
      <w:r>
        <w:rPr>
          <w:color w:val="auto"/>
          <w:szCs w:val="21"/>
          <w:highlight w:val="none"/>
        </w:rPr>
        <w:br w:type="page"/>
      </w:r>
      <w:r>
        <w:rPr>
          <w:rFonts w:eastAsia="黑体"/>
          <w:b w:val="0"/>
          <w:color w:val="auto"/>
          <w:sz w:val="24"/>
          <w:szCs w:val="24"/>
          <w:highlight w:val="none"/>
        </w:rPr>
        <w:t>（二）投标人企业组织机构框图</w:t>
      </w:r>
    </w:p>
    <w:p w14:paraId="628B1998">
      <w:pPr>
        <w:widowControl/>
        <w:autoSpaceDE w:val="0"/>
        <w:autoSpaceDN w:val="0"/>
        <w:spacing w:line="440" w:lineRule="atLeast"/>
        <w:ind w:left="180"/>
        <w:jc w:val="center"/>
        <w:textAlignment w:val="bottom"/>
        <w:rPr>
          <w:color w:val="auto"/>
          <w:sz w:val="20"/>
          <w:szCs w:val="20"/>
          <w:highlight w:val="none"/>
        </w:rPr>
      </w:pPr>
    </w:p>
    <w:p w14:paraId="0545DB05">
      <w:pPr>
        <w:widowControl/>
        <w:autoSpaceDE w:val="0"/>
        <w:autoSpaceDN w:val="0"/>
        <w:spacing w:line="440" w:lineRule="atLeast"/>
        <w:ind w:left="180"/>
        <w:textAlignment w:val="bottom"/>
        <w:rPr>
          <w:color w:val="auto"/>
          <w:sz w:val="20"/>
          <w:szCs w:val="20"/>
          <w:highlight w:val="none"/>
        </w:rPr>
      </w:pPr>
    </w:p>
    <w:tbl>
      <w:tblPr>
        <w:tblStyle w:val="55"/>
        <w:tblW w:w="889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54D58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tcPr>
          <w:p w14:paraId="249A58DD">
            <w:pPr>
              <w:spacing w:line="440" w:lineRule="atLeast"/>
              <w:ind w:left="266" w:right="174" w:rightChars="83" w:firstLine="4"/>
              <w:rPr>
                <w:color w:val="auto"/>
                <w:szCs w:val="21"/>
                <w:highlight w:val="none"/>
              </w:rPr>
            </w:pPr>
          </w:p>
          <w:p w14:paraId="31FD1333">
            <w:pPr>
              <w:spacing w:line="440" w:lineRule="atLeast"/>
              <w:ind w:left="266" w:right="174" w:rightChars="83" w:firstLine="4"/>
              <w:rPr>
                <w:color w:val="auto"/>
                <w:szCs w:val="21"/>
                <w:highlight w:val="none"/>
              </w:rPr>
            </w:pPr>
            <w:r>
              <w:rPr>
                <w:color w:val="auto"/>
                <w:szCs w:val="21"/>
                <w:highlight w:val="none"/>
              </w:rPr>
              <w:t>以框图方式表示。</w:t>
            </w:r>
          </w:p>
          <w:p w14:paraId="087795FC">
            <w:pPr>
              <w:spacing w:line="440" w:lineRule="atLeast"/>
              <w:ind w:left="266" w:right="174" w:rightChars="83" w:firstLine="4"/>
              <w:rPr>
                <w:color w:val="auto"/>
                <w:szCs w:val="21"/>
                <w:highlight w:val="none"/>
              </w:rPr>
            </w:pPr>
          </w:p>
          <w:p w14:paraId="4AEBA8AF">
            <w:pPr>
              <w:spacing w:line="440" w:lineRule="atLeast"/>
              <w:ind w:right="174" w:rightChars="83" w:firstLine="4"/>
              <w:rPr>
                <w:color w:val="auto"/>
                <w:szCs w:val="21"/>
                <w:highlight w:val="none"/>
              </w:rPr>
            </w:pPr>
          </w:p>
          <w:p w14:paraId="792966F1">
            <w:pPr>
              <w:spacing w:line="440" w:lineRule="atLeast"/>
              <w:ind w:right="174" w:rightChars="83" w:firstLine="4"/>
              <w:rPr>
                <w:color w:val="auto"/>
                <w:szCs w:val="21"/>
                <w:highlight w:val="none"/>
              </w:rPr>
            </w:pPr>
          </w:p>
          <w:p w14:paraId="4E9600F0">
            <w:pPr>
              <w:spacing w:line="440" w:lineRule="atLeast"/>
              <w:ind w:right="174" w:rightChars="83" w:firstLine="4"/>
              <w:rPr>
                <w:color w:val="auto"/>
                <w:szCs w:val="21"/>
                <w:highlight w:val="none"/>
              </w:rPr>
            </w:pPr>
          </w:p>
          <w:p w14:paraId="2B1CDD8D">
            <w:pPr>
              <w:spacing w:line="440" w:lineRule="atLeast"/>
              <w:ind w:right="174" w:rightChars="83" w:firstLine="4"/>
              <w:rPr>
                <w:color w:val="auto"/>
                <w:szCs w:val="21"/>
                <w:highlight w:val="none"/>
              </w:rPr>
            </w:pPr>
          </w:p>
          <w:p w14:paraId="39A2F9DD">
            <w:pPr>
              <w:spacing w:line="440" w:lineRule="atLeast"/>
              <w:ind w:right="174" w:rightChars="83" w:firstLine="4"/>
              <w:rPr>
                <w:color w:val="auto"/>
                <w:szCs w:val="21"/>
                <w:highlight w:val="none"/>
              </w:rPr>
            </w:pPr>
          </w:p>
          <w:p w14:paraId="2B09C7EE">
            <w:pPr>
              <w:spacing w:line="440" w:lineRule="atLeast"/>
              <w:ind w:right="174" w:rightChars="83" w:firstLine="4"/>
              <w:rPr>
                <w:color w:val="auto"/>
                <w:szCs w:val="21"/>
                <w:highlight w:val="none"/>
              </w:rPr>
            </w:pPr>
          </w:p>
          <w:p w14:paraId="7312DCB8">
            <w:pPr>
              <w:spacing w:line="440" w:lineRule="atLeast"/>
              <w:ind w:right="174" w:rightChars="83" w:firstLine="4"/>
              <w:rPr>
                <w:color w:val="auto"/>
                <w:szCs w:val="21"/>
                <w:highlight w:val="none"/>
              </w:rPr>
            </w:pPr>
          </w:p>
          <w:p w14:paraId="34B31012">
            <w:pPr>
              <w:spacing w:line="440" w:lineRule="atLeast"/>
              <w:ind w:right="174" w:rightChars="83" w:firstLine="4"/>
              <w:rPr>
                <w:color w:val="auto"/>
                <w:szCs w:val="21"/>
                <w:highlight w:val="none"/>
              </w:rPr>
            </w:pPr>
          </w:p>
        </w:tc>
      </w:tr>
      <w:tr w14:paraId="41921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tcPr>
          <w:p w14:paraId="3733B03C">
            <w:pPr>
              <w:spacing w:line="440" w:lineRule="atLeast"/>
              <w:ind w:left="266" w:right="174" w:rightChars="83" w:firstLine="4"/>
              <w:rPr>
                <w:color w:val="auto"/>
                <w:szCs w:val="21"/>
                <w:highlight w:val="none"/>
              </w:rPr>
            </w:pPr>
            <w:r>
              <w:rPr>
                <w:color w:val="auto"/>
                <w:szCs w:val="21"/>
                <w:highlight w:val="none"/>
              </w:rPr>
              <w:t>说明</w:t>
            </w:r>
          </w:p>
          <w:p w14:paraId="29B31C53">
            <w:pPr>
              <w:spacing w:line="440" w:lineRule="atLeast"/>
              <w:ind w:left="266" w:right="174" w:rightChars="83" w:firstLine="4"/>
              <w:rPr>
                <w:color w:val="auto"/>
                <w:szCs w:val="21"/>
                <w:highlight w:val="none"/>
              </w:rPr>
            </w:pPr>
          </w:p>
          <w:p w14:paraId="07877F11">
            <w:pPr>
              <w:spacing w:line="440" w:lineRule="atLeast"/>
              <w:ind w:left="266" w:right="174" w:rightChars="83" w:firstLine="4"/>
              <w:rPr>
                <w:color w:val="auto"/>
                <w:szCs w:val="21"/>
                <w:highlight w:val="none"/>
              </w:rPr>
            </w:pPr>
          </w:p>
          <w:p w14:paraId="0CB17141">
            <w:pPr>
              <w:spacing w:line="440" w:lineRule="atLeast"/>
              <w:ind w:left="266" w:right="174" w:rightChars="83" w:firstLine="4"/>
              <w:rPr>
                <w:color w:val="auto"/>
                <w:szCs w:val="21"/>
                <w:highlight w:val="none"/>
              </w:rPr>
            </w:pPr>
          </w:p>
          <w:p w14:paraId="2CA19027">
            <w:pPr>
              <w:spacing w:line="440" w:lineRule="atLeast"/>
              <w:ind w:left="266" w:right="174" w:rightChars="83" w:firstLine="4"/>
              <w:rPr>
                <w:color w:val="auto"/>
                <w:szCs w:val="21"/>
                <w:highlight w:val="none"/>
              </w:rPr>
            </w:pPr>
          </w:p>
        </w:tc>
      </w:tr>
    </w:tbl>
    <w:p w14:paraId="04840BFD">
      <w:pPr>
        <w:topLinePunct/>
        <w:spacing w:line="440" w:lineRule="atLeast"/>
        <w:jc w:val="center"/>
        <w:rPr>
          <w:rFonts w:eastAsia="黑体"/>
          <w:color w:val="auto"/>
          <w:sz w:val="24"/>
          <w:highlight w:val="none"/>
        </w:rPr>
      </w:pPr>
      <w:r>
        <w:rPr>
          <w:rFonts w:eastAsia="黑体"/>
          <w:color w:val="auto"/>
          <w:sz w:val="24"/>
          <w:highlight w:val="none"/>
        </w:rPr>
        <w:t xml:space="preserve"> </w:t>
      </w:r>
    </w:p>
    <w:p w14:paraId="1312F31C">
      <w:pPr>
        <w:widowControl/>
        <w:spacing w:line="440" w:lineRule="atLeast"/>
        <w:jc w:val="left"/>
        <w:rPr>
          <w:rFonts w:eastAsia="黑体"/>
          <w:bCs/>
          <w:color w:val="auto"/>
          <w:kern w:val="44"/>
          <w:sz w:val="24"/>
          <w:highlight w:val="none"/>
        </w:rPr>
      </w:pPr>
      <w:r>
        <w:rPr>
          <w:rFonts w:eastAsia="黑体"/>
          <w:b/>
          <w:color w:val="auto"/>
          <w:sz w:val="24"/>
          <w:highlight w:val="none"/>
        </w:rPr>
        <w:br w:type="page"/>
      </w:r>
    </w:p>
    <w:p w14:paraId="56F2BB90">
      <w:pPr>
        <w:pStyle w:val="2"/>
        <w:spacing w:before="0" w:after="0" w:line="440" w:lineRule="atLeast"/>
        <w:jc w:val="center"/>
        <w:rPr>
          <w:rFonts w:eastAsia="黑体"/>
          <w:b w:val="0"/>
          <w:color w:val="auto"/>
          <w:sz w:val="24"/>
          <w:szCs w:val="24"/>
          <w:highlight w:val="none"/>
        </w:rPr>
      </w:pPr>
      <w:r>
        <w:rPr>
          <w:rFonts w:eastAsia="黑体"/>
          <w:b w:val="0"/>
          <w:color w:val="auto"/>
          <w:sz w:val="24"/>
          <w:szCs w:val="24"/>
          <w:highlight w:val="none"/>
        </w:rPr>
        <w:t>（三）近年完成的类似项目情况表</w:t>
      </w:r>
    </w:p>
    <w:p w14:paraId="1399D3FC">
      <w:pPr>
        <w:spacing w:line="440" w:lineRule="atLeast"/>
        <w:ind w:left="735" w:hanging="735" w:hangingChars="350"/>
        <w:rPr>
          <w:color w:val="auto"/>
          <w:szCs w:val="21"/>
          <w:highlight w:val="none"/>
        </w:rPr>
      </w:pPr>
    </w:p>
    <w:tbl>
      <w:tblPr>
        <w:tblStyle w:val="55"/>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7375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574CC1B">
            <w:pPr>
              <w:topLinePunct/>
              <w:spacing w:line="440" w:lineRule="atLeast"/>
              <w:jc w:val="center"/>
              <w:rPr>
                <w:color w:val="auto"/>
                <w:szCs w:val="21"/>
                <w:highlight w:val="none"/>
              </w:rPr>
            </w:pPr>
            <w:r>
              <w:rPr>
                <w:color w:val="auto"/>
                <w:szCs w:val="21"/>
                <w:highlight w:val="none"/>
              </w:rPr>
              <w:t>序    号</w:t>
            </w:r>
          </w:p>
        </w:tc>
        <w:tc>
          <w:tcPr>
            <w:tcW w:w="6524" w:type="dxa"/>
            <w:tcBorders>
              <w:top w:val="single" w:color="auto" w:sz="4" w:space="0"/>
              <w:left w:val="single" w:color="auto" w:sz="4" w:space="0"/>
              <w:bottom w:val="single" w:color="auto" w:sz="4" w:space="0"/>
              <w:right w:val="single" w:color="auto" w:sz="4" w:space="0"/>
            </w:tcBorders>
          </w:tcPr>
          <w:p w14:paraId="612B6734">
            <w:pPr>
              <w:topLinePunct/>
              <w:spacing w:line="440" w:lineRule="atLeast"/>
              <w:rPr>
                <w:color w:val="auto"/>
                <w:szCs w:val="21"/>
                <w:highlight w:val="none"/>
              </w:rPr>
            </w:pPr>
          </w:p>
        </w:tc>
      </w:tr>
      <w:tr w14:paraId="3D89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7FE919FC">
            <w:pPr>
              <w:topLinePunct/>
              <w:spacing w:line="440" w:lineRule="atLeast"/>
              <w:jc w:val="center"/>
              <w:rPr>
                <w:color w:val="auto"/>
                <w:szCs w:val="21"/>
                <w:highlight w:val="none"/>
              </w:rPr>
            </w:pPr>
            <w:r>
              <w:rPr>
                <w:color w:val="auto"/>
                <w:szCs w:val="21"/>
                <w:highlight w:val="none"/>
              </w:rPr>
              <w:t>项目名称</w:t>
            </w:r>
          </w:p>
        </w:tc>
        <w:tc>
          <w:tcPr>
            <w:tcW w:w="6524" w:type="dxa"/>
            <w:tcBorders>
              <w:top w:val="single" w:color="auto" w:sz="4" w:space="0"/>
              <w:left w:val="single" w:color="auto" w:sz="4" w:space="0"/>
              <w:bottom w:val="single" w:color="auto" w:sz="4" w:space="0"/>
              <w:right w:val="single" w:color="auto" w:sz="4" w:space="0"/>
            </w:tcBorders>
          </w:tcPr>
          <w:p w14:paraId="2D907318">
            <w:pPr>
              <w:topLinePunct/>
              <w:spacing w:line="440" w:lineRule="atLeast"/>
              <w:rPr>
                <w:color w:val="auto"/>
                <w:szCs w:val="21"/>
                <w:highlight w:val="none"/>
              </w:rPr>
            </w:pPr>
          </w:p>
        </w:tc>
      </w:tr>
      <w:tr w14:paraId="3242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4AC5FB2B">
            <w:pPr>
              <w:topLinePunct/>
              <w:spacing w:line="440" w:lineRule="atLeast"/>
              <w:jc w:val="center"/>
              <w:rPr>
                <w:color w:val="auto"/>
                <w:szCs w:val="21"/>
                <w:highlight w:val="none"/>
              </w:rPr>
            </w:pPr>
            <w:r>
              <w:rPr>
                <w:color w:val="auto"/>
                <w:szCs w:val="21"/>
                <w:highlight w:val="none"/>
              </w:rPr>
              <w:t>项目所在地</w:t>
            </w:r>
          </w:p>
        </w:tc>
        <w:tc>
          <w:tcPr>
            <w:tcW w:w="6524" w:type="dxa"/>
            <w:tcBorders>
              <w:top w:val="single" w:color="auto" w:sz="4" w:space="0"/>
              <w:left w:val="single" w:color="auto" w:sz="4" w:space="0"/>
              <w:bottom w:val="single" w:color="auto" w:sz="4" w:space="0"/>
              <w:right w:val="single" w:color="auto" w:sz="4" w:space="0"/>
            </w:tcBorders>
          </w:tcPr>
          <w:p w14:paraId="45114773">
            <w:pPr>
              <w:topLinePunct/>
              <w:spacing w:line="440" w:lineRule="atLeast"/>
              <w:rPr>
                <w:color w:val="auto"/>
                <w:szCs w:val="21"/>
                <w:highlight w:val="none"/>
              </w:rPr>
            </w:pPr>
          </w:p>
        </w:tc>
      </w:tr>
      <w:tr w14:paraId="65EB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6D698A4F">
            <w:pPr>
              <w:topLinePunct/>
              <w:spacing w:line="440" w:lineRule="atLeast"/>
              <w:jc w:val="center"/>
              <w:rPr>
                <w:color w:val="auto"/>
                <w:szCs w:val="21"/>
                <w:highlight w:val="none"/>
              </w:rPr>
            </w:pPr>
            <w:r>
              <w:rPr>
                <w:color w:val="auto"/>
                <w:szCs w:val="21"/>
                <w:highlight w:val="none"/>
              </w:rPr>
              <w:t>委托人名称</w:t>
            </w:r>
          </w:p>
        </w:tc>
        <w:tc>
          <w:tcPr>
            <w:tcW w:w="6524" w:type="dxa"/>
            <w:tcBorders>
              <w:top w:val="single" w:color="auto" w:sz="4" w:space="0"/>
              <w:left w:val="single" w:color="auto" w:sz="4" w:space="0"/>
              <w:bottom w:val="single" w:color="auto" w:sz="4" w:space="0"/>
              <w:right w:val="single" w:color="auto" w:sz="4" w:space="0"/>
            </w:tcBorders>
          </w:tcPr>
          <w:p w14:paraId="453F7687">
            <w:pPr>
              <w:topLinePunct/>
              <w:spacing w:line="440" w:lineRule="atLeast"/>
              <w:rPr>
                <w:color w:val="auto"/>
                <w:szCs w:val="21"/>
                <w:highlight w:val="none"/>
              </w:rPr>
            </w:pPr>
          </w:p>
        </w:tc>
      </w:tr>
      <w:tr w14:paraId="1286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6505EC79">
            <w:pPr>
              <w:topLinePunct/>
              <w:spacing w:line="440" w:lineRule="atLeast"/>
              <w:jc w:val="center"/>
              <w:rPr>
                <w:color w:val="auto"/>
                <w:szCs w:val="21"/>
                <w:highlight w:val="none"/>
              </w:rPr>
            </w:pPr>
            <w:r>
              <w:rPr>
                <w:color w:val="auto"/>
                <w:szCs w:val="21"/>
                <w:highlight w:val="none"/>
              </w:rPr>
              <w:t>委托人地址</w:t>
            </w:r>
          </w:p>
        </w:tc>
        <w:tc>
          <w:tcPr>
            <w:tcW w:w="6524" w:type="dxa"/>
            <w:tcBorders>
              <w:top w:val="single" w:color="auto" w:sz="4" w:space="0"/>
              <w:left w:val="single" w:color="auto" w:sz="4" w:space="0"/>
              <w:bottom w:val="single" w:color="auto" w:sz="4" w:space="0"/>
              <w:right w:val="single" w:color="auto" w:sz="4" w:space="0"/>
            </w:tcBorders>
          </w:tcPr>
          <w:p w14:paraId="7B65F11C">
            <w:pPr>
              <w:topLinePunct/>
              <w:spacing w:line="440" w:lineRule="atLeast"/>
              <w:rPr>
                <w:color w:val="auto"/>
                <w:szCs w:val="21"/>
                <w:highlight w:val="none"/>
              </w:rPr>
            </w:pPr>
          </w:p>
        </w:tc>
      </w:tr>
      <w:tr w14:paraId="1D92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3D460381">
            <w:pPr>
              <w:topLinePunct/>
              <w:spacing w:line="440" w:lineRule="atLeast"/>
              <w:jc w:val="center"/>
              <w:rPr>
                <w:color w:val="auto"/>
                <w:szCs w:val="21"/>
                <w:highlight w:val="none"/>
              </w:rPr>
            </w:pPr>
            <w:r>
              <w:rPr>
                <w:color w:val="auto"/>
                <w:szCs w:val="21"/>
                <w:highlight w:val="none"/>
              </w:rPr>
              <w:t>委托人电话</w:t>
            </w:r>
          </w:p>
        </w:tc>
        <w:tc>
          <w:tcPr>
            <w:tcW w:w="6524" w:type="dxa"/>
            <w:tcBorders>
              <w:top w:val="single" w:color="auto" w:sz="4" w:space="0"/>
              <w:left w:val="single" w:color="auto" w:sz="4" w:space="0"/>
              <w:bottom w:val="single" w:color="auto" w:sz="4" w:space="0"/>
              <w:right w:val="single" w:color="auto" w:sz="4" w:space="0"/>
            </w:tcBorders>
          </w:tcPr>
          <w:p w14:paraId="6B0D5A9F">
            <w:pPr>
              <w:topLinePunct/>
              <w:spacing w:line="440" w:lineRule="atLeast"/>
              <w:rPr>
                <w:color w:val="auto"/>
                <w:szCs w:val="21"/>
                <w:highlight w:val="none"/>
              </w:rPr>
            </w:pPr>
          </w:p>
        </w:tc>
      </w:tr>
      <w:tr w14:paraId="30F7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FF6916C">
            <w:pPr>
              <w:topLinePunct/>
              <w:spacing w:line="440" w:lineRule="atLeast"/>
              <w:jc w:val="center"/>
              <w:rPr>
                <w:color w:val="auto"/>
                <w:szCs w:val="21"/>
                <w:highlight w:val="none"/>
              </w:rPr>
            </w:pPr>
            <w:r>
              <w:rPr>
                <w:color w:val="auto"/>
                <w:szCs w:val="21"/>
                <w:highlight w:val="none"/>
              </w:rPr>
              <w:t>项目等级</w:t>
            </w:r>
          </w:p>
        </w:tc>
        <w:tc>
          <w:tcPr>
            <w:tcW w:w="6524" w:type="dxa"/>
            <w:tcBorders>
              <w:top w:val="single" w:color="auto" w:sz="4" w:space="0"/>
              <w:left w:val="single" w:color="auto" w:sz="4" w:space="0"/>
              <w:bottom w:val="single" w:color="auto" w:sz="4" w:space="0"/>
              <w:right w:val="single" w:color="auto" w:sz="4" w:space="0"/>
            </w:tcBorders>
          </w:tcPr>
          <w:p w14:paraId="6514B2E4">
            <w:pPr>
              <w:topLinePunct/>
              <w:spacing w:line="440" w:lineRule="atLeast"/>
              <w:rPr>
                <w:color w:val="auto"/>
                <w:szCs w:val="21"/>
                <w:highlight w:val="none"/>
              </w:rPr>
            </w:pPr>
          </w:p>
        </w:tc>
      </w:tr>
      <w:tr w14:paraId="2A8F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7F346CAA">
            <w:pPr>
              <w:topLinePunct/>
              <w:spacing w:line="440" w:lineRule="atLeast"/>
              <w:jc w:val="center"/>
              <w:rPr>
                <w:color w:val="auto"/>
                <w:szCs w:val="21"/>
                <w:highlight w:val="none"/>
              </w:rPr>
            </w:pPr>
            <w:r>
              <w:rPr>
                <w:color w:val="auto"/>
                <w:szCs w:val="21"/>
                <w:highlight w:val="none"/>
              </w:rPr>
              <w:t>项目总投资</w:t>
            </w:r>
          </w:p>
        </w:tc>
        <w:tc>
          <w:tcPr>
            <w:tcW w:w="6524" w:type="dxa"/>
            <w:tcBorders>
              <w:top w:val="single" w:color="auto" w:sz="4" w:space="0"/>
              <w:left w:val="single" w:color="auto" w:sz="4" w:space="0"/>
              <w:bottom w:val="single" w:color="auto" w:sz="4" w:space="0"/>
              <w:right w:val="single" w:color="auto" w:sz="4" w:space="0"/>
            </w:tcBorders>
          </w:tcPr>
          <w:p w14:paraId="70F286EE">
            <w:pPr>
              <w:topLinePunct/>
              <w:spacing w:line="440" w:lineRule="atLeast"/>
              <w:rPr>
                <w:color w:val="auto"/>
                <w:szCs w:val="21"/>
                <w:highlight w:val="none"/>
              </w:rPr>
            </w:pPr>
          </w:p>
        </w:tc>
      </w:tr>
      <w:tr w14:paraId="0B2E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315C2E47">
            <w:pPr>
              <w:topLinePunct/>
              <w:spacing w:line="440" w:lineRule="atLeast"/>
              <w:jc w:val="center"/>
              <w:rPr>
                <w:color w:val="auto"/>
                <w:szCs w:val="21"/>
                <w:highlight w:val="none"/>
              </w:rPr>
            </w:pPr>
            <w:r>
              <w:rPr>
                <w:color w:val="auto"/>
                <w:szCs w:val="21"/>
                <w:highlight w:val="none"/>
              </w:rPr>
              <w:t>咨询服务费</w:t>
            </w:r>
          </w:p>
        </w:tc>
        <w:tc>
          <w:tcPr>
            <w:tcW w:w="6524" w:type="dxa"/>
            <w:tcBorders>
              <w:top w:val="single" w:color="auto" w:sz="4" w:space="0"/>
              <w:left w:val="single" w:color="auto" w:sz="4" w:space="0"/>
              <w:bottom w:val="single" w:color="auto" w:sz="4" w:space="0"/>
              <w:right w:val="single" w:color="auto" w:sz="4" w:space="0"/>
            </w:tcBorders>
          </w:tcPr>
          <w:p w14:paraId="2ECDFE06">
            <w:pPr>
              <w:topLinePunct/>
              <w:spacing w:line="440" w:lineRule="atLeast"/>
              <w:rPr>
                <w:color w:val="auto"/>
                <w:szCs w:val="21"/>
                <w:highlight w:val="none"/>
              </w:rPr>
            </w:pPr>
          </w:p>
        </w:tc>
      </w:tr>
      <w:tr w14:paraId="5A39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152C4996">
            <w:pPr>
              <w:topLinePunct/>
              <w:spacing w:line="440" w:lineRule="atLeast"/>
              <w:jc w:val="center"/>
              <w:rPr>
                <w:color w:val="auto"/>
                <w:szCs w:val="21"/>
                <w:highlight w:val="none"/>
              </w:rPr>
            </w:pPr>
            <w:r>
              <w:rPr>
                <w:color w:val="auto"/>
                <w:szCs w:val="21"/>
                <w:highlight w:val="none"/>
              </w:rPr>
              <w:t>咨询服务期限</w:t>
            </w:r>
          </w:p>
        </w:tc>
        <w:tc>
          <w:tcPr>
            <w:tcW w:w="6524" w:type="dxa"/>
            <w:tcBorders>
              <w:top w:val="single" w:color="auto" w:sz="4" w:space="0"/>
              <w:left w:val="single" w:color="auto" w:sz="4" w:space="0"/>
              <w:bottom w:val="single" w:color="auto" w:sz="4" w:space="0"/>
              <w:right w:val="single" w:color="auto" w:sz="4" w:space="0"/>
            </w:tcBorders>
          </w:tcPr>
          <w:p w14:paraId="76380162">
            <w:pPr>
              <w:topLinePunct/>
              <w:spacing w:line="440" w:lineRule="atLeast"/>
              <w:rPr>
                <w:color w:val="auto"/>
                <w:szCs w:val="21"/>
                <w:highlight w:val="none"/>
              </w:rPr>
            </w:pPr>
          </w:p>
        </w:tc>
      </w:tr>
      <w:tr w14:paraId="22C2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3888BB9F">
            <w:pPr>
              <w:topLinePunct/>
              <w:spacing w:line="440" w:lineRule="atLeast"/>
              <w:jc w:val="center"/>
              <w:rPr>
                <w:color w:val="auto"/>
                <w:szCs w:val="21"/>
                <w:highlight w:val="none"/>
              </w:rPr>
            </w:pPr>
            <w:r>
              <w:rPr>
                <w:color w:val="auto"/>
                <w:szCs w:val="21"/>
                <w:highlight w:val="none"/>
              </w:rPr>
              <w:t>咨询服务内容</w:t>
            </w:r>
          </w:p>
        </w:tc>
        <w:tc>
          <w:tcPr>
            <w:tcW w:w="6524" w:type="dxa"/>
            <w:tcBorders>
              <w:top w:val="single" w:color="auto" w:sz="4" w:space="0"/>
              <w:left w:val="single" w:color="auto" w:sz="4" w:space="0"/>
              <w:bottom w:val="single" w:color="auto" w:sz="4" w:space="0"/>
              <w:right w:val="single" w:color="auto" w:sz="4" w:space="0"/>
            </w:tcBorders>
          </w:tcPr>
          <w:p w14:paraId="33AF18EE">
            <w:pPr>
              <w:topLinePunct/>
              <w:spacing w:line="440" w:lineRule="atLeast"/>
              <w:rPr>
                <w:color w:val="auto"/>
                <w:szCs w:val="21"/>
                <w:highlight w:val="none"/>
              </w:rPr>
            </w:pPr>
          </w:p>
        </w:tc>
      </w:tr>
      <w:tr w14:paraId="1CC6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6DCAED65">
            <w:pPr>
              <w:topLinePunct/>
              <w:spacing w:line="440" w:lineRule="atLeast"/>
              <w:jc w:val="center"/>
              <w:rPr>
                <w:color w:val="auto"/>
                <w:szCs w:val="21"/>
                <w:highlight w:val="none"/>
              </w:rPr>
            </w:pPr>
            <w:r>
              <w:rPr>
                <w:color w:val="auto"/>
                <w:szCs w:val="21"/>
                <w:highlight w:val="none"/>
              </w:rPr>
              <w:t>项目负责人</w:t>
            </w:r>
          </w:p>
        </w:tc>
        <w:tc>
          <w:tcPr>
            <w:tcW w:w="6524" w:type="dxa"/>
            <w:tcBorders>
              <w:top w:val="single" w:color="auto" w:sz="4" w:space="0"/>
              <w:left w:val="single" w:color="auto" w:sz="4" w:space="0"/>
              <w:bottom w:val="single" w:color="auto" w:sz="4" w:space="0"/>
              <w:right w:val="single" w:color="auto" w:sz="4" w:space="0"/>
            </w:tcBorders>
          </w:tcPr>
          <w:p w14:paraId="68978524">
            <w:pPr>
              <w:topLinePunct/>
              <w:spacing w:line="440" w:lineRule="atLeast"/>
              <w:rPr>
                <w:color w:val="auto"/>
                <w:szCs w:val="21"/>
                <w:highlight w:val="none"/>
              </w:rPr>
            </w:pPr>
          </w:p>
        </w:tc>
      </w:tr>
      <w:tr w14:paraId="7105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367" w:type="dxa"/>
            <w:tcBorders>
              <w:top w:val="single" w:color="auto" w:sz="4" w:space="0"/>
              <w:left w:val="single" w:color="auto" w:sz="4" w:space="0"/>
              <w:bottom w:val="single" w:color="auto" w:sz="4" w:space="0"/>
              <w:right w:val="single" w:color="auto" w:sz="4" w:space="0"/>
            </w:tcBorders>
            <w:vAlign w:val="center"/>
          </w:tcPr>
          <w:p w14:paraId="477FD43A">
            <w:pPr>
              <w:topLinePunct/>
              <w:spacing w:line="440" w:lineRule="atLeast"/>
              <w:jc w:val="center"/>
              <w:rPr>
                <w:color w:val="auto"/>
                <w:szCs w:val="21"/>
                <w:highlight w:val="none"/>
              </w:rPr>
            </w:pPr>
            <w:r>
              <w:rPr>
                <w:color w:val="auto"/>
                <w:szCs w:val="21"/>
                <w:highlight w:val="none"/>
              </w:rPr>
              <w:t>项目描述</w:t>
            </w:r>
          </w:p>
        </w:tc>
        <w:tc>
          <w:tcPr>
            <w:tcW w:w="6524" w:type="dxa"/>
            <w:tcBorders>
              <w:top w:val="single" w:color="auto" w:sz="4" w:space="0"/>
              <w:left w:val="single" w:color="auto" w:sz="4" w:space="0"/>
              <w:bottom w:val="single" w:color="auto" w:sz="4" w:space="0"/>
              <w:right w:val="single" w:color="auto" w:sz="4" w:space="0"/>
            </w:tcBorders>
          </w:tcPr>
          <w:p w14:paraId="621349D1">
            <w:pPr>
              <w:topLinePunct/>
              <w:spacing w:line="440" w:lineRule="atLeast"/>
              <w:rPr>
                <w:color w:val="auto"/>
                <w:szCs w:val="21"/>
                <w:highlight w:val="none"/>
              </w:rPr>
            </w:pPr>
          </w:p>
          <w:p w14:paraId="0907C3BB">
            <w:pPr>
              <w:topLinePunct/>
              <w:spacing w:line="440" w:lineRule="atLeast"/>
              <w:rPr>
                <w:color w:val="auto"/>
                <w:szCs w:val="21"/>
                <w:highlight w:val="none"/>
              </w:rPr>
            </w:pPr>
          </w:p>
        </w:tc>
      </w:tr>
      <w:tr w14:paraId="2BAC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ED9F0A9">
            <w:pPr>
              <w:topLinePunct/>
              <w:spacing w:line="440" w:lineRule="atLeast"/>
              <w:jc w:val="center"/>
              <w:rPr>
                <w:color w:val="auto"/>
                <w:szCs w:val="21"/>
                <w:highlight w:val="none"/>
              </w:rPr>
            </w:pPr>
            <w:r>
              <w:rPr>
                <w:color w:val="auto"/>
                <w:szCs w:val="21"/>
                <w:highlight w:val="none"/>
              </w:rPr>
              <w:t>备注</w:t>
            </w:r>
          </w:p>
        </w:tc>
        <w:tc>
          <w:tcPr>
            <w:tcW w:w="6524" w:type="dxa"/>
            <w:tcBorders>
              <w:top w:val="single" w:color="auto" w:sz="4" w:space="0"/>
              <w:left w:val="single" w:color="auto" w:sz="4" w:space="0"/>
              <w:bottom w:val="single" w:color="auto" w:sz="4" w:space="0"/>
              <w:right w:val="single" w:color="auto" w:sz="4" w:space="0"/>
            </w:tcBorders>
          </w:tcPr>
          <w:p w14:paraId="28C38D09">
            <w:pPr>
              <w:topLinePunct/>
              <w:spacing w:line="440" w:lineRule="atLeast"/>
              <w:rPr>
                <w:color w:val="auto"/>
                <w:szCs w:val="21"/>
                <w:highlight w:val="none"/>
              </w:rPr>
            </w:pPr>
          </w:p>
          <w:p w14:paraId="3B0F1792">
            <w:pPr>
              <w:topLinePunct/>
              <w:spacing w:line="440" w:lineRule="atLeast"/>
              <w:rPr>
                <w:color w:val="auto"/>
                <w:szCs w:val="21"/>
                <w:highlight w:val="none"/>
              </w:rPr>
            </w:pPr>
          </w:p>
        </w:tc>
      </w:tr>
    </w:tbl>
    <w:p w14:paraId="325A660B">
      <w:pPr>
        <w:spacing w:line="440" w:lineRule="atLeast"/>
        <w:ind w:left="735" w:hanging="735" w:hangingChars="350"/>
        <w:rPr>
          <w:color w:val="auto"/>
          <w:szCs w:val="21"/>
          <w:highlight w:val="none"/>
        </w:rPr>
      </w:pPr>
      <w:r>
        <w:rPr>
          <w:color w:val="auto"/>
          <w:szCs w:val="21"/>
          <w:highlight w:val="none"/>
        </w:rPr>
        <w:t>注：1.每张表格只填写一个项目，并标明序号。</w:t>
      </w:r>
    </w:p>
    <w:p w14:paraId="3B890E12">
      <w:pPr>
        <w:spacing w:line="440" w:lineRule="atLeast"/>
        <w:ind w:left="588" w:leftChars="200" w:hanging="168" w:hangingChars="80"/>
        <w:rPr>
          <w:color w:val="auto"/>
          <w:szCs w:val="21"/>
          <w:highlight w:val="none"/>
        </w:rPr>
      </w:pPr>
      <w:r>
        <w:rPr>
          <w:color w:val="auto"/>
          <w:szCs w:val="21"/>
          <w:highlight w:val="none"/>
        </w:rPr>
        <w:t>2.</w:t>
      </w:r>
      <w:r>
        <w:rPr>
          <w:color w:val="auto"/>
          <w:highlight w:val="none"/>
        </w:rPr>
        <w:t>投标人应根据招标文件第二章“投标人须知”第3.5.2项的要求在本表后附相关证明材料。</w:t>
      </w:r>
    </w:p>
    <w:p w14:paraId="4F78FF59">
      <w:pPr>
        <w:spacing w:line="440" w:lineRule="atLeast"/>
        <w:ind w:left="588" w:leftChars="200" w:hanging="168" w:hangingChars="80"/>
        <w:rPr>
          <w:color w:val="auto"/>
          <w:szCs w:val="21"/>
          <w:highlight w:val="none"/>
        </w:rPr>
      </w:pPr>
      <w:r>
        <w:rPr>
          <w:color w:val="auto"/>
          <w:szCs w:val="21"/>
          <w:highlight w:val="none"/>
        </w:rPr>
        <w:t>3.如近年来，投标人法人机构发生合法变更或重组或法人名称变更时，应提供相关部门的合法批件或其他相关证明材料来证明其所附业绩的继承性。</w:t>
      </w:r>
    </w:p>
    <w:p w14:paraId="15368C3C">
      <w:pPr>
        <w:spacing w:line="440" w:lineRule="atLeast"/>
        <w:ind w:left="588" w:leftChars="200" w:hanging="168" w:hangingChars="80"/>
        <w:rPr>
          <w:color w:val="auto"/>
          <w:szCs w:val="21"/>
          <w:highlight w:val="none"/>
        </w:rPr>
      </w:pPr>
    </w:p>
    <w:p w14:paraId="2678026A">
      <w:pPr>
        <w:pStyle w:val="2"/>
        <w:spacing w:before="0" w:after="0" w:line="440" w:lineRule="atLeast"/>
        <w:jc w:val="center"/>
        <w:rPr>
          <w:rFonts w:ascii="宋体" w:hAnsi="宋体" w:cs="宋体"/>
          <w:bCs/>
          <w:color w:val="auto"/>
          <w:sz w:val="24"/>
          <w:szCs w:val="24"/>
          <w:highlight w:val="none"/>
        </w:rPr>
      </w:pPr>
      <w:r>
        <w:rPr>
          <w:rFonts w:eastAsia="黑体"/>
          <w:color w:val="auto"/>
          <w:sz w:val="23"/>
          <w:szCs w:val="23"/>
          <w:highlight w:val="none"/>
        </w:rPr>
        <w:br w:type="page"/>
      </w:r>
      <w:r>
        <w:rPr>
          <w:rFonts w:eastAsia="黑体"/>
          <w:b w:val="0"/>
          <w:color w:val="auto"/>
          <w:sz w:val="24"/>
          <w:szCs w:val="24"/>
          <w:highlight w:val="none"/>
        </w:rPr>
        <w:t>（四）投标人的信誉情况表</w:t>
      </w:r>
    </w:p>
    <w:tbl>
      <w:tblPr>
        <w:tblStyle w:val="5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7"/>
        <w:gridCol w:w="1955"/>
      </w:tblGrid>
      <w:tr w14:paraId="4DE4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906" w:type="pct"/>
            <w:noWrap w:val="0"/>
            <w:vAlign w:val="center"/>
          </w:tcPr>
          <w:p w14:paraId="3823DDA3">
            <w:pPr>
              <w:widowControl w:val="0"/>
              <w:topLinePunct/>
              <w:spacing w:line="440" w:lineRule="atLeast"/>
              <w:jc w:val="center"/>
              <w:rPr>
                <w:rFonts w:ascii="Times New Roman" w:hAnsi="Times New Roman" w:eastAsia="宋体"/>
                <w:bCs/>
                <w:color w:val="auto"/>
                <w:kern w:val="2"/>
                <w:sz w:val="20"/>
                <w:szCs w:val="20"/>
                <w:highlight w:val="none"/>
                <w:lang w:val="en-US" w:eastAsia="zh-CN" w:bidi="ar-SA"/>
              </w:rPr>
            </w:pPr>
            <w:r>
              <w:rPr>
                <w:rFonts w:ascii="Times New Roman" w:hAnsi="Times New Roman" w:eastAsia="宋体"/>
                <w:bCs/>
                <w:color w:val="auto"/>
                <w:kern w:val="2"/>
                <w:sz w:val="20"/>
                <w:szCs w:val="20"/>
                <w:highlight w:val="none"/>
                <w:lang w:val="en-US" w:eastAsia="zh-CN" w:bidi="ar-SA"/>
              </w:rPr>
              <w:t>项 目</w:t>
            </w:r>
          </w:p>
        </w:tc>
        <w:tc>
          <w:tcPr>
            <w:tcW w:w="1093" w:type="pct"/>
            <w:noWrap w:val="0"/>
            <w:vAlign w:val="center"/>
          </w:tcPr>
          <w:p w14:paraId="3583B09F">
            <w:pPr>
              <w:widowControl w:val="0"/>
              <w:topLinePunct/>
              <w:spacing w:line="440" w:lineRule="atLeast"/>
              <w:jc w:val="center"/>
              <w:rPr>
                <w:rFonts w:ascii="Times New Roman" w:hAnsi="Times New Roman" w:eastAsia="宋体"/>
                <w:bCs/>
                <w:color w:val="auto"/>
                <w:kern w:val="2"/>
                <w:sz w:val="20"/>
                <w:szCs w:val="20"/>
                <w:highlight w:val="none"/>
                <w:lang w:val="en-US" w:eastAsia="zh-CN" w:bidi="ar-SA"/>
              </w:rPr>
            </w:pPr>
            <w:r>
              <w:rPr>
                <w:rFonts w:hint="eastAsia"/>
                <w:bCs/>
                <w:color w:val="auto"/>
                <w:kern w:val="2"/>
                <w:sz w:val="20"/>
                <w:szCs w:val="20"/>
                <w:highlight w:val="none"/>
                <w:lang w:val="en-US" w:eastAsia="zh-CN" w:bidi="ar-SA"/>
              </w:rPr>
              <w:t>投标</w:t>
            </w:r>
            <w:r>
              <w:rPr>
                <w:rFonts w:hint="eastAsia" w:ascii="Times New Roman" w:hAnsi="Times New Roman" w:eastAsia="宋体"/>
                <w:bCs/>
                <w:color w:val="auto"/>
                <w:kern w:val="2"/>
                <w:sz w:val="20"/>
                <w:szCs w:val="20"/>
                <w:highlight w:val="none"/>
                <w:lang w:val="en-US" w:eastAsia="zh-CN" w:bidi="ar-SA"/>
              </w:rPr>
              <w:t>人</w:t>
            </w:r>
            <w:r>
              <w:rPr>
                <w:rFonts w:ascii="Times New Roman" w:hAnsi="Times New Roman" w:eastAsia="宋体"/>
                <w:bCs/>
                <w:color w:val="auto"/>
                <w:kern w:val="2"/>
                <w:sz w:val="20"/>
                <w:szCs w:val="20"/>
                <w:highlight w:val="none"/>
                <w:lang w:val="en-US" w:eastAsia="zh-CN" w:bidi="ar-SA"/>
              </w:rPr>
              <w:t>情况说明</w:t>
            </w:r>
          </w:p>
        </w:tc>
      </w:tr>
      <w:tr w14:paraId="744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46042668">
            <w:pPr>
              <w:widowControl w:val="0"/>
              <w:spacing w:line="44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（1）为</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人不具有独立法人资格的附属机构（单位）；</w:t>
            </w:r>
          </w:p>
          <w:p w14:paraId="6F76206F">
            <w:pPr>
              <w:widowControl w:val="0"/>
              <w:topLinePunct/>
              <w:spacing w:line="440" w:lineRule="atLeast"/>
              <w:jc w:val="left"/>
              <w:rPr>
                <w:rFonts w:ascii="Times New Roman" w:hAnsi="Times New Roman" w:eastAsia="宋体"/>
                <w:bCs/>
                <w:color w:val="auto"/>
                <w:kern w:val="2"/>
                <w:sz w:val="21"/>
                <w:szCs w:val="21"/>
                <w:highlight w:val="none"/>
                <w:lang w:val="en-US" w:eastAsia="zh-CN" w:bidi="ar-SA"/>
              </w:rPr>
            </w:pPr>
          </w:p>
          <w:p w14:paraId="47DC30CA">
            <w:pPr>
              <w:widowControl w:val="0"/>
              <w:topLinePunct/>
              <w:spacing w:line="440" w:lineRule="atLeast"/>
              <w:jc w:val="left"/>
              <w:rPr>
                <w:rFonts w:ascii="Times New Roman" w:hAnsi="Times New Roman" w:eastAsia="宋体"/>
                <w:bCs/>
                <w:color w:val="auto"/>
                <w:kern w:val="2"/>
                <w:sz w:val="21"/>
                <w:szCs w:val="21"/>
                <w:highlight w:val="none"/>
                <w:lang w:val="en-US" w:eastAsia="zh-CN" w:bidi="ar-SA"/>
              </w:rPr>
            </w:pPr>
          </w:p>
          <w:p w14:paraId="0D66A6C4">
            <w:pPr>
              <w:widowControl w:val="0"/>
              <w:topLinePunct/>
              <w:spacing w:line="440" w:lineRule="atLeast"/>
              <w:jc w:val="left"/>
              <w:rPr>
                <w:rFonts w:ascii="Times New Roman" w:hAnsi="Times New Roman" w:eastAsia="宋体"/>
                <w:bCs/>
                <w:color w:val="auto"/>
                <w:kern w:val="2"/>
                <w:sz w:val="21"/>
                <w:szCs w:val="21"/>
                <w:highlight w:val="none"/>
                <w:lang w:val="en-US" w:eastAsia="zh-CN" w:bidi="ar-SA"/>
              </w:rPr>
            </w:pPr>
          </w:p>
          <w:p w14:paraId="50B13424">
            <w:pPr>
              <w:widowControl w:val="0"/>
              <w:topLinePunct/>
              <w:spacing w:line="440" w:lineRule="atLeast"/>
              <w:jc w:val="left"/>
              <w:rPr>
                <w:rFonts w:ascii="Times New Roman" w:hAnsi="Times New Roman" w:eastAsia="宋体"/>
                <w:bCs/>
                <w:color w:val="auto"/>
                <w:kern w:val="2"/>
                <w:sz w:val="21"/>
                <w:szCs w:val="21"/>
                <w:highlight w:val="none"/>
                <w:lang w:val="en-US" w:eastAsia="zh-CN" w:bidi="ar-SA"/>
              </w:rPr>
            </w:pPr>
          </w:p>
        </w:tc>
        <w:tc>
          <w:tcPr>
            <w:tcW w:w="1093" w:type="pct"/>
            <w:noWrap w:val="0"/>
            <w:vAlign w:val="top"/>
          </w:tcPr>
          <w:p w14:paraId="7BF310A5">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40C7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1EF4228F">
            <w:pPr>
              <w:widowControl w:val="0"/>
              <w:spacing w:line="44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（2）与</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人存在利害关系且可能影响</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公正性；</w:t>
            </w:r>
          </w:p>
          <w:p w14:paraId="2636F2FF">
            <w:pPr>
              <w:widowControl w:val="0"/>
              <w:topLinePunct/>
              <w:spacing w:line="440" w:lineRule="atLeast"/>
              <w:jc w:val="left"/>
              <w:rPr>
                <w:rFonts w:ascii="Times New Roman" w:hAnsi="Times New Roman" w:eastAsia="宋体"/>
                <w:bCs/>
                <w:color w:val="auto"/>
                <w:kern w:val="2"/>
                <w:sz w:val="21"/>
                <w:szCs w:val="21"/>
                <w:highlight w:val="none"/>
                <w:lang w:val="en-US" w:eastAsia="zh-CN" w:bidi="ar-SA"/>
              </w:rPr>
            </w:pPr>
          </w:p>
          <w:p w14:paraId="3D3A4032">
            <w:pPr>
              <w:widowControl w:val="0"/>
              <w:topLinePunct/>
              <w:spacing w:line="440" w:lineRule="atLeast"/>
              <w:jc w:val="left"/>
              <w:rPr>
                <w:rFonts w:ascii="Times New Roman" w:hAnsi="Times New Roman" w:eastAsia="宋体"/>
                <w:bCs/>
                <w:color w:val="auto"/>
                <w:kern w:val="2"/>
                <w:sz w:val="21"/>
                <w:szCs w:val="21"/>
                <w:highlight w:val="none"/>
                <w:lang w:val="en-US" w:eastAsia="zh-CN" w:bidi="ar-SA"/>
              </w:rPr>
            </w:pPr>
          </w:p>
          <w:p w14:paraId="7E157177">
            <w:pPr>
              <w:widowControl w:val="0"/>
              <w:topLinePunct/>
              <w:spacing w:line="440" w:lineRule="atLeast"/>
              <w:jc w:val="left"/>
              <w:rPr>
                <w:rFonts w:ascii="Times New Roman" w:hAnsi="Times New Roman" w:eastAsia="宋体"/>
                <w:bCs/>
                <w:color w:val="auto"/>
                <w:kern w:val="2"/>
                <w:sz w:val="21"/>
                <w:szCs w:val="21"/>
                <w:highlight w:val="none"/>
                <w:lang w:val="en-US" w:eastAsia="zh-CN" w:bidi="ar-SA"/>
              </w:rPr>
            </w:pPr>
          </w:p>
          <w:p w14:paraId="3AF94BFA">
            <w:pPr>
              <w:widowControl w:val="0"/>
              <w:topLinePunct/>
              <w:spacing w:line="440" w:lineRule="atLeast"/>
              <w:jc w:val="left"/>
              <w:rPr>
                <w:rFonts w:ascii="Times New Roman" w:hAnsi="Times New Roman" w:eastAsia="宋体"/>
                <w:bCs/>
                <w:color w:val="auto"/>
                <w:kern w:val="2"/>
                <w:sz w:val="21"/>
                <w:szCs w:val="21"/>
                <w:highlight w:val="none"/>
                <w:lang w:val="en-US" w:eastAsia="zh-CN" w:bidi="ar-SA"/>
              </w:rPr>
            </w:pPr>
          </w:p>
        </w:tc>
        <w:tc>
          <w:tcPr>
            <w:tcW w:w="1093" w:type="pct"/>
            <w:noWrap w:val="0"/>
            <w:vAlign w:val="top"/>
          </w:tcPr>
          <w:p w14:paraId="34991E9C">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6FEF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2356BC67">
            <w:pPr>
              <w:widowControl w:val="0"/>
              <w:spacing w:line="44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（3）与本标段的其他</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人同为一个单位负责人；</w:t>
            </w:r>
          </w:p>
          <w:p w14:paraId="671A1F61">
            <w:pPr>
              <w:widowControl w:val="0"/>
              <w:jc w:val="left"/>
              <w:rPr>
                <w:rFonts w:ascii="Times New Roman" w:hAnsi="Times New Roman" w:eastAsia="宋体"/>
                <w:color w:val="auto"/>
                <w:kern w:val="2"/>
                <w:sz w:val="21"/>
                <w:szCs w:val="21"/>
                <w:highlight w:val="none"/>
                <w:lang w:val="en-US" w:eastAsia="zh-CN" w:bidi="ar-SA"/>
              </w:rPr>
            </w:pPr>
          </w:p>
          <w:p w14:paraId="7925F738">
            <w:pPr>
              <w:widowControl w:val="0"/>
              <w:ind w:left="840" w:leftChars="200" w:hanging="420" w:hangingChars="200"/>
              <w:jc w:val="left"/>
              <w:rPr>
                <w:rFonts w:ascii="Times New Roman" w:hAnsi="Times New Roman" w:eastAsia="宋体"/>
                <w:color w:val="auto"/>
                <w:kern w:val="2"/>
                <w:sz w:val="21"/>
                <w:szCs w:val="21"/>
                <w:highlight w:val="none"/>
                <w:lang w:val="en-US" w:eastAsia="zh-CN" w:bidi="ar-SA"/>
              </w:rPr>
            </w:pPr>
          </w:p>
        </w:tc>
        <w:tc>
          <w:tcPr>
            <w:tcW w:w="1093" w:type="pct"/>
            <w:noWrap w:val="0"/>
            <w:vAlign w:val="top"/>
          </w:tcPr>
          <w:p w14:paraId="1C7AB957">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7D3B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3F8AE0AA">
            <w:pPr>
              <w:widowControl w:val="0"/>
              <w:spacing w:line="44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（4）与本标段的其他</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人存在控股、管理关系；</w:t>
            </w:r>
          </w:p>
          <w:p w14:paraId="5648C925">
            <w:pPr>
              <w:widowControl w:val="0"/>
              <w:ind w:left="840" w:leftChars="200" w:hanging="420" w:hangingChars="200"/>
              <w:jc w:val="left"/>
              <w:rPr>
                <w:rFonts w:ascii="Times New Roman" w:hAnsi="Times New Roman" w:eastAsia="宋体"/>
                <w:color w:val="auto"/>
                <w:kern w:val="2"/>
                <w:sz w:val="21"/>
                <w:szCs w:val="21"/>
                <w:highlight w:val="none"/>
                <w:lang w:val="en-US" w:eastAsia="zh-CN" w:bidi="ar-SA"/>
              </w:rPr>
            </w:pPr>
          </w:p>
        </w:tc>
        <w:tc>
          <w:tcPr>
            <w:tcW w:w="1093" w:type="pct"/>
            <w:noWrap w:val="0"/>
            <w:vAlign w:val="top"/>
          </w:tcPr>
          <w:p w14:paraId="750A2DBC">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2B57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70DABB9A">
            <w:pPr>
              <w:widowControl w:val="0"/>
              <w:spacing w:line="44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（5）为本标段的代建人； </w:t>
            </w:r>
          </w:p>
          <w:p w14:paraId="4F6FE9FA">
            <w:pPr>
              <w:widowControl w:val="0"/>
              <w:ind w:left="840" w:leftChars="200" w:hanging="420" w:hangingChars="200"/>
              <w:jc w:val="left"/>
              <w:rPr>
                <w:rFonts w:ascii="Times New Roman" w:hAnsi="Times New Roman" w:eastAsia="宋体"/>
                <w:color w:val="auto"/>
                <w:kern w:val="2"/>
                <w:sz w:val="21"/>
                <w:szCs w:val="21"/>
                <w:highlight w:val="none"/>
                <w:lang w:val="en-US" w:eastAsia="zh-CN" w:bidi="ar-SA"/>
              </w:rPr>
            </w:pPr>
          </w:p>
        </w:tc>
        <w:tc>
          <w:tcPr>
            <w:tcW w:w="1093" w:type="pct"/>
            <w:noWrap w:val="0"/>
            <w:vAlign w:val="top"/>
          </w:tcPr>
          <w:p w14:paraId="2474C4F7">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7085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4488F3B5">
            <w:pPr>
              <w:widowControl w:val="0"/>
              <w:spacing w:line="44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（6）为本标段的</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代理机构；</w:t>
            </w:r>
          </w:p>
          <w:p w14:paraId="4E578B26">
            <w:pPr>
              <w:widowControl w:val="0"/>
              <w:ind w:left="840" w:leftChars="200" w:hanging="420" w:hangingChars="200"/>
              <w:jc w:val="left"/>
              <w:rPr>
                <w:rFonts w:ascii="Times New Roman" w:hAnsi="Times New Roman" w:eastAsia="宋体"/>
                <w:color w:val="auto"/>
                <w:kern w:val="2"/>
                <w:sz w:val="21"/>
                <w:szCs w:val="21"/>
                <w:highlight w:val="none"/>
                <w:lang w:val="en-US" w:eastAsia="zh-CN" w:bidi="ar-SA"/>
              </w:rPr>
            </w:pPr>
          </w:p>
        </w:tc>
        <w:tc>
          <w:tcPr>
            <w:tcW w:w="1093" w:type="pct"/>
            <w:noWrap w:val="0"/>
            <w:vAlign w:val="top"/>
          </w:tcPr>
          <w:p w14:paraId="47DA5F59">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4629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123439ED">
            <w:pPr>
              <w:widowControl w:val="0"/>
              <w:spacing w:line="44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（7）与本标段的代建人或</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代理机构同为一个法定代表人；</w:t>
            </w:r>
          </w:p>
          <w:p w14:paraId="01020BAD">
            <w:pPr>
              <w:widowControl w:val="0"/>
              <w:ind w:left="840" w:leftChars="200" w:hanging="420" w:hangingChars="200"/>
              <w:jc w:val="left"/>
              <w:rPr>
                <w:rFonts w:ascii="Times New Roman" w:hAnsi="Times New Roman" w:eastAsia="宋体"/>
                <w:color w:val="auto"/>
                <w:kern w:val="2"/>
                <w:sz w:val="21"/>
                <w:szCs w:val="21"/>
                <w:highlight w:val="none"/>
                <w:lang w:val="en-US" w:eastAsia="zh-CN" w:bidi="ar-SA"/>
              </w:rPr>
            </w:pPr>
          </w:p>
        </w:tc>
        <w:tc>
          <w:tcPr>
            <w:tcW w:w="1093" w:type="pct"/>
            <w:noWrap w:val="0"/>
            <w:vAlign w:val="top"/>
          </w:tcPr>
          <w:p w14:paraId="441163C3">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2E85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7768F68E">
            <w:pPr>
              <w:widowControl w:val="0"/>
              <w:spacing w:line="44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（8）与本标段的代建人或</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代理机构存在控股或参股关系；</w:t>
            </w:r>
          </w:p>
          <w:p w14:paraId="11C35E5C">
            <w:pPr>
              <w:widowControl w:val="0"/>
              <w:jc w:val="left"/>
              <w:rPr>
                <w:rFonts w:ascii="Times New Roman" w:hAnsi="Times New Roman" w:eastAsia="宋体"/>
                <w:color w:val="auto"/>
                <w:kern w:val="2"/>
                <w:sz w:val="21"/>
                <w:szCs w:val="21"/>
                <w:highlight w:val="none"/>
                <w:lang w:val="en-US" w:eastAsia="zh-CN" w:bidi="ar-SA"/>
              </w:rPr>
            </w:pPr>
          </w:p>
        </w:tc>
        <w:tc>
          <w:tcPr>
            <w:tcW w:w="1093" w:type="pct"/>
            <w:noWrap w:val="0"/>
            <w:vAlign w:val="top"/>
          </w:tcPr>
          <w:p w14:paraId="6A800F25">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2A2E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1034676A">
            <w:pPr>
              <w:widowControl w:val="0"/>
              <w:spacing w:line="4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（9）法律法规或</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人须知前附表规定的其他情形；</w:t>
            </w:r>
          </w:p>
          <w:p w14:paraId="05058370">
            <w:pPr>
              <w:widowControl w:val="0"/>
              <w:jc w:val="left"/>
              <w:rPr>
                <w:rFonts w:ascii="Times New Roman" w:hAnsi="Times New Roman" w:eastAsia="宋体"/>
                <w:color w:val="auto"/>
                <w:kern w:val="2"/>
                <w:sz w:val="21"/>
                <w:szCs w:val="21"/>
                <w:highlight w:val="none"/>
                <w:lang w:val="en-US" w:eastAsia="zh-CN" w:bidi="ar-SA"/>
              </w:rPr>
            </w:pPr>
          </w:p>
        </w:tc>
        <w:tc>
          <w:tcPr>
            <w:tcW w:w="1093" w:type="pct"/>
            <w:noWrap w:val="0"/>
            <w:vAlign w:val="top"/>
          </w:tcPr>
          <w:p w14:paraId="4E88F5A6">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39FD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3906" w:type="pct"/>
            <w:noWrap w:val="0"/>
            <w:vAlign w:val="top"/>
          </w:tcPr>
          <w:p w14:paraId="7F574503">
            <w:pPr>
              <w:widowControl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（10）被省级及以上主管部门取消</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项目所在地的响应资格且处于有效期内；</w:t>
            </w:r>
          </w:p>
          <w:p w14:paraId="534C513A">
            <w:pPr>
              <w:widowControl w:val="0"/>
              <w:spacing w:line="440" w:lineRule="atLeast"/>
              <w:ind w:firstLine="420" w:firstLineChars="200"/>
              <w:jc w:val="both"/>
              <w:rPr>
                <w:rFonts w:hint="eastAsia" w:ascii="宋体" w:hAnsi="宋体" w:eastAsia="宋体" w:cs="宋体"/>
                <w:color w:val="auto"/>
                <w:kern w:val="2"/>
                <w:sz w:val="21"/>
                <w:szCs w:val="21"/>
                <w:highlight w:val="none"/>
                <w:lang w:val="en-US" w:eastAsia="zh-CN" w:bidi="ar-SA"/>
              </w:rPr>
            </w:pPr>
          </w:p>
        </w:tc>
        <w:tc>
          <w:tcPr>
            <w:tcW w:w="1093" w:type="pct"/>
            <w:noWrap w:val="0"/>
            <w:vAlign w:val="top"/>
          </w:tcPr>
          <w:p w14:paraId="511DFC36">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6CF9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7A88DC81">
            <w:pPr>
              <w:widowControl w:val="0"/>
              <w:spacing w:line="440"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（11）被责令停业，暂扣或吊销执照，或吊销资质证书；</w:t>
            </w:r>
          </w:p>
          <w:p w14:paraId="279C4315">
            <w:pPr>
              <w:widowControl w:val="0"/>
              <w:spacing w:line="440" w:lineRule="atLeast"/>
              <w:ind w:firstLine="420" w:firstLineChars="200"/>
              <w:jc w:val="both"/>
              <w:rPr>
                <w:rFonts w:hint="eastAsia" w:ascii="宋体" w:hAnsi="宋体" w:eastAsia="宋体" w:cs="宋体"/>
                <w:color w:val="auto"/>
                <w:kern w:val="2"/>
                <w:sz w:val="21"/>
                <w:szCs w:val="21"/>
                <w:highlight w:val="none"/>
                <w:lang w:val="en-US" w:eastAsia="zh-CN" w:bidi="ar-SA"/>
              </w:rPr>
            </w:pPr>
          </w:p>
        </w:tc>
        <w:tc>
          <w:tcPr>
            <w:tcW w:w="1093" w:type="pct"/>
            <w:noWrap w:val="0"/>
            <w:vAlign w:val="top"/>
          </w:tcPr>
          <w:p w14:paraId="47DA10FA">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00F5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05A0326A">
            <w:pPr>
              <w:widowControl w:val="0"/>
              <w:spacing w:line="440"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（12）进入清算程序，或被宣告破产，或其他丧失履约能力的情形；</w:t>
            </w:r>
          </w:p>
          <w:p w14:paraId="7F6DBDE6">
            <w:pPr>
              <w:widowControl w:val="0"/>
              <w:spacing w:line="440" w:lineRule="atLeast"/>
              <w:ind w:firstLine="420" w:firstLineChars="200"/>
              <w:jc w:val="both"/>
              <w:rPr>
                <w:rFonts w:hint="eastAsia" w:ascii="宋体" w:hAnsi="宋体" w:eastAsia="宋体" w:cs="宋体"/>
                <w:color w:val="auto"/>
                <w:kern w:val="2"/>
                <w:sz w:val="21"/>
                <w:szCs w:val="21"/>
                <w:highlight w:val="none"/>
                <w:lang w:val="en-US" w:eastAsia="zh-CN" w:bidi="ar-SA"/>
              </w:rPr>
            </w:pPr>
          </w:p>
        </w:tc>
        <w:tc>
          <w:tcPr>
            <w:tcW w:w="1093" w:type="pct"/>
            <w:noWrap w:val="0"/>
            <w:vAlign w:val="top"/>
          </w:tcPr>
          <w:p w14:paraId="16B5BD7E">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0A3F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3906" w:type="pct"/>
            <w:noWrap w:val="0"/>
            <w:vAlign w:val="top"/>
          </w:tcPr>
          <w:p w14:paraId="335181CD">
            <w:pPr>
              <w:widowControl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（13）在国家企业信用信息公示系统（http://www.gsxt.gov.cn/）中被列入严重违法失信企业名单；</w:t>
            </w:r>
          </w:p>
          <w:p w14:paraId="4A3FCAC1">
            <w:pPr>
              <w:widowControl w:val="0"/>
              <w:spacing w:line="440" w:lineRule="atLeast"/>
              <w:ind w:firstLine="420" w:firstLineChars="200"/>
              <w:jc w:val="both"/>
              <w:rPr>
                <w:rFonts w:hint="eastAsia" w:ascii="宋体" w:hAnsi="宋体" w:eastAsia="宋体" w:cs="宋体"/>
                <w:color w:val="auto"/>
                <w:kern w:val="2"/>
                <w:sz w:val="21"/>
                <w:szCs w:val="21"/>
                <w:highlight w:val="none"/>
                <w:lang w:val="en-US" w:eastAsia="zh-CN" w:bidi="ar-SA"/>
              </w:rPr>
            </w:pPr>
          </w:p>
        </w:tc>
        <w:tc>
          <w:tcPr>
            <w:tcW w:w="1093" w:type="pct"/>
            <w:noWrap w:val="0"/>
            <w:vAlign w:val="top"/>
          </w:tcPr>
          <w:p w14:paraId="5A2395A5">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56F7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3906" w:type="pct"/>
            <w:noWrap w:val="0"/>
            <w:vAlign w:val="top"/>
          </w:tcPr>
          <w:p w14:paraId="17659BE1">
            <w:pPr>
              <w:widowControl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（14）在“信用中国”网站（http://www.creditchina.gov.cn/）中被列入失信被执行人名单；</w:t>
            </w:r>
          </w:p>
          <w:p w14:paraId="579463E6">
            <w:pPr>
              <w:widowControl w:val="0"/>
              <w:spacing w:line="440" w:lineRule="atLeast"/>
              <w:ind w:firstLine="420" w:firstLineChars="200"/>
              <w:jc w:val="both"/>
              <w:rPr>
                <w:rFonts w:hint="eastAsia" w:ascii="宋体" w:hAnsi="宋体" w:eastAsia="宋体" w:cs="宋体"/>
                <w:color w:val="auto"/>
                <w:kern w:val="2"/>
                <w:sz w:val="21"/>
                <w:szCs w:val="21"/>
                <w:highlight w:val="none"/>
                <w:lang w:val="en-US" w:eastAsia="zh-CN" w:bidi="ar-SA"/>
              </w:rPr>
            </w:pPr>
          </w:p>
        </w:tc>
        <w:tc>
          <w:tcPr>
            <w:tcW w:w="1093" w:type="pct"/>
            <w:noWrap w:val="0"/>
            <w:vAlign w:val="top"/>
          </w:tcPr>
          <w:p w14:paraId="1E34F34D">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2462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3906" w:type="pct"/>
            <w:noWrap w:val="0"/>
            <w:vAlign w:val="top"/>
          </w:tcPr>
          <w:p w14:paraId="0C45E26F">
            <w:pPr>
              <w:widowControl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人或其法定代表人、拟委任的项目负责人在近三年内有行贿犯罪行为的；</w:t>
            </w:r>
          </w:p>
          <w:p w14:paraId="14609FEB">
            <w:pPr>
              <w:widowControl w:val="0"/>
              <w:spacing w:line="440" w:lineRule="atLeast"/>
              <w:ind w:firstLine="420" w:firstLineChars="200"/>
              <w:jc w:val="both"/>
              <w:rPr>
                <w:rFonts w:hint="eastAsia" w:ascii="宋体" w:hAnsi="宋体" w:eastAsia="宋体" w:cs="宋体"/>
                <w:color w:val="auto"/>
                <w:kern w:val="2"/>
                <w:sz w:val="21"/>
                <w:szCs w:val="21"/>
                <w:highlight w:val="none"/>
                <w:lang w:val="en-US" w:eastAsia="zh-CN" w:bidi="ar-SA"/>
              </w:rPr>
            </w:pPr>
          </w:p>
        </w:tc>
        <w:tc>
          <w:tcPr>
            <w:tcW w:w="1093" w:type="pct"/>
            <w:noWrap w:val="0"/>
            <w:vAlign w:val="top"/>
          </w:tcPr>
          <w:p w14:paraId="1671F7F5">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59E2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06" w:type="pct"/>
            <w:noWrap w:val="0"/>
            <w:vAlign w:val="top"/>
          </w:tcPr>
          <w:p w14:paraId="518CA84D">
            <w:pPr>
              <w:widowControl w:val="0"/>
              <w:spacing w:line="440"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（16）被</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人或</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人上级单位纳入黑名单的；</w:t>
            </w:r>
          </w:p>
          <w:p w14:paraId="4D742D19">
            <w:pPr>
              <w:widowControl w:val="0"/>
              <w:spacing w:line="440" w:lineRule="atLeast"/>
              <w:ind w:firstLine="420" w:firstLineChars="200"/>
              <w:jc w:val="both"/>
              <w:rPr>
                <w:rFonts w:hint="eastAsia" w:ascii="宋体" w:hAnsi="宋体" w:eastAsia="宋体" w:cs="宋体"/>
                <w:color w:val="auto"/>
                <w:kern w:val="2"/>
                <w:sz w:val="21"/>
                <w:szCs w:val="21"/>
                <w:highlight w:val="none"/>
                <w:lang w:val="en-US" w:eastAsia="zh-CN" w:bidi="ar-SA"/>
              </w:rPr>
            </w:pPr>
          </w:p>
        </w:tc>
        <w:tc>
          <w:tcPr>
            <w:tcW w:w="1093" w:type="pct"/>
            <w:noWrap w:val="0"/>
            <w:vAlign w:val="top"/>
          </w:tcPr>
          <w:p w14:paraId="1D717BE3">
            <w:pPr>
              <w:widowControl w:val="0"/>
              <w:topLinePunct/>
              <w:spacing w:line="440" w:lineRule="atLeast"/>
              <w:jc w:val="both"/>
              <w:rPr>
                <w:rFonts w:ascii="Times New Roman" w:hAnsi="Times New Roman" w:eastAsia="宋体"/>
                <w:bCs/>
                <w:color w:val="auto"/>
                <w:kern w:val="2"/>
                <w:sz w:val="20"/>
                <w:szCs w:val="20"/>
                <w:highlight w:val="none"/>
                <w:lang w:val="en-US" w:eastAsia="zh-CN" w:bidi="ar-SA"/>
              </w:rPr>
            </w:pPr>
          </w:p>
        </w:tc>
      </w:tr>
      <w:tr w14:paraId="6267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exact"/>
        </w:trPr>
        <w:tc>
          <w:tcPr>
            <w:tcW w:w="3906" w:type="pct"/>
            <w:noWrap w:val="0"/>
            <w:vAlign w:val="top"/>
          </w:tcPr>
          <w:p w14:paraId="2D3B9216">
            <w:pPr>
              <w:widowControl w:val="0"/>
              <w:spacing w:line="440"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（１７）在湖南省交通运输厅评为最近第一年度 D 级、连续三年（最近第三年、最近第二年和最近第一年）评为C 级及以下信用等级的投标人投标。</w:t>
            </w:r>
          </w:p>
        </w:tc>
        <w:tc>
          <w:tcPr>
            <w:tcW w:w="1093" w:type="pct"/>
            <w:noWrap w:val="0"/>
            <w:vAlign w:val="top"/>
          </w:tcPr>
          <w:p w14:paraId="7A2A60B2">
            <w:pPr>
              <w:widowControl w:val="0"/>
              <w:spacing w:line="440" w:lineRule="atLeast"/>
              <w:jc w:val="both"/>
              <w:rPr>
                <w:rFonts w:hint="eastAsia" w:ascii="宋体" w:hAnsi="宋体" w:eastAsia="宋体" w:cs="宋体"/>
                <w:color w:val="auto"/>
                <w:kern w:val="2"/>
                <w:sz w:val="21"/>
                <w:szCs w:val="21"/>
                <w:highlight w:val="none"/>
                <w:lang w:val="en-US" w:eastAsia="zh-CN" w:bidi="ar-SA"/>
              </w:rPr>
            </w:pPr>
          </w:p>
        </w:tc>
      </w:tr>
    </w:tbl>
    <w:p w14:paraId="1228DF71">
      <w:pPr>
        <w:spacing w:line="440" w:lineRule="atLeast"/>
        <w:ind w:left="420" w:hanging="420" w:hangingChars="200"/>
        <w:rPr>
          <w:color w:val="auto"/>
          <w:szCs w:val="21"/>
          <w:highlight w:val="none"/>
        </w:rPr>
      </w:pPr>
      <w:r>
        <w:rPr>
          <w:color w:val="auto"/>
          <w:szCs w:val="21"/>
          <w:highlight w:val="none"/>
        </w:rPr>
        <w:t>注：1.投标人应按照招标文件第二章“投标人须知”前附表附录3和“投标人须知”正文第1.4.4项规定，逐条说明其信誉情况。</w:t>
      </w:r>
    </w:p>
    <w:p w14:paraId="144AE89F">
      <w:pPr>
        <w:spacing w:line="440" w:lineRule="atLeast"/>
        <w:ind w:firstLine="420" w:firstLineChars="200"/>
        <w:rPr>
          <w:color w:val="auto"/>
          <w:szCs w:val="21"/>
          <w:highlight w:val="none"/>
        </w:rPr>
      </w:pPr>
      <w:r>
        <w:rPr>
          <w:color w:val="auto"/>
          <w:szCs w:val="21"/>
          <w:highlight w:val="none"/>
        </w:rPr>
        <w:t>2.</w:t>
      </w:r>
      <w:r>
        <w:rPr>
          <w:color w:val="auto"/>
          <w:highlight w:val="none"/>
        </w:rPr>
        <w:t>投标人应根据招标文件第二章“投标人须知”第3.5.3项的要求在本表后附相关证明材料。</w:t>
      </w:r>
    </w:p>
    <w:p w14:paraId="2F901887">
      <w:pPr>
        <w:spacing w:line="440" w:lineRule="atLeast"/>
        <w:ind w:firstLine="420" w:firstLineChars="200"/>
        <w:rPr>
          <w:color w:val="auto"/>
          <w:szCs w:val="21"/>
          <w:highlight w:val="none"/>
        </w:rPr>
      </w:pPr>
    </w:p>
    <w:p w14:paraId="0A6149C2">
      <w:pPr>
        <w:spacing w:line="440" w:lineRule="atLeast"/>
        <w:ind w:firstLine="420" w:firstLineChars="200"/>
        <w:rPr>
          <w:color w:val="auto"/>
          <w:szCs w:val="21"/>
          <w:highlight w:val="none"/>
        </w:rPr>
      </w:pPr>
      <w:r>
        <w:rPr>
          <w:color w:val="auto"/>
          <w:szCs w:val="21"/>
          <w:highlight w:val="none"/>
        </w:rPr>
        <w:br w:type="page"/>
      </w:r>
    </w:p>
    <w:p w14:paraId="28BC23EC">
      <w:pPr>
        <w:pStyle w:val="2"/>
        <w:spacing w:before="0" w:after="0" w:line="440" w:lineRule="atLeast"/>
        <w:jc w:val="center"/>
        <w:rPr>
          <w:rFonts w:eastAsia="黑体"/>
          <w:b w:val="0"/>
          <w:color w:val="auto"/>
          <w:sz w:val="24"/>
          <w:szCs w:val="24"/>
          <w:highlight w:val="none"/>
        </w:rPr>
      </w:pPr>
      <w:r>
        <w:rPr>
          <w:rFonts w:eastAsia="黑体"/>
          <w:b w:val="0"/>
          <w:color w:val="auto"/>
          <w:sz w:val="24"/>
          <w:szCs w:val="24"/>
          <w:highlight w:val="none"/>
        </w:rPr>
        <w:t xml:space="preserve"> （五）拟委任的项目负责人资历表</w:t>
      </w:r>
    </w:p>
    <w:p w14:paraId="047839CE">
      <w:pPr>
        <w:widowControl/>
        <w:autoSpaceDE w:val="0"/>
        <w:autoSpaceDN w:val="0"/>
        <w:spacing w:line="440" w:lineRule="atLeast"/>
        <w:jc w:val="center"/>
        <w:textAlignment w:val="bottom"/>
        <w:rPr>
          <w:color w:val="auto"/>
          <w:highlight w:val="none"/>
        </w:rPr>
      </w:pPr>
    </w:p>
    <w:tbl>
      <w:tblPr>
        <w:tblStyle w:val="55"/>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0"/>
        <w:gridCol w:w="53"/>
        <w:gridCol w:w="1158"/>
        <w:gridCol w:w="304"/>
        <w:gridCol w:w="1067"/>
        <w:gridCol w:w="1392"/>
        <w:gridCol w:w="341"/>
        <w:gridCol w:w="1552"/>
        <w:gridCol w:w="390"/>
        <w:gridCol w:w="1290"/>
      </w:tblGrid>
      <w:tr w14:paraId="2074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40" w:type="dxa"/>
            <w:vAlign w:val="center"/>
          </w:tcPr>
          <w:p w14:paraId="79B70685">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姓    名</w:t>
            </w:r>
          </w:p>
        </w:tc>
        <w:tc>
          <w:tcPr>
            <w:tcW w:w="1515" w:type="dxa"/>
            <w:gridSpan w:val="3"/>
            <w:vAlign w:val="center"/>
          </w:tcPr>
          <w:p w14:paraId="71C5D503">
            <w:pPr>
              <w:widowControl/>
              <w:autoSpaceDE w:val="0"/>
              <w:autoSpaceDN w:val="0"/>
              <w:spacing w:before="60" w:beforeLines="25" w:after="60" w:afterLines="25" w:line="440" w:lineRule="atLeast"/>
              <w:jc w:val="center"/>
              <w:textAlignment w:val="bottom"/>
              <w:rPr>
                <w:color w:val="auto"/>
                <w:szCs w:val="21"/>
                <w:highlight w:val="none"/>
              </w:rPr>
            </w:pPr>
          </w:p>
        </w:tc>
        <w:tc>
          <w:tcPr>
            <w:tcW w:w="1067" w:type="dxa"/>
            <w:vAlign w:val="center"/>
          </w:tcPr>
          <w:p w14:paraId="4DBC503C">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年    龄</w:t>
            </w:r>
          </w:p>
        </w:tc>
        <w:tc>
          <w:tcPr>
            <w:tcW w:w="1392" w:type="dxa"/>
          </w:tcPr>
          <w:p w14:paraId="6433754A">
            <w:pPr>
              <w:widowControl/>
              <w:autoSpaceDE w:val="0"/>
              <w:autoSpaceDN w:val="0"/>
              <w:spacing w:before="60" w:beforeLines="25" w:after="60" w:afterLines="25" w:line="440" w:lineRule="atLeast"/>
              <w:jc w:val="center"/>
              <w:textAlignment w:val="bottom"/>
              <w:rPr>
                <w:color w:val="auto"/>
                <w:szCs w:val="21"/>
                <w:highlight w:val="none"/>
              </w:rPr>
            </w:pPr>
          </w:p>
        </w:tc>
        <w:tc>
          <w:tcPr>
            <w:tcW w:w="1893" w:type="dxa"/>
            <w:gridSpan w:val="2"/>
          </w:tcPr>
          <w:p w14:paraId="3CD9C447">
            <w:pPr>
              <w:widowControl/>
              <w:autoSpaceDE w:val="0"/>
              <w:autoSpaceDN w:val="0"/>
              <w:spacing w:before="60" w:beforeLines="25" w:after="60" w:afterLines="25" w:line="440" w:lineRule="atLeast"/>
              <w:jc w:val="center"/>
              <w:textAlignment w:val="bottom"/>
              <w:rPr>
                <w:color w:val="auto"/>
                <w:szCs w:val="21"/>
                <w:highlight w:val="none"/>
              </w:rPr>
            </w:pPr>
            <w:r>
              <w:rPr>
                <w:color w:val="auto"/>
                <w:highlight w:val="none"/>
              </w:rPr>
              <w:t>执业或职业资格证书名称</w:t>
            </w:r>
          </w:p>
        </w:tc>
        <w:tc>
          <w:tcPr>
            <w:tcW w:w="1680" w:type="dxa"/>
            <w:gridSpan w:val="2"/>
          </w:tcPr>
          <w:p w14:paraId="0F236EFF">
            <w:pPr>
              <w:widowControl/>
              <w:autoSpaceDE w:val="0"/>
              <w:autoSpaceDN w:val="0"/>
              <w:spacing w:before="60" w:beforeLines="25" w:after="60" w:afterLines="25" w:line="440" w:lineRule="atLeast"/>
              <w:textAlignment w:val="bottom"/>
              <w:rPr>
                <w:color w:val="auto"/>
                <w:szCs w:val="21"/>
                <w:highlight w:val="none"/>
              </w:rPr>
            </w:pPr>
          </w:p>
        </w:tc>
      </w:tr>
      <w:tr w14:paraId="5F52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40" w:type="dxa"/>
            <w:vAlign w:val="center"/>
          </w:tcPr>
          <w:p w14:paraId="12B9F324">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技术职称</w:t>
            </w:r>
          </w:p>
        </w:tc>
        <w:tc>
          <w:tcPr>
            <w:tcW w:w="1515" w:type="dxa"/>
            <w:gridSpan w:val="3"/>
            <w:vAlign w:val="center"/>
          </w:tcPr>
          <w:p w14:paraId="1A413050">
            <w:pPr>
              <w:widowControl/>
              <w:autoSpaceDE w:val="0"/>
              <w:autoSpaceDN w:val="0"/>
              <w:spacing w:before="60" w:beforeLines="25" w:after="60" w:afterLines="25" w:line="440" w:lineRule="atLeast"/>
              <w:jc w:val="center"/>
              <w:textAlignment w:val="bottom"/>
              <w:rPr>
                <w:color w:val="auto"/>
                <w:szCs w:val="21"/>
                <w:highlight w:val="none"/>
              </w:rPr>
            </w:pPr>
          </w:p>
        </w:tc>
        <w:tc>
          <w:tcPr>
            <w:tcW w:w="1067" w:type="dxa"/>
            <w:vAlign w:val="center"/>
          </w:tcPr>
          <w:p w14:paraId="5F25CB6D">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学    历</w:t>
            </w:r>
          </w:p>
        </w:tc>
        <w:tc>
          <w:tcPr>
            <w:tcW w:w="1392" w:type="dxa"/>
          </w:tcPr>
          <w:p w14:paraId="1ADC8C01">
            <w:pPr>
              <w:widowControl/>
              <w:autoSpaceDE w:val="0"/>
              <w:autoSpaceDN w:val="0"/>
              <w:spacing w:before="60" w:beforeLines="25" w:after="60" w:afterLines="25" w:line="440" w:lineRule="atLeast"/>
              <w:jc w:val="center"/>
              <w:textAlignment w:val="bottom"/>
              <w:rPr>
                <w:color w:val="auto"/>
                <w:szCs w:val="21"/>
                <w:highlight w:val="none"/>
              </w:rPr>
            </w:pPr>
          </w:p>
        </w:tc>
        <w:tc>
          <w:tcPr>
            <w:tcW w:w="1893" w:type="dxa"/>
            <w:gridSpan w:val="2"/>
          </w:tcPr>
          <w:p w14:paraId="1C85AAD8">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拟在本标段</w:t>
            </w:r>
          </w:p>
          <w:p w14:paraId="443489CB">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工程任职</w:t>
            </w:r>
          </w:p>
        </w:tc>
        <w:tc>
          <w:tcPr>
            <w:tcW w:w="1680" w:type="dxa"/>
            <w:gridSpan w:val="2"/>
          </w:tcPr>
          <w:p w14:paraId="1739B038">
            <w:pPr>
              <w:widowControl/>
              <w:autoSpaceDE w:val="0"/>
              <w:autoSpaceDN w:val="0"/>
              <w:spacing w:before="60" w:beforeLines="25" w:after="60" w:afterLines="25" w:line="440" w:lineRule="atLeast"/>
              <w:textAlignment w:val="bottom"/>
              <w:rPr>
                <w:color w:val="auto"/>
                <w:szCs w:val="21"/>
                <w:highlight w:val="none"/>
              </w:rPr>
            </w:pPr>
          </w:p>
        </w:tc>
      </w:tr>
      <w:tr w14:paraId="70A2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40" w:type="dxa"/>
            <w:vAlign w:val="center"/>
          </w:tcPr>
          <w:p w14:paraId="579A24F8">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工作年限</w:t>
            </w:r>
          </w:p>
        </w:tc>
        <w:tc>
          <w:tcPr>
            <w:tcW w:w="3974" w:type="dxa"/>
            <w:gridSpan w:val="5"/>
            <w:vAlign w:val="center"/>
          </w:tcPr>
          <w:p w14:paraId="5D063A3D">
            <w:pPr>
              <w:widowControl/>
              <w:autoSpaceDE w:val="0"/>
              <w:autoSpaceDN w:val="0"/>
              <w:spacing w:before="60" w:beforeLines="25" w:after="60" w:afterLines="25" w:line="440" w:lineRule="atLeast"/>
              <w:jc w:val="center"/>
              <w:textAlignment w:val="bottom"/>
              <w:rPr>
                <w:color w:val="auto"/>
                <w:szCs w:val="21"/>
                <w:highlight w:val="none"/>
              </w:rPr>
            </w:pPr>
          </w:p>
        </w:tc>
        <w:tc>
          <w:tcPr>
            <w:tcW w:w="1893" w:type="dxa"/>
            <w:gridSpan w:val="2"/>
            <w:vAlign w:val="center"/>
          </w:tcPr>
          <w:p w14:paraId="4E2E6383">
            <w:pPr>
              <w:widowControl/>
              <w:autoSpaceDE w:val="0"/>
              <w:autoSpaceDN w:val="0"/>
              <w:spacing w:before="60" w:beforeLines="25" w:after="60" w:afterLines="25" w:line="440" w:lineRule="atLeast"/>
              <w:jc w:val="center"/>
              <w:textAlignment w:val="bottom"/>
              <w:rPr>
                <w:color w:val="auto"/>
                <w:szCs w:val="21"/>
                <w:highlight w:val="none"/>
              </w:rPr>
            </w:pPr>
            <w:r>
              <w:rPr>
                <w:color w:val="auto"/>
                <w:highlight w:val="none"/>
              </w:rPr>
              <w:t>从工作年限</w:t>
            </w:r>
          </w:p>
        </w:tc>
        <w:tc>
          <w:tcPr>
            <w:tcW w:w="1680" w:type="dxa"/>
            <w:gridSpan w:val="2"/>
          </w:tcPr>
          <w:p w14:paraId="4271650A">
            <w:pPr>
              <w:widowControl/>
              <w:autoSpaceDE w:val="0"/>
              <w:autoSpaceDN w:val="0"/>
              <w:spacing w:before="60" w:beforeLines="25" w:after="60" w:afterLines="25" w:line="440" w:lineRule="atLeast"/>
              <w:textAlignment w:val="bottom"/>
              <w:rPr>
                <w:color w:val="auto"/>
                <w:szCs w:val="21"/>
                <w:highlight w:val="none"/>
              </w:rPr>
            </w:pPr>
          </w:p>
        </w:tc>
      </w:tr>
      <w:tr w14:paraId="3FA1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40" w:type="dxa"/>
            <w:vAlign w:val="center"/>
          </w:tcPr>
          <w:p w14:paraId="1A522167">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毕业学校</w:t>
            </w:r>
          </w:p>
        </w:tc>
        <w:tc>
          <w:tcPr>
            <w:tcW w:w="7547" w:type="dxa"/>
            <w:gridSpan w:val="9"/>
            <w:vAlign w:val="center"/>
          </w:tcPr>
          <w:p w14:paraId="0D5D1192">
            <w:pPr>
              <w:widowControl/>
              <w:autoSpaceDE w:val="0"/>
              <w:autoSpaceDN w:val="0"/>
              <w:spacing w:before="60" w:beforeLines="25" w:after="60" w:afterLines="25" w:line="440" w:lineRule="atLeast"/>
              <w:ind w:left="-187" w:leftChars="-89"/>
              <w:jc w:val="center"/>
              <w:textAlignment w:val="bottom"/>
              <w:rPr>
                <w:color w:val="auto"/>
                <w:szCs w:val="21"/>
                <w:highlight w:val="none"/>
              </w:rPr>
            </w:pPr>
            <w:r>
              <w:rPr>
                <w:color w:val="auto"/>
                <w:szCs w:val="21"/>
                <w:highlight w:val="none"/>
              </w:rPr>
              <w:t>______年___月毕业于___________________学校___________专业，学制______年</w:t>
            </w:r>
          </w:p>
        </w:tc>
      </w:tr>
      <w:tr w14:paraId="5E3C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87" w:type="dxa"/>
            <w:gridSpan w:val="10"/>
            <w:vAlign w:val="center"/>
          </w:tcPr>
          <w:p w14:paraId="5C4F4EE2">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经         历</w:t>
            </w:r>
          </w:p>
        </w:tc>
      </w:tr>
      <w:tr w14:paraId="420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6045D0FD">
            <w:pPr>
              <w:widowControl/>
              <w:autoSpaceDE w:val="0"/>
              <w:autoSpaceDN w:val="0"/>
              <w:spacing w:before="60" w:beforeLines="25" w:after="60" w:afterLines="25" w:line="440" w:lineRule="atLeast"/>
              <w:jc w:val="center"/>
              <w:textAlignment w:val="bottom"/>
              <w:rPr>
                <w:color w:val="auto"/>
                <w:szCs w:val="21"/>
                <w:highlight w:val="none"/>
              </w:rPr>
            </w:pPr>
            <w:r>
              <w:rPr>
                <w:color w:val="auto"/>
                <w:highlight w:val="none"/>
              </w:rPr>
              <w:t>时  间</w:t>
            </w:r>
          </w:p>
        </w:tc>
        <w:tc>
          <w:tcPr>
            <w:tcW w:w="4262" w:type="dxa"/>
            <w:gridSpan w:val="5"/>
            <w:vAlign w:val="center"/>
          </w:tcPr>
          <w:p w14:paraId="64BCE8AC">
            <w:pPr>
              <w:pStyle w:val="90"/>
              <w:widowControl/>
              <w:adjustRightInd/>
              <w:snapToGrid/>
              <w:spacing w:before="60" w:beforeLines="25" w:after="60" w:afterLines="25" w:line="440" w:lineRule="atLeast"/>
              <w:textAlignment w:val="bottom"/>
              <w:rPr>
                <w:color w:val="auto"/>
                <w:spacing w:val="0"/>
                <w:kern w:val="2"/>
                <w:szCs w:val="21"/>
                <w:highlight w:val="none"/>
              </w:rPr>
            </w:pPr>
            <w:r>
              <w:rPr>
                <w:color w:val="auto"/>
                <w:spacing w:val="0"/>
                <w:kern w:val="2"/>
                <w:szCs w:val="21"/>
                <w:highlight w:val="none"/>
              </w:rPr>
              <w:t>参加过的类似工程项目名称</w:t>
            </w:r>
          </w:p>
        </w:tc>
        <w:tc>
          <w:tcPr>
            <w:tcW w:w="1942" w:type="dxa"/>
            <w:gridSpan w:val="2"/>
            <w:vAlign w:val="center"/>
          </w:tcPr>
          <w:p w14:paraId="50595F5A">
            <w:pPr>
              <w:pStyle w:val="90"/>
              <w:widowControl/>
              <w:adjustRightInd/>
              <w:snapToGrid/>
              <w:spacing w:before="60" w:beforeLines="25" w:after="60" w:afterLines="25" w:line="440" w:lineRule="atLeast"/>
              <w:textAlignment w:val="bottom"/>
              <w:rPr>
                <w:color w:val="auto"/>
                <w:spacing w:val="0"/>
                <w:kern w:val="2"/>
                <w:szCs w:val="21"/>
                <w:highlight w:val="none"/>
              </w:rPr>
            </w:pPr>
            <w:r>
              <w:rPr>
                <w:color w:val="auto"/>
                <w:spacing w:val="0"/>
                <w:kern w:val="2"/>
                <w:szCs w:val="21"/>
                <w:highlight w:val="none"/>
              </w:rPr>
              <w:t>担任职务</w:t>
            </w:r>
          </w:p>
        </w:tc>
        <w:tc>
          <w:tcPr>
            <w:tcW w:w="1290" w:type="dxa"/>
            <w:vAlign w:val="center"/>
          </w:tcPr>
          <w:p w14:paraId="0A24EB61">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委托人及联系电话</w:t>
            </w:r>
          </w:p>
        </w:tc>
      </w:tr>
      <w:tr w14:paraId="1A96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1D009A80">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2418C473">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4E4E673F">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21DBC333">
            <w:pPr>
              <w:widowControl/>
              <w:autoSpaceDE w:val="0"/>
              <w:autoSpaceDN w:val="0"/>
              <w:spacing w:before="60" w:beforeLines="25" w:after="60" w:afterLines="25" w:line="440" w:lineRule="atLeast"/>
              <w:textAlignment w:val="bottom"/>
              <w:rPr>
                <w:color w:val="auto"/>
                <w:szCs w:val="21"/>
                <w:highlight w:val="none"/>
              </w:rPr>
            </w:pPr>
          </w:p>
        </w:tc>
      </w:tr>
      <w:tr w14:paraId="55BE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3AA93583">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28A7EF2D">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2F672CB7">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578A46A9">
            <w:pPr>
              <w:widowControl/>
              <w:autoSpaceDE w:val="0"/>
              <w:autoSpaceDN w:val="0"/>
              <w:spacing w:before="60" w:beforeLines="25" w:after="60" w:afterLines="25" w:line="440" w:lineRule="atLeast"/>
              <w:textAlignment w:val="bottom"/>
              <w:rPr>
                <w:color w:val="auto"/>
                <w:szCs w:val="21"/>
                <w:highlight w:val="none"/>
              </w:rPr>
            </w:pPr>
          </w:p>
        </w:tc>
      </w:tr>
      <w:tr w14:paraId="3B07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072D9278">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374C0FFA">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55BF9B85">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1C46B597">
            <w:pPr>
              <w:widowControl/>
              <w:autoSpaceDE w:val="0"/>
              <w:autoSpaceDN w:val="0"/>
              <w:spacing w:before="60" w:beforeLines="25" w:after="60" w:afterLines="25" w:line="440" w:lineRule="atLeast"/>
              <w:textAlignment w:val="bottom"/>
              <w:rPr>
                <w:color w:val="auto"/>
                <w:szCs w:val="21"/>
                <w:highlight w:val="none"/>
              </w:rPr>
            </w:pPr>
          </w:p>
        </w:tc>
      </w:tr>
      <w:tr w14:paraId="0B7C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3700E2A0">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187FB82D">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7E651A4E">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72125283">
            <w:pPr>
              <w:widowControl/>
              <w:autoSpaceDE w:val="0"/>
              <w:autoSpaceDN w:val="0"/>
              <w:spacing w:before="60" w:beforeLines="25" w:after="60" w:afterLines="25" w:line="440" w:lineRule="atLeast"/>
              <w:textAlignment w:val="bottom"/>
              <w:rPr>
                <w:color w:val="auto"/>
                <w:szCs w:val="21"/>
                <w:highlight w:val="none"/>
              </w:rPr>
            </w:pPr>
          </w:p>
        </w:tc>
      </w:tr>
      <w:tr w14:paraId="2E89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10A04EF2">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5DEDF99B">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4152420F">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5E7F4446">
            <w:pPr>
              <w:widowControl/>
              <w:autoSpaceDE w:val="0"/>
              <w:autoSpaceDN w:val="0"/>
              <w:spacing w:before="60" w:beforeLines="25" w:after="60" w:afterLines="25" w:line="440" w:lineRule="atLeast"/>
              <w:textAlignment w:val="bottom"/>
              <w:rPr>
                <w:color w:val="auto"/>
                <w:szCs w:val="21"/>
                <w:highlight w:val="none"/>
              </w:rPr>
            </w:pPr>
          </w:p>
        </w:tc>
      </w:tr>
      <w:tr w14:paraId="7CBB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52A50E56">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2E59F15A">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58C4169A">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5FBF7F28">
            <w:pPr>
              <w:widowControl/>
              <w:autoSpaceDE w:val="0"/>
              <w:autoSpaceDN w:val="0"/>
              <w:spacing w:before="60" w:beforeLines="25" w:after="60" w:afterLines="25" w:line="440" w:lineRule="atLeast"/>
              <w:textAlignment w:val="bottom"/>
              <w:rPr>
                <w:color w:val="auto"/>
                <w:szCs w:val="21"/>
                <w:highlight w:val="none"/>
              </w:rPr>
            </w:pPr>
          </w:p>
        </w:tc>
      </w:tr>
      <w:tr w14:paraId="0669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0744F65A">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28A9656F">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7DD95A5F">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6EE0D527">
            <w:pPr>
              <w:widowControl/>
              <w:autoSpaceDE w:val="0"/>
              <w:autoSpaceDN w:val="0"/>
              <w:spacing w:before="60" w:beforeLines="25" w:after="60" w:afterLines="25" w:line="440" w:lineRule="atLeast"/>
              <w:textAlignment w:val="bottom"/>
              <w:rPr>
                <w:color w:val="auto"/>
                <w:szCs w:val="21"/>
                <w:highlight w:val="none"/>
              </w:rPr>
            </w:pPr>
          </w:p>
        </w:tc>
      </w:tr>
      <w:tr w14:paraId="34C5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4F147F73">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4BA63F76">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198256D4">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4C802093">
            <w:pPr>
              <w:widowControl/>
              <w:autoSpaceDE w:val="0"/>
              <w:autoSpaceDN w:val="0"/>
              <w:spacing w:before="60" w:beforeLines="25" w:after="60" w:afterLines="25" w:line="440" w:lineRule="atLeast"/>
              <w:textAlignment w:val="bottom"/>
              <w:rPr>
                <w:color w:val="auto"/>
                <w:szCs w:val="21"/>
                <w:highlight w:val="none"/>
              </w:rPr>
            </w:pPr>
          </w:p>
        </w:tc>
      </w:tr>
      <w:tr w14:paraId="719A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1" w:type="dxa"/>
            <w:gridSpan w:val="3"/>
            <w:vAlign w:val="center"/>
          </w:tcPr>
          <w:p w14:paraId="55313B8D">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获奖情况</w:t>
            </w:r>
          </w:p>
        </w:tc>
        <w:tc>
          <w:tcPr>
            <w:tcW w:w="6336" w:type="dxa"/>
            <w:gridSpan w:val="7"/>
          </w:tcPr>
          <w:p w14:paraId="5C536B82">
            <w:pPr>
              <w:widowControl/>
              <w:autoSpaceDE w:val="0"/>
              <w:autoSpaceDN w:val="0"/>
              <w:spacing w:before="60" w:beforeLines="25" w:after="60" w:afterLines="25" w:line="440" w:lineRule="atLeast"/>
              <w:textAlignment w:val="bottom"/>
              <w:rPr>
                <w:color w:val="auto"/>
                <w:szCs w:val="21"/>
                <w:highlight w:val="none"/>
              </w:rPr>
            </w:pPr>
          </w:p>
        </w:tc>
      </w:tr>
      <w:tr w14:paraId="489D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51" w:type="dxa"/>
            <w:gridSpan w:val="3"/>
            <w:vAlign w:val="center"/>
          </w:tcPr>
          <w:p w14:paraId="51BCD8DA">
            <w:pPr>
              <w:widowControl/>
              <w:autoSpaceDE w:val="0"/>
              <w:autoSpaceDN w:val="0"/>
              <w:spacing w:line="440" w:lineRule="atLeast"/>
              <w:jc w:val="center"/>
              <w:textAlignment w:val="bottom"/>
              <w:rPr>
                <w:color w:val="auto"/>
                <w:szCs w:val="21"/>
                <w:highlight w:val="none"/>
              </w:rPr>
            </w:pPr>
            <w:r>
              <w:rPr>
                <w:color w:val="auto"/>
                <w:szCs w:val="21"/>
                <w:highlight w:val="none"/>
              </w:rPr>
              <w:t>备     注</w:t>
            </w:r>
          </w:p>
        </w:tc>
        <w:tc>
          <w:tcPr>
            <w:tcW w:w="6336" w:type="dxa"/>
            <w:gridSpan w:val="7"/>
          </w:tcPr>
          <w:p w14:paraId="2ACAB3D6">
            <w:pPr>
              <w:widowControl/>
              <w:autoSpaceDE w:val="0"/>
              <w:autoSpaceDN w:val="0"/>
              <w:spacing w:line="440" w:lineRule="atLeast"/>
              <w:textAlignment w:val="bottom"/>
              <w:rPr>
                <w:color w:val="auto"/>
                <w:szCs w:val="21"/>
                <w:highlight w:val="none"/>
              </w:rPr>
            </w:pPr>
          </w:p>
        </w:tc>
      </w:tr>
    </w:tbl>
    <w:p w14:paraId="6C920085">
      <w:pPr>
        <w:spacing w:line="440" w:lineRule="atLeast"/>
        <w:ind w:left="420" w:hanging="420" w:hangingChars="200"/>
        <w:rPr>
          <w:color w:val="auto"/>
          <w:szCs w:val="21"/>
          <w:highlight w:val="none"/>
        </w:rPr>
      </w:pPr>
      <w:r>
        <w:rPr>
          <w:color w:val="auto"/>
          <w:szCs w:val="21"/>
          <w:highlight w:val="none"/>
        </w:rPr>
        <w:t>注：1.本表应填写项目负责人相关情况。</w:t>
      </w:r>
    </w:p>
    <w:p w14:paraId="631FCE7F">
      <w:pPr>
        <w:spacing w:line="440" w:lineRule="atLeast"/>
        <w:ind w:firstLine="420" w:firstLineChars="200"/>
        <w:rPr>
          <w:color w:val="auto"/>
          <w:szCs w:val="21"/>
          <w:highlight w:val="none"/>
        </w:rPr>
      </w:pPr>
      <w:r>
        <w:rPr>
          <w:color w:val="auto"/>
          <w:szCs w:val="21"/>
          <w:highlight w:val="none"/>
        </w:rPr>
        <w:t>2.投标人应根据招标文件第二章“投标人须知”第3.5.4项的要求在本表后附相关证明材料。</w:t>
      </w:r>
    </w:p>
    <w:p w14:paraId="7F971935">
      <w:pPr>
        <w:pStyle w:val="2"/>
        <w:spacing w:before="0" w:after="0" w:line="440" w:lineRule="atLeast"/>
        <w:jc w:val="center"/>
        <w:rPr>
          <w:rFonts w:eastAsia="黑体"/>
          <w:color w:val="auto"/>
          <w:sz w:val="23"/>
          <w:szCs w:val="23"/>
          <w:highlight w:val="none"/>
        </w:rPr>
      </w:pPr>
      <w:r>
        <w:rPr>
          <w:rFonts w:eastAsia="黑体"/>
          <w:color w:val="auto"/>
          <w:sz w:val="24"/>
          <w:highlight w:val="none"/>
        </w:rPr>
        <w:br w:type="page"/>
      </w:r>
    </w:p>
    <w:p w14:paraId="03E6D7E4">
      <w:pPr>
        <w:pStyle w:val="2"/>
        <w:spacing w:before="0" w:after="0" w:line="440" w:lineRule="atLeast"/>
        <w:jc w:val="center"/>
        <w:rPr>
          <w:rFonts w:eastAsia="黑体"/>
          <w:b w:val="0"/>
          <w:color w:val="auto"/>
          <w:sz w:val="24"/>
          <w:szCs w:val="24"/>
          <w:highlight w:val="none"/>
        </w:rPr>
      </w:pPr>
      <w:r>
        <w:rPr>
          <w:rFonts w:eastAsia="黑体"/>
          <w:b w:val="0"/>
          <w:color w:val="auto"/>
          <w:sz w:val="24"/>
          <w:szCs w:val="24"/>
          <w:highlight w:val="none"/>
        </w:rPr>
        <w:t>（六）拟委任的其他主要咨询服务人员汇总表</w:t>
      </w:r>
    </w:p>
    <w:p w14:paraId="4CD85A8F">
      <w:pPr>
        <w:spacing w:line="440" w:lineRule="atLeast"/>
        <w:rPr>
          <w:color w:val="auto"/>
          <w:highlight w:val="none"/>
        </w:rPr>
      </w:pPr>
    </w:p>
    <w:tbl>
      <w:tblPr>
        <w:tblStyle w:val="55"/>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01"/>
        <w:gridCol w:w="694"/>
        <w:gridCol w:w="488"/>
        <w:gridCol w:w="1134"/>
        <w:gridCol w:w="709"/>
        <w:gridCol w:w="871"/>
        <w:gridCol w:w="1134"/>
      </w:tblGrid>
      <w:tr w14:paraId="3314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14:paraId="63605BA5">
            <w:pPr>
              <w:spacing w:line="440" w:lineRule="atLeast"/>
              <w:jc w:val="center"/>
              <w:rPr>
                <w:color w:val="auto"/>
                <w:highlight w:val="none"/>
              </w:rPr>
            </w:pPr>
            <w:r>
              <w:rPr>
                <w:color w:val="auto"/>
                <w:highlight w:val="none"/>
              </w:rPr>
              <w:t>序号</w:t>
            </w:r>
          </w:p>
        </w:tc>
        <w:tc>
          <w:tcPr>
            <w:tcW w:w="1275" w:type="dxa"/>
            <w:vMerge w:val="restart"/>
            <w:vAlign w:val="center"/>
          </w:tcPr>
          <w:p w14:paraId="30D40E04">
            <w:pPr>
              <w:spacing w:line="440" w:lineRule="atLeast"/>
              <w:jc w:val="center"/>
              <w:rPr>
                <w:color w:val="auto"/>
                <w:highlight w:val="none"/>
              </w:rPr>
            </w:pPr>
            <w:r>
              <w:rPr>
                <w:color w:val="auto"/>
                <w:highlight w:val="none"/>
              </w:rPr>
              <w:t>本标段任职</w:t>
            </w:r>
          </w:p>
        </w:tc>
        <w:tc>
          <w:tcPr>
            <w:tcW w:w="901" w:type="dxa"/>
            <w:vMerge w:val="restart"/>
            <w:vAlign w:val="center"/>
          </w:tcPr>
          <w:p w14:paraId="31E2FB0B">
            <w:pPr>
              <w:spacing w:line="440" w:lineRule="atLeast"/>
              <w:jc w:val="center"/>
              <w:rPr>
                <w:color w:val="auto"/>
                <w:highlight w:val="none"/>
              </w:rPr>
            </w:pPr>
            <w:r>
              <w:rPr>
                <w:color w:val="auto"/>
                <w:highlight w:val="none"/>
              </w:rPr>
              <w:t>姓名</w:t>
            </w:r>
          </w:p>
        </w:tc>
        <w:tc>
          <w:tcPr>
            <w:tcW w:w="694" w:type="dxa"/>
            <w:vMerge w:val="restart"/>
            <w:vAlign w:val="center"/>
          </w:tcPr>
          <w:p w14:paraId="211DCF76">
            <w:pPr>
              <w:spacing w:line="440" w:lineRule="atLeast"/>
              <w:jc w:val="center"/>
              <w:rPr>
                <w:color w:val="auto"/>
                <w:highlight w:val="none"/>
              </w:rPr>
            </w:pPr>
            <w:r>
              <w:rPr>
                <w:color w:val="auto"/>
                <w:highlight w:val="none"/>
              </w:rPr>
              <w:t>技术职称</w:t>
            </w:r>
          </w:p>
        </w:tc>
        <w:tc>
          <w:tcPr>
            <w:tcW w:w="488" w:type="dxa"/>
            <w:vMerge w:val="restart"/>
            <w:vAlign w:val="center"/>
          </w:tcPr>
          <w:p w14:paraId="607D7A8A">
            <w:pPr>
              <w:spacing w:line="440" w:lineRule="atLeast"/>
              <w:jc w:val="center"/>
              <w:rPr>
                <w:color w:val="auto"/>
                <w:highlight w:val="none"/>
              </w:rPr>
            </w:pPr>
            <w:r>
              <w:rPr>
                <w:color w:val="auto"/>
                <w:highlight w:val="none"/>
              </w:rPr>
              <w:t>专业</w:t>
            </w:r>
          </w:p>
        </w:tc>
        <w:tc>
          <w:tcPr>
            <w:tcW w:w="2714" w:type="dxa"/>
            <w:gridSpan w:val="3"/>
            <w:vAlign w:val="center"/>
          </w:tcPr>
          <w:p w14:paraId="586776C1">
            <w:pPr>
              <w:spacing w:line="440" w:lineRule="atLeast"/>
              <w:jc w:val="center"/>
              <w:rPr>
                <w:color w:val="auto"/>
                <w:highlight w:val="none"/>
              </w:rPr>
            </w:pPr>
            <w:r>
              <w:rPr>
                <w:color w:val="auto"/>
                <w:highlight w:val="none"/>
              </w:rPr>
              <w:t>执业或职业资格证明</w:t>
            </w:r>
          </w:p>
        </w:tc>
        <w:tc>
          <w:tcPr>
            <w:tcW w:w="1134" w:type="dxa"/>
            <w:vMerge w:val="restart"/>
            <w:vAlign w:val="center"/>
          </w:tcPr>
          <w:p w14:paraId="46FA5C69">
            <w:pPr>
              <w:spacing w:line="440" w:lineRule="atLeast"/>
              <w:jc w:val="center"/>
              <w:rPr>
                <w:color w:val="auto"/>
                <w:highlight w:val="none"/>
              </w:rPr>
            </w:pPr>
            <w:r>
              <w:rPr>
                <w:color w:val="auto"/>
                <w:highlight w:val="none"/>
              </w:rPr>
              <w:t>备注</w:t>
            </w:r>
          </w:p>
        </w:tc>
      </w:tr>
      <w:tr w14:paraId="08B2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14:paraId="3D2AE799">
            <w:pPr>
              <w:spacing w:line="440" w:lineRule="atLeast"/>
              <w:rPr>
                <w:color w:val="auto"/>
                <w:highlight w:val="none"/>
              </w:rPr>
            </w:pPr>
          </w:p>
        </w:tc>
        <w:tc>
          <w:tcPr>
            <w:tcW w:w="1275" w:type="dxa"/>
            <w:vMerge w:val="continue"/>
          </w:tcPr>
          <w:p w14:paraId="58306B9A">
            <w:pPr>
              <w:spacing w:line="440" w:lineRule="atLeast"/>
              <w:rPr>
                <w:color w:val="auto"/>
                <w:highlight w:val="none"/>
              </w:rPr>
            </w:pPr>
          </w:p>
        </w:tc>
        <w:tc>
          <w:tcPr>
            <w:tcW w:w="901" w:type="dxa"/>
            <w:vMerge w:val="continue"/>
            <w:vAlign w:val="center"/>
          </w:tcPr>
          <w:p w14:paraId="43C2B273">
            <w:pPr>
              <w:spacing w:line="440" w:lineRule="atLeast"/>
              <w:rPr>
                <w:color w:val="auto"/>
                <w:highlight w:val="none"/>
              </w:rPr>
            </w:pPr>
          </w:p>
        </w:tc>
        <w:tc>
          <w:tcPr>
            <w:tcW w:w="694" w:type="dxa"/>
            <w:vMerge w:val="continue"/>
            <w:vAlign w:val="center"/>
          </w:tcPr>
          <w:p w14:paraId="12C2B5DA">
            <w:pPr>
              <w:spacing w:line="440" w:lineRule="atLeast"/>
              <w:rPr>
                <w:color w:val="auto"/>
                <w:highlight w:val="none"/>
              </w:rPr>
            </w:pPr>
          </w:p>
        </w:tc>
        <w:tc>
          <w:tcPr>
            <w:tcW w:w="488" w:type="dxa"/>
            <w:vMerge w:val="continue"/>
            <w:vAlign w:val="center"/>
          </w:tcPr>
          <w:p w14:paraId="6204C072">
            <w:pPr>
              <w:spacing w:line="440" w:lineRule="atLeast"/>
              <w:jc w:val="center"/>
              <w:rPr>
                <w:color w:val="auto"/>
                <w:highlight w:val="none"/>
              </w:rPr>
            </w:pPr>
          </w:p>
        </w:tc>
        <w:tc>
          <w:tcPr>
            <w:tcW w:w="1134" w:type="dxa"/>
            <w:vAlign w:val="center"/>
          </w:tcPr>
          <w:p w14:paraId="230C8400">
            <w:pPr>
              <w:spacing w:before="100" w:beforeAutospacing="1" w:after="100" w:afterAutospacing="1" w:line="440" w:lineRule="atLeast"/>
              <w:jc w:val="center"/>
              <w:rPr>
                <w:color w:val="auto"/>
                <w:highlight w:val="none"/>
              </w:rPr>
            </w:pPr>
            <w:r>
              <w:rPr>
                <w:color w:val="auto"/>
                <w:highlight w:val="none"/>
              </w:rPr>
              <w:t>证书名称</w:t>
            </w:r>
          </w:p>
        </w:tc>
        <w:tc>
          <w:tcPr>
            <w:tcW w:w="709" w:type="dxa"/>
            <w:vAlign w:val="center"/>
          </w:tcPr>
          <w:p w14:paraId="3D0D06F0">
            <w:pPr>
              <w:spacing w:before="100" w:beforeAutospacing="1" w:after="100" w:afterAutospacing="1" w:line="440" w:lineRule="atLeast"/>
              <w:jc w:val="center"/>
              <w:rPr>
                <w:color w:val="auto"/>
                <w:highlight w:val="none"/>
              </w:rPr>
            </w:pPr>
            <w:r>
              <w:rPr>
                <w:color w:val="auto"/>
                <w:highlight w:val="none"/>
              </w:rPr>
              <w:t>级别</w:t>
            </w:r>
          </w:p>
        </w:tc>
        <w:tc>
          <w:tcPr>
            <w:tcW w:w="871" w:type="dxa"/>
            <w:vAlign w:val="center"/>
          </w:tcPr>
          <w:p w14:paraId="560A3163">
            <w:pPr>
              <w:spacing w:before="100" w:beforeAutospacing="1" w:after="100" w:afterAutospacing="1" w:line="440" w:lineRule="atLeast"/>
              <w:jc w:val="center"/>
              <w:rPr>
                <w:color w:val="auto"/>
                <w:highlight w:val="none"/>
              </w:rPr>
            </w:pPr>
            <w:r>
              <w:rPr>
                <w:color w:val="auto"/>
                <w:highlight w:val="none"/>
              </w:rPr>
              <w:t>证号</w:t>
            </w:r>
          </w:p>
        </w:tc>
        <w:tc>
          <w:tcPr>
            <w:tcW w:w="1134" w:type="dxa"/>
            <w:vMerge w:val="continue"/>
            <w:vAlign w:val="center"/>
          </w:tcPr>
          <w:p w14:paraId="4BA109D6">
            <w:pPr>
              <w:spacing w:line="440" w:lineRule="atLeast"/>
              <w:jc w:val="center"/>
              <w:rPr>
                <w:color w:val="auto"/>
                <w:highlight w:val="none"/>
              </w:rPr>
            </w:pPr>
          </w:p>
        </w:tc>
      </w:tr>
      <w:tr w14:paraId="6F8D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33D708D1">
            <w:pPr>
              <w:spacing w:line="440" w:lineRule="atLeast"/>
              <w:jc w:val="center"/>
              <w:rPr>
                <w:color w:val="auto"/>
                <w:highlight w:val="none"/>
              </w:rPr>
            </w:pPr>
          </w:p>
        </w:tc>
        <w:tc>
          <w:tcPr>
            <w:tcW w:w="1275" w:type="dxa"/>
          </w:tcPr>
          <w:p w14:paraId="24968FDE">
            <w:pPr>
              <w:spacing w:line="440" w:lineRule="atLeast"/>
              <w:jc w:val="center"/>
              <w:rPr>
                <w:color w:val="auto"/>
                <w:highlight w:val="none"/>
              </w:rPr>
            </w:pPr>
          </w:p>
        </w:tc>
        <w:tc>
          <w:tcPr>
            <w:tcW w:w="901" w:type="dxa"/>
            <w:vAlign w:val="center"/>
          </w:tcPr>
          <w:p w14:paraId="79C61C90">
            <w:pPr>
              <w:spacing w:line="440" w:lineRule="atLeast"/>
              <w:jc w:val="center"/>
              <w:rPr>
                <w:color w:val="auto"/>
                <w:highlight w:val="none"/>
              </w:rPr>
            </w:pPr>
          </w:p>
        </w:tc>
        <w:tc>
          <w:tcPr>
            <w:tcW w:w="694" w:type="dxa"/>
            <w:vAlign w:val="center"/>
          </w:tcPr>
          <w:p w14:paraId="7FE57C05">
            <w:pPr>
              <w:spacing w:line="440" w:lineRule="atLeast"/>
              <w:jc w:val="center"/>
              <w:rPr>
                <w:color w:val="auto"/>
                <w:highlight w:val="none"/>
              </w:rPr>
            </w:pPr>
          </w:p>
        </w:tc>
        <w:tc>
          <w:tcPr>
            <w:tcW w:w="488" w:type="dxa"/>
            <w:vAlign w:val="center"/>
          </w:tcPr>
          <w:p w14:paraId="509AF1C5">
            <w:pPr>
              <w:spacing w:line="440" w:lineRule="atLeast"/>
              <w:jc w:val="center"/>
              <w:rPr>
                <w:color w:val="auto"/>
                <w:highlight w:val="none"/>
              </w:rPr>
            </w:pPr>
          </w:p>
        </w:tc>
        <w:tc>
          <w:tcPr>
            <w:tcW w:w="1134" w:type="dxa"/>
            <w:vAlign w:val="center"/>
          </w:tcPr>
          <w:p w14:paraId="5E3DEF45">
            <w:pPr>
              <w:spacing w:line="440" w:lineRule="atLeast"/>
              <w:jc w:val="center"/>
              <w:rPr>
                <w:color w:val="auto"/>
                <w:highlight w:val="none"/>
              </w:rPr>
            </w:pPr>
          </w:p>
        </w:tc>
        <w:tc>
          <w:tcPr>
            <w:tcW w:w="709" w:type="dxa"/>
            <w:vAlign w:val="center"/>
          </w:tcPr>
          <w:p w14:paraId="192B0543">
            <w:pPr>
              <w:spacing w:line="440" w:lineRule="atLeast"/>
              <w:jc w:val="center"/>
              <w:rPr>
                <w:color w:val="auto"/>
                <w:highlight w:val="none"/>
              </w:rPr>
            </w:pPr>
          </w:p>
        </w:tc>
        <w:tc>
          <w:tcPr>
            <w:tcW w:w="871" w:type="dxa"/>
            <w:vAlign w:val="center"/>
          </w:tcPr>
          <w:p w14:paraId="623467FD">
            <w:pPr>
              <w:spacing w:line="440" w:lineRule="atLeast"/>
              <w:jc w:val="center"/>
              <w:rPr>
                <w:color w:val="auto"/>
                <w:highlight w:val="none"/>
              </w:rPr>
            </w:pPr>
          </w:p>
        </w:tc>
        <w:tc>
          <w:tcPr>
            <w:tcW w:w="1134" w:type="dxa"/>
            <w:vAlign w:val="center"/>
          </w:tcPr>
          <w:p w14:paraId="1E7CD18A">
            <w:pPr>
              <w:spacing w:line="440" w:lineRule="atLeast"/>
              <w:jc w:val="center"/>
              <w:rPr>
                <w:color w:val="auto"/>
                <w:highlight w:val="none"/>
              </w:rPr>
            </w:pPr>
          </w:p>
        </w:tc>
      </w:tr>
      <w:tr w14:paraId="404D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0F7C22E">
            <w:pPr>
              <w:spacing w:line="440" w:lineRule="atLeast"/>
              <w:jc w:val="center"/>
              <w:rPr>
                <w:color w:val="auto"/>
                <w:highlight w:val="none"/>
              </w:rPr>
            </w:pPr>
          </w:p>
        </w:tc>
        <w:tc>
          <w:tcPr>
            <w:tcW w:w="1275" w:type="dxa"/>
          </w:tcPr>
          <w:p w14:paraId="570860E0">
            <w:pPr>
              <w:spacing w:line="440" w:lineRule="atLeast"/>
              <w:jc w:val="center"/>
              <w:rPr>
                <w:color w:val="auto"/>
                <w:highlight w:val="none"/>
              </w:rPr>
            </w:pPr>
          </w:p>
        </w:tc>
        <w:tc>
          <w:tcPr>
            <w:tcW w:w="901" w:type="dxa"/>
          </w:tcPr>
          <w:p w14:paraId="7729E686">
            <w:pPr>
              <w:spacing w:line="440" w:lineRule="atLeast"/>
              <w:jc w:val="center"/>
              <w:rPr>
                <w:color w:val="auto"/>
                <w:highlight w:val="none"/>
              </w:rPr>
            </w:pPr>
          </w:p>
        </w:tc>
        <w:tc>
          <w:tcPr>
            <w:tcW w:w="694" w:type="dxa"/>
          </w:tcPr>
          <w:p w14:paraId="48D776C2">
            <w:pPr>
              <w:spacing w:line="440" w:lineRule="atLeast"/>
              <w:jc w:val="center"/>
              <w:rPr>
                <w:color w:val="auto"/>
                <w:highlight w:val="none"/>
              </w:rPr>
            </w:pPr>
          </w:p>
        </w:tc>
        <w:tc>
          <w:tcPr>
            <w:tcW w:w="488" w:type="dxa"/>
          </w:tcPr>
          <w:p w14:paraId="2C572874">
            <w:pPr>
              <w:spacing w:line="440" w:lineRule="atLeast"/>
              <w:jc w:val="center"/>
              <w:rPr>
                <w:color w:val="auto"/>
                <w:highlight w:val="none"/>
              </w:rPr>
            </w:pPr>
          </w:p>
        </w:tc>
        <w:tc>
          <w:tcPr>
            <w:tcW w:w="1134" w:type="dxa"/>
          </w:tcPr>
          <w:p w14:paraId="4E70D3BF">
            <w:pPr>
              <w:spacing w:line="440" w:lineRule="atLeast"/>
              <w:jc w:val="center"/>
              <w:rPr>
                <w:color w:val="auto"/>
                <w:highlight w:val="none"/>
              </w:rPr>
            </w:pPr>
          </w:p>
        </w:tc>
        <w:tc>
          <w:tcPr>
            <w:tcW w:w="709" w:type="dxa"/>
          </w:tcPr>
          <w:p w14:paraId="0ED564E6">
            <w:pPr>
              <w:spacing w:line="440" w:lineRule="atLeast"/>
              <w:jc w:val="center"/>
              <w:rPr>
                <w:color w:val="auto"/>
                <w:highlight w:val="none"/>
              </w:rPr>
            </w:pPr>
          </w:p>
        </w:tc>
        <w:tc>
          <w:tcPr>
            <w:tcW w:w="871" w:type="dxa"/>
          </w:tcPr>
          <w:p w14:paraId="4F4DB304">
            <w:pPr>
              <w:spacing w:line="440" w:lineRule="atLeast"/>
              <w:jc w:val="center"/>
              <w:rPr>
                <w:color w:val="auto"/>
                <w:highlight w:val="none"/>
              </w:rPr>
            </w:pPr>
          </w:p>
        </w:tc>
        <w:tc>
          <w:tcPr>
            <w:tcW w:w="1134" w:type="dxa"/>
          </w:tcPr>
          <w:p w14:paraId="2F08F8CB">
            <w:pPr>
              <w:spacing w:line="440" w:lineRule="atLeast"/>
              <w:jc w:val="center"/>
              <w:rPr>
                <w:color w:val="auto"/>
                <w:highlight w:val="none"/>
              </w:rPr>
            </w:pPr>
          </w:p>
        </w:tc>
      </w:tr>
      <w:tr w14:paraId="4967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3058FED">
            <w:pPr>
              <w:spacing w:line="440" w:lineRule="atLeast"/>
              <w:jc w:val="center"/>
              <w:rPr>
                <w:color w:val="auto"/>
                <w:highlight w:val="none"/>
              </w:rPr>
            </w:pPr>
          </w:p>
        </w:tc>
        <w:tc>
          <w:tcPr>
            <w:tcW w:w="1275" w:type="dxa"/>
          </w:tcPr>
          <w:p w14:paraId="3924C958">
            <w:pPr>
              <w:spacing w:line="440" w:lineRule="atLeast"/>
              <w:jc w:val="center"/>
              <w:rPr>
                <w:color w:val="auto"/>
                <w:highlight w:val="none"/>
              </w:rPr>
            </w:pPr>
          </w:p>
        </w:tc>
        <w:tc>
          <w:tcPr>
            <w:tcW w:w="901" w:type="dxa"/>
          </w:tcPr>
          <w:p w14:paraId="55CA0C47">
            <w:pPr>
              <w:spacing w:line="440" w:lineRule="atLeast"/>
              <w:jc w:val="center"/>
              <w:rPr>
                <w:color w:val="auto"/>
                <w:highlight w:val="none"/>
              </w:rPr>
            </w:pPr>
          </w:p>
        </w:tc>
        <w:tc>
          <w:tcPr>
            <w:tcW w:w="694" w:type="dxa"/>
          </w:tcPr>
          <w:p w14:paraId="35254A24">
            <w:pPr>
              <w:spacing w:line="440" w:lineRule="atLeast"/>
              <w:jc w:val="center"/>
              <w:rPr>
                <w:color w:val="auto"/>
                <w:highlight w:val="none"/>
              </w:rPr>
            </w:pPr>
          </w:p>
        </w:tc>
        <w:tc>
          <w:tcPr>
            <w:tcW w:w="488" w:type="dxa"/>
          </w:tcPr>
          <w:p w14:paraId="65919B22">
            <w:pPr>
              <w:spacing w:line="440" w:lineRule="atLeast"/>
              <w:jc w:val="center"/>
              <w:rPr>
                <w:color w:val="auto"/>
                <w:highlight w:val="none"/>
              </w:rPr>
            </w:pPr>
          </w:p>
        </w:tc>
        <w:tc>
          <w:tcPr>
            <w:tcW w:w="1134" w:type="dxa"/>
          </w:tcPr>
          <w:p w14:paraId="0E23730E">
            <w:pPr>
              <w:spacing w:line="440" w:lineRule="atLeast"/>
              <w:jc w:val="center"/>
              <w:rPr>
                <w:color w:val="auto"/>
                <w:highlight w:val="none"/>
              </w:rPr>
            </w:pPr>
          </w:p>
        </w:tc>
        <w:tc>
          <w:tcPr>
            <w:tcW w:w="709" w:type="dxa"/>
          </w:tcPr>
          <w:p w14:paraId="3069FE3F">
            <w:pPr>
              <w:spacing w:line="440" w:lineRule="atLeast"/>
              <w:jc w:val="center"/>
              <w:rPr>
                <w:color w:val="auto"/>
                <w:highlight w:val="none"/>
              </w:rPr>
            </w:pPr>
          </w:p>
        </w:tc>
        <w:tc>
          <w:tcPr>
            <w:tcW w:w="871" w:type="dxa"/>
          </w:tcPr>
          <w:p w14:paraId="244D3769">
            <w:pPr>
              <w:spacing w:line="440" w:lineRule="atLeast"/>
              <w:jc w:val="center"/>
              <w:rPr>
                <w:color w:val="auto"/>
                <w:highlight w:val="none"/>
              </w:rPr>
            </w:pPr>
          </w:p>
        </w:tc>
        <w:tc>
          <w:tcPr>
            <w:tcW w:w="1134" w:type="dxa"/>
          </w:tcPr>
          <w:p w14:paraId="0F876DFD">
            <w:pPr>
              <w:spacing w:line="440" w:lineRule="atLeast"/>
              <w:jc w:val="center"/>
              <w:rPr>
                <w:color w:val="auto"/>
                <w:highlight w:val="none"/>
              </w:rPr>
            </w:pPr>
          </w:p>
        </w:tc>
      </w:tr>
      <w:tr w14:paraId="180A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D5114AB">
            <w:pPr>
              <w:spacing w:line="440" w:lineRule="atLeast"/>
              <w:jc w:val="center"/>
              <w:rPr>
                <w:color w:val="auto"/>
                <w:highlight w:val="none"/>
              </w:rPr>
            </w:pPr>
          </w:p>
        </w:tc>
        <w:tc>
          <w:tcPr>
            <w:tcW w:w="1275" w:type="dxa"/>
          </w:tcPr>
          <w:p w14:paraId="7E07309E">
            <w:pPr>
              <w:spacing w:line="440" w:lineRule="atLeast"/>
              <w:jc w:val="center"/>
              <w:rPr>
                <w:color w:val="auto"/>
                <w:highlight w:val="none"/>
              </w:rPr>
            </w:pPr>
          </w:p>
        </w:tc>
        <w:tc>
          <w:tcPr>
            <w:tcW w:w="901" w:type="dxa"/>
          </w:tcPr>
          <w:p w14:paraId="4B88ECD3">
            <w:pPr>
              <w:spacing w:line="440" w:lineRule="atLeast"/>
              <w:jc w:val="center"/>
              <w:rPr>
                <w:color w:val="auto"/>
                <w:highlight w:val="none"/>
              </w:rPr>
            </w:pPr>
          </w:p>
        </w:tc>
        <w:tc>
          <w:tcPr>
            <w:tcW w:w="694" w:type="dxa"/>
          </w:tcPr>
          <w:p w14:paraId="0DDA6F54">
            <w:pPr>
              <w:spacing w:line="440" w:lineRule="atLeast"/>
              <w:jc w:val="center"/>
              <w:rPr>
                <w:color w:val="auto"/>
                <w:highlight w:val="none"/>
              </w:rPr>
            </w:pPr>
          </w:p>
        </w:tc>
        <w:tc>
          <w:tcPr>
            <w:tcW w:w="488" w:type="dxa"/>
          </w:tcPr>
          <w:p w14:paraId="6608F8CC">
            <w:pPr>
              <w:spacing w:line="440" w:lineRule="atLeast"/>
              <w:jc w:val="center"/>
              <w:rPr>
                <w:color w:val="auto"/>
                <w:highlight w:val="none"/>
              </w:rPr>
            </w:pPr>
          </w:p>
        </w:tc>
        <w:tc>
          <w:tcPr>
            <w:tcW w:w="1134" w:type="dxa"/>
          </w:tcPr>
          <w:p w14:paraId="464F0FC6">
            <w:pPr>
              <w:spacing w:line="440" w:lineRule="atLeast"/>
              <w:jc w:val="center"/>
              <w:rPr>
                <w:color w:val="auto"/>
                <w:highlight w:val="none"/>
              </w:rPr>
            </w:pPr>
          </w:p>
        </w:tc>
        <w:tc>
          <w:tcPr>
            <w:tcW w:w="709" w:type="dxa"/>
          </w:tcPr>
          <w:p w14:paraId="653CFA5A">
            <w:pPr>
              <w:spacing w:line="440" w:lineRule="atLeast"/>
              <w:jc w:val="center"/>
              <w:rPr>
                <w:color w:val="auto"/>
                <w:highlight w:val="none"/>
              </w:rPr>
            </w:pPr>
          </w:p>
        </w:tc>
        <w:tc>
          <w:tcPr>
            <w:tcW w:w="871" w:type="dxa"/>
          </w:tcPr>
          <w:p w14:paraId="3574F479">
            <w:pPr>
              <w:spacing w:line="440" w:lineRule="atLeast"/>
              <w:jc w:val="center"/>
              <w:rPr>
                <w:color w:val="auto"/>
                <w:highlight w:val="none"/>
              </w:rPr>
            </w:pPr>
          </w:p>
        </w:tc>
        <w:tc>
          <w:tcPr>
            <w:tcW w:w="1134" w:type="dxa"/>
          </w:tcPr>
          <w:p w14:paraId="3C3F5116">
            <w:pPr>
              <w:spacing w:line="440" w:lineRule="atLeast"/>
              <w:jc w:val="center"/>
              <w:rPr>
                <w:color w:val="auto"/>
                <w:highlight w:val="none"/>
              </w:rPr>
            </w:pPr>
          </w:p>
        </w:tc>
      </w:tr>
      <w:tr w14:paraId="7AE2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079C37E">
            <w:pPr>
              <w:spacing w:line="440" w:lineRule="atLeast"/>
              <w:jc w:val="center"/>
              <w:rPr>
                <w:color w:val="auto"/>
                <w:highlight w:val="none"/>
              </w:rPr>
            </w:pPr>
          </w:p>
        </w:tc>
        <w:tc>
          <w:tcPr>
            <w:tcW w:w="1275" w:type="dxa"/>
          </w:tcPr>
          <w:p w14:paraId="4DC7CB5E">
            <w:pPr>
              <w:spacing w:line="440" w:lineRule="atLeast"/>
              <w:jc w:val="center"/>
              <w:rPr>
                <w:color w:val="auto"/>
                <w:highlight w:val="none"/>
              </w:rPr>
            </w:pPr>
          </w:p>
        </w:tc>
        <w:tc>
          <w:tcPr>
            <w:tcW w:w="901" w:type="dxa"/>
          </w:tcPr>
          <w:p w14:paraId="4D13A501">
            <w:pPr>
              <w:spacing w:line="440" w:lineRule="atLeast"/>
              <w:jc w:val="center"/>
              <w:rPr>
                <w:color w:val="auto"/>
                <w:highlight w:val="none"/>
              </w:rPr>
            </w:pPr>
          </w:p>
        </w:tc>
        <w:tc>
          <w:tcPr>
            <w:tcW w:w="694" w:type="dxa"/>
          </w:tcPr>
          <w:p w14:paraId="43AAB158">
            <w:pPr>
              <w:spacing w:line="440" w:lineRule="atLeast"/>
              <w:jc w:val="center"/>
              <w:rPr>
                <w:color w:val="auto"/>
                <w:highlight w:val="none"/>
              </w:rPr>
            </w:pPr>
          </w:p>
        </w:tc>
        <w:tc>
          <w:tcPr>
            <w:tcW w:w="488" w:type="dxa"/>
          </w:tcPr>
          <w:p w14:paraId="2023A67F">
            <w:pPr>
              <w:spacing w:line="440" w:lineRule="atLeast"/>
              <w:jc w:val="center"/>
              <w:rPr>
                <w:color w:val="auto"/>
                <w:highlight w:val="none"/>
              </w:rPr>
            </w:pPr>
          </w:p>
        </w:tc>
        <w:tc>
          <w:tcPr>
            <w:tcW w:w="1134" w:type="dxa"/>
          </w:tcPr>
          <w:p w14:paraId="27D80457">
            <w:pPr>
              <w:spacing w:line="440" w:lineRule="atLeast"/>
              <w:jc w:val="center"/>
              <w:rPr>
                <w:color w:val="auto"/>
                <w:highlight w:val="none"/>
              </w:rPr>
            </w:pPr>
          </w:p>
        </w:tc>
        <w:tc>
          <w:tcPr>
            <w:tcW w:w="709" w:type="dxa"/>
          </w:tcPr>
          <w:p w14:paraId="717E05A7">
            <w:pPr>
              <w:spacing w:line="440" w:lineRule="atLeast"/>
              <w:jc w:val="center"/>
              <w:rPr>
                <w:color w:val="auto"/>
                <w:highlight w:val="none"/>
              </w:rPr>
            </w:pPr>
          </w:p>
        </w:tc>
        <w:tc>
          <w:tcPr>
            <w:tcW w:w="871" w:type="dxa"/>
          </w:tcPr>
          <w:p w14:paraId="2C82266B">
            <w:pPr>
              <w:spacing w:line="440" w:lineRule="atLeast"/>
              <w:jc w:val="center"/>
              <w:rPr>
                <w:color w:val="auto"/>
                <w:highlight w:val="none"/>
              </w:rPr>
            </w:pPr>
          </w:p>
        </w:tc>
        <w:tc>
          <w:tcPr>
            <w:tcW w:w="1134" w:type="dxa"/>
          </w:tcPr>
          <w:p w14:paraId="44D19C15">
            <w:pPr>
              <w:spacing w:line="440" w:lineRule="atLeast"/>
              <w:jc w:val="center"/>
              <w:rPr>
                <w:color w:val="auto"/>
                <w:highlight w:val="none"/>
              </w:rPr>
            </w:pPr>
          </w:p>
        </w:tc>
      </w:tr>
      <w:tr w14:paraId="4CBD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645DF189">
            <w:pPr>
              <w:spacing w:line="440" w:lineRule="atLeast"/>
              <w:jc w:val="center"/>
              <w:rPr>
                <w:color w:val="auto"/>
                <w:highlight w:val="none"/>
              </w:rPr>
            </w:pPr>
          </w:p>
        </w:tc>
        <w:tc>
          <w:tcPr>
            <w:tcW w:w="1275" w:type="dxa"/>
          </w:tcPr>
          <w:p w14:paraId="2440A15C">
            <w:pPr>
              <w:spacing w:line="440" w:lineRule="atLeast"/>
              <w:jc w:val="center"/>
              <w:rPr>
                <w:color w:val="auto"/>
                <w:highlight w:val="none"/>
              </w:rPr>
            </w:pPr>
          </w:p>
        </w:tc>
        <w:tc>
          <w:tcPr>
            <w:tcW w:w="901" w:type="dxa"/>
          </w:tcPr>
          <w:p w14:paraId="55E0DC63">
            <w:pPr>
              <w:spacing w:line="440" w:lineRule="atLeast"/>
              <w:jc w:val="center"/>
              <w:rPr>
                <w:color w:val="auto"/>
                <w:highlight w:val="none"/>
              </w:rPr>
            </w:pPr>
          </w:p>
        </w:tc>
        <w:tc>
          <w:tcPr>
            <w:tcW w:w="694" w:type="dxa"/>
          </w:tcPr>
          <w:p w14:paraId="7D05CADF">
            <w:pPr>
              <w:spacing w:line="440" w:lineRule="atLeast"/>
              <w:jc w:val="center"/>
              <w:rPr>
                <w:color w:val="auto"/>
                <w:highlight w:val="none"/>
              </w:rPr>
            </w:pPr>
          </w:p>
        </w:tc>
        <w:tc>
          <w:tcPr>
            <w:tcW w:w="488" w:type="dxa"/>
          </w:tcPr>
          <w:p w14:paraId="727E0EFE">
            <w:pPr>
              <w:spacing w:line="440" w:lineRule="atLeast"/>
              <w:jc w:val="center"/>
              <w:rPr>
                <w:color w:val="auto"/>
                <w:highlight w:val="none"/>
              </w:rPr>
            </w:pPr>
          </w:p>
        </w:tc>
        <w:tc>
          <w:tcPr>
            <w:tcW w:w="1134" w:type="dxa"/>
          </w:tcPr>
          <w:p w14:paraId="09180451">
            <w:pPr>
              <w:spacing w:line="440" w:lineRule="atLeast"/>
              <w:jc w:val="center"/>
              <w:rPr>
                <w:color w:val="auto"/>
                <w:highlight w:val="none"/>
              </w:rPr>
            </w:pPr>
          </w:p>
        </w:tc>
        <w:tc>
          <w:tcPr>
            <w:tcW w:w="709" w:type="dxa"/>
          </w:tcPr>
          <w:p w14:paraId="2E536C31">
            <w:pPr>
              <w:spacing w:line="440" w:lineRule="atLeast"/>
              <w:jc w:val="center"/>
              <w:rPr>
                <w:color w:val="auto"/>
                <w:highlight w:val="none"/>
              </w:rPr>
            </w:pPr>
          </w:p>
        </w:tc>
        <w:tc>
          <w:tcPr>
            <w:tcW w:w="871" w:type="dxa"/>
          </w:tcPr>
          <w:p w14:paraId="5C0DC302">
            <w:pPr>
              <w:spacing w:line="440" w:lineRule="atLeast"/>
              <w:jc w:val="center"/>
              <w:rPr>
                <w:color w:val="auto"/>
                <w:highlight w:val="none"/>
              </w:rPr>
            </w:pPr>
          </w:p>
        </w:tc>
        <w:tc>
          <w:tcPr>
            <w:tcW w:w="1134" w:type="dxa"/>
          </w:tcPr>
          <w:p w14:paraId="11EEBEB3">
            <w:pPr>
              <w:spacing w:line="440" w:lineRule="atLeast"/>
              <w:jc w:val="center"/>
              <w:rPr>
                <w:color w:val="auto"/>
                <w:highlight w:val="none"/>
              </w:rPr>
            </w:pPr>
          </w:p>
        </w:tc>
      </w:tr>
      <w:tr w14:paraId="18B0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6EE10FB">
            <w:pPr>
              <w:spacing w:line="440" w:lineRule="atLeast"/>
              <w:jc w:val="center"/>
              <w:rPr>
                <w:color w:val="auto"/>
                <w:highlight w:val="none"/>
              </w:rPr>
            </w:pPr>
          </w:p>
        </w:tc>
        <w:tc>
          <w:tcPr>
            <w:tcW w:w="1275" w:type="dxa"/>
          </w:tcPr>
          <w:p w14:paraId="7BF79B2C">
            <w:pPr>
              <w:spacing w:line="440" w:lineRule="atLeast"/>
              <w:jc w:val="center"/>
              <w:rPr>
                <w:color w:val="auto"/>
                <w:highlight w:val="none"/>
              </w:rPr>
            </w:pPr>
          </w:p>
        </w:tc>
        <w:tc>
          <w:tcPr>
            <w:tcW w:w="901" w:type="dxa"/>
          </w:tcPr>
          <w:p w14:paraId="4BE6535D">
            <w:pPr>
              <w:spacing w:line="440" w:lineRule="atLeast"/>
              <w:jc w:val="center"/>
              <w:rPr>
                <w:color w:val="auto"/>
                <w:highlight w:val="none"/>
              </w:rPr>
            </w:pPr>
          </w:p>
        </w:tc>
        <w:tc>
          <w:tcPr>
            <w:tcW w:w="694" w:type="dxa"/>
          </w:tcPr>
          <w:p w14:paraId="461B9CED">
            <w:pPr>
              <w:spacing w:line="440" w:lineRule="atLeast"/>
              <w:jc w:val="center"/>
              <w:rPr>
                <w:color w:val="auto"/>
                <w:highlight w:val="none"/>
              </w:rPr>
            </w:pPr>
          </w:p>
        </w:tc>
        <w:tc>
          <w:tcPr>
            <w:tcW w:w="488" w:type="dxa"/>
          </w:tcPr>
          <w:p w14:paraId="1D4D74E3">
            <w:pPr>
              <w:spacing w:line="440" w:lineRule="atLeast"/>
              <w:jc w:val="center"/>
              <w:rPr>
                <w:color w:val="auto"/>
                <w:highlight w:val="none"/>
              </w:rPr>
            </w:pPr>
          </w:p>
        </w:tc>
        <w:tc>
          <w:tcPr>
            <w:tcW w:w="1134" w:type="dxa"/>
          </w:tcPr>
          <w:p w14:paraId="1603FB6F">
            <w:pPr>
              <w:spacing w:line="440" w:lineRule="atLeast"/>
              <w:jc w:val="center"/>
              <w:rPr>
                <w:color w:val="auto"/>
                <w:highlight w:val="none"/>
              </w:rPr>
            </w:pPr>
          </w:p>
        </w:tc>
        <w:tc>
          <w:tcPr>
            <w:tcW w:w="709" w:type="dxa"/>
          </w:tcPr>
          <w:p w14:paraId="6B1025C0">
            <w:pPr>
              <w:spacing w:line="440" w:lineRule="atLeast"/>
              <w:jc w:val="center"/>
              <w:rPr>
                <w:color w:val="auto"/>
                <w:highlight w:val="none"/>
              </w:rPr>
            </w:pPr>
          </w:p>
        </w:tc>
        <w:tc>
          <w:tcPr>
            <w:tcW w:w="871" w:type="dxa"/>
          </w:tcPr>
          <w:p w14:paraId="13AE2978">
            <w:pPr>
              <w:spacing w:line="440" w:lineRule="atLeast"/>
              <w:jc w:val="center"/>
              <w:rPr>
                <w:color w:val="auto"/>
                <w:highlight w:val="none"/>
              </w:rPr>
            </w:pPr>
          </w:p>
        </w:tc>
        <w:tc>
          <w:tcPr>
            <w:tcW w:w="1134" w:type="dxa"/>
          </w:tcPr>
          <w:p w14:paraId="343AE6C0">
            <w:pPr>
              <w:spacing w:line="440" w:lineRule="atLeast"/>
              <w:jc w:val="center"/>
              <w:rPr>
                <w:color w:val="auto"/>
                <w:highlight w:val="none"/>
              </w:rPr>
            </w:pPr>
          </w:p>
        </w:tc>
      </w:tr>
      <w:tr w14:paraId="1FB2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DA111D2">
            <w:pPr>
              <w:spacing w:line="440" w:lineRule="atLeast"/>
              <w:jc w:val="center"/>
              <w:rPr>
                <w:color w:val="auto"/>
                <w:highlight w:val="none"/>
              </w:rPr>
            </w:pPr>
          </w:p>
        </w:tc>
        <w:tc>
          <w:tcPr>
            <w:tcW w:w="1275" w:type="dxa"/>
          </w:tcPr>
          <w:p w14:paraId="6480BEE7">
            <w:pPr>
              <w:spacing w:line="440" w:lineRule="atLeast"/>
              <w:jc w:val="center"/>
              <w:rPr>
                <w:color w:val="auto"/>
                <w:highlight w:val="none"/>
              </w:rPr>
            </w:pPr>
          </w:p>
        </w:tc>
        <w:tc>
          <w:tcPr>
            <w:tcW w:w="901" w:type="dxa"/>
          </w:tcPr>
          <w:p w14:paraId="0E77D437">
            <w:pPr>
              <w:spacing w:line="440" w:lineRule="atLeast"/>
              <w:jc w:val="center"/>
              <w:rPr>
                <w:color w:val="auto"/>
                <w:highlight w:val="none"/>
              </w:rPr>
            </w:pPr>
          </w:p>
        </w:tc>
        <w:tc>
          <w:tcPr>
            <w:tcW w:w="694" w:type="dxa"/>
          </w:tcPr>
          <w:p w14:paraId="3F174D79">
            <w:pPr>
              <w:spacing w:line="440" w:lineRule="atLeast"/>
              <w:jc w:val="center"/>
              <w:rPr>
                <w:color w:val="auto"/>
                <w:highlight w:val="none"/>
              </w:rPr>
            </w:pPr>
          </w:p>
        </w:tc>
        <w:tc>
          <w:tcPr>
            <w:tcW w:w="488" w:type="dxa"/>
          </w:tcPr>
          <w:p w14:paraId="2965ECCE">
            <w:pPr>
              <w:spacing w:line="440" w:lineRule="atLeast"/>
              <w:jc w:val="center"/>
              <w:rPr>
                <w:color w:val="auto"/>
                <w:highlight w:val="none"/>
              </w:rPr>
            </w:pPr>
          </w:p>
        </w:tc>
        <w:tc>
          <w:tcPr>
            <w:tcW w:w="1134" w:type="dxa"/>
          </w:tcPr>
          <w:p w14:paraId="2CD883C2">
            <w:pPr>
              <w:spacing w:line="440" w:lineRule="atLeast"/>
              <w:jc w:val="center"/>
              <w:rPr>
                <w:color w:val="auto"/>
                <w:highlight w:val="none"/>
              </w:rPr>
            </w:pPr>
          </w:p>
        </w:tc>
        <w:tc>
          <w:tcPr>
            <w:tcW w:w="709" w:type="dxa"/>
          </w:tcPr>
          <w:p w14:paraId="603F01FE">
            <w:pPr>
              <w:spacing w:line="440" w:lineRule="atLeast"/>
              <w:jc w:val="center"/>
              <w:rPr>
                <w:color w:val="auto"/>
                <w:highlight w:val="none"/>
              </w:rPr>
            </w:pPr>
          </w:p>
        </w:tc>
        <w:tc>
          <w:tcPr>
            <w:tcW w:w="871" w:type="dxa"/>
          </w:tcPr>
          <w:p w14:paraId="342DE36B">
            <w:pPr>
              <w:spacing w:line="440" w:lineRule="atLeast"/>
              <w:jc w:val="center"/>
              <w:rPr>
                <w:color w:val="auto"/>
                <w:highlight w:val="none"/>
              </w:rPr>
            </w:pPr>
          </w:p>
        </w:tc>
        <w:tc>
          <w:tcPr>
            <w:tcW w:w="1134" w:type="dxa"/>
          </w:tcPr>
          <w:p w14:paraId="7D82F5DD">
            <w:pPr>
              <w:spacing w:line="440" w:lineRule="atLeast"/>
              <w:jc w:val="center"/>
              <w:rPr>
                <w:color w:val="auto"/>
                <w:highlight w:val="none"/>
              </w:rPr>
            </w:pPr>
          </w:p>
        </w:tc>
      </w:tr>
      <w:tr w14:paraId="5894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AA08A4A">
            <w:pPr>
              <w:spacing w:line="440" w:lineRule="atLeast"/>
              <w:jc w:val="center"/>
              <w:rPr>
                <w:color w:val="auto"/>
                <w:highlight w:val="none"/>
              </w:rPr>
            </w:pPr>
          </w:p>
        </w:tc>
        <w:tc>
          <w:tcPr>
            <w:tcW w:w="1275" w:type="dxa"/>
          </w:tcPr>
          <w:p w14:paraId="0BC0DD8F">
            <w:pPr>
              <w:spacing w:line="440" w:lineRule="atLeast"/>
              <w:jc w:val="center"/>
              <w:rPr>
                <w:color w:val="auto"/>
                <w:highlight w:val="none"/>
              </w:rPr>
            </w:pPr>
          </w:p>
        </w:tc>
        <w:tc>
          <w:tcPr>
            <w:tcW w:w="901" w:type="dxa"/>
          </w:tcPr>
          <w:p w14:paraId="2DA12AD9">
            <w:pPr>
              <w:spacing w:line="440" w:lineRule="atLeast"/>
              <w:jc w:val="center"/>
              <w:rPr>
                <w:color w:val="auto"/>
                <w:highlight w:val="none"/>
              </w:rPr>
            </w:pPr>
          </w:p>
        </w:tc>
        <w:tc>
          <w:tcPr>
            <w:tcW w:w="694" w:type="dxa"/>
          </w:tcPr>
          <w:p w14:paraId="5E4D5854">
            <w:pPr>
              <w:spacing w:line="440" w:lineRule="atLeast"/>
              <w:jc w:val="center"/>
              <w:rPr>
                <w:color w:val="auto"/>
                <w:highlight w:val="none"/>
              </w:rPr>
            </w:pPr>
          </w:p>
        </w:tc>
        <w:tc>
          <w:tcPr>
            <w:tcW w:w="488" w:type="dxa"/>
          </w:tcPr>
          <w:p w14:paraId="2795486D">
            <w:pPr>
              <w:spacing w:line="440" w:lineRule="atLeast"/>
              <w:jc w:val="center"/>
              <w:rPr>
                <w:color w:val="auto"/>
                <w:highlight w:val="none"/>
              </w:rPr>
            </w:pPr>
          </w:p>
        </w:tc>
        <w:tc>
          <w:tcPr>
            <w:tcW w:w="1134" w:type="dxa"/>
          </w:tcPr>
          <w:p w14:paraId="6FF4C77A">
            <w:pPr>
              <w:spacing w:line="440" w:lineRule="atLeast"/>
              <w:jc w:val="center"/>
              <w:rPr>
                <w:color w:val="auto"/>
                <w:highlight w:val="none"/>
              </w:rPr>
            </w:pPr>
          </w:p>
        </w:tc>
        <w:tc>
          <w:tcPr>
            <w:tcW w:w="709" w:type="dxa"/>
          </w:tcPr>
          <w:p w14:paraId="251A0BE9">
            <w:pPr>
              <w:spacing w:line="440" w:lineRule="atLeast"/>
              <w:jc w:val="center"/>
              <w:rPr>
                <w:color w:val="auto"/>
                <w:highlight w:val="none"/>
              </w:rPr>
            </w:pPr>
          </w:p>
        </w:tc>
        <w:tc>
          <w:tcPr>
            <w:tcW w:w="871" w:type="dxa"/>
          </w:tcPr>
          <w:p w14:paraId="2F63FF6A">
            <w:pPr>
              <w:spacing w:line="440" w:lineRule="atLeast"/>
              <w:jc w:val="center"/>
              <w:rPr>
                <w:color w:val="auto"/>
                <w:highlight w:val="none"/>
              </w:rPr>
            </w:pPr>
          </w:p>
        </w:tc>
        <w:tc>
          <w:tcPr>
            <w:tcW w:w="1134" w:type="dxa"/>
          </w:tcPr>
          <w:p w14:paraId="6D9E265C">
            <w:pPr>
              <w:spacing w:line="440" w:lineRule="atLeast"/>
              <w:jc w:val="center"/>
              <w:rPr>
                <w:color w:val="auto"/>
                <w:highlight w:val="none"/>
              </w:rPr>
            </w:pPr>
          </w:p>
        </w:tc>
      </w:tr>
      <w:tr w14:paraId="5CA6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2C7203D">
            <w:pPr>
              <w:spacing w:line="440" w:lineRule="atLeast"/>
              <w:jc w:val="center"/>
              <w:rPr>
                <w:color w:val="auto"/>
                <w:highlight w:val="none"/>
              </w:rPr>
            </w:pPr>
          </w:p>
        </w:tc>
        <w:tc>
          <w:tcPr>
            <w:tcW w:w="1275" w:type="dxa"/>
          </w:tcPr>
          <w:p w14:paraId="049DBBBF">
            <w:pPr>
              <w:spacing w:line="440" w:lineRule="atLeast"/>
              <w:jc w:val="center"/>
              <w:rPr>
                <w:color w:val="auto"/>
                <w:highlight w:val="none"/>
              </w:rPr>
            </w:pPr>
          </w:p>
        </w:tc>
        <w:tc>
          <w:tcPr>
            <w:tcW w:w="901" w:type="dxa"/>
          </w:tcPr>
          <w:p w14:paraId="675F7239">
            <w:pPr>
              <w:spacing w:line="440" w:lineRule="atLeast"/>
              <w:jc w:val="center"/>
              <w:rPr>
                <w:color w:val="auto"/>
                <w:highlight w:val="none"/>
              </w:rPr>
            </w:pPr>
          </w:p>
        </w:tc>
        <w:tc>
          <w:tcPr>
            <w:tcW w:w="694" w:type="dxa"/>
          </w:tcPr>
          <w:p w14:paraId="41A67F86">
            <w:pPr>
              <w:spacing w:line="440" w:lineRule="atLeast"/>
              <w:jc w:val="center"/>
              <w:rPr>
                <w:color w:val="auto"/>
                <w:highlight w:val="none"/>
              </w:rPr>
            </w:pPr>
          </w:p>
        </w:tc>
        <w:tc>
          <w:tcPr>
            <w:tcW w:w="488" w:type="dxa"/>
          </w:tcPr>
          <w:p w14:paraId="5619D8F1">
            <w:pPr>
              <w:spacing w:line="440" w:lineRule="atLeast"/>
              <w:jc w:val="center"/>
              <w:rPr>
                <w:color w:val="auto"/>
                <w:highlight w:val="none"/>
              </w:rPr>
            </w:pPr>
          </w:p>
        </w:tc>
        <w:tc>
          <w:tcPr>
            <w:tcW w:w="1134" w:type="dxa"/>
          </w:tcPr>
          <w:p w14:paraId="4C8DAB87">
            <w:pPr>
              <w:spacing w:line="440" w:lineRule="atLeast"/>
              <w:jc w:val="center"/>
              <w:rPr>
                <w:color w:val="auto"/>
                <w:highlight w:val="none"/>
              </w:rPr>
            </w:pPr>
          </w:p>
        </w:tc>
        <w:tc>
          <w:tcPr>
            <w:tcW w:w="709" w:type="dxa"/>
          </w:tcPr>
          <w:p w14:paraId="6A3A1301">
            <w:pPr>
              <w:spacing w:line="440" w:lineRule="atLeast"/>
              <w:jc w:val="center"/>
              <w:rPr>
                <w:color w:val="auto"/>
                <w:highlight w:val="none"/>
              </w:rPr>
            </w:pPr>
          </w:p>
        </w:tc>
        <w:tc>
          <w:tcPr>
            <w:tcW w:w="871" w:type="dxa"/>
          </w:tcPr>
          <w:p w14:paraId="4EE5EAC1">
            <w:pPr>
              <w:spacing w:line="440" w:lineRule="atLeast"/>
              <w:jc w:val="center"/>
              <w:rPr>
                <w:color w:val="auto"/>
                <w:highlight w:val="none"/>
              </w:rPr>
            </w:pPr>
          </w:p>
        </w:tc>
        <w:tc>
          <w:tcPr>
            <w:tcW w:w="1134" w:type="dxa"/>
          </w:tcPr>
          <w:p w14:paraId="09EDAB97">
            <w:pPr>
              <w:spacing w:line="440" w:lineRule="atLeast"/>
              <w:jc w:val="center"/>
              <w:rPr>
                <w:color w:val="auto"/>
                <w:highlight w:val="none"/>
              </w:rPr>
            </w:pPr>
          </w:p>
        </w:tc>
      </w:tr>
      <w:tr w14:paraId="18CA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D032588">
            <w:pPr>
              <w:spacing w:line="440" w:lineRule="atLeast"/>
              <w:jc w:val="center"/>
              <w:rPr>
                <w:color w:val="auto"/>
                <w:highlight w:val="none"/>
              </w:rPr>
            </w:pPr>
          </w:p>
        </w:tc>
        <w:tc>
          <w:tcPr>
            <w:tcW w:w="1275" w:type="dxa"/>
          </w:tcPr>
          <w:p w14:paraId="220D7F7F">
            <w:pPr>
              <w:spacing w:line="440" w:lineRule="atLeast"/>
              <w:jc w:val="center"/>
              <w:rPr>
                <w:color w:val="auto"/>
                <w:highlight w:val="none"/>
              </w:rPr>
            </w:pPr>
          </w:p>
        </w:tc>
        <w:tc>
          <w:tcPr>
            <w:tcW w:w="901" w:type="dxa"/>
          </w:tcPr>
          <w:p w14:paraId="5FA5CC23">
            <w:pPr>
              <w:spacing w:line="440" w:lineRule="atLeast"/>
              <w:jc w:val="center"/>
              <w:rPr>
                <w:color w:val="auto"/>
                <w:highlight w:val="none"/>
              </w:rPr>
            </w:pPr>
          </w:p>
        </w:tc>
        <w:tc>
          <w:tcPr>
            <w:tcW w:w="694" w:type="dxa"/>
          </w:tcPr>
          <w:p w14:paraId="382F8CE7">
            <w:pPr>
              <w:spacing w:line="440" w:lineRule="atLeast"/>
              <w:jc w:val="center"/>
              <w:rPr>
                <w:color w:val="auto"/>
                <w:highlight w:val="none"/>
              </w:rPr>
            </w:pPr>
          </w:p>
        </w:tc>
        <w:tc>
          <w:tcPr>
            <w:tcW w:w="488" w:type="dxa"/>
          </w:tcPr>
          <w:p w14:paraId="37631844">
            <w:pPr>
              <w:spacing w:line="440" w:lineRule="atLeast"/>
              <w:jc w:val="center"/>
              <w:rPr>
                <w:color w:val="auto"/>
                <w:highlight w:val="none"/>
              </w:rPr>
            </w:pPr>
          </w:p>
        </w:tc>
        <w:tc>
          <w:tcPr>
            <w:tcW w:w="1134" w:type="dxa"/>
          </w:tcPr>
          <w:p w14:paraId="2B50A559">
            <w:pPr>
              <w:spacing w:line="440" w:lineRule="atLeast"/>
              <w:jc w:val="center"/>
              <w:rPr>
                <w:color w:val="auto"/>
                <w:highlight w:val="none"/>
              </w:rPr>
            </w:pPr>
          </w:p>
        </w:tc>
        <w:tc>
          <w:tcPr>
            <w:tcW w:w="709" w:type="dxa"/>
          </w:tcPr>
          <w:p w14:paraId="5F4F5D9B">
            <w:pPr>
              <w:spacing w:line="440" w:lineRule="atLeast"/>
              <w:jc w:val="center"/>
              <w:rPr>
                <w:color w:val="auto"/>
                <w:highlight w:val="none"/>
              </w:rPr>
            </w:pPr>
          </w:p>
        </w:tc>
        <w:tc>
          <w:tcPr>
            <w:tcW w:w="871" w:type="dxa"/>
          </w:tcPr>
          <w:p w14:paraId="4CECF43E">
            <w:pPr>
              <w:spacing w:line="440" w:lineRule="atLeast"/>
              <w:jc w:val="center"/>
              <w:rPr>
                <w:color w:val="auto"/>
                <w:highlight w:val="none"/>
              </w:rPr>
            </w:pPr>
          </w:p>
        </w:tc>
        <w:tc>
          <w:tcPr>
            <w:tcW w:w="1134" w:type="dxa"/>
          </w:tcPr>
          <w:p w14:paraId="72DE075F">
            <w:pPr>
              <w:spacing w:line="440" w:lineRule="atLeast"/>
              <w:jc w:val="center"/>
              <w:rPr>
                <w:color w:val="auto"/>
                <w:highlight w:val="none"/>
              </w:rPr>
            </w:pPr>
          </w:p>
        </w:tc>
      </w:tr>
      <w:tr w14:paraId="1E37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C66E1CF">
            <w:pPr>
              <w:spacing w:line="440" w:lineRule="atLeast"/>
              <w:jc w:val="center"/>
              <w:rPr>
                <w:color w:val="auto"/>
                <w:highlight w:val="none"/>
              </w:rPr>
            </w:pPr>
          </w:p>
        </w:tc>
        <w:tc>
          <w:tcPr>
            <w:tcW w:w="1275" w:type="dxa"/>
          </w:tcPr>
          <w:p w14:paraId="5F827006">
            <w:pPr>
              <w:spacing w:line="440" w:lineRule="atLeast"/>
              <w:jc w:val="center"/>
              <w:rPr>
                <w:color w:val="auto"/>
                <w:highlight w:val="none"/>
              </w:rPr>
            </w:pPr>
          </w:p>
        </w:tc>
        <w:tc>
          <w:tcPr>
            <w:tcW w:w="901" w:type="dxa"/>
          </w:tcPr>
          <w:p w14:paraId="280D7BEA">
            <w:pPr>
              <w:spacing w:line="440" w:lineRule="atLeast"/>
              <w:jc w:val="center"/>
              <w:rPr>
                <w:color w:val="auto"/>
                <w:highlight w:val="none"/>
              </w:rPr>
            </w:pPr>
          </w:p>
        </w:tc>
        <w:tc>
          <w:tcPr>
            <w:tcW w:w="694" w:type="dxa"/>
          </w:tcPr>
          <w:p w14:paraId="2C193313">
            <w:pPr>
              <w:spacing w:line="440" w:lineRule="atLeast"/>
              <w:jc w:val="center"/>
              <w:rPr>
                <w:color w:val="auto"/>
                <w:highlight w:val="none"/>
              </w:rPr>
            </w:pPr>
          </w:p>
        </w:tc>
        <w:tc>
          <w:tcPr>
            <w:tcW w:w="488" w:type="dxa"/>
          </w:tcPr>
          <w:p w14:paraId="5A3DE6E3">
            <w:pPr>
              <w:spacing w:line="440" w:lineRule="atLeast"/>
              <w:jc w:val="center"/>
              <w:rPr>
                <w:color w:val="auto"/>
                <w:highlight w:val="none"/>
              </w:rPr>
            </w:pPr>
          </w:p>
        </w:tc>
        <w:tc>
          <w:tcPr>
            <w:tcW w:w="1134" w:type="dxa"/>
          </w:tcPr>
          <w:p w14:paraId="43588A6F">
            <w:pPr>
              <w:spacing w:line="440" w:lineRule="atLeast"/>
              <w:jc w:val="center"/>
              <w:rPr>
                <w:color w:val="auto"/>
                <w:highlight w:val="none"/>
              </w:rPr>
            </w:pPr>
          </w:p>
        </w:tc>
        <w:tc>
          <w:tcPr>
            <w:tcW w:w="709" w:type="dxa"/>
          </w:tcPr>
          <w:p w14:paraId="02E4164C">
            <w:pPr>
              <w:spacing w:line="440" w:lineRule="atLeast"/>
              <w:jc w:val="center"/>
              <w:rPr>
                <w:color w:val="auto"/>
                <w:highlight w:val="none"/>
              </w:rPr>
            </w:pPr>
          </w:p>
        </w:tc>
        <w:tc>
          <w:tcPr>
            <w:tcW w:w="871" w:type="dxa"/>
          </w:tcPr>
          <w:p w14:paraId="5156FA50">
            <w:pPr>
              <w:spacing w:line="440" w:lineRule="atLeast"/>
              <w:jc w:val="center"/>
              <w:rPr>
                <w:color w:val="auto"/>
                <w:highlight w:val="none"/>
              </w:rPr>
            </w:pPr>
          </w:p>
        </w:tc>
        <w:tc>
          <w:tcPr>
            <w:tcW w:w="1134" w:type="dxa"/>
          </w:tcPr>
          <w:p w14:paraId="04B087A6">
            <w:pPr>
              <w:spacing w:line="440" w:lineRule="atLeast"/>
              <w:jc w:val="center"/>
              <w:rPr>
                <w:color w:val="auto"/>
                <w:highlight w:val="none"/>
              </w:rPr>
            </w:pPr>
          </w:p>
        </w:tc>
      </w:tr>
      <w:tr w14:paraId="2FF5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6357361">
            <w:pPr>
              <w:spacing w:line="440" w:lineRule="atLeast"/>
              <w:jc w:val="center"/>
              <w:rPr>
                <w:color w:val="auto"/>
                <w:highlight w:val="none"/>
              </w:rPr>
            </w:pPr>
          </w:p>
        </w:tc>
        <w:tc>
          <w:tcPr>
            <w:tcW w:w="1275" w:type="dxa"/>
          </w:tcPr>
          <w:p w14:paraId="7DF00081">
            <w:pPr>
              <w:spacing w:line="440" w:lineRule="atLeast"/>
              <w:jc w:val="center"/>
              <w:rPr>
                <w:color w:val="auto"/>
                <w:highlight w:val="none"/>
              </w:rPr>
            </w:pPr>
          </w:p>
        </w:tc>
        <w:tc>
          <w:tcPr>
            <w:tcW w:w="901" w:type="dxa"/>
          </w:tcPr>
          <w:p w14:paraId="7CFDCC87">
            <w:pPr>
              <w:spacing w:line="440" w:lineRule="atLeast"/>
              <w:jc w:val="center"/>
              <w:rPr>
                <w:color w:val="auto"/>
                <w:highlight w:val="none"/>
              </w:rPr>
            </w:pPr>
          </w:p>
        </w:tc>
        <w:tc>
          <w:tcPr>
            <w:tcW w:w="694" w:type="dxa"/>
          </w:tcPr>
          <w:p w14:paraId="25581735">
            <w:pPr>
              <w:spacing w:line="440" w:lineRule="atLeast"/>
              <w:jc w:val="center"/>
              <w:rPr>
                <w:color w:val="auto"/>
                <w:highlight w:val="none"/>
              </w:rPr>
            </w:pPr>
          </w:p>
        </w:tc>
        <w:tc>
          <w:tcPr>
            <w:tcW w:w="488" w:type="dxa"/>
          </w:tcPr>
          <w:p w14:paraId="72511D82">
            <w:pPr>
              <w:spacing w:line="440" w:lineRule="atLeast"/>
              <w:jc w:val="center"/>
              <w:rPr>
                <w:color w:val="auto"/>
                <w:highlight w:val="none"/>
              </w:rPr>
            </w:pPr>
          </w:p>
        </w:tc>
        <w:tc>
          <w:tcPr>
            <w:tcW w:w="1134" w:type="dxa"/>
          </w:tcPr>
          <w:p w14:paraId="0AEE2B94">
            <w:pPr>
              <w:spacing w:line="440" w:lineRule="atLeast"/>
              <w:jc w:val="center"/>
              <w:rPr>
                <w:color w:val="auto"/>
                <w:highlight w:val="none"/>
              </w:rPr>
            </w:pPr>
          </w:p>
        </w:tc>
        <w:tc>
          <w:tcPr>
            <w:tcW w:w="709" w:type="dxa"/>
          </w:tcPr>
          <w:p w14:paraId="6666E791">
            <w:pPr>
              <w:spacing w:line="440" w:lineRule="atLeast"/>
              <w:jc w:val="center"/>
              <w:rPr>
                <w:color w:val="auto"/>
                <w:highlight w:val="none"/>
              </w:rPr>
            </w:pPr>
          </w:p>
        </w:tc>
        <w:tc>
          <w:tcPr>
            <w:tcW w:w="871" w:type="dxa"/>
          </w:tcPr>
          <w:p w14:paraId="14DE0B21">
            <w:pPr>
              <w:spacing w:line="440" w:lineRule="atLeast"/>
              <w:jc w:val="center"/>
              <w:rPr>
                <w:color w:val="auto"/>
                <w:highlight w:val="none"/>
              </w:rPr>
            </w:pPr>
          </w:p>
        </w:tc>
        <w:tc>
          <w:tcPr>
            <w:tcW w:w="1134" w:type="dxa"/>
          </w:tcPr>
          <w:p w14:paraId="63884E98">
            <w:pPr>
              <w:spacing w:line="440" w:lineRule="atLeast"/>
              <w:jc w:val="center"/>
              <w:rPr>
                <w:color w:val="auto"/>
                <w:highlight w:val="none"/>
              </w:rPr>
            </w:pPr>
          </w:p>
        </w:tc>
      </w:tr>
      <w:tr w14:paraId="75AD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DC6F8BF">
            <w:pPr>
              <w:spacing w:line="440" w:lineRule="atLeast"/>
              <w:jc w:val="center"/>
              <w:rPr>
                <w:color w:val="auto"/>
                <w:highlight w:val="none"/>
              </w:rPr>
            </w:pPr>
          </w:p>
        </w:tc>
        <w:tc>
          <w:tcPr>
            <w:tcW w:w="1275" w:type="dxa"/>
          </w:tcPr>
          <w:p w14:paraId="6B6C5733">
            <w:pPr>
              <w:spacing w:line="440" w:lineRule="atLeast"/>
              <w:jc w:val="center"/>
              <w:rPr>
                <w:color w:val="auto"/>
                <w:highlight w:val="none"/>
              </w:rPr>
            </w:pPr>
          </w:p>
        </w:tc>
        <w:tc>
          <w:tcPr>
            <w:tcW w:w="901" w:type="dxa"/>
          </w:tcPr>
          <w:p w14:paraId="44A745CE">
            <w:pPr>
              <w:spacing w:line="440" w:lineRule="atLeast"/>
              <w:jc w:val="center"/>
              <w:rPr>
                <w:color w:val="auto"/>
                <w:highlight w:val="none"/>
              </w:rPr>
            </w:pPr>
          </w:p>
        </w:tc>
        <w:tc>
          <w:tcPr>
            <w:tcW w:w="694" w:type="dxa"/>
          </w:tcPr>
          <w:p w14:paraId="31CB36A7">
            <w:pPr>
              <w:spacing w:line="440" w:lineRule="atLeast"/>
              <w:jc w:val="center"/>
              <w:rPr>
                <w:color w:val="auto"/>
                <w:highlight w:val="none"/>
              </w:rPr>
            </w:pPr>
          </w:p>
        </w:tc>
        <w:tc>
          <w:tcPr>
            <w:tcW w:w="488" w:type="dxa"/>
          </w:tcPr>
          <w:p w14:paraId="1A616841">
            <w:pPr>
              <w:spacing w:line="440" w:lineRule="atLeast"/>
              <w:jc w:val="center"/>
              <w:rPr>
                <w:color w:val="auto"/>
                <w:highlight w:val="none"/>
              </w:rPr>
            </w:pPr>
          </w:p>
        </w:tc>
        <w:tc>
          <w:tcPr>
            <w:tcW w:w="1134" w:type="dxa"/>
          </w:tcPr>
          <w:p w14:paraId="7E932C2F">
            <w:pPr>
              <w:spacing w:line="440" w:lineRule="atLeast"/>
              <w:jc w:val="center"/>
              <w:rPr>
                <w:color w:val="auto"/>
                <w:highlight w:val="none"/>
              </w:rPr>
            </w:pPr>
          </w:p>
        </w:tc>
        <w:tc>
          <w:tcPr>
            <w:tcW w:w="709" w:type="dxa"/>
          </w:tcPr>
          <w:p w14:paraId="1F0E64A0">
            <w:pPr>
              <w:spacing w:line="440" w:lineRule="atLeast"/>
              <w:jc w:val="center"/>
              <w:rPr>
                <w:color w:val="auto"/>
                <w:highlight w:val="none"/>
              </w:rPr>
            </w:pPr>
          </w:p>
        </w:tc>
        <w:tc>
          <w:tcPr>
            <w:tcW w:w="871" w:type="dxa"/>
          </w:tcPr>
          <w:p w14:paraId="47187D97">
            <w:pPr>
              <w:spacing w:line="440" w:lineRule="atLeast"/>
              <w:jc w:val="center"/>
              <w:rPr>
                <w:color w:val="auto"/>
                <w:highlight w:val="none"/>
              </w:rPr>
            </w:pPr>
          </w:p>
        </w:tc>
        <w:tc>
          <w:tcPr>
            <w:tcW w:w="1134" w:type="dxa"/>
          </w:tcPr>
          <w:p w14:paraId="18CC8093">
            <w:pPr>
              <w:spacing w:line="440" w:lineRule="atLeast"/>
              <w:jc w:val="center"/>
              <w:rPr>
                <w:color w:val="auto"/>
                <w:highlight w:val="none"/>
              </w:rPr>
            </w:pPr>
          </w:p>
        </w:tc>
      </w:tr>
      <w:tr w14:paraId="1B2C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67F8756E">
            <w:pPr>
              <w:spacing w:line="440" w:lineRule="atLeast"/>
              <w:jc w:val="center"/>
              <w:rPr>
                <w:color w:val="auto"/>
                <w:highlight w:val="none"/>
              </w:rPr>
            </w:pPr>
          </w:p>
        </w:tc>
        <w:tc>
          <w:tcPr>
            <w:tcW w:w="1275" w:type="dxa"/>
          </w:tcPr>
          <w:p w14:paraId="10926F44">
            <w:pPr>
              <w:spacing w:line="440" w:lineRule="atLeast"/>
              <w:jc w:val="center"/>
              <w:rPr>
                <w:color w:val="auto"/>
                <w:highlight w:val="none"/>
              </w:rPr>
            </w:pPr>
          </w:p>
        </w:tc>
        <w:tc>
          <w:tcPr>
            <w:tcW w:w="901" w:type="dxa"/>
          </w:tcPr>
          <w:p w14:paraId="23DD5CD7">
            <w:pPr>
              <w:spacing w:line="440" w:lineRule="atLeast"/>
              <w:jc w:val="center"/>
              <w:rPr>
                <w:color w:val="auto"/>
                <w:highlight w:val="none"/>
              </w:rPr>
            </w:pPr>
          </w:p>
        </w:tc>
        <w:tc>
          <w:tcPr>
            <w:tcW w:w="694" w:type="dxa"/>
          </w:tcPr>
          <w:p w14:paraId="78B064B4">
            <w:pPr>
              <w:spacing w:line="440" w:lineRule="atLeast"/>
              <w:jc w:val="center"/>
              <w:rPr>
                <w:color w:val="auto"/>
                <w:highlight w:val="none"/>
              </w:rPr>
            </w:pPr>
          </w:p>
        </w:tc>
        <w:tc>
          <w:tcPr>
            <w:tcW w:w="488" w:type="dxa"/>
          </w:tcPr>
          <w:p w14:paraId="1FBFD07B">
            <w:pPr>
              <w:spacing w:line="440" w:lineRule="atLeast"/>
              <w:jc w:val="center"/>
              <w:rPr>
                <w:color w:val="auto"/>
                <w:highlight w:val="none"/>
              </w:rPr>
            </w:pPr>
          </w:p>
        </w:tc>
        <w:tc>
          <w:tcPr>
            <w:tcW w:w="1134" w:type="dxa"/>
          </w:tcPr>
          <w:p w14:paraId="3B413E12">
            <w:pPr>
              <w:spacing w:line="440" w:lineRule="atLeast"/>
              <w:jc w:val="center"/>
              <w:rPr>
                <w:color w:val="auto"/>
                <w:highlight w:val="none"/>
              </w:rPr>
            </w:pPr>
          </w:p>
        </w:tc>
        <w:tc>
          <w:tcPr>
            <w:tcW w:w="709" w:type="dxa"/>
          </w:tcPr>
          <w:p w14:paraId="3BF281B3">
            <w:pPr>
              <w:spacing w:line="440" w:lineRule="atLeast"/>
              <w:jc w:val="center"/>
              <w:rPr>
                <w:color w:val="auto"/>
                <w:highlight w:val="none"/>
              </w:rPr>
            </w:pPr>
          </w:p>
        </w:tc>
        <w:tc>
          <w:tcPr>
            <w:tcW w:w="871" w:type="dxa"/>
          </w:tcPr>
          <w:p w14:paraId="79AC009F">
            <w:pPr>
              <w:spacing w:line="440" w:lineRule="atLeast"/>
              <w:jc w:val="center"/>
              <w:rPr>
                <w:color w:val="auto"/>
                <w:highlight w:val="none"/>
              </w:rPr>
            </w:pPr>
          </w:p>
        </w:tc>
        <w:tc>
          <w:tcPr>
            <w:tcW w:w="1134" w:type="dxa"/>
          </w:tcPr>
          <w:p w14:paraId="2A7A5CE8">
            <w:pPr>
              <w:spacing w:line="440" w:lineRule="atLeast"/>
              <w:jc w:val="center"/>
              <w:rPr>
                <w:color w:val="auto"/>
                <w:highlight w:val="none"/>
              </w:rPr>
            </w:pPr>
          </w:p>
        </w:tc>
      </w:tr>
      <w:tr w14:paraId="7013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64C8303">
            <w:pPr>
              <w:spacing w:line="440" w:lineRule="atLeast"/>
              <w:jc w:val="center"/>
              <w:rPr>
                <w:color w:val="auto"/>
                <w:highlight w:val="none"/>
              </w:rPr>
            </w:pPr>
          </w:p>
        </w:tc>
        <w:tc>
          <w:tcPr>
            <w:tcW w:w="1275" w:type="dxa"/>
          </w:tcPr>
          <w:p w14:paraId="0E1E2B7C">
            <w:pPr>
              <w:spacing w:line="440" w:lineRule="atLeast"/>
              <w:jc w:val="center"/>
              <w:rPr>
                <w:color w:val="auto"/>
                <w:highlight w:val="none"/>
              </w:rPr>
            </w:pPr>
          </w:p>
        </w:tc>
        <w:tc>
          <w:tcPr>
            <w:tcW w:w="901" w:type="dxa"/>
          </w:tcPr>
          <w:p w14:paraId="6BA9E60F">
            <w:pPr>
              <w:spacing w:line="440" w:lineRule="atLeast"/>
              <w:jc w:val="center"/>
              <w:rPr>
                <w:color w:val="auto"/>
                <w:highlight w:val="none"/>
              </w:rPr>
            </w:pPr>
          </w:p>
        </w:tc>
        <w:tc>
          <w:tcPr>
            <w:tcW w:w="694" w:type="dxa"/>
          </w:tcPr>
          <w:p w14:paraId="2ED790DA">
            <w:pPr>
              <w:spacing w:line="440" w:lineRule="atLeast"/>
              <w:jc w:val="center"/>
              <w:rPr>
                <w:color w:val="auto"/>
                <w:highlight w:val="none"/>
              </w:rPr>
            </w:pPr>
          </w:p>
        </w:tc>
        <w:tc>
          <w:tcPr>
            <w:tcW w:w="488" w:type="dxa"/>
          </w:tcPr>
          <w:p w14:paraId="1D258E25">
            <w:pPr>
              <w:spacing w:line="440" w:lineRule="atLeast"/>
              <w:jc w:val="center"/>
              <w:rPr>
                <w:color w:val="auto"/>
                <w:highlight w:val="none"/>
              </w:rPr>
            </w:pPr>
          </w:p>
        </w:tc>
        <w:tc>
          <w:tcPr>
            <w:tcW w:w="1134" w:type="dxa"/>
          </w:tcPr>
          <w:p w14:paraId="6212A6A7">
            <w:pPr>
              <w:spacing w:line="440" w:lineRule="atLeast"/>
              <w:jc w:val="center"/>
              <w:rPr>
                <w:color w:val="auto"/>
                <w:highlight w:val="none"/>
              </w:rPr>
            </w:pPr>
          </w:p>
        </w:tc>
        <w:tc>
          <w:tcPr>
            <w:tcW w:w="709" w:type="dxa"/>
          </w:tcPr>
          <w:p w14:paraId="5EF848D6">
            <w:pPr>
              <w:spacing w:line="440" w:lineRule="atLeast"/>
              <w:jc w:val="center"/>
              <w:rPr>
                <w:color w:val="auto"/>
                <w:highlight w:val="none"/>
              </w:rPr>
            </w:pPr>
          </w:p>
        </w:tc>
        <w:tc>
          <w:tcPr>
            <w:tcW w:w="871" w:type="dxa"/>
          </w:tcPr>
          <w:p w14:paraId="2B0967AC">
            <w:pPr>
              <w:spacing w:line="440" w:lineRule="atLeast"/>
              <w:jc w:val="center"/>
              <w:rPr>
                <w:color w:val="auto"/>
                <w:highlight w:val="none"/>
              </w:rPr>
            </w:pPr>
          </w:p>
        </w:tc>
        <w:tc>
          <w:tcPr>
            <w:tcW w:w="1134" w:type="dxa"/>
          </w:tcPr>
          <w:p w14:paraId="7EF66334">
            <w:pPr>
              <w:spacing w:line="440" w:lineRule="atLeast"/>
              <w:jc w:val="center"/>
              <w:rPr>
                <w:color w:val="auto"/>
                <w:highlight w:val="none"/>
              </w:rPr>
            </w:pPr>
          </w:p>
        </w:tc>
      </w:tr>
      <w:tr w14:paraId="3E7E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F885DA6">
            <w:pPr>
              <w:spacing w:line="440" w:lineRule="atLeast"/>
              <w:jc w:val="center"/>
              <w:rPr>
                <w:color w:val="auto"/>
                <w:highlight w:val="none"/>
              </w:rPr>
            </w:pPr>
          </w:p>
        </w:tc>
        <w:tc>
          <w:tcPr>
            <w:tcW w:w="1275" w:type="dxa"/>
          </w:tcPr>
          <w:p w14:paraId="6CB04118">
            <w:pPr>
              <w:spacing w:line="440" w:lineRule="atLeast"/>
              <w:jc w:val="center"/>
              <w:rPr>
                <w:color w:val="auto"/>
                <w:highlight w:val="none"/>
              </w:rPr>
            </w:pPr>
          </w:p>
        </w:tc>
        <w:tc>
          <w:tcPr>
            <w:tcW w:w="901" w:type="dxa"/>
          </w:tcPr>
          <w:p w14:paraId="2018C299">
            <w:pPr>
              <w:spacing w:line="440" w:lineRule="atLeast"/>
              <w:jc w:val="center"/>
              <w:rPr>
                <w:color w:val="auto"/>
                <w:highlight w:val="none"/>
              </w:rPr>
            </w:pPr>
          </w:p>
        </w:tc>
        <w:tc>
          <w:tcPr>
            <w:tcW w:w="694" w:type="dxa"/>
          </w:tcPr>
          <w:p w14:paraId="2CAF70E6">
            <w:pPr>
              <w:spacing w:line="440" w:lineRule="atLeast"/>
              <w:jc w:val="center"/>
              <w:rPr>
                <w:color w:val="auto"/>
                <w:highlight w:val="none"/>
              </w:rPr>
            </w:pPr>
          </w:p>
        </w:tc>
        <w:tc>
          <w:tcPr>
            <w:tcW w:w="488" w:type="dxa"/>
          </w:tcPr>
          <w:p w14:paraId="30160637">
            <w:pPr>
              <w:spacing w:line="440" w:lineRule="atLeast"/>
              <w:jc w:val="center"/>
              <w:rPr>
                <w:color w:val="auto"/>
                <w:highlight w:val="none"/>
              </w:rPr>
            </w:pPr>
          </w:p>
        </w:tc>
        <w:tc>
          <w:tcPr>
            <w:tcW w:w="1134" w:type="dxa"/>
          </w:tcPr>
          <w:p w14:paraId="0866374F">
            <w:pPr>
              <w:spacing w:line="440" w:lineRule="atLeast"/>
              <w:jc w:val="center"/>
              <w:rPr>
                <w:color w:val="auto"/>
                <w:highlight w:val="none"/>
              </w:rPr>
            </w:pPr>
          </w:p>
        </w:tc>
        <w:tc>
          <w:tcPr>
            <w:tcW w:w="709" w:type="dxa"/>
          </w:tcPr>
          <w:p w14:paraId="566B0746">
            <w:pPr>
              <w:spacing w:line="440" w:lineRule="atLeast"/>
              <w:jc w:val="center"/>
              <w:rPr>
                <w:color w:val="auto"/>
                <w:highlight w:val="none"/>
              </w:rPr>
            </w:pPr>
          </w:p>
        </w:tc>
        <w:tc>
          <w:tcPr>
            <w:tcW w:w="871" w:type="dxa"/>
          </w:tcPr>
          <w:p w14:paraId="4738D006">
            <w:pPr>
              <w:spacing w:line="440" w:lineRule="atLeast"/>
              <w:jc w:val="center"/>
              <w:rPr>
                <w:color w:val="auto"/>
                <w:highlight w:val="none"/>
              </w:rPr>
            </w:pPr>
          </w:p>
        </w:tc>
        <w:tc>
          <w:tcPr>
            <w:tcW w:w="1134" w:type="dxa"/>
          </w:tcPr>
          <w:p w14:paraId="7F5245E9">
            <w:pPr>
              <w:spacing w:line="440" w:lineRule="atLeast"/>
              <w:jc w:val="center"/>
              <w:rPr>
                <w:color w:val="auto"/>
                <w:highlight w:val="none"/>
              </w:rPr>
            </w:pPr>
          </w:p>
        </w:tc>
      </w:tr>
      <w:tr w14:paraId="1FD4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B36CC2A">
            <w:pPr>
              <w:spacing w:line="440" w:lineRule="atLeast"/>
              <w:jc w:val="center"/>
              <w:rPr>
                <w:color w:val="auto"/>
                <w:highlight w:val="none"/>
              </w:rPr>
            </w:pPr>
          </w:p>
        </w:tc>
        <w:tc>
          <w:tcPr>
            <w:tcW w:w="1275" w:type="dxa"/>
          </w:tcPr>
          <w:p w14:paraId="6090EB60">
            <w:pPr>
              <w:spacing w:line="440" w:lineRule="atLeast"/>
              <w:jc w:val="center"/>
              <w:rPr>
                <w:color w:val="auto"/>
                <w:highlight w:val="none"/>
              </w:rPr>
            </w:pPr>
          </w:p>
        </w:tc>
        <w:tc>
          <w:tcPr>
            <w:tcW w:w="901" w:type="dxa"/>
          </w:tcPr>
          <w:p w14:paraId="182546FA">
            <w:pPr>
              <w:spacing w:line="440" w:lineRule="atLeast"/>
              <w:jc w:val="center"/>
              <w:rPr>
                <w:color w:val="auto"/>
                <w:highlight w:val="none"/>
              </w:rPr>
            </w:pPr>
          </w:p>
        </w:tc>
        <w:tc>
          <w:tcPr>
            <w:tcW w:w="694" w:type="dxa"/>
          </w:tcPr>
          <w:p w14:paraId="4676402B">
            <w:pPr>
              <w:spacing w:line="440" w:lineRule="atLeast"/>
              <w:jc w:val="center"/>
              <w:rPr>
                <w:color w:val="auto"/>
                <w:highlight w:val="none"/>
              </w:rPr>
            </w:pPr>
          </w:p>
        </w:tc>
        <w:tc>
          <w:tcPr>
            <w:tcW w:w="488" w:type="dxa"/>
          </w:tcPr>
          <w:p w14:paraId="1D27D9A4">
            <w:pPr>
              <w:spacing w:line="440" w:lineRule="atLeast"/>
              <w:jc w:val="center"/>
              <w:rPr>
                <w:color w:val="auto"/>
                <w:highlight w:val="none"/>
              </w:rPr>
            </w:pPr>
          </w:p>
        </w:tc>
        <w:tc>
          <w:tcPr>
            <w:tcW w:w="1134" w:type="dxa"/>
          </w:tcPr>
          <w:p w14:paraId="65477088">
            <w:pPr>
              <w:spacing w:line="440" w:lineRule="atLeast"/>
              <w:jc w:val="center"/>
              <w:rPr>
                <w:color w:val="auto"/>
                <w:highlight w:val="none"/>
              </w:rPr>
            </w:pPr>
          </w:p>
        </w:tc>
        <w:tc>
          <w:tcPr>
            <w:tcW w:w="709" w:type="dxa"/>
          </w:tcPr>
          <w:p w14:paraId="0F3753AC">
            <w:pPr>
              <w:spacing w:line="440" w:lineRule="atLeast"/>
              <w:jc w:val="center"/>
              <w:rPr>
                <w:color w:val="auto"/>
                <w:highlight w:val="none"/>
              </w:rPr>
            </w:pPr>
          </w:p>
        </w:tc>
        <w:tc>
          <w:tcPr>
            <w:tcW w:w="871" w:type="dxa"/>
          </w:tcPr>
          <w:p w14:paraId="725A7134">
            <w:pPr>
              <w:spacing w:line="440" w:lineRule="atLeast"/>
              <w:jc w:val="center"/>
              <w:rPr>
                <w:color w:val="auto"/>
                <w:highlight w:val="none"/>
              </w:rPr>
            </w:pPr>
          </w:p>
        </w:tc>
        <w:tc>
          <w:tcPr>
            <w:tcW w:w="1134" w:type="dxa"/>
          </w:tcPr>
          <w:p w14:paraId="19909C22">
            <w:pPr>
              <w:spacing w:line="440" w:lineRule="atLeast"/>
              <w:jc w:val="center"/>
              <w:rPr>
                <w:color w:val="auto"/>
                <w:highlight w:val="none"/>
              </w:rPr>
            </w:pPr>
          </w:p>
        </w:tc>
      </w:tr>
      <w:tr w14:paraId="5081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D0FE1EA">
            <w:pPr>
              <w:spacing w:line="440" w:lineRule="atLeast"/>
              <w:jc w:val="center"/>
              <w:rPr>
                <w:color w:val="auto"/>
                <w:highlight w:val="none"/>
              </w:rPr>
            </w:pPr>
          </w:p>
        </w:tc>
        <w:tc>
          <w:tcPr>
            <w:tcW w:w="1275" w:type="dxa"/>
          </w:tcPr>
          <w:p w14:paraId="2AA7C904">
            <w:pPr>
              <w:spacing w:line="440" w:lineRule="atLeast"/>
              <w:jc w:val="center"/>
              <w:rPr>
                <w:color w:val="auto"/>
                <w:highlight w:val="none"/>
              </w:rPr>
            </w:pPr>
          </w:p>
        </w:tc>
        <w:tc>
          <w:tcPr>
            <w:tcW w:w="901" w:type="dxa"/>
          </w:tcPr>
          <w:p w14:paraId="7686CCEA">
            <w:pPr>
              <w:spacing w:line="440" w:lineRule="atLeast"/>
              <w:jc w:val="center"/>
              <w:rPr>
                <w:color w:val="auto"/>
                <w:highlight w:val="none"/>
              </w:rPr>
            </w:pPr>
          </w:p>
        </w:tc>
        <w:tc>
          <w:tcPr>
            <w:tcW w:w="694" w:type="dxa"/>
          </w:tcPr>
          <w:p w14:paraId="46F65596">
            <w:pPr>
              <w:spacing w:line="440" w:lineRule="atLeast"/>
              <w:jc w:val="center"/>
              <w:rPr>
                <w:color w:val="auto"/>
                <w:highlight w:val="none"/>
              </w:rPr>
            </w:pPr>
          </w:p>
        </w:tc>
        <w:tc>
          <w:tcPr>
            <w:tcW w:w="488" w:type="dxa"/>
          </w:tcPr>
          <w:p w14:paraId="4303C17C">
            <w:pPr>
              <w:spacing w:line="440" w:lineRule="atLeast"/>
              <w:jc w:val="center"/>
              <w:rPr>
                <w:color w:val="auto"/>
                <w:highlight w:val="none"/>
              </w:rPr>
            </w:pPr>
          </w:p>
        </w:tc>
        <w:tc>
          <w:tcPr>
            <w:tcW w:w="1134" w:type="dxa"/>
          </w:tcPr>
          <w:p w14:paraId="7DAFBE13">
            <w:pPr>
              <w:spacing w:line="440" w:lineRule="atLeast"/>
              <w:jc w:val="center"/>
              <w:rPr>
                <w:color w:val="auto"/>
                <w:highlight w:val="none"/>
              </w:rPr>
            </w:pPr>
          </w:p>
        </w:tc>
        <w:tc>
          <w:tcPr>
            <w:tcW w:w="709" w:type="dxa"/>
          </w:tcPr>
          <w:p w14:paraId="37339947">
            <w:pPr>
              <w:spacing w:line="440" w:lineRule="atLeast"/>
              <w:jc w:val="center"/>
              <w:rPr>
                <w:color w:val="auto"/>
                <w:highlight w:val="none"/>
              </w:rPr>
            </w:pPr>
          </w:p>
        </w:tc>
        <w:tc>
          <w:tcPr>
            <w:tcW w:w="871" w:type="dxa"/>
          </w:tcPr>
          <w:p w14:paraId="27C61A5C">
            <w:pPr>
              <w:spacing w:line="440" w:lineRule="atLeast"/>
              <w:jc w:val="center"/>
              <w:rPr>
                <w:color w:val="auto"/>
                <w:highlight w:val="none"/>
              </w:rPr>
            </w:pPr>
          </w:p>
        </w:tc>
        <w:tc>
          <w:tcPr>
            <w:tcW w:w="1134" w:type="dxa"/>
          </w:tcPr>
          <w:p w14:paraId="63FB0F71">
            <w:pPr>
              <w:spacing w:line="440" w:lineRule="atLeast"/>
              <w:jc w:val="center"/>
              <w:rPr>
                <w:color w:val="auto"/>
                <w:highlight w:val="none"/>
              </w:rPr>
            </w:pPr>
          </w:p>
        </w:tc>
      </w:tr>
      <w:tr w14:paraId="2764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1AA840B">
            <w:pPr>
              <w:spacing w:line="440" w:lineRule="atLeast"/>
              <w:jc w:val="center"/>
              <w:rPr>
                <w:color w:val="auto"/>
                <w:highlight w:val="none"/>
              </w:rPr>
            </w:pPr>
          </w:p>
        </w:tc>
        <w:tc>
          <w:tcPr>
            <w:tcW w:w="1275" w:type="dxa"/>
          </w:tcPr>
          <w:p w14:paraId="325A2E21">
            <w:pPr>
              <w:spacing w:line="440" w:lineRule="atLeast"/>
              <w:jc w:val="center"/>
              <w:rPr>
                <w:color w:val="auto"/>
                <w:highlight w:val="none"/>
              </w:rPr>
            </w:pPr>
          </w:p>
        </w:tc>
        <w:tc>
          <w:tcPr>
            <w:tcW w:w="901" w:type="dxa"/>
          </w:tcPr>
          <w:p w14:paraId="33879106">
            <w:pPr>
              <w:spacing w:line="440" w:lineRule="atLeast"/>
              <w:jc w:val="center"/>
              <w:rPr>
                <w:color w:val="auto"/>
                <w:highlight w:val="none"/>
              </w:rPr>
            </w:pPr>
          </w:p>
        </w:tc>
        <w:tc>
          <w:tcPr>
            <w:tcW w:w="694" w:type="dxa"/>
          </w:tcPr>
          <w:p w14:paraId="3B5DDB10">
            <w:pPr>
              <w:spacing w:line="440" w:lineRule="atLeast"/>
              <w:jc w:val="center"/>
              <w:rPr>
                <w:color w:val="auto"/>
                <w:highlight w:val="none"/>
              </w:rPr>
            </w:pPr>
          </w:p>
        </w:tc>
        <w:tc>
          <w:tcPr>
            <w:tcW w:w="488" w:type="dxa"/>
          </w:tcPr>
          <w:p w14:paraId="2CAEE3E6">
            <w:pPr>
              <w:spacing w:line="440" w:lineRule="atLeast"/>
              <w:jc w:val="center"/>
              <w:rPr>
                <w:color w:val="auto"/>
                <w:highlight w:val="none"/>
              </w:rPr>
            </w:pPr>
          </w:p>
        </w:tc>
        <w:tc>
          <w:tcPr>
            <w:tcW w:w="1134" w:type="dxa"/>
          </w:tcPr>
          <w:p w14:paraId="4229F845">
            <w:pPr>
              <w:spacing w:line="440" w:lineRule="atLeast"/>
              <w:jc w:val="center"/>
              <w:rPr>
                <w:color w:val="auto"/>
                <w:highlight w:val="none"/>
              </w:rPr>
            </w:pPr>
          </w:p>
        </w:tc>
        <w:tc>
          <w:tcPr>
            <w:tcW w:w="709" w:type="dxa"/>
          </w:tcPr>
          <w:p w14:paraId="2B2D4A65">
            <w:pPr>
              <w:spacing w:line="440" w:lineRule="atLeast"/>
              <w:jc w:val="center"/>
              <w:rPr>
                <w:color w:val="auto"/>
                <w:highlight w:val="none"/>
              </w:rPr>
            </w:pPr>
          </w:p>
        </w:tc>
        <w:tc>
          <w:tcPr>
            <w:tcW w:w="871" w:type="dxa"/>
          </w:tcPr>
          <w:p w14:paraId="59CFEA2D">
            <w:pPr>
              <w:spacing w:line="440" w:lineRule="atLeast"/>
              <w:jc w:val="center"/>
              <w:rPr>
                <w:color w:val="auto"/>
                <w:highlight w:val="none"/>
              </w:rPr>
            </w:pPr>
          </w:p>
        </w:tc>
        <w:tc>
          <w:tcPr>
            <w:tcW w:w="1134" w:type="dxa"/>
          </w:tcPr>
          <w:p w14:paraId="20E88277">
            <w:pPr>
              <w:spacing w:line="440" w:lineRule="atLeast"/>
              <w:jc w:val="center"/>
              <w:rPr>
                <w:color w:val="auto"/>
                <w:highlight w:val="none"/>
              </w:rPr>
            </w:pPr>
          </w:p>
        </w:tc>
      </w:tr>
      <w:tr w14:paraId="4F57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C0FD2B1">
            <w:pPr>
              <w:spacing w:line="440" w:lineRule="atLeast"/>
              <w:jc w:val="center"/>
              <w:rPr>
                <w:color w:val="auto"/>
                <w:highlight w:val="none"/>
              </w:rPr>
            </w:pPr>
          </w:p>
        </w:tc>
        <w:tc>
          <w:tcPr>
            <w:tcW w:w="1275" w:type="dxa"/>
          </w:tcPr>
          <w:p w14:paraId="5E3520F9">
            <w:pPr>
              <w:spacing w:line="440" w:lineRule="atLeast"/>
              <w:jc w:val="center"/>
              <w:rPr>
                <w:color w:val="auto"/>
                <w:highlight w:val="none"/>
              </w:rPr>
            </w:pPr>
          </w:p>
        </w:tc>
        <w:tc>
          <w:tcPr>
            <w:tcW w:w="901" w:type="dxa"/>
          </w:tcPr>
          <w:p w14:paraId="19A15F24">
            <w:pPr>
              <w:spacing w:line="440" w:lineRule="atLeast"/>
              <w:jc w:val="center"/>
              <w:rPr>
                <w:color w:val="auto"/>
                <w:highlight w:val="none"/>
              </w:rPr>
            </w:pPr>
          </w:p>
        </w:tc>
        <w:tc>
          <w:tcPr>
            <w:tcW w:w="694" w:type="dxa"/>
          </w:tcPr>
          <w:p w14:paraId="53622682">
            <w:pPr>
              <w:spacing w:line="440" w:lineRule="atLeast"/>
              <w:jc w:val="center"/>
              <w:rPr>
                <w:color w:val="auto"/>
                <w:highlight w:val="none"/>
              </w:rPr>
            </w:pPr>
          </w:p>
        </w:tc>
        <w:tc>
          <w:tcPr>
            <w:tcW w:w="488" w:type="dxa"/>
          </w:tcPr>
          <w:p w14:paraId="05E25A2C">
            <w:pPr>
              <w:spacing w:line="440" w:lineRule="atLeast"/>
              <w:jc w:val="center"/>
              <w:rPr>
                <w:color w:val="auto"/>
                <w:highlight w:val="none"/>
              </w:rPr>
            </w:pPr>
          </w:p>
        </w:tc>
        <w:tc>
          <w:tcPr>
            <w:tcW w:w="1134" w:type="dxa"/>
          </w:tcPr>
          <w:p w14:paraId="3DFE23C0">
            <w:pPr>
              <w:spacing w:line="440" w:lineRule="atLeast"/>
              <w:jc w:val="center"/>
              <w:rPr>
                <w:color w:val="auto"/>
                <w:highlight w:val="none"/>
              </w:rPr>
            </w:pPr>
          </w:p>
        </w:tc>
        <w:tc>
          <w:tcPr>
            <w:tcW w:w="709" w:type="dxa"/>
          </w:tcPr>
          <w:p w14:paraId="4C0D773E">
            <w:pPr>
              <w:spacing w:line="440" w:lineRule="atLeast"/>
              <w:jc w:val="center"/>
              <w:rPr>
                <w:color w:val="auto"/>
                <w:highlight w:val="none"/>
              </w:rPr>
            </w:pPr>
          </w:p>
        </w:tc>
        <w:tc>
          <w:tcPr>
            <w:tcW w:w="871" w:type="dxa"/>
          </w:tcPr>
          <w:p w14:paraId="59DBFD03">
            <w:pPr>
              <w:spacing w:line="440" w:lineRule="atLeast"/>
              <w:jc w:val="center"/>
              <w:rPr>
                <w:color w:val="auto"/>
                <w:highlight w:val="none"/>
              </w:rPr>
            </w:pPr>
          </w:p>
        </w:tc>
        <w:tc>
          <w:tcPr>
            <w:tcW w:w="1134" w:type="dxa"/>
          </w:tcPr>
          <w:p w14:paraId="099AE0D6">
            <w:pPr>
              <w:spacing w:line="440" w:lineRule="atLeast"/>
              <w:jc w:val="center"/>
              <w:rPr>
                <w:color w:val="auto"/>
                <w:highlight w:val="none"/>
              </w:rPr>
            </w:pPr>
          </w:p>
        </w:tc>
      </w:tr>
    </w:tbl>
    <w:p w14:paraId="5A045B0F">
      <w:pPr>
        <w:pStyle w:val="23"/>
        <w:spacing w:after="0" w:line="440" w:lineRule="atLeast"/>
        <w:ind w:left="735" w:leftChars="0" w:hanging="735" w:hangingChars="350"/>
        <w:rPr>
          <w:color w:val="auto"/>
          <w:szCs w:val="21"/>
          <w:highlight w:val="none"/>
        </w:rPr>
      </w:pPr>
    </w:p>
    <w:p w14:paraId="23C11819">
      <w:pPr>
        <w:pStyle w:val="23"/>
        <w:spacing w:after="0" w:line="440" w:lineRule="atLeast"/>
        <w:ind w:left="630" w:hanging="210" w:hangingChars="100"/>
        <w:rPr>
          <w:bCs/>
          <w:color w:val="auto"/>
          <w:kern w:val="0"/>
          <w:szCs w:val="21"/>
          <w:highlight w:val="none"/>
        </w:rPr>
      </w:pPr>
    </w:p>
    <w:p w14:paraId="147CD2CD">
      <w:pPr>
        <w:pStyle w:val="23"/>
        <w:spacing w:after="0" w:line="440" w:lineRule="atLeast"/>
        <w:ind w:left="630" w:hanging="210" w:hangingChars="100"/>
        <w:rPr>
          <w:bCs/>
          <w:color w:val="auto"/>
          <w:kern w:val="0"/>
          <w:szCs w:val="21"/>
          <w:highlight w:val="none"/>
        </w:rPr>
      </w:pPr>
    </w:p>
    <w:p w14:paraId="358A2318">
      <w:pPr>
        <w:spacing w:line="440" w:lineRule="atLeast"/>
        <w:jc w:val="center"/>
        <w:rPr>
          <w:rFonts w:eastAsia="黑体"/>
          <w:color w:val="auto"/>
          <w:sz w:val="28"/>
          <w:highlight w:val="none"/>
        </w:rPr>
      </w:pPr>
    </w:p>
    <w:p w14:paraId="7E030012">
      <w:pPr>
        <w:pStyle w:val="34"/>
        <w:rPr>
          <w:rFonts w:eastAsia="黑体"/>
          <w:color w:val="auto"/>
          <w:sz w:val="28"/>
          <w:highlight w:val="none"/>
        </w:rPr>
      </w:pPr>
    </w:p>
    <w:p w14:paraId="0CBC4861">
      <w:pPr>
        <w:rPr>
          <w:color w:val="auto"/>
          <w:highlight w:val="none"/>
        </w:rPr>
      </w:pPr>
    </w:p>
    <w:p w14:paraId="18F7B731">
      <w:pPr>
        <w:pStyle w:val="2"/>
        <w:spacing w:before="0" w:after="0" w:line="440" w:lineRule="atLeast"/>
        <w:jc w:val="center"/>
        <w:rPr>
          <w:rFonts w:eastAsia="黑体"/>
          <w:b w:val="0"/>
          <w:color w:val="auto"/>
          <w:sz w:val="24"/>
          <w:szCs w:val="24"/>
          <w:highlight w:val="none"/>
        </w:rPr>
      </w:pPr>
      <w:r>
        <w:rPr>
          <w:rFonts w:eastAsia="黑体"/>
          <w:b w:val="0"/>
          <w:color w:val="auto"/>
          <w:sz w:val="24"/>
          <w:szCs w:val="24"/>
          <w:highlight w:val="none"/>
        </w:rPr>
        <w:t>（七）拟委任的其他主要咨询服务人员资历表</w:t>
      </w:r>
    </w:p>
    <w:p w14:paraId="1C5E12C4">
      <w:pPr>
        <w:widowControl/>
        <w:autoSpaceDE w:val="0"/>
        <w:autoSpaceDN w:val="0"/>
        <w:spacing w:line="440" w:lineRule="atLeast"/>
        <w:jc w:val="center"/>
        <w:textAlignment w:val="bottom"/>
        <w:rPr>
          <w:color w:val="auto"/>
          <w:highlight w:val="none"/>
        </w:rPr>
      </w:pPr>
    </w:p>
    <w:tbl>
      <w:tblPr>
        <w:tblStyle w:val="55"/>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2"/>
        <w:gridCol w:w="51"/>
        <w:gridCol w:w="1158"/>
        <w:gridCol w:w="304"/>
        <w:gridCol w:w="1067"/>
        <w:gridCol w:w="1390"/>
        <w:gridCol w:w="343"/>
        <w:gridCol w:w="1550"/>
        <w:gridCol w:w="392"/>
        <w:gridCol w:w="1290"/>
      </w:tblGrid>
      <w:tr w14:paraId="346D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42" w:type="dxa"/>
            <w:tcBorders>
              <w:top w:val="single" w:color="auto" w:sz="4" w:space="0"/>
              <w:left w:val="single" w:color="auto" w:sz="4" w:space="0"/>
              <w:bottom w:val="single" w:color="auto" w:sz="4" w:space="0"/>
              <w:right w:val="single" w:color="auto" w:sz="4" w:space="0"/>
            </w:tcBorders>
            <w:vAlign w:val="center"/>
          </w:tcPr>
          <w:p w14:paraId="1F487DDE">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姓    名</w:t>
            </w:r>
          </w:p>
        </w:tc>
        <w:tc>
          <w:tcPr>
            <w:tcW w:w="1513" w:type="dxa"/>
            <w:gridSpan w:val="3"/>
            <w:tcBorders>
              <w:top w:val="single" w:color="auto" w:sz="4" w:space="0"/>
              <w:left w:val="single" w:color="auto" w:sz="4" w:space="0"/>
              <w:bottom w:val="single" w:color="auto" w:sz="4" w:space="0"/>
              <w:right w:val="single" w:color="auto" w:sz="4" w:space="0"/>
            </w:tcBorders>
            <w:vAlign w:val="center"/>
          </w:tcPr>
          <w:p w14:paraId="0D0B6B7A">
            <w:pPr>
              <w:widowControl/>
              <w:autoSpaceDE w:val="0"/>
              <w:autoSpaceDN w:val="0"/>
              <w:spacing w:before="60" w:beforeLines="25" w:after="60" w:afterLines="25" w:line="440" w:lineRule="atLeast"/>
              <w:jc w:val="center"/>
              <w:textAlignment w:val="bottom"/>
              <w:rPr>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26A0C6EF">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年    龄</w:t>
            </w:r>
          </w:p>
        </w:tc>
        <w:tc>
          <w:tcPr>
            <w:tcW w:w="1390" w:type="dxa"/>
            <w:tcBorders>
              <w:top w:val="single" w:color="auto" w:sz="4" w:space="0"/>
              <w:left w:val="single" w:color="auto" w:sz="4" w:space="0"/>
              <w:bottom w:val="single" w:color="auto" w:sz="4" w:space="0"/>
              <w:right w:val="single" w:color="auto" w:sz="4" w:space="0"/>
            </w:tcBorders>
          </w:tcPr>
          <w:p w14:paraId="105BBBFC">
            <w:pPr>
              <w:widowControl/>
              <w:autoSpaceDE w:val="0"/>
              <w:autoSpaceDN w:val="0"/>
              <w:spacing w:before="60" w:beforeLines="25" w:after="60" w:afterLines="25" w:line="440" w:lineRule="atLeast"/>
              <w:jc w:val="center"/>
              <w:textAlignment w:val="bottom"/>
              <w:rPr>
                <w:color w:val="auto"/>
                <w:szCs w:val="21"/>
                <w:highlight w:val="none"/>
              </w:rPr>
            </w:pPr>
          </w:p>
        </w:tc>
        <w:tc>
          <w:tcPr>
            <w:tcW w:w="1893" w:type="dxa"/>
            <w:gridSpan w:val="2"/>
            <w:tcBorders>
              <w:top w:val="single" w:color="auto" w:sz="4" w:space="0"/>
              <w:left w:val="single" w:color="auto" w:sz="4" w:space="0"/>
              <w:bottom w:val="single" w:color="auto" w:sz="4" w:space="0"/>
              <w:right w:val="single" w:color="auto" w:sz="4" w:space="0"/>
            </w:tcBorders>
          </w:tcPr>
          <w:p w14:paraId="33ED6B20">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执业或职业资格证书名称</w:t>
            </w:r>
          </w:p>
        </w:tc>
        <w:tc>
          <w:tcPr>
            <w:tcW w:w="1682" w:type="dxa"/>
            <w:gridSpan w:val="2"/>
            <w:tcBorders>
              <w:top w:val="single" w:color="auto" w:sz="4" w:space="0"/>
              <w:left w:val="single" w:color="auto" w:sz="4" w:space="0"/>
              <w:bottom w:val="single" w:color="auto" w:sz="4" w:space="0"/>
              <w:right w:val="single" w:color="auto" w:sz="4" w:space="0"/>
            </w:tcBorders>
          </w:tcPr>
          <w:p w14:paraId="67EADE37">
            <w:pPr>
              <w:widowControl/>
              <w:autoSpaceDE w:val="0"/>
              <w:autoSpaceDN w:val="0"/>
              <w:spacing w:before="60" w:beforeLines="25" w:after="60" w:afterLines="25" w:line="440" w:lineRule="atLeast"/>
              <w:textAlignment w:val="bottom"/>
              <w:rPr>
                <w:color w:val="auto"/>
                <w:szCs w:val="21"/>
                <w:highlight w:val="none"/>
              </w:rPr>
            </w:pPr>
          </w:p>
        </w:tc>
      </w:tr>
      <w:tr w14:paraId="7275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42" w:type="dxa"/>
            <w:tcBorders>
              <w:top w:val="single" w:color="auto" w:sz="4" w:space="0"/>
              <w:left w:val="single" w:color="auto" w:sz="4" w:space="0"/>
              <w:bottom w:val="single" w:color="auto" w:sz="4" w:space="0"/>
              <w:right w:val="single" w:color="auto" w:sz="4" w:space="0"/>
            </w:tcBorders>
            <w:vAlign w:val="center"/>
          </w:tcPr>
          <w:p w14:paraId="1852C717">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技术职称</w:t>
            </w:r>
          </w:p>
        </w:tc>
        <w:tc>
          <w:tcPr>
            <w:tcW w:w="1513" w:type="dxa"/>
            <w:gridSpan w:val="3"/>
            <w:tcBorders>
              <w:top w:val="single" w:color="auto" w:sz="4" w:space="0"/>
              <w:left w:val="single" w:color="auto" w:sz="4" w:space="0"/>
              <w:bottom w:val="single" w:color="auto" w:sz="4" w:space="0"/>
              <w:right w:val="single" w:color="auto" w:sz="4" w:space="0"/>
            </w:tcBorders>
            <w:vAlign w:val="center"/>
          </w:tcPr>
          <w:p w14:paraId="43C2164C">
            <w:pPr>
              <w:widowControl/>
              <w:autoSpaceDE w:val="0"/>
              <w:autoSpaceDN w:val="0"/>
              <w:spacing w:before="60" w:beforeLines="25" w:after="60" w:afterLines="25" w:line="440" w:lineRule="atLeast"/>
              <w:jc w:val="center"/>
              <w:textAlignment w:val="bottom"/>
              <w:rPr>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2218FF57">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学    历</w:t>
            </w:r>
          </w:p>
        </w:tc>
        <w:tc>
          <w:tcPr>
            <w:tcW w:w="1390" w:type="dxa"/>
            <w:tcBorders>
              <w:top w:val="single" w:color="auto" w:sz="4" w:space="0"/>
              <w:left w:val="single" w:color="auto" w:sz="4" w:space="0"/>
              <w:bottom w:val="single" w:color="auto" w:sz="4" w:space="0"/>
              <w:right w:val="single" w:color="auto" w:sz="4" w:space="0"/>
            </w:tcBorders>
          </w:tcPr>
          <w:p w14:paraId="2AEC65F1">
            <w:pPr>
              <w:widowControl/>
              <w:autoSpaceDE w:val="0"/>
              <w:autoSpaceDN w:val="0"/>
              <w:spacing w:before="60" w:beforeLines="25" w:after="60" w:afterLines="25" w:line="440" w:lineRule="atLeast"/>
              <w:jc w:val="center"/>
              <w:textAlignment w:val="bottom"/>
              <w:rPr>
                <w:color w:val="auto"/>
                <w:szCs w:val="21"/>
                <w:highlight w:val="none"/>
              </w:rPr>
            </w:pPr>
          </w:p>
        </w:tc>
        <w:tc>
          <w:tcPr>
            <w:tcW w:w="1893" w:type="dxa"/>
            <w:gridSpan w:val="2"/>
            <w:tcBorders>
              <w:top w:val="single" w:color="auto" w:sz="4" w:space="0"/>
              <w:left w:val="single" w:color="auto" w:sz="4" w:space="0"/>
              <w:bottom w:val="single" w:color="auto" w:sz="4" w:space="0"/>
              <w:right w:val="single" w:color="auto" w:sz="4" w:space="0"/>
            </w:tcBorders>
          </w:tcPr>
          <w:p w14:paraId="1488BF4F">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拟在本标段</w:t>
            </w:r>
          </w:p>
          <w:p w14:paraId="337DDCDF">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工程任职</w:t>
            </w:r>
          </w:p>
        </w:tc>
        <w:tc>
          <w:tcPr>
            <w:tcW w:w="1682" w:type="dxa"/>
            <w:gridSpan w:val="2"/>
            <w:tcBorders>
              <w:top w:val="single" w:color="auto" w:sz="4" w:space="0"/>
              <w:left w:val="single" w:color="auto" w:sz="4" w:space="0"/>
              <w:bottom w:val="single" w:color="auto" w:sz="4" w:space="0"/>
              <w:right w:val="single" w:color="auto" w:sz="4" w:space="0"/>
            </w:tcBorders>
          </w:tcPr>
          <w:p w14:paraId="29A2C9AE">
            <w:pPr>
              <w:widowControl/>
              <w:autoSpaceDE w:val="0"/>
              <w:autoSpaceDN w:val="0"/>
              <w:spacing w:before="60" w:beforeLines="25" w:after="60" w:afterLines="25" w:line="440" w:lineRule="atLeast"/>
              <w:textAlignment w:val="bottom"/>
              <w:rPr>
                <w:color w:val="auto"/>
                <w:szCs w:val="21"/>
                <w:highlight w:val="none"/>
              </w:rPr>
            </w:pPr>
          </w:p>
        </w:tc>
      </w:tr>
      <w:tr w14:paraId="3195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42" w:type="dxa"/>
            <w:vAlign w:val="center"/>
          </w:tcPr>
          <w:p w14:paraId="1BD96148">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工作年限</w:t>
            </w:r>
          </w:p>
        </w:tc>
        <w:tc>
          <w:tcPr>
            <w:tcW w:w="3970" w:type="dxa"/>
            <w:gridSpan w:val="5"/>
            <w:vAlign w:val="center"/>
          </w:tcPr>
          <w:p w14:paraId="063F4156">
            <w:pPr>
              <w:widowControl/>
              <w:autoSpaceDE w:val="0"/>
              <w:autoSpaceDN w:val="0"/>
              <w:spacing w:before="60" w:beforeLines="25" w:after="60" w:afterLines="25" w:line="440" w:lineRule="atLeast"/>
              <w:jc w:val="center"/>
              <w:textAlignment w:val="bottom"/>
              <w:rPr>
                <w:color w:val="auto"/>
                <w:szCs w:val="21"/>
                <w:highlight w:val="none"/>
              </w:rPr>
            </w:pPr>
          </w:p>
        </w:tc>
        <w:tc>
          <w:tcPr>
            <w:tcW w:w="1893" w:type="dxa"/>
            <w:gridSpan w:val="2"/>
            <w:vAlign w:val="center"/>
          </w:tcPr>
          <w:p w14:paraId="22A96063">
            <w:pPr>
              <w:widowControl/>
              <w:autoSpaceDE w:val="0"/>
              <w:autoSpaceDN w:val="0"/>
              <w:spacing w:before="60" w:beforeLines="25" w:after="60" w:afterLines="25" w:line="440" w:lineRule="atLeast"/>
              <w:jc w:val="center"/>
              <w:textAlignment w:val="bottom"/>
              <w:rPr>
                <w:color w:val="auto"/>
                <w:szCs w:val="21"/>
                <w:highlight w:val="none"/>
              </w:rPr>
            </w:pPr>
            <w:r>
              <w:rPr>
                <w:color w:val="auto"/>
                <w:highlight w:val="none"/>
              </w:rPr>
              <w:t>从事咨询服务工作年限</w:t>
            </w:r>
          </w:p>
        </w:tc>
        <w:tc>
          <w:tcPr>
            <w:tcW w:w="1682" w:type="dxa"/>
            <w:gridSpan w:val="2"/>
          </w:tcPr>
          <w:p w14:paraId="550C460D">
            <w:pPr>
              <w:widowControl/>
              <w:autoSpaceDE w:val="0"/>
              <w:autoSpaceDN w:val="0"/>
              <w:spacing w:before="60" w:beforeLines="25" w:after="60" w:afterLines="25" w:line="440" w:lineRule="atLeast"/>
              <w:textAlignment w:val="bottom"/>
              <w:rPr>
                <w:color w:val="auto"/>
                <w:szCs w:val="21"/>
                <w:highlight w:val="none"/>
              </w:rPr>
            </w:pPr>
          </w:p>
        </w:tc>
      </w:tr>
      <w:tr w14:paraId="1AC1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42" w:type="dxa"/>
            <w:vAlign w:val="center"/>
          </w:tcPr>
          <w:p w14:paraId="13E033C0">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毕业学校</w:t>
            </w:r>
          </w:p>
        </w:tc>
        <w:tc>
          <w:tcPr>
            <w:tcW w:w="7545" w:type="dxa"/>
            <w:gridSpan w:val="9"/>
            <w:vAlign w:val="center"/>
          </w:tcPr>
          <w:p w14:paraId="6667237F">
            <w:pPr>
              <w:widowControl/>
              <w:autoSpaceDE w:val="0"/>
              <w:autoSpaceDN w:val="0"/>
              <w:spacing w:before="60" w:beforeLines="25" w:after="60" w:afterLines="25" w:line="440" w:lineRule="atLeast"/>
              <w:ind w:left="-187" w:leftChars="-89"/>
              <w:jc w:val="center"/>
              <w:textAlignment w:val="bottom"/>
              <w:rPr>
                <w:color w:val="auto"/>
                <w:szCs w:val="21"/>
                <w:highlight w:val="none"/>
              </w:rPr>
            </w:pPr>
            <w:r>
              <w:rPr>
                <w:color w:val="auto"/>
                <w:szCs w:val="21"/>
                <w:highlight w:val="none"/>
              </w:rPr>
              <w:t>______年___月毕业于___________________学校___________专业，学制______年</w:t>
            </w:r>
          </w:p>
        </w:tc>
      </w:tr>
      <w:tr w14:paraId="0668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87" w:type="dxa"/>
            <w:gridSpan w:val="10"/>
            <w:vAlign w:val="center"/>
          </w:tcPr>
          <w:p w14:paraId="52FDD13B">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经         历</w:t>
            </w:r>
          </w:p>
        </w:tc>
      </w:tr>
      <w:tr w14:paraId="5072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7618F42E">
            <w:pPr>
              <w:widowControl/>
              <w:autoSpaceDE w:val="0"/>
              <w:autoSpaceDN w:val="0"/>
              <w:spacing w:before="60" w:beforeLines="25" w:after="60" w:afterLines="25" w:line="440" w:lineRule="atLeast"/>
              <w:jc w:val="center"/>
              <w:textAlignment w:val="bottom"/>
              <w:rPr>
                <w:color w:val="auto"/>
                <w:szCs w:val="21"/>
                <w:highlight w:val="none"/>
              </w:rPr>
            </w:pPr>
            <w:r>
              <w:rPr>
                <w:color w:val="auto"/>
                <w:highlight w:val="none"/>
              </w:rPr>
              <w:t>时  间</w:t>
            </w:r>
          </w:p>
        </w:tc>
        <w:tc>
          <w:tcPr>
            <w:tcW w:w="4262" w:type="dxa"/>
            <w:gridSpan w:val="5"/>
            <w:vAlign w:val="center"/>
          </w:tcPr>
          <w:p w14:paraId="303D5068">
            <w:pPr>
              <w:pStyle w:val="90"/>
              <w:widowControl/>
              <w:adjustRightInd/>
              <w:snapToGrid/>
              <w:spacing w:before="60" w:beforeLines="25" w:after="60" w:afterLines="25" w:line="440" w:lineRule="atLeast"/>
              <w:textAlignment w:val="bottom"/>
              <w:rPr>
                <w:color w:val="auto"/>
                <w:spacing w:val="0"/>
                <w:kern w:val="2"/>
                <w:szCs w:val="21"/>
                <w:highlight w:val="none"/>
              </w:rPr>
            </w:pPr>
            <w:r>
              <w:rPr>
                <w:color w:val="auto"/>
                <w:spacing w:val="0"/>
                <w:kern w:val="2"/>
                <w:szCs w:val="21"/>
                <w:highlight w:val="none"/>
              </w:rPr>
              <w:t>参加过的类似工程项目名称</w:t>
            </w:r>
          </w:p>
        </w:tc>
        <w:tc>
          <w:tcPr>
            <w:tcW w:w="1942" w:type="dxa"/>
            <w:gridSpan w:val="2"/>
            <w:vAlign w:val="center"/>
          </w:tcPr>
          <w:p w14:paraId="62DBA53D">
            <w:pPr>
              <w:pStyle w:val="90"/>
              <w:widowControl/>
              <w:adjustRightInd/>
              <w:snapToGrid/>
              <w:spacing w:before="60" w:beforeLines="25" w:after="60" w:afterLines="25" w:line="440" w:lineRule="atLeast"/>
              <w:textAlignment w:val="bottom"/>
              <w:rPr>
                <w:color w:val="auto"/>
                <w:spacing w:val="0"/>
                <w:kern w:val="2"/>
                <w:szCs w:val="21"/>
                <w:highlight w:val="none"/>
              </w:rPr>
            </w:pPr>
            <w:r>
              <w:rPr>
                <w:color w:val="auto"/>
                <w:spacing w:val="0"/>
                <w:kern w:val="2"/>
                <w:szCs w:val="21"/>
                <w:highlight w:val="none"/>
              </w:rPr>
              <w:t>担任职务</w:t>
            </w:r>
          </w:p>
        </w:tc>
        <w:tc>
          <w:tcPr>
            <w:tcW w:w="1290" w:type="dxa"/>
            <w:vAlign w:val="center"/>
          </w:tcPr>
          <w:p w14:paraId="0F9251C2">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委托人及联系电话</w:t>
            </w:r>
          </w:p>
        </w:tc>
      </w:tr>
      <w:tr w14:paraId="7A41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6A104DC8">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39523700">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5D941169">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48444F46">
            <w:pPr>
              <w:widowControl/>
              <w:autoSpaceDE w:val="0"/>
              <w:autoSpaceDN w:val="0"/>
              <w:spacing w:before="60" w:beforeLines="25" w:after="60" w:afterLines="25" w:line="440" w:lineRule="atLeast"/>
              <w:textAlignment w:val="bottom"/>
              <w:rPr>
                <w:color w:val="auto"/>
                <w:szCs w:val="21"/>
                <w:highlight w:val="none"/>
              </w:rPr>
            </w:pPr>
          </w:p>
        </w:tc>
      </w:tr>
      <w:tr w14:paraId="4726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4CED36C2">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727B2BB4">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33015129">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03986165">
            <w:pPr>
              <w:widowControl/>
              <w:autoSpaceDE w:val="0"/>
              <w:autoSpaceDN w:val="0"/>
              <w:spacing w:before="60" w:beforeLines="25" w:after="60" w:afterLines="25" w:line="440" w:lineRule="atLeast"/>
              <w:textAlignment w:val="bottom"/>
              <w:rPr>
                <w:color w:val="auto"/>
                <w:szCs w:val="21"/>
                <w:highlight w:val="none"/>
              </w:rPr>
            </w:pPr>
          </w:p>
        </w:tc>
      </w:tr>
      <w:tr w14:paraId="41D5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4F011CD2">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3FF8C6F5">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2C1FAA61">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42AFD53A">
            <w:pPr>
              <w:widowControl/>
              <w:autoSpaceDE w:val="0"/>
              <w:autoSpaceDN w:val="0"/>
              <w:spacing w:before="60" w:beforeLines="25" w:after="60" w:afterLines="25" w:line="440" w:lineRule="atLeast"/>
              <w:textAlignment w:val="bottom"/>
              <w:rPr>
                <w:color w:val="auto"/>
                <w:szCs w:val="21"/>
                <w:highlight w:val="none"/>
              </w:rPr>
            </w:pPr>
          </w:p>
        </w:tc>
      </w:tr>
      <w:tr w14:paraId="63C1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10B29A11">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79966A6E">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4CF43630">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2919C7A2">
            <w:pPr>
              <w:widowControl/>
              <w:autoSpaceDE w:val="0"/>
              <w:autoSpaceDN w:val="0"/>
              <w:spacing w:before="60" w:beforeLines="25" w:after="60" w:afterLines="25" w:line="440" w:lineRule="atLeast"/>
              <w:textAlignment w:val="bottom"/>
              <w:rPr>
                <w:color w:val="auto"/>
                <w:szCs w:val="21"/>
                <w:highlight w:val="none"/>
              </w:rPr>
            </w:pPr>
          </w:p>
        </w:tc>
      </w:tr>
      <w:tr w14:paraId="5610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27E69ACE">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10F494DC">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499DD21A">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6F243E51">
            <w:pPr>
              <w:widowControl/>
              <w:autoSpaceDE w:val="0"/>
              <w:autoSpaceDN w:val="0"/>
              <w:spacing w:before="60" w:beforeLines="25" w:after="60" w:afterLines="25" w:line="440" w:lineRule="atLeast"/>
              <w:textAlignment w:val="bottom"/>
              <w:rPr>
                <w:color w:val="auto"/>
                <w:szCs w:val="21"/>
                <w:highlight w:val="none"/>
              </w:rPr>
            </w:pPr>
          </w:p>
        </w:tc>
      </w:tr>
      <w:tr w14:paraId="6EC0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2F44ED56">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5797EE55">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5329DBB3">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05B6D37F">
            <w:pPr>
              <w:widowControl/>
              <w:autoSpaceDE w:val="0"/>
              <w:autoSpaceDN w:val="0"/>
              <w:spacing w:before="60" w:beforeLines="25" w:after="60" w:afterLines="25" w:line="440" w:lineRule="atLeast"/>
              <w:textAlignment w:val="bottom"/>
              <w:rPr>
                <w:color w:val="auto"/>
                <w:szCs w:val="21"/>
                <w:highlight w:val="none"/>
              </w:rPr>
            </w:pPr>
          </w:p>
        </w:tc>
      </w:tr>
      <w:tr w14:paraId="75D2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37A91B86">
            <w:pPr>
              <w:widowControl/>
              <w:autoSpaceDE w:val="0"/>
              <w:autoSpaceDN w:val="0"/>
              <w:spacing w:before="60" w:beforeLines="25" w:after="60" w:afterLines="25" w:line="440" w:lineRule="atLeast"/>
              <w:jc w:val="center"/>
              <w:textAlignment w:val="bottom"/>
              <w:rPr>
                <w:color w:val="auto"/>
                <w:szCs w:val="21"/>
                <w:highlight w:val="none"/>
              </w:rPr>
            </w:pPr>
          </w:p>
        </w:tc>
        <w:tc>
          <w:tcPr>
            <w:tcW w:w="4262" w:type="dxa"/>
            <w:gridSpan w:val="5"/>
            <w:vAlign w:val="center"/>
          </w:tcPr>
          <w:p w14:paraId="556B9F86">
            <w:pPr>
              <w:widowControl/>
              <w:autoSpaceDE w:val="0"/>
              <w:autoSpaceDN w:val="0"/>
              <w:spacing w:before="60" w:beforeLines="25" w:after="60" w:afterLines="25" w:line="440" w:lineRule="atLeast"/>
              <w:jc w:val="center"/>
              <w:textAlignment w:val="bottom"/>
              <w:rPr>
                <w:color w:val="auto"/>
                <w:szCs w:val="21"/>
                <w:highlight w:val="none"/>
              </w:rPr>
            </w:pPr>
          </w:p>
        </w:tc>
        <w:tc>
          <w:tcPr>
            <w:tcW w:w="1942" w:type="dxa"/>
            <w:gridSpan w:val="2"/>
          </w:tcPr>
          <w:p w14:paraId="5674E4A6">
            <w:pPr>
              <w:widowControl/>
              <w:autoSpaceDE w:val="0"/>
              <w:autoSpaceDN w:val="0"/>
              <w:spacing w:before="60" w:beforeLines="25" w:after="60" w:afterLines="25" w:line="440" w:lineRule="atLeast"/>
              <w:textAlignment w:val="bottom"/>
              <w:rPr>
                <w:color w:val="auto"/>
                <w:szCs w:val="21"/>
                <w:highlight w:val="none"/>
              </w:rPr>
            </w:pPr>
          </w:p>
        </w:tc>
        <w:tc>
          <w:tcPr>
            <w:tcW w:w="1290" w:type="dxa"/>
          </w:tcPr>
          <w:p w14:paraId="18251D11">
            <w:pPr>
              <w:widowControl/>
              <w:autoSpaceDE w:val="0"/>
              <w:autoSpaceDN w:val="0"/>
              <w:spacing w:before="60" w:beforeLines="25" w:after="60" w:afterLines="25" w:line="440" w:lineRule="atLeast"/>
              <w:textAlignment w:val="bottom"/>
              <w:rPr>
                <w:color w:val="auto"/>
                <w:szCs w:val="21"/>
                <w:highlight w:val="none"/>
              </w:rPr>
            </w:pPr>
          </w:p>
        </w:tc>
      </w:tr>
      <w:tr w14:paraId="68B4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1" w:type="dxa"/>
            <w:gridSpan w:val="3"/>
            <w:vAlign w:val="center"/>
          </w:tcPr>
          <w:p w14:paraId="24D0C72B">
            <w:pPr>
              <w:widowControl/>
              <w:autoSpaceDE w:val="0"/>
              <w:autoSpaceDN w:val="0"/>
              <w:spacing w:before="60" w:beforeLines="25" w:after="60" w:afterLines="25" w:line="440" w:lineRule="atLeast"/>
              <w:jc w:val="center"/>
              <w:textAlignment w:val="bottom"/>
              <w:rPr>
                <w:color w:val="auto"/>
                <w:szCs w:val="21"/>
                <w:highlight w:val="none"/>
              </w:rPr>
            </w:pPr>
            <w:r>
              <w:rPr>
                <w:color w:val="auto"/>
                <w:szCs w:val="21"/>
                <w:highlight w:val="none"/>
              </w:rPr>
              <w:t>获奖情况</w:t>
            </w:r>
          </w:p>
        </w:tc>
        <w:tc>
          <w:tcPr>
            <w:tcW w:w="6336" w:type="dxa"/>
            <w:gridSpan w:val="7"/>
          </w:tcPr>
          <w:p w14:paraId="3EFBEC71">
            <w:pPr>
              <w:widowControl/>
              <w:autoSpaceDE w:val="0"/>
              <w:autoSpaceDN w:val="0"/>
              <w:spacing w:before="60" w:beforeLines="25" w:after="60" w:afterLines="25" w:line="440" w:lineRule="atLeast"/>
              <w:textAlignment w:val="bottom"/>
              <w:rPr>
                <w:color w:val="auto"/>
                <w:szCs w:val="21"/>
                <w:highlight w:val="none"/>
              </w:rPr>
            </w:pPr>
          </w:p>
        </w:tc>
      </w:tr>
      <w:tr w14:paraId="5E86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51" w:type="dxa"/>
            <w:gridSpan w:val="3"/>
            <w:vAlign w:val="center"/>
          </w:tcPr>
          <w:p w14:paraId="44850215">
            <w:pPr>
              <w:widowControl/>
              <w:autoSpaceDE w:val="0"/>
              <w:autoSpaceDN w:val="0"/>
              <w:spacing w:line="440" w:lineRule="atLeast"/>
              <w:jc w:val="center"/>
              <w:textAlignment w:val="bottom"/>
              <w:rPr>
                <w:color w:val="auto"/>
                <w:szCs w:val="21"/>
                <w:highlight w:val="none"/>
              </w:rPr>
            </w:pPr>
            <w:r>
              <w:rPr>
                <w:color w:val="auto"/>
                <w:szCs w:val="21"/>
                <w:highlight w:val="none"/>
              </w:rPr>
              <w:t>备     注</w:t>
            </w:r>
          </w:p>
        </w:tc>
        <w:tc>
          <w:tcPr>
            <w:tcW w:w="6336" w:type="dxa"/>
            <w:gridSpan w:val="7"/>
          </w:tcPr>
          <w:p w14:paraId="62D0F8AE">
            <w:pPr>
              <w:widowControl/>
              <w:autoSpaceDE w:val="0"/>
              <w:autoSpaceDN w:val="0"/>
              <w:spacing w:line="440" w:lineRule="atLeast"/>
              <w:textAlignment w:val="bottom"/>
              <w:rPr>
                <w:color w:val="auto"/>
                <w:szCs w:val="21"/>
                <w:highlight w:val="none"/>
              </w:rPr>
            </w:pPr>
          </w:p>
        </w:tc>
      </w:tr>
    </w:tbl>
    <w:p w14:paraId="0CC07328">
      <w:pPr>
        <w:pStyle w:val="23"/>
        <w:spacing w:after="0" w:line="440" w:lineRule="atLeast"/>
        <w:ind w:left="588" w:leftChars="0" w:right="-61" w:rightChars="-29" w:hanging="588" w:hangingChars="280"/>
        <w:rPr>
          <w:color w:val="auto"/>
          <w:szCs w:val="21"/>
          <w:highlight w:val="none"/>
        </w:rPr>
      </w:pPr>
      <w:r>
        <w:rPr>
          <w:color w:val="auto"/>
          <w:szCs w:val="21"/>
          <w:highlight w:val="none"/>
        </w:rPr>
        <w:t>注：1.本表人员应与表（六）中所列人员相一致。</w:t>
      </w:r>
    </w:p>
    <w:p w14:paraId="7BA3B3E6">
      <w:pPr>
        <w:pStyle w:val="23"/>
        <w:spacing w:after="0" w:line="440" w:lineRule="atLeast"/>
        <w:ind w:left="630" w:hanging="210" w:hangingChars="100"/>
        <w:rPr>
          <w:rFonts w:eastAsia="黑体"/>
          <w:color w:val="auto"/>
          <w:sz w:val="28"/>
          <w:highlight w:val="none"/>
        </w:rPr>
      </w:pPr>
      <w:r>
        <w:rPr>
          <w:bCs/>
          <w:color w:val="auto"/>
          <w:kern w:val="0"/>
          <w:szCs w:val="21"/>
          <w:highlight w:val="none"/>
        </w:rPr>
        <w:t>2.投标人应根据招标文件第二章“投标人须知”第3.5.5项的要求在本表后附相关证明材料。</w:t>
      </w:r>
    </w:p>
    <w:p w14:paraId="56A726EF">
      <w:pPr>
        <w:pStyle w:val="646"/>
        <w:jc w:val="center"/>
        <w:rPr>
          <w:rStyle w:val="57"/>
          <w:rFonts w:hint="default" w:ascii="宋体" w:hAnsi="宋体" w:eastAsia="宋体" w:cs="Calibri"/>
          <w:b/>
          <w:bCs/>
          <w:color w:val="auto"/>
          <w:sz w:val="32"/>
          <w:szCs w:val="32"/>
          <w:highlight w:val="none"/>
          <w:lang w:val="en-US" w:eastAsia="zh-CN"/>
        </w:rPr>
      </w:pPr>
      <w:r>
        <w:rPr>
          <w:rFonts w:ascii="Times New Roman" w:hAnsi="Times New Roman" w:eastAsia="黑体"/>
          <w:b/>
          <w:color w:val="auto"/>
          <w:sz w:val="28"/>
          <w:szCs w:val="28"/>
          <w:highlight w:val="none"/>
          <w:lang w:eastAsia="zh-CN"/>
        </w:rPr>
        <w:br w:type="page"/>
      </w:r>
      <w:bookmarkStart w:id="666" w:name="_Toc508886135"/>
      <w:bookmarkStart w:id="667" w:name="_Toc513817643"/>
      <w:bookmarkStart w:id="668" w:name="_Toc499646528"/>
      <w:bookmarkStart w:id="669" w:name="_Toc506008234"/>
      <w:r>
        <w:rPr>
          <w:rFonts w:hint="eastAsia" w:ascii="Times New Roman" w:hAnsi="Times New Roman" w:eastAsia="黑体" w:cs="Times New Roman"/>
          <w:b w:val="0"/>
          <w:bCs/>
          <w:color w:val="auto"/>
          <w:kern w:val="44"/>
          <w:sz w:val="24"/>
          <w:szCs w:val="24"/>
          <w:highlight w:val="none"/>
          <w:lang w:val="en-US" w:eastAsia="zh-CN" w:bidi="ar-SA"/>
        </w:rPr>
        <w:t>（八）信用等级情况表</w:t>
      </w:r>
    </w:p>
    <w:p w14:paraId="6C62A9A0">
      <w:pPr>
        <w:pStyle w:val="646"/>
        <w:jc w:val="center"/>
        <w:rPr>
          <w:rStyle w:val="57"/>
          <w:rFonts w:hint="eastAsia" w:ascii="宋体" w:hAnsi="宋体" w:eastAsia="宋体" w:cs="Times New Roman"/>
          <w:b/>
          <w:bCs/>
          <w:color w:val="auto"/>
          <w:sz w:val="32"/>
          <w:szCs w:val="32"/>
          <w:highlight w:val="none"/>
        </w:rPr>
      </w:pPr>
      <w:r>
        <w:rPr>
          <w:rStyle w:val="57"/>
          <w:rFonts w:hint="eastAsia" w:ascii="宋体" w:hAnsi="宋体" w:eastAsia="宋体" w:cs="Times New Roman"/>
          <w:b/>
          <w:bCs/>
          <w:color w:val="auto"/>
          <w:sz w:val="32"/>
          <w:szCs w:val="32"/>
          <w:highlight w:val="none"/>
        </w:rPr>
        <w:t xml:space="preserve"> </w:t>
      </w:r>
    </w:p>
    <w:tbl>
      <w:tblPr>
        <w:tblStyle w:val="55"/>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023"/>
        <w:gridCol w:w="1812"/>
        <w:gridCol w:w="2127"/>
        <w:gridCol w:w="1701"/>
      </w:tblGrid>
      <w:tr w14:paraId="7DC6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14:paraId="28654484">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r>
              <w:rPr>
                <w:rStyle w:val="57"/>
                <w:rFonts w:hint="eastAsia" w:ascii="宋体" w:hAnsi="宋体" w:eastAsia="宋体" w:cs="宋体"/>
                <w:color w:val="auto"/>
                <w:kern w:val="2"/>
                <w:sz w:val="24"/>
                <w:szCs w:val="24"/>
                <w:highlight w:val="none"/>
                <w:lang w:val="en-US" w:eastAsia="zh-CN" w:bidi="ar-SA"/>
              </w:rPr>
              <w:t>信用评价年度</w:t>
            </w:r>
          </w:p>
        </w:tc>
        <w:tc>
          <w:tcPr>
            <w:tcW w:w="1023" w:type="dxa"/>
            <w:tcBorders>
              <w:top w:val="single" w:color="auto" w:sz="4" w:space="0"/>
              <w:left w:val="nil"/>
              <w:bottom w:val="single" w:color="auto" w:sz="4" w:space="0"/>
              <w:right w:val="single" w:color="auto" w:sz="4" w:space="0"/>
            </w:tcBorders>
            <w:noWrap w:val="0"/>
            <w:vAlign w:val="center"/>
          </w:tcPr>
          <w:p w14:paraId="07719900">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r>
              <w:rPr>
                <w:rStyle w:val="57"/>
                <w:rFonts w:hint="eastAsia" w:ascii="宋体" w:hAnsi="宋体" w:eastAsia="宋体" w:cs="宋体"/>
                <w:color w:val="auto"/>
                <w:kern w:val="2"/>
                <w:sz w:val="24"/>
                <w:szCs w:val="24"/>
                <w:highlight w:val="none"/>
                <w:lang w:val="en-US" w:eastAsia="zh-CN" w:bidi="ar-SA"/>
              </w:rPr>
              <w:t>信用等级</w:t>
            </w:r>
          </w:p>
        </w:tc>
        <w:tc>
          <w:tcPr>
            <w:tcW w:w="1812" w:type="dxa"/>
            <w:tcBorders>
              <w:top w:val="single" w:color="auto" w:sz="4" w:space="0"/>
              <w:left w:val="nil"/>
              <w:bottom w:val="single" w:color="auto" w:sz="4" w:space="0"/>
              <w:right w:val="single" w:color="auto" w:sz="4" w:space="0"/>
            </w:tcBorders>
            <w:noWrap w:val="0"/>
            <w:vAlign w:val="center"/>
          </w:tcPr>
          <w:p w14:paraId="3A83C267">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r>
              <w:rPr>
                <w:rStyle w:val="57"/>
                <w:rFonts w:hint="eastAsia" w:ascii="宋体" w:hAnsi="宋体" w:eastAsia="宋体" w:cs="宋体"/>
                <w:color w:val="auto"/>
                <w:kern w:val="2"/>
                <w:sz w:val="24"/>
                <w:szCs w:val="24"/>
                <w:highlight w:val="none"/>
                <w:lang w:val="en-US" w:eastAsia="zh-CN" w:bidi="ar-SA"/>
              </w:rPr>
              <w:t>信用评价结果文号</w:t>
            </w:r>
          </w:p>
        </w:tc>
        <w:tc>
          <w:tcPr>
            <w:tcW w:w="2127" w:type="dxa"/>
            <w:tcBorders>
              <w:top w:val="single" w:color="auto" w:sz="4" w:space="0"/>
              <w:left w:val="nil"/>
              <w:bottom w:val="single" w:color="auto" w:sz="4" w:space="0"/>
              <w:right w:val="single" w:color="auto" w:sz="4" w:space="0"/>
            </w:tcBorders>
            <w:noWrap w:val="0"/>
            <w:vAlign w:val="center"/>
          </w:tcPr>
          <w:p w14:paraId="165037B4">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r>
              <w:rPr>
                <w:rStyle w:val="57"/>
                <w:rFonts w:hint="eastAsia" w:ascii="宋体" w:hAnsi="宋体" w:eastAsia="宋体" w:cs="宋体"/>
                <w:color w:val="auto"/>
                <w:kern w:val="2"/>
                <w:sz w:val="24"/>
                <w:szCs w:val="24"/>
                <w:highlight w:val="none"/>
                <w:lang w:val="en-US" w:eastAsia="zh-CN" w:bidi="ar-SA"/>
              </w:rPr>
              <w:t>投标人评价结果在文号附件表格中的序号</w:t>
            </w:r>
          </w:p>
        </w:tc>
        <w:tc>
          <w:tcPr>
            <w:tcW w:w="1701" w:type="dxa"/>
            <w:tcBorders>
              <w:top w:val="single" w:color="auto" w:sz="4" w:space="0"/>
              <w:left w:val="nil"/>
              <w:bottom w:val="single" w:color="auto" w:sz="4" w:space="0"/>
              <w:right w:val="single" w:color="auto" w:sz="4" w:space="0"/>
            </w:tcBorders>
            <w:noWrap w:val="0"/>
            <w:vAlign w:val="center"/>
          </w:tcPr>
          <w:p w14:paraId="213203F2">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r>
              <w:rPr>
                <w:rStyle w:val="57"/>
                <w:rFonts w:hint="eastAsia" w:ascii="宋体" w:hAnsi="宋体" w:eastAsia="宋体" w:cs="宋体"/>
                <w:color w:val="auto"/>
                <w:kern w:val="2"/>
                <w:sz w:val="24"/>
                <w:szCs w:val="24"/>
                <w:highlight w:val="none"/>
                <w:lang w:val="en-US" w:eastAsia="zh-CN" w:bidi="ar-SA"/>
              </w:rPr>
              <w:t>信用评价动态调整文号   （如有）</w:t>
            </w:r>
          </w:p>
        </w:tc>
      </w:tr>
      <w:tr w14:paraId="5DF5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14:paraId="1556BBC1">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r>
              <w:rPr>
                <w:rStyle w:val="57"/>
                <w:rFonts w:hint="eastAsia" w:ascii="宋体" w:hAnsi="宋体" w:eastAsia="宋体" w:cs="宋体"/>
                <w:color w:val="auto"/>
                <w:kern w:val="2"/>
                <w:sz w:val="24"/>
                <w:szCs w:val="24"/>
                <w:highlight w:val="none"/>
                <w:lang w:val="en-US" w:eastAsia="zh-CN" w:bidi="ar-SA"/>
              </w:rPr>
              <w:t>最近第一年</w:t>
            </w:r>
          </w:p>
        </w:tc>
        <w:tc>
          <w:tcPr>
            <w:tcW w:w="1023" w:type="dxa"/>
            <w:tcBorders>
              <w:top w:val="single" w:color="auto" w:sz="4" w:space="0"/>
              <w:left w:val="nil"/>
              <w:bottom w:val="single" w:color="auto" w:sz="4" w:space="0"/>
              <w:right w:val="single" w:color="auto" w:sz="4" w:space="0"/>
            </w:tcBorders>
            <w:noWrap w:val="0"/>
            <w:vAlign w:val="center"/>
          </w:tcPr>
          <w:p w14:paraId="6D5814B6">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c>
          <w:tcPr>
            <w:tcW w:w="1812" w:type="dxa"/>
            <w:tcBorders>
              <w:top w:val="single" w:color="auto" w:sz="4" w:space="0"/>
              <w:left w:val="nil"/>
              <w:bottom w:val="single" w:color="auto" w:sz="4" w:space="0"/>
              <w:right w:val="single" w:color="auto" w:sz="4" w:space="0"/>
            </w:tcBorders>
            <w:noWrap w:val="0"/>
            <w:vAlign w:val="center"/>
          </w:tcPr>
          <w:p w14:paraId="1D8E62FA">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c>
          <w:tcPr>
            <w:tcW w:w="2127" w:type="dxa"/>
            <w:tcBorders>
              <w:top w:val="single" w:color="auto" w:sz="4" w:space="0"/>
              <w:left w:val="nil"/>
              <w:bottom w:val="single" w:color="auto" w:sz="4" w:space="0"/>
              <w:right w:val="single" w:color="auto" w:sz="4" w:space="0"/>
            </w:tcBorders>
            <w:noWrap w:val="0"/>
            <w:vAlign w:val="center"/>
          </w:tcPr>
          <w:p w14:paraId="1A9651E9">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c>
          <w:tcPr>
            <w:tcW w:w="1701" w:type="dxa"/>
            <w:tcBorders>
              <w:top w:val="single" w:color="auto" w:sz="4" w:space="0"/>
              <w:left w:val="nil"/>
              <w:bottom w:val="single" w:color="auto" w:sz="4" w:space="0"/>
              <w:right w:val="single" w:color="auto" w:sz="4" w:space="0"/>
            </w:tcBorders>
            <w:noWrap w:val="0"/>
            <w:vAlign w:val="center"/>
          </w:tcPr>
          <w:p w14:paraId="6108F29A">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r>
      <w:tr w14:paraId="2EA5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14:paraId="7F17438B">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r>
              <w:rPr>
                <w:rStyle w:val="57"/>
                <w:rFonts w:hint="eastAsia" w:ascii="宋体" w:hAnsi="宋体" w:eastAsia="宋体" w:cs="宋体"/>
                <w:color w:val="auto"/>
                <w:kern w:val="2"/>
                <w:sz w:val="24"/>
                <w:szCs w:val="24"/>
                <w:highlight w:val="none"/>
                <w:lang w:val="en-US" w:eastAsia="zh-CN" w:bidi="ar-SA"/>
              </w:rPr>
              <w:t>最近第二年</w:t>
            </w:r>
          </w:p>
        </w:tc>
        <w:tc>
          <w:tcPr>
            <w:tcW w:w="1023" w:type="dxa"/>
            <w:tcBorders>
              <w:top w:val="single" w:color="auto" w:sz="4" w:space="0"/>
              <w:left w:val="nil"/>
              <w:bottom w:val="single" w:color="auto" w:sz="4" w:space="0"/>
              <w:right w:val="single" w:color="auto" w:sz="4" w:space="0"/>
            </w:tcBorders>
            <w:noWrap w:val="0"/>
            <w:vAlign w:val="center"/>
          </w:tcPr>
          <w:p w14:paraId="3D7C5844">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c>
          <w:tcPr>
            <w:tcW w:w="1812" w:type="dxa"/>
            <w:tcBorders>
              <w:top w:val="single" w:color="auto" w:sz="4" w:space="0"/>
              <w:left w:val="nil"/>
              <w:bottom w:val="single" w:color="auto" w:sz="4" w:space="0"/>
              <w:right w:val="single" w:color="auto" w:sz="4" w:space="0"/>
            </w:tcBorders>
            <w:noWrap w:val="0"/>
            <w:vAlign w:val="center"/>
          </w:tcPr>
          <w:p w14:paraId="5C6080D6">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c>
          <w:tcPr>
            <w:tcW w:w="2127" w:type="dxa"/>
            <w:tcBorders>
              <w:top w:val="single" w:color="auto" w:sz="4" w:space="0"/>
              <w:left w:val="nil"/>
              <w:bottom w:val="single" w:color="auto" w:sz="4" w:space="0"/>
              <w:right w:val="single" w:color="auto" w:sz="4" w:space="0"/>
            </w:tcBorders>
            <w:noWrap w:val="0"/>
            <w:vAlign w:val="center"/>
          </w:tcPr>
          <w:p w14:paraId="516AAAFC">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c>
          <w:tcPr>
            <w:tcW w:w="1701" w:type="dxa"/>
            <w:tcBorders>
              <w:top w:val="single" w:color="auto" w:sz="4" w:space="0"/>
              <w:left w:val="nil"/>
              <w:bottom w:val="single" w:color="auto" w:sz="4" w:space="0"/>
              <w:right w:val="single" w:color="auto" w:sz="4" w:space="0"/>
            </w:tcBorders>
            <w:noWrap w:val="0"/>
            <w:vAlign w:val="center"/>
          </w:tcPr>
          <w:p w14:paraId="119A5797">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r>
      <w:tr w14:paraId="3CF7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14:paraId="0F7C4EC6">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r>
              <w:rPr>
                <w:rStyle w:val="57"/>
                <w:rFonts w:hint="eastAsia" w:ascii="宋体" w:hAnsi="宋体" w:eastAsia="宋体" w:cs="宋体"/>
                <w:color w:val="auto"/>
                <w:kern w:val="2"/>
                <w:sz w:val="24"/>
                <w:szCs w:val="24"/>
                <w:highlight w:val="none"/>
                <w:lang w:val="en-US" w:eastAsia="zh-CN" w:bidi="ar-SA"/>
              </w:rPr>
              <w:t>最近第三年</w:t>
            </w:r>
          </w:p>
        </w:tc>
        <w:tc>
          <w:tcPr>
            <w:tcW w:w="1023" w:type="dxa"/>
            <w:tcBorders>
              <w:top w:val="single" w:color="auto" w:sz="4" w:space="0"/>
              <w:left w:val="nil"/>
              <w:bottom w:val="single" w:color="auto" w:sz="4" w:space="0"/>
              <w:right w:val="single" w:color="auto" w:sz="4" w:space="0"/>
            </w:tcBorders>
            <w:noWrap w:val="0"/>
            <w:vAlign w:val="center"/>
          </w:tcPr>
          <w:p w14:paraId="06864E72">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c>
          <w:tcPr>
            <w:tcW w:w="1812" w:type="dxa"/>
            <w:tcBorders>
              <w:top w:val="single" w:color="auto" w:sz="4" w:space="0"/>
              <w:left w:val="nil"/>
              <w:bottom w:val="single" w:color="auto" w:sz="4" w:space="0"/>
              <w:right w:val="single" w:color="auto" w:sz="4" w:space="0"/>
            </w:tcBorders>
            <w:noWrap w:val="0"/>
            <w:vAlign w:val="center"/>
          </w:tcPr>
          <w:p w14:paraId="4D23169E">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c>
          <w:tcPr>
            <w:tcW w:w="2127" w:type="dxa"/>
            <w:tcBorders>
              <w:top w:val="single" w:color="auto" w:sz="4" w:space="0"/>
              <w:left w:val="nil"/>
              <w:bottom w:val="single" w:color="auto" w:sz="4" w:space="0"/>
              <w:right w:val="single" w:color="auto" w:sz="4" w:space="0"/>
            </w:tcBorders>
            <w:noWrap w:val="0"/>
            <w:vAlign w:val="center"/>
          </w:tcPr>
          <w:p w14:paraId="3FE165FE">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c>
          <w:tcPr>
            <w:tcW w:w="1701" w:type="dxa"/>
            <w:tcBorders>
              <w:top w:val="single" w:color="auto" w:sz="4" w:space="0"/>
              <w:left w:val="nil"/>
              <w:bottom w:val="single" w:color="auto" w:sz="4" w:space="0"/>
              <w:right w:val="single" w:color="auto" w:sz="4" w:space="0"/>
            </w:tcBorders>
            <w:noWrap w:val="0"/>
            <w:vAlign w:val="center"/>
          </w:tcPr>
          <w:p w14:paraId="062478AD">
            <w:pPr>
              <w:pStyle w:val="646"/>
              <w:widowControl w:val="0"/>
              <w:spacing w:line="0" w:lineRule="atLeast"/>
              <w:jc w:val="center"/>
              <w:rPr>
                <w:rStyle w:val="57"/>
                <w:rFonts w:hint="eastAsia" w:ascii="宋体" w:hAnsi="宋体" w:eastAsia="宋体" w:cs="宋体"/>
                <w:color w:val="auto"/>
                <w:kern w:val="2"/>
                <w:sz w:val="24"/>
                <w:szCs w:val="24"/>
                <w:highlight w:val="none"/>
                <w:lang w:val="en-US" w:eastAsia="zh-CN" w:bidi="ar-SA"/>
              </w:rPr>
            </w:pPr>
          </w:p>
        </w:tc>
      </w:tr>
    </w:tbl>
    <w:p w14:paraId="7C4E2503">
      <w:pPr>
        <w:pStyle w:val="646"/>
        <w:rPr>
          <w:rStyle w:val="57"/>
          <w:rFonts w:hint="eastAsia" w:ascii="黑体" w:hAnsi="黑体" w:eastAsia="黑体" w:cs="Calibri"/>
          <w:color w:val="auto"/>
          <w:sz w:val="32"/>
          <w:szCs w:val="32"/>
          <w:highlight w:val="none"/>
        </w:rPr>
      </w:pPr>
      <w:r>
        <w:rPr>
          <w:rStyle w:val="57"/>
          <w:rFonts w:hint="eastAsia" w:ascii="黑体" w:hAnsi="黑体" w:eastAsia="黑体" w:cs="Times New Roman"/>
          <w:color w:val="auto"/>
          <w:sz w:val="32"/>
          <w:szCs w:val="32"/>
          <w:highlight w:val="none"/>
        </w:rPr>
        <w:t xml:space="preserve"> </w:t>
      </w:r>
    </w:p>
    <w:p w14:paraId="2794068D">
      <w:pPr>
        <w:pStyle w:val="659"/>
        <w:spacing w:line="440" w:lineRule="exact"/>
        <w:ind w:firstLine="480" w:firstLineChars="200"/>
        <w:rPr>
          <w:rStyle w:val="57"/>
          <w:rFonts w:hint="eastAsia" w:ascii="宋体" w:hAnsi="宋体" w:eastAsia="宋体" w:cs="宋体"/>
          <w:color w:val="auto"/>
          <w:sz w:val="24"/>
          <w:szCs w:val="24"/>
          <w:highlight w:val="none"/>
        </w:rPr>
      </w:pPr>
      <w:r>
        <w:rPr>
          <w:rStyle w:val="57"/>
          <w:rFonts w:hint="eastAsia" w:ascii="宋体" w:hAnsi="宋体" w:eastAsia="宋体" w:cs="宋体"/>
          <w:color w:val="auto"/>
          <w:sz w:val="24"/>
          <w:szCs w:val="24"/>
          <w:highlight w:val="none"/>
        </w:rPr>
        <w:t>招标人不接受被湖南省交通运输厅评为最近第一年度 D 级、连续三年（最近第三年、最近第二年和最近第一年）评为C 级及以下信用等级的投标人投标。</w:t>
      </w:r>
    </w:p>
    <w:p w14:paraId="06BE9B27">
      <w:pPr>
        <w:pStyle w:val="659"/>
        <w:spacing w:line="440" w:lineRule="exact"/>
        <w:ind w:firstLine="480" w:firstLineChars="200"/>
        <w:rPr>
          <w:rStyle w:val="57"/>
          <w:rFonts w:hint="eastAsia" w:ascii="宋体" w:hAnsi="宋体" w:eastAsia="宋体" w:cs="宋体"/>
          <w:color w:val="auto"/>
          <w:sz w:val="24"/>
          <w:szCs w:val="24"/>
          <w:highlight w:val="none"/>
        </w:rPr>
      </w:pPr>
      <w:r>
        <w:rPr>
          <w:rStyle w:val="57"/>
          <w:rFonts w:hint="eastAsia" w:ascii="宋体" w:hAnsi="宋体" w:eastAsia="宋体" w:cs="宋体"/>
          <w:color w:val="auto"/>
          <w:sz w:val="24"/>
          <w:szCs w:val="24"/>
          <w:highlight w:val="none"/>
        </w:rPr>
        <w:t>注：信用等级评价结果是指以投标递交截止之日前一日发布的文件结果为准，若发布的最近一年的信用评价等级和投标人填报的最近一年的信用等级不一致时，以最新一年发布的信用评价文件为准。</w:t>
      </w:r>
    </w:p>
    <w:p w14:paraId="7A1EB4B4">
      <w:pPr>
        <w:rPr>
          <w:rFonts w:ascii="Times New Roman" w:hAnsi="Times New Roman" w:eastAsia="黑体"/>
          <w:color w:val="auto"/>
          <w:sz w:val="28"/>
          <w:szCs w:val="28"/>
          <w:highlight w:val="none"/>
          <w:lang w:eastAsia="zh-CN"/>
        </w:rPr>
      </w:pPr>
      <w:r>
        <w:rPr>
          <w:rFonts w:ascii="Times New Roman" w:hAnsi="Times New Roman" w:eastAsia="黑体"/>
          <w:color w:val="auto"/>
          <w:sz w:val="28"/>
          <w:szCs w:val="28"/>
          <w:highlight w:val="none"/>
          <w:lang w:eastAsia="zh-CN"/>
        </w:rPr>
        <w:br w:type="page"/>
      </w:r>
    </w:p>
    <w:p w14:paraId="71782174">
      <w:pPr>
        <w:pStyle w:val="316"/>
        <w:spacing w:before="260" w:after="260" w:line="440" w:lineRule="atLeast"/>
        <w:jc w:val="center"/>
        <w:outlineLvl w:val="1"/>
        <w:rPr>
          <w:rFonts w:ascii="Times New Roman" w:hAnsi="Times New Roman" w:eastAsia="黑体"/>
          <w:color w:val="auto"/>
          <w:spacing w:val="1"/>
          <w:sz w:val="32"/>
          <w:szCs w:val="32"/>
          <w:highlight w:val="none"/>
          <w:lang w:eastAsia="zh-CN"/>
        </w:rPr>
      </w:pPr>
      <w:r>
        <w:rPr>
          <w:rFonts w:hint="eastAsia" w:ascii="Times New Roman" w:hAnsi="Times New Roman" w:eastAsia="黑体"/>
          <w:color w:val="auto"/>
          <w:sz w:val="28"/>
          <w:szCs w:val="28"/>
          <w:highlight w:val="none"/>
          <w:lang w:val="en-US" w:eastAsia="zh-CN"/>
        </w:rPr>
        <w:t>五</w:t>
      </w:r>
      <w:r>
        <w:rPr>
          <w:rFonts w:ascii="Times New Roman" w:hAnsi="Times New Roman" w:eastAsia="黑体"/>
          <w:color w:val="auto"/>
          <w:spacing w:val="1"/>
          <w:sz w:val="32"/>
          <w:szCs w:val="32"/>
          <w:highlight w:val="none"/>
          <w:lang w:eastAsia="zh-CN"/>
        </w:rPr>
        <w:t>、</w:t>
      </w:r>
      <w:bookmarkEnd w:id="666"/>
      <w:bookmarkEnd w:id="667"/>
      <w:bookmarkEnd w:id="668"/>
      <w:bookmarkEnd w:id="669"/>
      <w:r>
        <w:rPr>
          <w:rFonts w:ascii="Times New Roman" w:hAnsi="Times New Roman" w:eastAsia="黑体"/>
          <w:color w:val="auto"/>
          <w:spacing w:val="1"/>
          <w:sz w:val="32"/>
          <w:szCs w:val="32"/>
          <w:highlight w:val="none"/>
          <w:lang w:eastAsia="zh-CN"/>
        </w:rPr>
        <w:t>技术建议书</w:t>
      </w:r>
    </w:p>
    <w:p w14:paraId="388B2664">
      <w:pPr>
        <w:pStyle w:val="357"/>
        <w:spacing w:before="0" w:after="0" w:line="440" w:lineRule="atLeast"/>
        <w:ind w:firstLine="480" w:firstLineChars="200"/>
        <w:jc w:val="left"/>
        <w:rPr>
          <w:rFonts w:ascii="Times New Roman" w:hAnsi="Times New Roman" w:eastAsia="宋体"/>
          <w:color w:val="auto"/>
          <w:sz w:val="24"/>
          <w:szCs w:val="24"/>
          <w:highlight w:val="none"/>
          <w:lang w:eastAsia="zh-CN"/>
        </w:rPr>
      </w:pPr>
    </w:p>
    <w:p w14:paraId="336D6D60">
      <w:pPr>
        <w:pStyle w:val="357"/>
        <w:spacing w:before="0" w:after="0" w:line="440" w:lineRule="atLeast"/>
        <w:ind w:firstLine="480" w:firstLineChars="200"/>
        <w:jc w:val="left"/>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技术建议书应包括（但不限于）下列内容：</w:t>
      </w:r>
    </w:p>
    <w:p w14:paraId="107B095A">
      <w:pPr>
        <w:widowControl/>
        <w:adjustRightInd w:val="0"/>
        <w:snapToGrid w:val="0"/>
        <w:spacing w:line="600" w:lineRule="exact"/>
        <w:ind w:firstLine="480" w:firstLineChars="200"/>
        <w:jc w:val="left"/>
        <w:rPr>
          <w:rFonts w:hint="eastAsia" w:ascii="宋体" w:hAnsi="宋体" w:cs="宋体"/>
          <w:sz w:val="24"/>
          <w:highlight w:val="none"/>
        </w:rPr>
      </w:pPr>
      <w:bookmarkStart w:id="670" w:name="_Toc506008235"/>
      <w:r>
        <w:rPr>
          <w:rFonts w:hint="eastAsia" w:ascii="宋体" w:hAnsi="宋体" w:cs="宋体"/>
          <w:sz w:val="24"/>
          <w:highlight w:val="none"/>
        </w:rPr>
        <w:t>(1)</w:t>
      </w:r>
      <w:r>
        <w:rPr>
          <w:rFonts w:hint="eastAsia" w:ascii="宋体" w:hAnsi="宋体" w:cs="宋体"/>
          <w:sz w:val="24"/>
          <w:highlight w:val="none"/>
          <w:lang w:eastAsia="zh-CN"/>
        </w:rPr>
        <w:t>检测</w:t>
      </w:r>
      <w:r>
        <w:rPr>
          <w:rFonts w:hint="eastAsia" w:ascii="宋体" w:hAnsi="宋体" w:cs="宋体"/>
          <w:sz w:val="24"/>
          <w:highlight w:val="none"/>
        </w:rPr>
        <w:t>方案</w:t>
      </w:r>
    </w:p>
    <w:p w14:paraId="6F0A313A">
      <w:pPr>
        <w:widowControl/>
        <w:adjustRightInd w:val="0"/>
        <w:snapToGrid w:val="0"/>
        <w:spacing w:line="600" w:lineRule="exact"/>
        <w:ind w:firstLine="480" w:firstLineChars="200"/>
        <w:jc w:val="left"/>
        <w:rPr>
          <w:rFonts w:hint="eastAsia" w:ascii="宋体" w:hAnsi="宋体" w:cs="宋体"/>
          <w:sz w:val="24"/>
          <w:highlight w:val="none"/>
        </w:rPr>
      </w:pPr>
      <w:r>
        <w:rPr>
          <w:rFonts w:hint="eastAsia" w:ascii="宋体" w:hAnsi="宋体" w:cs="宋体"/>
          <w:sz w:val="24"/>
          <w:highlight w:val="none"/>
        </w:rPr>
        <w:t>(2)项目组织机构及人员安排</w:t>
      </w:r>
    </w:p>
    <w:p w14:paraId="1CFC8A60">
      <w:pPr>
        <w:widowControl/>
        <w:adjustRightInd w:val="0"/>
        <w:snapToGrid w:val="0"/>
        <w:spacing w:line="600" w:lineRule="exact"/>
        <w:ind w:firstLine="480" w:firstLineChars="200"/>
        <w:jc w:val="left"/>
        <w:rPr>
          <w:rFonts w:hint="eastAsia" w:ascii="宋体" w:hAnsi="宋体" w:cs="宋体"/>
          <w:sz w:val="24"/>
          <w:highlight w:val="none"/>
        </w:rPr>
      </w:pPr>
      <w:r>
        <w:rPr>
          <w:rFonts w:hint="eastAsia" w:ascii="宋体" w:hAnsi="宋体" w:cs="宋体"/>
          <w:sz w:val="24"/>
          <w:highlight w:val="none"/>
        </w:rPr>
        <w:t>(3)质量、安全保证体系</w:t>
      </w:r>
    </w:p>
    <w:bookmarkEnd w:id="670"/>
    <w:p w14:paraId="47163EC8">
      <w:pPr>
        <w:spacing w:line="440" w:lineRule="atLeast"/>
        <w:ind w:firstLine="480" w:firstLineChars="200"/>
        <w:outlineLvl w:val="2"/>
        <w:rPr>
          <w:rFonts w:eastAsia="黑体"/>
          <w:color w:val="auto"/>
          <w:sz w:val="24"/>
          <w:highlight w:val="none"/>
        </w:rPr>
      </w:pPr>
    </w:p>
    <w:p w14:paraId="161D7825">
      <w:pPr>
        <w:pStyle w:val="2"/>
        <w:spacing w:before="360" w:beforeLines="150" w:after="240" w:afterLines="100" w:line="440" w:lineRule="atLeast"/>
        <w:jc w:val="center"/>
        <w:rPr>
          <w:rFonts w:eastAsia="黑体"/>
          <w:b w:val="0"/>
          <w:color w:val="auto"/>
          <w:sz w:val="28"/>
          <w:szCs w:val="28"/>
          <w:highlight w:val="none"/>
        </w:rPr>
      </w:pPr>
      <w:r>
        <w:rPr>
          <w:rFonts w:eastAsia="黑体"/>
          <w:b w:val="0"/>
          <w:color w:val="auto"/>
          <w:sz w:val="28"/>
          <w:szCs w:val="28"/>
          <w:highlight w:val="none"/>
        </w:rPr>
        <w:br w:type="page"/>
      </w:r>
    </w:p>
    <w:p w14:paraId="73A30005">
      <w:pPr>
        <w:pStyle w:val="2"/>
        <w:spacing w:before="0" w:after="0" w:line="440" w:lineRule="atLeast"/>
        <w:jc w:val="center"/>
        <w:rPr>
          <w:rFonts w:eastAsia="黑体"/>
          <w:b w:val="0"/>
          <w:color w:val="auto"/>
          <w:sz w:val="28"/>
          <w:szCs w:val="28"/>
          <w:highlight w:val="none"/>
        </w:rPr>
      </w:pPr>
      <w:r>
        <w:rPr>
          <w:rFonts w:hint="eastAsia" w:eastAsia="黑体"/>
          <w:b w:val="0"/>
          <w:color w:val="auto"/>
          <w:sz w:val="28"/>
          <w:szCs w:val="28"/>
          <w:highlight w:val="none"/>
          <w:lang w:val="en-US" w:eastAsia="zh-CN"/>
        </w:rPr>
        <w:t>六</w:t>
      </w:r>
      <w:r>
        <w:rPr>
          <w:rFonts w:eastAsia="黑体"/>
          <w:b w:val="0"/>
          <w:color w:val="auto"/>
          <w:sz w:val="28"/>
          <w:szCs w:val="28"/>
          <w:highlight w:val="none"/>
        </w:rPr>
        <w:t>、其他资料</w:t>
      </w:r>
    </w:p>
    <w:p w14:paraId="66064BD3">
      <w:pPr>
        <w:pStyle w:val="476"/>
        <w:keepNext/>
        <w:keepLines/>
        <w:spacing w:before="360" w:beforeLines="150" w:after="240" w:afterLines="100" w:line="380" w:lineRule="atLeast"/>
        <w:jc w:val="center"/>
        <w:rPr>
          <w:rStyle w:val="57"/>
          <w:rFonts w:eastAsia="黑体" w:cs="Times New Roman"/>
          <w:color w:val="auto"/>
          <w:sz w:val="30"/>
          <w:szCs w:val="30"/>
          <w:highlight w:val="none"/>
        </w:rPr>
      </w:pPr>
      <w:r>
        <w:rPr>
          <w:rStyle w:val="57"/>
          <w:rFonts w:eastAsia="黑体" w:cs="Times New Roman"/>
          <w:color w:val="auto"/>
          <w:sz w:val="30"/>
          <w:szCs w:val="30"/>
          <w:highlight w:val="none"/>
        </w:rPr>
        <w:t>授权委托书或法定代表人身份证明</w:t>
      </w:r>
    </w:p>
    <w:p w14:paraId="113561E2">
      <w:pPr>
        <w:pStyle w:val="476"/>
        <w:keepNext/>
        <w:keepLines/>
        <w:spacing w:before="360" w:beforeLines="150" w:after="240" w:afterLines="100" w:line="380" w:lineRule="atLeast"/>
        <w:jc w:val="center"/>
        <w:rPr>
          <w:rStyle w:val="57"/>
          <w:rFonts w:eastAsia="黑体" w:cs="Times New Roman"/>
          <w:color w:val="auto"/>
          <w:sz w:val="28"/>
          <w:szCs w:val="28"/>
          <w:highlight w:val="none"/>
        </w:rPr>
      </w:pPr>
      <w:bookmarkStart w:id="671" w:name="_Toc503235836"/>
      <w:bookmarkStart w:id="672" w:name="_Toc510015801"/>
      <w:r>
        <w:rPr>
          <w:rStyle w:val="57"/>
          <w:rFonts w:eastAsia="黑体" w:cs="Times New Roman"/>
          <w:color w:val="auto"/>
          <w:sz w:val="28"/>
          <w:szCs w:val="28"/>
          <w:highlight w:val="none"/>
        </w:rPr>
        <w:t>（一）授权委托书</w:t>
      </w:r>
      <w:r>
        <w:rPr>
          <w:rStyle w:val="477"/>
          <w:rFonts w:eastAsia="黑体" w:cs="Times New Roman"/>
          <w:color w:val="auto"/>
          <w:sz w:val="28"/>
          <w:szCs w:val="28"/>
          <w:highlight w:val="none"/>
        </w:rPr>
        <w:footnoteReference w:id="7"/>
      </w:r>
      <w:bookmarkEnd w:id="671"/>
      <w:bookmarkEnd w:id="672"/>
    </w:p>
    <w:p w14:paraId="5FE64CCB">
      <w:pPr>
        <w:pStyle w:val="476"/>
        <w:spacing w:line="440" w:lineRule="exact"/>
        <w:rPr>
          <w:rStyle w:val="57"/>
          <w:rFonts w:eastAsia="黑体" w:cs="Times New Roman"/>
          <w:color w:val="auto"/>
          <w:sz w:val="24"/>
          <w:highlight w:val="none"/>
        </w:rPr>
      </w:pPr>
    </w:p>
    <w:p w14:paraId="62B17B1D">
      <w:pPr>
        <w:pStyle w:val="476"/>
        <w:topLinePunct/>
        <w:spacing w:line="440" w:lineRule="exact"/>
        <w:ind w:firstLine="480" w:firstLineChars="200"/>
        <w:rPr>
          <w:rStyle w:val="57"/>
          <w:rFonts w:eastAsia="宋体" w:cs="Times New Roman"/>
          <w:color w:val="auto"/>
          <w:sz w:val="24"/>
          <w:highlight w:val="none"/>
        </w:rPr>
      </w:pPr>
      <w:r>
        <w:rPr>
          <w:rStyle w:val="57"/>
          <w:rFonts w:eastAsia="宋体" w:cs="Times New Roman"/>
          <w:color w:val="auto"/>
          <w:sz w:val="24"/>
          <w:highlight w:val="none"/>
        </w:rPr>
        <w:t>本人</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（姓名）系</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（投标人名称）的法定代表人，现委托</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（姓名）为我方代理人。代理人根据授权，以我方名义签署、澄清确认、递交、撤回、修改</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（项目名称）</w:t>
      </w:r>
      <w:r>
        <w:rPr>
          <w:rStyle w:val="57"/>
          <w:rFonts w:eastAsia="宋体" w:cs="Times New Roman"/>
          <w:color w:val="auto"/>
          <w:sz w:val="24"/>
          <w:highlight w:val="none"/>
          <w:u w:val="single"/>
        </w:rPr>
        <w:t xml:space="preserve">           </w:t>
      </w:r>
      <w:r>
        <w:rPr>
          <w:rStyle w:val="57"/>
          <w:rFonts w:hint="eastAsia" w:cs="Times New Roman"/>
          <w:color w:val="auto"/>
          <w:sz w:val="24"/>
          <w:highlight w:val="none"/>
          <w:lang w:val="en-US" w:eastAsia="zh-CN"/>
        </w:rPr>
        <w:t>咨询服务</w:t>
      </w:r>
      <w:r>
        <w:rPr>
          <w:rStyle w:val="57"/>
          <w:rFonts w:eastAsia="宋体" w:cs="Times New Roman"/>
          <w:color w:val="auto"/>
          <w:sz w:val="24"/>
          <w:highlight w:val="none"/>
        </w:rPr>
        <w:t>投标文件、签订合同和处理有关事宜，其法律后果由我方承担。</w:t>
      </w:r>
    </w:p>
    <w:p w14:paraId="530BCCC7">
      <w:pPr>
        <w:pStyle w:val="476"/>
        <w:spacing w:line="440" w:lineRule="exact"/>
        <w:rPr>
          <w:rStyle w:val="57"/>
          <w:rFonts w:eastAsia="宋体" w:cs="Times New Roman"/>
          <w:color w:val="auto"/>
          <w:sz w:val="24"/>
          <w:highlight w:val="none"/>
        </w:rPr>
      </w:pPr>
      <w:r>
        <w:rPr>
          <w:rStyle w:val="57"/>
          <w:rFonts w:eastAsia="宋体" w:cs="Times New Roman"/>
          <w:color w:val="auto"/>
          <w:sz w:val="24"/>
          <w:highlight w:val="none"/>
        </w:rPr>
        <w:t xml:space="preserve">    委托期限：自本委托书签署之日起至投标有效期期满。</w:t>
      </w:r>
    </w:p>
    <w:p w14:paraId="690E6CCE">
      <w:pPr>
        <w:pStyle w:val="476"/>
        <w:spacing w:line="440" w:lineRule="exact"/>
        <w:ind w:firstLine="480" w:firstLineChars="200"/>
        <w:rPr>
          <w:rStyle w:val="57"/>
          <w:rFonts w:eastAsia="宋体" w:cs="Times New Roman"/>
          <w:color w:val="auto"/>
          <w:sz w:val="24"/>
          <w:highlight w:val="none"/>
        </w:rPr>
      </w:pPr>
      <w:r>
        <w:rPr>
          <w:rStyle w:val="57"/>
          <w:rFonts w:eastAsia="宋体" w:cs="Times New Roman"/>
          <w:color w:val="auto"/>
          <w:sz w:val="24"/>
          <w:highlight w:val="none"/>
        </w:rPr>
        <w:t>代理人无转委托权。</w:t>
      </w:r>
    </w:p>
    <w:p w14:paraId="55FF9E25">
      <w:pPr>
        <w:pStyle w:val="476"/>
        <w:spacing w:line="440" w:lineRule="exact"/>
        <w:rPr>
          <w:rStyle w:val="57"/>
          <w:rFonts w:eastAsia="宋体" w:cs="Times New Roman"/>
          <w:color w:val="auto"/>
          <w:sz w:val="24"/>
          <w:highlight w:val="none"/>
        </w:rPr>
      </w:pPr>
    </w:p>
    <w:p w14:paraId="7AC528E1">
      <w:pPr>
        <w:pStyle w:val="476"/>
        <w:spacing w:line="440" w:lineRule="exact"/>
        <w:rPr>
          <w:rStyle w:val="57"/>
          <w:rFonts w:eastAsia="宋体" w:cs="Times New Roman"/>
          <w:color w:val="auto"/>
          <w:highlight w:val="none"/>
        </w:rPr>
      </w:pPr>
      <w:r>
        <w:rPr>
          <w:rStyle w:val="57"/>
          <w:rFonts w:eastAsia="宋体" w:cs="Times New Roman"/>
          <w:color w:val="auto"/>
          <w:highlight w:val="none"/>
        </w:rPr>
        <w:t>附：法定代表人身份证复印件及委托代理人身份证复印件。</w:t>
      </w:r>
    </w:p>
    <w:p w14:paraId="7C778730">
      <w:pPr>
        <w:pStyle w:val="476"/>
        <w:spacing w:line="440" w:lineRule="exact"/>
        <w:rPr>
          <w:rStyle w:val="57"/>
          <w:rFonts w:eastAsia="宋体" w:cs="Times New Roman"/>
          <w:color w:val="auto"/>
          <w:sz w:val="24"/>
          <w:highlight w:val="none"/>
        </w:rPr>
      </w:pPr>
    </w:p>
    <w:p w14:paraId="1923810C">
      <w:pPr>
        <w:pStyle w:val="476"/>
        <w:topLinePunct/>
        <w:spacing w:line="400" w:lineRule="atLeast"/>
        <w:ind w:firstLine="3290" w:firstLineChars="1371"/>
        <w:rPr>
          <w:rStyle w:val="57"/>
          <w:rFonts w:eastAsia="宋体" w:cs="Times New Roman"/>
          <w:color w:val="auto"/>
          <w:sz w:val="24"/>
          <w:highlight w:val="none"/>
        </w:rPr>
      </w:pPr>
      <w:r>
        <w:rPr>
          <w:rStyle w:val="57"/>
          <w:rFonts w:eastAsia="宋体" w:cs="Times New Roman"/>
          <w:color w:val="auto"/>
          <w:sz w:val="24"/>
          <w:highlight w:val="none"/>
        </w:rPr>
        <w:t>投标人：</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（盖单位章）</w:t>
      </w:r>
    </w:p>
    <w:p w14:paraId="633D7077">
      <w:pPr>
        <w:pStyle w:val="476"/>
        <w:topLinePunct/>
        <w:spacing w:line="400" w:lineRule="atLeast"/>
        <w:ind w:firstLine="3290" w:firstLineChars="1371"/>
        <w:rPr>
          <w:rStyle w:val="57"/>
          <w:rFonts w:eastAsia="宋体" w:cs="Times New Roman"/>
          <w:color w:val="auto"/>
          <w:sz w:val="24"/>
          <w:highlight w:val="none"/>
        </w:rPr>
      </w:pPr>
    </w:p>
    <w:p w14:paraId="317F64A4">
      <w:pPr>
        <w:pStyle w:val="476"/>
        <w:topLinePunct/>
        <w:spacing w:line="400" w:lineRule="atLeast"/>
        <w:ind w:firstLine="3290" w:firstLineChars="1371"/>
        <w:rPr>
          <w:rStyle w:val="57"/>
          <w:rFonts w:eastAsia="宋体" w:cs="Times New Roman"/>
          <w:color w:val="auto"/>
          <w:sz w:val="24"/>
          <w:highlight w:val="none"/>
        </w:rPr>
      </w:pPr>
      <w:r>
        <w:rPr>
          <w:rStyle w:val="57"/>
          <w:rFonts w:eastAsia="宋体" w:cs="Times New Roman"/>
          <w:color w:val="auto"/>
          <w:sz w:val="24"/>
          <w:highlight w:val="none"/>
        </w:rPr>
        <w:t>法定代表人：</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（签字）</w:t>
      </w:r>
    </w:p>
    <w:p w14:paraId="49E24781">
      <w:pPr>
        <w:pStyle w:val="476"/>
        <w:topLinePunct/>
        <w:spacing w:line="400" w:lineRule="atLeast"/>
        <w:ind w:firstLine="3290" w:firstLineChars="1371"/>
        <w:rPr>
          <w:rStyle w:val="57"/>
          <w:rFonts w:eastAsia="宋体" w:cs="Times New Roman"/>
          <w:color w:val="auto"/>
          <w:sz w:val="24"/>
          <w:highlight w:val="none"/>
        </w:rPr>
      </w:pPr>
    </w:p>
    <w:p w14:paraId="19689920">
      <w:pPr>
        <w:pStyle w:val="476"/>
        <w:topLinePunct/>
        <w:spacing w:line="400" w:lineRule="atLeast"/>
        <w:ind w:firstLine="3290" w:firstLineChars="1371"/>
        <w:rPr>
          <w:rStyle w:val="57"/>
          <w:rFonts w:eastAsia="宋体" w:cs="Times New Roman"/>
          <w:color w:val="auto"/>
          <w:sz w:val="24"/>
          <w:highlight w:val="none"/>
          <w:u w:val="single"/>
        </w:rPr>
      </w:pPr>
      <w:r>
        <w:rPr>
          <w:rStyle w:val="57"/>
          <w:rFonts w:eastAsia="宋体" w:cs="Times New Roman"/>
          <w:color w:val="auto"/>
          <w:sz w:val="24"/>
          <w:highlight w:val="none"/>
        </w:rPr>
        <w:t>身份证号码：</w:t>
      </w:r>
      <w:r>
        <w:rPr>
          <w:rStyle w:val="57"/>
          <w:rFonts w:eastAsia="宋体" w:cs="Times New Roman"/>
          <w:color w:val="auto"/>
          <w:sz w:val="24"/>
          <w:highlight w:val="none"/>
          <w:u w:val="single"/>
        </w:rPr>
        <w:t xml:space="preserve">                            </w:t>
      </w:r>
    </w:p>
    <w:p w14:paraId="2DAF6916">
      <w:pPr>
        <w:pStyle w:val="476"/>
        <w:topLinePunct/>
        <w:spacing w:line="400" w:lineRule="atLeast"/>
        <w:ind w:firstLine="3290" w:firstLineChars="1371"/>
        <w:rPr>
          <w:rStyle w:val="57"/>
          <w:rFonts w:eastAsia="宋体" w:cs="Times New Roman"/>
          <w:color w:val="auto"/>
          <w:sz w:val="24"/>
          <w:highlight w:val="none"/>
        </w:rPr>
      </w:pPr>
    </w:p>
    <w:p w14:paraId="3AF973F1">
      <w:pPr>
        <w:pStyle w:val="476"/>
        <w:topLinePunct/>
        <w:spacing w:line="400" w:lineRule="atLeast"/>
        <w:ind w:firstLine="3290" w:firstLineChars="1371"/>
        <w:rPr>
          <w:rStyle w:val="57"/>
          <w:rFonts w:eastAsia="宋体" w:cs="Times New Roman"/>
          <w:color w:val="auto"/>
          <w:sz w:val="24"/>
          <w:highlight w:val="none"/>
        </w:rPr>
      </w:pPr>
      <w:r>
        <w:rPr>
          <w:rStyle w:val="57"/>
          <w:rFonts w:eastAsia="宋体" w:cs="Times New Roman"/>
          <w:color w:val="auto"/>
          <w:sz w:val="24"/>
          <w:highlight w:val="none"/>
        </w:rPr>
        <w:t>委托代理人：</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 xml:space="preserve">（签字）   </w:t>
      </w:r>
    </w:p>
    <w:p w14:paraId="70D39C02">
      <w:pPr>
        <w:pStyle w:val="476"/>
        <w:topLinePunct/>
        <w:spacing w:line="400" w:lineRule="atLeast"/>
        <w:ind w:left="2699" w:firstLine="3290" w:firstLineChars="1371"/>
        <w:rPr>
          <w:rStyle w:val="57"/>
          <w:rFonts w:eastAsia="宋体" w:cs="Times New Roman"/>
          <w:color w:val="auto"/>
          <w:sz w:val="24"/>
          <w:highlight w:val="none"/>
        </w:rPr>
      </w:pPr>
      <w:r>
        <w:rPr>
          <w:rStyle w:val="57"/>
          <w:rFonts w:eastAsia="宋体" w:cs="Times New Roman"/>
          <w:color w:val="auto"/>
          <w:sz w:val="24"/>
          <w:highlight w:val="none"/>
        </w:rPr>
        <w:t xml:space="preserve">    </w:t>
      </w:r>
    </w:p>
    <w:p w14:paraId="1B152170">
      <w:pPr>
        <w:pStyle w:val="476"/>
        <w:topLinePunct/>
        <w:spacing w:line="400" w:lineRule="atLeast"/>
        <w:ind w:firstLine="3290" w:firstLineChars="1371"/>
        <w:rPr>
          <w:rStyle w:val="57"/>
          <w:rFonts w:eastAsia="宋体" w:cs="Times New Roman"/>
          <w:color w:val="auto"/>
          <w:sz w:val="24"/>
          <w:highlight w:val="none"/>
          <w:u w:val="single"/>
        </w:rPr>
      </w:pPr>
      <w:r>
        <w:rPr>
          <w:rStyle w:val="57"/>
          <w:rFonts w:eastAsia="宋体" w:cs="Times New Roman"/>
          <w:color w:val="auto"/>
          <w:sz w:val="24"/>
          <w:highlight w:val="none"/>
        </w:rPr>
        <w:t>身份证号码：</w:t>
      </w:r>
      <w:r>
        <w:rPr>
          <w:rStyle w:val="57"/>
          <w:rFonts w:eastAsia="宋体" w:cs="Times New Roman"/>
          <w:color w:val="auto"/>
          <w:sz w:val="24"/>
          <w:highlight w:val="none"/>
          <w:u w:val="single"/>
        </w:rPr>
        <w:t xml:space="preserve">                             </w:t>
      </w:r>
    </w:p>
    <w:p w14:paraId="3C51913F">
      <w:pPr>
        <w:pStyle w:val="476"/>
        <w:topLinePunct/>
        <w:spacing w:line="400" w:lineRule="atLeast"/>
        <w:ind w:firstLine="3290" w:firstLineChars="1371"/>
        <w:rPr>
          <w:rStyle w:val="57"/>
          <w:rFonts w:eastAsia="宋体" w:cs="Times New Roman"/>
          <w:color w:val="auto"/>
          <w:sz w:val="24"/>
          <w:highlight w:val="none"/>
        </w:rPr>
      </w:pPr>
    </w:p>
    <w:p w14:paraId="7C50696C">
      <w:pPr>
        <w:pStyle w:val="476"/>
        <w:topLinePunct/>
        <w:spacing w:line="400" w:lineRule="atLeast"/>
        <w:ind w:left="418" w:leftChars="199" w:firstLine="4200" w:firstLineChars="1750"/>
        <w:jc w:val="left"/>
        <w:rPr>
          <w:rStyle w:val="57"/>
          <w:rFonts w:eastAsia="宋体" w:cs="Times New Roman"/>
          <w:color w:val="auto"/>
          <w:sz w:val="24"/>
          <w:highlight w:val="none"/>
        </w:rPr>
      </w:pP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 xml:space="preserve">年 </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 xml:space="preserve">月 </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 xml:space="preserve"> 日</w:t>
      </w:r>
    </w:p>
    <w:p w14:paraId="6D872805">
      <w:pPr>
        <w:pStyle w:val="476"/>
        <w:spacing w:line="440" w:lineRule="exact"/>
        <w:rPr>
          <w:rStyle w:val="57"/>
          <w:rFonts w:eastAsia="黑体" w:cs="Times New Roman"/>
          <w:color w:val="auto"/>
          <w:sz w:val="24"/>
          <w:highlight w:val="none"/>
        </w:rPr>
      </w:pPr>
      <w:r>
        <w:rPr>
          <w:rStyle w:val="57"/>
          <w:rFonts w:eastAsia="黑体" w:cs="Times New Roman"/>
          <w:color w:val="auto"/>
          <w:sz w:val="24"/>
          <w:highlight w:val="none"/>
        </w:rPr>
        <w:t xml:space="preserve"> </w:t>
      </w:r>
    </w:p>
    <w:p w14:paraId="6EA63891">
      <w:pPr>
        <w:pStyle w:val="476"/>
        <w:keepNext/>
        <w:keepLines/>
        <w:spacing w:before="360" w:beforeLines="150" w:after="240" w:afterLines="100" w:line="380" w:lineRule="atLeast"/>
        <w:jc w:val="center"/>
        <w:rPr>
          <w:rStyle w:val="57"/>
          <w:rFonts w:eastAsia="黑体" w:cs="Times New Roman"/>
          <w:color w:val="auto"/>
          <w:sz w:val="28"/>
          <w:szCs w:val="28"/>
          <w:highlight w:val="none"/>
        </w:rPr>
      </w:pPr>
      <w:r>
        <w:rPr>
          <w:rStyle w:val="57"/>
          <w:rFonts w:eastAsia="黑体" w:cs="Times New Roman"/>
          <w:color w:val="auto"/>
          <w:sz w:val="28"/>
          <w:szCs w:val="28"/>
          <w:highlight w:val="none"/>
        </w:rPr>
        <w:br w:type="page"/>
      </w:r>
      <w:bookmarkStart w:id="673" w:name="_Toc503235837"/>
      <w:bookmarkStart w:id="674" w:name="_Toc510015802"/>
      <w:r>
        <w:rPr>
          <w:rStyle w:val="57"/>
          <w:rFonts w:eastAsia="黑体" w:cs="Times New Roman"/>
          <w:color w:val="auto"/>
          <w:sz w:val="28"/>
          <w:szCs w:val="28"/>
          <w:highlight w:val="none"/>
        </w:rPr>
        <w:t>（二）法定代表人身份证明</w:t>
      </w:r>
      <w:bookmarkEnd w:id="673"/>
      <w:bookmarkEnd w:id="674"/>
    </w:p>
    <w:p w14:paraId="026F5E06">
      <w:pPr>
        <w:pStyle w:val="476"/>
        <w:spacing w:line="440" w:lineRule="exact"/>
        <w:rPr>
          <w:rStyle w:val="57"/>
          <w:rFonts w:eastAsia="宋体" w:cs="Times New Roman"/>
          <w:color w:val="auto"/>
          <w:sz w:val="20"/>
          <w:szCs w:val="20"/>
          <w:highlight w:val="none"/>
        </w:rPr>
      </w:pPr>
    </w:p>
    <w:p w14:paraId="71C0BF08">
      <w:pPr>
        <w:pStyle w:val="476"/>
        <w:spacing w:line="440" w:lineRule="exact"/>
        <w:rPr>
          <w:rStyle w:val="57"/>
          <w:rFonts w:eastAsia="宋体" w:cs="Times New Roman"/>
          <w:color w:val="auto"/>
          <w:sz w:val="24"/>
          <w:highlight w:val="none"/>
        </w:rPr>
      </w:pPr>
      <w:r>
        <w:rPr>
          <w:rStyle w:val="57"/>
          <w:rFonts w:eastAsia="宋体" w:cs="Times New Roman"/>
          <w:color w:val="auto"/>
          <w:sz w:val="24"/>
          <w:highlight w:val="none"/>
        </w:rPr>
        <w:t>投标人名称：</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 xml:space="preserve"> </w:t>
      </w:r>
    </w:p>
    <w:p w14:paraId="310E02E5">
      <w:pPr>
        <w:pStyle w:val="476"/>
        <w:spacing w:line="440" w:lineRule="exact"/>
        <w:rPr>
          <w:rStyle w:val="57"/>
          <w:rFonts w:eastAsia="宋体" w:cs="Times New Roman"/>
          <w:color w:val="auto"/>
          <w:sz w:val="24"/>
          <w:highlight w:val="none"/>
        </w:rPr>
      </w:pPr>
      <w:r>
        <w:rPr>
          <w:rStyle w:val="57"/>
          <w:rFonts w:eastAsia="宋体" w:cs="Times New Roman"/>
          <w:color w:val="auto"/>
          <w:sz w:val="24"/>
          <w:highlight w:val="none"/>
        </w:rPr>
        <w:t>姓名：</w:t>
      </w:r>
      <w:r>
        <w:rPr>
          <w:rStyle w:val="57"/>
          <w:rFonts w:eastAsia="宋体" w:cs="Times New Roman"/>
          <w:color w:val="auto"/>
          <w:sz w:val="24"/>
          <w:highlight w:val="none"/>
          <w:u w:val="single"/>
        </w:rPr>
        <w:t xml:space="preserve">  </w:t>
      </w:r>
      <w:r>
        <w:rPr>
          <w:rStyle w:val="57"/>
          <w:rFonts w:eastAsia="宋体" w:cs="Times New Roman"/>
          <w:bCs/>
          <w:color w:val="auto"/>
          <w:sz w:val="24"/>
          <w:highlight w:val="none"/>
          <w:u w:val="single"/>
        </w:rPr>
        <w:t>（法定代表人亲笔签字）</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 xml:space="preserve"> 性别：</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 xml:space="preserve"> 年龄：</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职务：</w:t>
      </w:r>
      <w:r>
        <w:rPr>
          <w:rStyle w:val="57"/>
          <w:rFonts w:eastAsia="宋体" w:cs="Times New Roman"/>
          <w:color w:val="auto"/>
          <w:sz w:val="24"/>
          <w:highlight w:val="none"/>
          <w:u w:val="single"/>
        </w:rPr>
        <w:t xml:space="preserve">        </w:t>
      </w:r>
    </w:p>
    <w:p w14:paraId="4E532AD7">
      <w:pPr>
        <w:pStyle w:val="476"/>
        <w:spacing w:line="440" w:lineRule="exact"/>
        <w:rPr>
          <w:rStyle w:val="57"/>
          <w:rFonts w:eastAsia="宋体" w:cs="Times New Roman"/>
          <w:color w:val="auto"/>
          <w:sz w:val="24"/>
          <w:highlight w:val="none"/>
        </w:rPr>
      </w:pPr>
      <w:r>
        <w:rPr>
          <w:rStyle w:val="57"/>
          <w:rFonts w:eastAsia="宋体" w:cs="Times New Roman"/>
          <w:color w:val="auto"/>
          <w:sz w:val="24"/>
          <w:highlight w:val="none"/>
        </w:rPr>
        <w:t>系</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 xml:space="preserve"> （投标人名称）的法定代表人。</w:t>
      </w:r>
    </w:p>
    <w:p w14:paraId="42AF508F">
      <w:pPr>
        <w:pStyle w:val="476"/>
        <w:spacing w:line="440" w:lineRule="exact"/>
        <w:ind w:firstLine="480" w:firstLineChars="200"/>
        <w:rPr>
          <w:rStyle w:val="57"/>
          <w:rFonts w:eastAsia="宋体" w:cs="Times New Roman"/>
          <w:color w:val="auto"/>
          <w:sz w:val="24"/>
          <w:highlight w:val="none"/>
        </w:rPr>
      </w:pPr>
      <w:r>
        <w:rPr>
          <w:rStyle w:val="57"/>
          <w:rFonts w:eastAsia="宋体" w:cs="Times New Roman"/>
          <w:color w:val="auto"/>
          <w:sz w:val="24"/>
          <w:highlight w:val="none"/>
        </w:rPr>
        <w:t>特此证明。</w:t>
      </w:r>
    </w:p>
    <w:p w14:paraId="68B3AFF5">
      <w:pPr>
        <w:pStyle w:val="476"/>
        <w:spacing w:line="440" w:lineRule="exact"/>
        <w:rPr>
          <w:rStyle w:val="57"/>
          <w:rFonts w:eastAsia="宋体" w:cs="Times New Roman"/>
          <w:color w:val="auto"/>
          <w:sz w:val="24"/>
          <w:highlight w:val="none"/>
        </w:rPr>
      </w:pPr>
    </w:p>
    <w:p w14:paraId="6B45FBA8">
      <w:pPr>
        <w:pStyle w:val="476"/>
        <w:spacing w:line="440" w:lineRule="exact"/>
        <w:rPr>
          <w:rStyle w:val="57"/>
          <w:rFonts w:eastAsia="宋体" w:cs="Times New Roman"/>
          <w:color w:val="auto"/>
          <w:highlight w:val="none"/>
        </w:rPr>
      </w:pPr>
      <w:r>
        <w:rPr>
          <w:rStyle w:val="57"/>
          <w:rFonts w:eastAsia="宋体" w:cs="Times New Roman"/>
          <w:color w:val="auto"/>
          <w:highlight w:val="none"/>
        </w:rPr>
        <w:t>附：法定代表人身份证复印件。</w:t>
      </w:r>
    </w:p>
    <w:p w14:paraId="0BF1AF68">
      <w:pPr>
        <w:pStyle w:val="476"/>
        <w:spacing w:line="440" w:lineRule="exact"/>
        <w:rPr>
          <w:rStyle w:val="57"/>
          <w:rFonts w:eastAsia="宋体" w:cs="Times New Roman"/>
          <w:color w:val="auto"/>
          <w:highlight w:val="none"/>
        </w:rPr>
      </w:pPr>
    </w:p>
    <w:p w14:paraId="23088089">
      <w:pPr>
        <w:pStyle w:val="476"/>
        <w:spacing w:line="440" w:lineRule="exact"/>
        <w:rPr>
          <w:rStyle w:val="57"/>
          <w:rFonts w:eastAsia="宋体" w:cs="Times New Roman"/>
          <w:color w:val="auto"/>
          <w:sz w:val="24"/>
          <w:highlight w:val="none"/>
        </w:rPr>
      </w:pPr>
    </w:p>
    <w:p w14:paraId="5B58C529">
      <w:pPr>
        <w:pStyle w:val="476"/>
        <w:spacing w:line="440" w:lineRule="exact"/>
        <w:rPr>
          <w:rStyle w:val="57"/>
          <w:rFonts w:eastAsia="宋体" w:cs="Times New Roman"/>
          <w:color w:val="auto"/>
          <w:sz w:val="24"/>
          <w:highlight w:val="none"/>
        </w:rPr>
      </w:pPr>
    </w:p>
    <w:p w14:paraId="4B52E3BB">
      <w:pPr>
        <w:pStyle w:val="476"/>
        <w:spacing w:line="440" w:lineRule="exact"/>
        <w:rPr>
          <w:rStyle w:val="57"/>
          <w:rFonts w:eastAsia="宋体" w:cs="Times New Roman"/>
          <w:color w:val="auto"/>
          <w:sz w:val="24"/>
          <w:highlight w:val="none"/>
        </w:rPr>
      </w:pPr>
      <w:r>
        <w:rPr>
          <w:rStyle w:val="57"/>
          <w:rFonts w:eastAsia="宋体" w:cs="Times New Roman"/>
          <w:color w:val="auto"/>
          <w:sz w:val="24"/>
          <w:highlight w:val="none"/>
        </w:rPr>
        <w:t xml:space="preserve">                          投标人：</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（盖单位章）</w:t>
      </w:r>
    </w:p>
    <w:p w14:paraId="64C04032">
      <w:pPr>
        <w:pStyle w:val="476"/>
        <w:spacing w:line="440" w:lineRule="exact"/>
        <w:rPr>
          <w:rStyle w:val="57"/>
          <w:rFonts w:eastAsia="宋体" w:cs="Times New Roman"/>
          <w:color w:val="auto"/>
          <w:sz w:val="24"/>
          <w:highlight w:val="none"/>
        </w:rPr>
      </w:pPr>
      <w:r>
        <w:rPr>
          <w:rStyle w:val="57"/>
          <w:rFonts w:eastAsia="宋体" w:cs="Times New Roman"/>
          <w:color w:val="auto"/>
          <w:sz w:val="24"/>
          <w:highlight w:val="none"/>
        </w:rPr>
        <w:t xml:space="preserve">                                    </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年</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月</w:t>
      </w:r>
      <w:r>
        <w:rPr>
          <w:rStyle w:val="57"/>
          <w:rFonts w:eastAsia="宋体" w:cs="Times New Roman"/>
          <w:color w:val="auto"/>
          <w:sz w:val="24"/>
          <w:highlight w:val="none"/>
          <w:u w:val="single"/>
        </w:rPr>
        <w:t xml:space="preserve">   </w:t>
      </w:r>
      <w:r>
        <w:rPr>
          <w:rStyle w:val="57"/>
          <w:rFonts w:eastAsia="宋体" w:cs="Times New Roman"/>
          <w:color w:val="auto"/>
          <w:sz w:val="24"/>
          <w:highlight w:val="none"/>
        </w:rPr>
        <w:t xml:space="preserve"> 日           </w:t>
      </w:r>
    </w:p>
    <w:p w14:paraId="51C5D117">
      <w:pPr>
        <w:pStyle w:val="2"/>
        <w:spacing w:line="440" w:lineRule="atLeast"/>
        <w:jc w:val="center"/>
        <w:rPr>
          <w:rFonts w:eastAsia="黑体"/>
          <w:b w:val="0"/>
          <w:color w:val="auto"/>
          <w:sz w:val="30"/>
          <w:szCs w:val="30"/>
          <w:highlight w:val="none"/>
        </w:rPr>
      </w:pPr>
      <w:r>
        <w:rPr>
          <w:rFonts w:eastAsia="黑体"/>
          <w:b w:val="0"/>
          <w:color w:val="auto"/>
          <w:sz w:val="28"/>
          <w:szCs w:val="28"/>
          <w:highlight w:val="none"/>
        </w:rPr>
        <w:br w:type="page"/>
      </w:r>
    </w:p>
    <w:p w14:paraId="458F240D">
      <w:pPr>
        <w:widowControl w:val="0"/>
        <w:spacing w:line="440" w:lineRule="atLeast"/>
        <w:jc w:val="center"/>
        <w:rPr>
          <w:rFonts w:ascii="Times New Roman" w:hAnsi="Times New Roman" w:eastAsia="黑体" w:cs="Times New Roman"/>
          <w:color w:val="auto"/>
          <w:kern w:val="2"/>
          <w:sz w:val="31"/>
          <w:szCs w:val="31"/>
          <w:highlight w:val="none"/>
          <w:lang w:val="en-US" w:eastAsia="zh-CN" w:bidi="ar-SA"/>
        </w:rPr>
      </w:pPr>
      <w:bookmarkStart w:id="675" w:name="_Toc505001535"/>
      <w:bookmarkStart w:id="676" w:name="_Toc506008224"/>
      <w:bookmarkStart w:id="677" w:name="_Toc505281261"/>
      <w:bookmarkStart w:id="678" w:name="_Toc513817641"/>
      <w:bookmarkStart w:id="679" w:name="_Toc508886133"/>
      <w:r>
        <w:rPr>
          <w:rFonts w:ascii="Times New Roman" w:hAnsi="Times New Roman" w:eastAsia="黑体" w:cs="Times New Roman"/>
          <w:color w:val="auto"/>
          <w:kern w:val="2"/>
          <w:sz w:val="31"/>
          <w:szCs w:val="31"/>
          <w:highlight w:val="none"/>
          <w:lang w:val="en-US" w:eastAsia="zh-CN" w:bidi="ar-SA"/>
        </w:rPr>
        <w:t>湖南省</w:t>
      </w:r>
    </w:p>
    <w:p w14:paraId="36B08436">
      <w:pPr>
        <w:spacing w:line="440" w:lineRule="atLeast"/>
        <w:rPr>
          <w:rFonts w:eastAsia="黑体"/>
          <w:color w:val="auto"/>
          <w:sz w:val="20"/>
          <w:szCs w:val="20"/>
          <w:highlight w:val="none"/>
        </w:rPr>
      </w:pPr>
    </w:p>
    <w:p w14:paraId="3E038ED4">
      <w:pPr>
        <w:spacing w:line="440" w:lineRule="atLeast"/>
        <w:rPr>
          <w:rFonts w:eastAsia="黑体"/>
          <w:color w:val="auto"/>
          <w:sz w:val="20"/>
          <w:szCs w:val="20"/>
          <w:highlight w:val="none"/>
        </w:rPr>
      </w:pPr>
    </w:p>
    <w:p w14:paraId="6874124B">
      <w:pPr>
        <w:spacing w:line="440" w:lineRule="atLeast"/>
        <w:rPr>
          <w:rFonts w:eastAsia="黑体"/>
          <w:color w:val="auto"/>
          <w:sz w:val="24"/>
          <w:highlight w:val="none"/>
        </w:rPr>
      </w:pPr>
      <w:r>
        <w:rPr>
          <w:rFonts w:eastAsia="黑体"/>
          <w:color w:val="auto"/>
          <w:sz w:val="20"/>
          <w:szCs w:val="20"/>
          <w:highlight w:val="none"/>
        </w:rPr>
        <w:t xml:space="preserve">           </w:t>
      </w:r>
      <w:r>
        <w:rPr>
          <w:rFonts w:eastAsia="黑体"/>
          <w:color w:val="auto"/>
          <w:sz w:val="24"/>
          <w:highlight w:val="none"/>
          <w:u w:val="single"/>
        </w:rPr>
        <w:t xml:space="preserve">                  </w:t>
      </w:r>
      <w:r>
        <w:rPr>
          <w:rFonts w:eastAsia="黑体"/>
          <w:color w:val="auto"/>
          <w:sz w:val="24"/>
          <w:highlight w:val="none"/>
        </w:rPr>
        <w:t>（项目名称）</w:t>
      </w:r>
      <w:r>
        <w:rPr>
          <w:rFonts w:eastAsia="黑体"/>
          <w:color w:val="auto"/>
          <w:sz w:val="24"/>
          <w:highlight w:val="none"/>
          <w:u w:val="single"/>
        </w:rPr>
        <w:t xml:space="preserve">          </w:t>
      </w:r>
      <w:r>
        <w:rPr>
          <w:rFonts w:eastAsia="黑体"/>
          <w:color w:val="auto"/>
          <w:sz w:val="24"/>
          <w:highlight w:val="none"/>
        </w:rPr>
        <w:t>标段咨询服务招标</w:t>
      </w:r>
    </w:p>
    <w:p w14:paraId="787CADC8">
      <w:pPr>
        <w:spacing w:line="440" w:lineRule="atLeast"/>
        <w:rPr>
          <w:rFonts w:eastAsia="黑体"/>
          <w:color w:val="auto"/>
          <w:sz w:val="20"/>
          <w:szCs w:val="20"/>
          <w:highlight w:val="none"/>
        </w:rPr>
      </w:pPr>
      <w:r>
        <w:rPr>
          <w:rFonts w:eastAsia="黑体"/>
          <w:color w:val="auto"/>
          <w:sz w:val="20"/>
          <w:szCs w:val="20"/>
          <w:highlight w:val="none"/>
        </w:rPr>
        <w:t xml:space="preserve"> </w:t>
      </w:r>
    </w:p>
    <w:p w14:paraId="1CF6D42F">
      <w:pPr>
        <w:spacing w:line="440" w:lineRule="atLeast"/>
        <w:rPr>
          <w:rFonts w:eastAsia="黑体"/>
          <w:color w:val="auto"/>
          <w:sz w:val="40"/>
          <w:szCs w:val="40"/>
          <w:highlight w:val="none"/>
        </w:rPr>
      </w:pPr>
    </w:p>
    <w:p w14:paraId="7F900DFE">
      <w:pPr>
        <w:spacing w:line="440" w:lineRule="atLeast"/>
        <w:jc w:val="center"/>
        <w:rPr>
          <w:rFonts w:eastAsia="黑体"/>
          <w:color w:val="auto"/>
          <w:sz w:val="40"/>
          <w:szCs w:val="40"/>
          <w:highlight w:val="none"/>
        </w:rPr>
      </w:pPr>
    </w:p>
    <w:p w14:paraId="6FA6B058">
      <w:pPr>
        <w:spacing w:line="440" w:lineRule="atLeast"/>
        <w:jc w:val="center"/>
        <w:rPr>
          <w:rFonts w:eastAsia="黑体"/>
          <w:color w:val="auto"/>
          <w:sz w:val="40"/>
          <w:szCs w:val="40"/>
          <w:highlight w:val="none"/>
        </w:rPr>
      </w:pPr>
    </w:p>
    <w:p w14:paraId="595F2F53">
      <w:pPr>
        <w:spacing w:line="440" w:lineRule="atLeast"/>
        <w:jc w:val="center"/>
        <w:rPr>
          <w:rFonts w:eastAsia="黑体"/>
          <w:color w:val="auto"/>
          <w:sz w:val="40"/>
          <w:szCs w:val="40"/>
          <w:highlight w:val="none"/>
        </w:rPr>
      </w:pPr>
      <w:r>
        <w:rPr>
          <w:rStyle w:val="57"/>
          <w:rFonts w:hint="eastAsia" w:ascii="仿宋" w:hAnsi="仿宋" w:eastAsia="仿宋" w:cs="仿宋"/>
          <w:color w:val="auto"/>
          <w:sz w:val="32"/>
          <w:szCs w:val="32"/>
          <w:highlight w:val="none"/>
        </w:rPr>
        <w:t>（第</w:t>
      </w:r>
      <w:r>
        <w:rPr>
          <w:rStyle w:val="57"/>
          <w:rFonts w:hint="eastAsia" w:ascii="仿宋" w:hAnsi="仿宋" w:eastAsia="仿宋" w:cs="仿宋"/>
          <w:color w:val="auto"/>
          <w:sz w:val="32"/>
          <w:szCs w:val="32"/>
          <w:highlight w:val="none"/>
          <w:lang w:eastAsia="zh-CN"/>
        </w:rPr>
        <w:t>二</w:t>
      </w:r>
      <w:r>
        <w:rPr>
          <w:rStyle w:val="57"/>
          <w:rFonts w:hint="eastAsia" w:ascii="仿宋" w:hAnsi="仿宋" w:eastAsia="仿宋" w:cs="仿宋"/>
          <w:color w:val="auto"/>
          <w:sz w:val="32"/>
          <w:szCs w:val="32"/>
          <w:highlight w:val="none"/>
        </w:rPr>
        <w:t xml:space="preserve">信封  </w:t>
      </w:r>
      <w:r>
        <w:rPr>
          <w:rStyle w:val="57"/>
          <w:rFonts w:hint="eastAsia" w:ascii="仿宋" w:hAnsi="仿宋" w:eastAsia="仿宋" w:cs="仿宋"/>
          <w:color w:val="auto"/>
          <w:sz w:val="32"/>
          <w:szCs w:val="32"/>
          <w:highlight w:val="none"/>
          <w:lang w:eastAsia="zh-CN"/>
        </w:rPr>
        <w:t>报价</w:t>
      </w:r>
      <w:r>
        <w:rPr>
          <w:rStyle w:val="57"/>
          <w:rFonts w:hint="eastAsia" w:ascii="仿宋" w:hAnsi="仿宋" w:eastAsia="仿宋" w:cs="仿宋"/>
          <w:color w:val="auto"/>
          <w:sz w:val="32"/>
          <w:szCs w:val="32"/>
          <w:highlight w:val="none"/>
        </w:rPr>
        <w:t>文件）</w:t>
      </w:r>
    </w:p>
    <w:p w14:paraId="4F3E5C2A">
      <w:pPr>
        <w:keepNext/>
        <w:keepLines/>
        <w:widowControl w:val="0"/>
        <w:spacing w:before="0" w:after="0" w:line="440" w:lineRule="atLeast"/>
        <w:jc w:val="center"/>
        <w:outlineLvl w:val="0"/>
        <w:rPr>
          <w:rFonts w:ascii="Times New Roman" w:hAnsi="Times New Roman" w:eastAsia="黑体" w:cs="Times New Roman"/>
          <w:b w:val="0"/>
          <w:bCs/>
          <w:color w:val="auto"/>
          <w:kern w:val="44"/>
          <w:sz w:val="50"/>
          <w:szCs w:val="50"/>
          <w:highlight w:val="none"/>
          <w:lang w:val="en-US" w:eastAsia="zh-CN" w:bidi="ar-SA"/>
        </w:rPr>
      </w:pPr>
      <w:r>
        <w:rPr>
          <w:rFonts w:ascii="Times New Roman" w:hAnsi="Times New Roman" w:eastAsia="黑体" w:cs="Times New Roman"/>
          <w:b w:val="0"/>
          <w:bCs/>
          <w:color w:val="auto"/>
          <w:kern w:val="44"/>
          <w:sz w:val="50"/>
          <w:szCs w:val="50"/>
          <w:highlight w:val="none"/>
          <w:lang w:val="en-US" w:eastAsia="zh-CN" w:bidi="ar-SA"/>
        </w:rPr>
        <w:t>投  标  文  件</w:t>
      </w:r>
    </w:p>
    <w:p w14:paraId="61F8AE57">
      <w:pPr>
        <w:keepNext/>
        <w:keepLines/>
        <w:widowControl w:val="0"/>
        <w:spacing w:before="0" w:after="0" w:line="440" w:lineRule="atLeast"/>
        <w:jc w:val="center"/>
        <w:outlineLvl w:val="0"/>
        <w:rPr>
          <w:rFonts w:ascii="Times New Roman" w:hAnsi="Times New Roman" w:eastAsia="黑体" w:cs="Times New Roman"/>
          <w:b w:val="0"/>
          <w:bCs/>
          <w:color w:val="auto"/>
          <w:kern w:val="44"/>
          <w:sz w:val="30"/>
          <w:szCs w:val="30"/>
          <w:highlight w:val="none"/>
          <w:lang w:val="en-US" w:eastAsia="zh-CN" w:bidi="ar-SA"/>
        </w:rPr>
      </w:pPr>
    </w:p>
    <w:p w14:paraId="307439CF">
      <w:pPr>
        <w:keepNext/>
        <w:keepLines/>
        <w:widowControl w:val="0"/>
        <w:spacing w:before="0" w:after="0" w:line="440" w:lineRule="atLeast"/>
        <w:jc w:val="center"/>
        <w:outlineLvl w:val="0"/>
        <w:rPr>
          <w:rFonts w:ascii="Times New Roman" w:hAnsi="Times New Roman" w:eastAsia="黑体" w:cs="Times New Roman"/>
          <w:b w:val="0"/>
          <w:bCs/>
          <w:color w:val="auto"/>
          <w:kern w:val="44"/>
          <w:sz w:val="36"/>
          <w:szCs w:val="36"/>
          <w:highlight w:val="none"/>
          <w:lang w:val="en-US" w:eastAsia="zh-CN" w:bidi="ar-SA"/>
        </w:rPr>
      </w:pPr>
    </w:p>
    <w:p w14:paraId="7912EAB9">
      <w:pPr>
        <w:spacing w:line="440" w:lineRule="atLeast"/>
        <w:rPr>
          <w:rFonts w:eastAsia="黑体"/>
          <w:color w:val="auto"/>
          <w:sz w:val="20"/>
          <w:szCs w:val="20"/>
          <w:highlight w:val="none"/>
        </w:rPr>
      </w:pPr>
    </w:p>
    <w:p w14:paraId="518F5E71">
      <w:pPr>
        <w:spacing w:line="440" w:lineRule="atLeast"/>
        <w:rPr>
          <w:rFonts w:eastAsia="黑体"/>
          <w:color w:val="auto"/>
          <w:sz w:val="20"/>
          <w:szCs w:val="20"/>
          <w:highlight w:val="none"/>
        </w:rPr>
      </w:pPr>
    </w:p>
    <w:p w14:paraId="1FAAFD4F">
      <w:pPr>
        <w:spacing w:line="440" w:lineRule="atLeast"/>
        <w:rPr>
          <w:rFonts w:eastAsia="黑体"/>
          <w:color w:val="auto"/>
          <w:sz w:val="20"/>
          <w:szCs w:val="20"/>
          <w:highlight w:val="none"/>
        </w:rPr>
      </w:pPr>
    </w:p>
    <w:p w14:paraId="47FB7D85">
      <w:pPr>
        <w:spacing w:line="440" w:lineRule="atLeast"/>
        <w:rPr>
          <w:rFonts w:eastAsia="黑体"/>
          <w:color w:val="auto"/>
          <w:sz w:val="20"/>
          <w:szCs w:val="20"/>
          <w:highlight w:val="none"/>
        </w:rPr>
      </w:pPr>
    </w:p>
    <w:p w14:paraId="737DA6C4">
      <w:pPr>
        <w:spacing w:line="440" w:lineRule="atLeast"/>
        <w:rPr>
          <w:rFonts w:eastAsia="黑体"/>
          <w:color w:val="auto"/>
          <w:sz w:val="20"/>
          <w:szCs w:val="20"/>
          <w:highlight w:val="none"/>
        </w:rPr>
      </w:pPr>
    </w:p>
    <w:p w14:paraId="7E031FB6">
      <w:pPr>
        <w:spacing w:line="440" w:lineRule="atLeast"/>
        <w:rPr>
          <w:rFonts w:eastAsia="黑体"/>
          <w:color w:val="auto"/>
          <w:sz w:val="20"/>
          <w:szCs w:val="20"/>
          <w:highlight w:val="none"/>
        </w:rPr>
      </w:pPr>
    </w:p>
    <w:p w14:paraId="45C8D9DD">
      <w:pPr>
        <w:spacing w:line="440" w:lineRule="atLeast"/>
        <w:rPr>
          <w:rFonts w:eastAsia="黑体"/>
          <w:color w:val="auto"/>
          <w:sz w:val="20"/>
          <w:szCs w:val="20"/>
          <w:highlight w:val="none"/>
        </w:rPr>
      </w:pPr>
    </w:p>
    <w:p w14:paraId="06D41B29">
      <w:pPr>
        <w:spacing w:line="440" w:lineRule="atLeast"/>
        <w:rPr>
          <w:rFonts w:eastAsia="黑体"/>
          <w:color w:val="auto"/>
          <w:sz w:val="20"/>
          <w:szCs w:val="20"/>
          <w:highlight w:val="none"/>
        </w:rPr>
      </w:pPr>
    </w:p>
    <w:p w14:paraId="5F5FDD95">
      <w:pPr>
        <w:spacing w:line="440" w:lineRule="atLeast"/>
        <w:rPr>
          <w:rFonts w:eastAsia="黑体"/>
          <w:color w:val="auto"/>
          <w:sz w:val="20"/>
          <w:szCs w:val="20"/>
          <w:highlight w:val="none"/>
        </w:rPr>
      </w:pPr>
    </w:p>
    <w:p w14:paraId="03AD9598">
      <w:pPr>
        <w:spacing w:line="440" w:lineRule="atLeast"/>
        <w:jc w:val="center"/>
        <w:rPr>
          <w:rFonts w:eastAsia="黑体"/>
          <w:color w:val="auto"/>
          <w:sz w:val="28"/>
          <w:szCs w:val="28"/>
          <w:highlight w:val="non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（盖单位章）</w:t>
      </w:r>
    </w:p>
    <w:p w14:paraId="4415E687">
      <w:pPr>
        <w:spacing w:line="440" w:lineRule="atLeast"/>
        <w:rPr>
          <w:rFonts w:eastAsia="黑体"/>
          <w:color w:val="auto"/>
          <w:sz w:val="28"/>
          <w:szCs w:val="28"/>
          <w:highlight w:val="none"/>
        </w:rPr>
      </w:pPr>
    </w:p>
    <w:p w14:paraId="74ECA3C3">
      <w:pPr>
        <w:spacing w:line="440" w:lineRule="atLeas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110957FD">
      <w:pPr>
        <w:spacing w:line="440" w:lineRule="atLeast"/>
        <w:rPr>
          <w:rFonts w:eastAsia="黑体"/>
          <w:color w:val="auto"/>
          <w:sz w:val="28"/>
          <w:szCs w:val="28"/>
          <w:highlight w:val="none"/>
        </w:rPr>
      </w:pPr>
    </w:p>
    <w:p w14:paraId="1EFFEB4C">
      <w:pPr>
        <w:pStyle w:val="359"/>
        <w:spacing w:before="0" w:after="0"/>
        <w:jc w:val="center"/>
        <w:rPr>
          <w:rStyle w:val="57"/>
          <w:rFonts w:hint="eastAsia" w:ascii="仿宋" w:hAnsi="仿宋" w:eastAsia="仿宋" w:cs="仿宋"/>
          <w:b/>
          <w:color w:val="auto"/>
          <w:sz w:val="32"/>
          <w:szCs w:val="24"/>
          <w:highlight w:val="none"/>
        </w:rPr>
      </w:pPr>
    </w:p>
    <w:p w14:paraId="721D640F">
      <w:pPr>
        <w:pStyle w:val="359"/>
        <w:spacing w:before="0" w:after="0"/>
        <w:jc w:val="center"/>
        <w:rPr>
          <w:rStyle w:val="57"/>
          <w:rFonts w:hint="eastAsia" w:ascii="仿宋" w:hAnsi="仿宋" w:eastAsia="仿宋" w:cs="仿宋"/>
          <w:b/>
          <w:color w:val="auto"/>
          <w:sz w:val="32"/>
          <w:szCs w:val="24"/>
          <w:highlight w:val="none"/>
        </w:rPr>
      </w:pPr>
    </w:p>
    <w:p w14:paraId="61916EB1">
      <w:pPr>
        <w:pStyle w:val="359"/>
        <w:spacing w:before="0" w:after="0"/>
        <w:jc w:val="center"/>
        <w:rPr>
          <w:rStyle w:val="57"/>
          <w:rFonts w:hint="eastAsia" w:ascii="仿宋" w:hAnsi="仿宋" w:eastAsia="仿宋" w:cs="仿宋"/>
          <w:b/>
          <w:color w:val="auto"/>
          <w:sz w:val="32"/>
          <w:szCs w:val="24"/>
          <w:highlight w:val="none"/>
        </w:rPr>
      </w:pPr>
    </w:p>
    <w:p w14:paraId="6E170DBE">
      <w:pPr>
        <w:pStyle w:val="359"/>
        <w:spacing w:before="0" w:after="0"/>
        <w:jc w:val="center"/>
        <w:rPr>
          <w:rStyle w:val="57"/>
          <w:rFonts w:hint="eastAsia" w:ascii="仿宋" w:hAnsi="仿宋" w:eastAsia="仿宋" w:cs="仿宋"/>
          <w:b/>
          <w:color w:val="auto"/>
          <w:sz w:val="32"/>
          <w:szCs w:val="24"/>
          <w:highlight w:val="none"/>
        </w:rPr>
      </w:pPr>
    </w:p>
    <w:p w14:paraId="0E2A1607">
      <w:pPr>
        <w:pStyle w:val="359"/>
        <w:spacing w:before="0" w:after="0"/>
        <w:jc w:val="center"/>
        <w:rPr>
          <w:rStyle w:val="57"/>
          <w:rFonts w:hint="eastAsia" w:ascii="仿宋" w:hAnsi="仿宋" w:eastAsia="仿宋" w:cs="仿宋"/>
          <w:b/>
          <w:color w:val="auto"/>
          <w:sz w:val="32"/>
          <w:szCs w:val="24"/>
          <w:highlight w:val="none"/>
        </w:rPr>
      </w:pPr>
    </w:p>
    <w:p w14:paraId="3E18ACA4">
      <w:pPr>
        <w:pStyle w:val="359"/>
        <w:spacing w:before="0" w:after="0"/>
        <w:jc w:val="center"/>
        <w:rPr>
          <w:rStyle w:val="57"/>
          <w:rFonts w:hint="eastAsia" w:ascii="仿宋" w:hAnsi="仿宋" w:eastAsia="仿宋" w:cs="仿宋"/>
          <w:color w:val="auto"/>
          <w:sz w:val="24"/>
          <w:szCs w:val="24"/>
          <w:highlight w:val="none"/>
        </w:rPr>
      </w:pPr>
      <w:r>
        <w:rPr>
          <w:rStyle w:val="57"/>
          <w:rFonts w:hint="eastAsia" w:ascii="仿宋" w:hAnsi="仿宋" w:eastAsia="仿宋" w:cs="仿宋"/>
          <w:b/>
          <w:color w:val="auto"/>
          <w:sz w:val="32"/>
          <w:szCs w:val="24"/>
          <w:highlight w:val="none"/>
        </w:rPr>
        <w:t>目       录</w:t>
      </w:r>
    </w:p>
    <w:p w14:paraId="704582F2">
      <w:pPr>
        <w:pStyle w:val="359"/>
        <w:spacing w:before="0" w:after="0"/>
        <w:jc w:val="left"/>
        <w:outlineLvl w:val="9"/>
        <w:rPr>
          <w:rStyle w:val="57"/>
          <w:rFonts w:hint="eastAsia" w:ascii="仿宋" w:hAnsi="仿宋" w:eastAsia="仿宋" w:cs="仿宋"/>
          <w:b w:val="0"/>
          <w:color w:val="auto"/>
          <w:sz w:val="24"/>
          <w:szCs w:val="24"/>
          <w:highlight w:val="none"/>
        </w:rPr>
      </w:pPr>
    </w:p>
    <w:p w14:paraId="4FF5CACE">
      <w:pPr>
        <w:pStyle w:val="359"/>
        <w:spacing w:before="0" w:after="0"/>
        <w:jc w:val="left"/>
        <w:outlineLvl w:val="9"/>
        <w:rPr>
          <w:rStyle w:val="57"/>
          <w:rFonts w:hint="eastAsia" w:ascii="仿宋" w:hAnsi="仿宋" w:eastAsia="仿宋" w:cs="仿宋"/>
          <w:b w:val="0"/>
          <w:color w:val="auto"/>
          <w:sz w:val="24"/>
          <w:szCs w:val="24"/>
          <w:highlight w:val="none"/>
        </w:rPr>
      </w:pPr>
    </w:p>
    <w:p w14:paraId="012DD58A">
      <w:pPr>
        <w:pStyle w:val="359"/>
        <w:spacing w:before="0" w:after="0"/>
        <w:jc w:val="left"/>
        <w:outlineLvl w:val="9"/>
        <w:rPr>
          <w:rStyle w:val="57"/>
          <w:rFonts w:hint="eastAsia" w:ascii="仿宋" w:hAnsi="仿宋" w:eastAsia="仿宋" w:cs="仿宋"/>
          <w:b w:val="0"/>
          <w:color w:val="auto"/>
          <w:sz w:val="24"/>
          <w:szCs w:val="24"/>
          <w:highlight w:val="none"/>
        </w:rPr>
      </w:pPr>
    </w:p>
    <w:p w14:paraId="0F9329FE">
      <w:pPr>
        <w:pStyle w:val="359"/>
        <w:numPr>
          <w:ilvl w:val="0"/>
          <w:numId w:val="6"/>
        </w:numPr>
        <w:spacing w:before="0" w:after="0"/>
        <w:jc w:val="left"/>
        <w:outlineLvl w:val="9"/>
        <w:rPr>
          <w:rStyle w:val="57"/>
          <w:rFonts w:hint="eastAsia" w:ascii="仿宋" w:hAnsi="仿宋" w:eastAsia="仿宋" w:cs="仿宋"/>
          <w:b w:val="0"/>
          <w:color w:val="auto"/>
          <w:sz w:val="24"/>
          <w:szCs w:val="24"/>
          <w:highlight w:val="none"/>
        </w:rPr>
      </w:pPr>
      <w:r>
        <w:rPr>
          <w:rStyle w:val="57"/>
          <w:rFonts w:hint="eastAsia" w:ascii="仿宋" w:hAnsi="仿宋" w:eastAsia="仿宋" w:cs="仿宋"/>
          <w:b w:val="0"/>
          <w:color w:val="auto"/>
          <w:sz w:val="24"/>
          <w:szCs w:val="24"/>
          <w:highlight w:val="none"/>
        </w:rPr>
        <w:t>第二信封投标函</w:t>
      </w:r>
    </w:p>
    <w:p w14:paraId="37F36C7A">
      <w:pPr>
        <w:pStyle w:val="359"/>
        <w:numPr>
          <w:ilvl w:val="0"/>
          <w:numId w:val="6"/>
        </w:numPr>
        <w:spacing w:before="0" w:after="0"/>
        <w:jc w:val="left"/>
        <w:outlineLvl w:val="9"/>
        <w:rPr>
          <w:rStyle w:val="57"/>
          <w:rFonts w:hint="eastAsia" w:ascii="仿宋" w:hAnsi="仿宋" w:eastAsia="仿宋" w:cs="仿宋"/>
          <w:b w:val="0"/>
          <w:color w:val="auto"/>
          <w:sz w:val="24"/>
          <w:szCs w:val="24"/>
          <w:highlight w:val="none"/>
        </w:rPr>
      </w:pPr>
      <w:r>
        <w:rPr>
          <w:rStyle w:val="57"/>
          <w:rFonts w:hint="eastAsia" w:ascii="仿宋" w:hAnsi="仿宋" w:eastAsia="仿宋" w:cs="仿宋"/>
          <w:b w:val="0"/>
          <w:color w:val="auto"/>
          <w:sz w:val="24"/>
          <w:szCs w:val="24"/>
          <w:highlight w:val="none"/>
          <w:lang w:eastAsia="zh-CN"/>
        </w:rPr>
        <w:t>服务费用清单</w:t>
      </w:r>
    </w:p>
    <w:p w14:paraId="3B82D077">
      <w:pPr>
        <w:widowControl/>
        <w:jc w:val="left"/>
        <w:outlineLvl w:val="9"/>
        <w:rPr>
          <w:rFonts w:hint="eastAsia" w:ascii="黑体" w:hAnsi="黑体" w:eastAsia="黑体" w:cs="黑体"/>
          <w:b/>
          <w:color w:val="auto"/>
          <w:kern w:val="0"/>
          <w:sz w:val="32"/>
          <w:szCs w:val="24"/>
          <w:highlight w:val="none"/>
          <w:lang w:val="en-US" w:eastAsia="zh-CN"/>
        </w:rPr>
      </w:pPr>
      <w:r>
        <w:rPr>
          <w:rFonts w:hint="eastAsia" w:ascii="黑体" w:hAnsi="黑体" w:eastAsia="黑体" w:cs="黑体"/>
          <w:b/>
          <w:color w:val="auto"/>
          <w:kern w:val="0"/>
          <w:sz w:val="32"/>
          <w:szCs w:val="24"/>
          <w:highlight w:val="none"/>
          <w:lang w:val="en-US" w:eastAsia="zh-CN"/>
        </w:rPr>
        <w:br w:type="page"/>
      </w:r>
    </w:p>
    <w:p w14:paraId="4972F738">
      <w:pPr>
        <w:pStyle w:val="359"/>
        <w:spacing w:before="0" w:after="0"/>
        <w:jc w:val="center"/>
        <w:outlineLvl w:val="1"/>
        <w:rPr>
          <w:rStyle w:val="57"/>
          <w:rFonts w:hint="eastAsia" w:ascii="仿宋" w:hAnsi="仿宋" w:eastAsia="仿宋" w:cs="仿宋"/>
          <w:color w:val="auto"/>
          <w:kern w:val="0"/>
          <w:sz w:val="30"/>
          <w:szCs w:val="30"/>
          <w:highlight w:val="none"/>
          <w:lang w:val="zh-CN"/>
        </w:rPr>
      </w:pPr>
      <w:r>
        <w:rPr>
          <w:rStyle w:val="57"/>
          <w:rFonts w:hint="eastAsia" w:ascii="仿宋" w:hAnsi="仿宋" w:eastAsia="仿宋" w:cs="仿宋"/>
          <w:color w:val="auto"/>
          <w:kern w:val="0"/>
          <w:sz w:val="30"/>
          <w:szCs w:val="30"/>
          <w:highlight w:val="none"/>
          <w:lang w:val="zh-CN" w:eastAsia="zh-CN"/>
        </w:rPr>
        <w:t>一、投标函</w:t>
      </w:r>
    </w:p>
    <w:p w14:paraId="7045F472">
      <w:pPr>
        <w:pStyle w:val="668"/>
        <w:rPr>
          <w:rStyle w:val="57"/>
          <w:rFonts w:hint="eastAsia" w:ascii="仿宋" w:hAnsi="仿宋" w:eastAsia="仿宋" w:cs="仿宋"/>
          <w:color w:val="auto"/>
          <w:szCs w:val="24"/>
          <w:highlight w:val="none"/>
        </w:rPr>
      </w:pPr>
    </w:p>
    <w:p w14:paraId="61137D20">
      <w:pPr>
        <w:pStyle w:val="668"/>
        <w:spacing w:before="240" w:beforeLines="100" w:after="120" w:afterLines="50" w:line="400" w:lineRule="atLeast"/>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rPr>
        <w:t xml:space="preserve"> </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（招标人名称）：</w:t>
      </w:r>
    </w:p>
    <w:p w14:paraId="66AF770F">
      <w:pPr>
        <w:pStyle w:val="668"/>
        <w:spacing w:line="400" w:lineRule="atLeast"/>
        <w:ind w:firstLine="480" w:firstLineChars="200"/>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rPr>
        <w:t>1．我方已仔细研究</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（项目名称）</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标段施工招标文件的全部内容（含补遗书第___号至第___号），在考察工程现场后，愿意以人民币（大写）</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元（¥</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）的投标总报价（或根据招标文件规定修正核实后确定的另一金额，其中，增值税税率为</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），按合同约定</w:t>
      </w:r>
      <w:r>
        <w:rPr>
          <w:rStyle w:val="57"/>
          <w:rFonts w:hint="eastAsia" w:ascii="仿宋" w:hAnsi="仿宋" w:eastAsia="仿宋" w:cs="仿宋"/>
          <w:color w:val="auto"/>
          <w:sz w:val="24"/>
          <w:szCs w:val="24"/>
          <w:highlight w:val="none"/>
          <w:lang w:eastAsia="zh-CN"/>
        </w:rPr>
        <w:t>完成服务工作</w:t>
      </w:r>
      <w:r>
        <w:rPr>
          <w:rStyle w:val="57"/>
          <w:rFonts w:hint="eastAsia" w:ascii="仿宋" w:hAnsi="仿宋" w:eastAsia="仿宋" w:cs="仿宋"/>
          <w:color w:val="auto"/>
          <w:sz w:val="24"/>
          <w:szCs w:val="24"/>
          <w:highlight w:val="none"/>
        </w:rPr>
        <w:t>。</w:t>
      </w:r>
    </w:p>
    <w:p w14:paraId="26753571">
      <w:pPr>
        <w:pStyle w:val="668"/>
        <w:spacing w:line="400" w:lineRule="atLeast"/>
        <w:ind w:firstLine="480" w:firstLineChars="200"/>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rPr>
        <w:t>2．在合同协议书正式签署生效之前，本投标函连同你方的中标通知书将构成我们双方之间共同遵守的文件，对双方具有约束力。</w:t>
      </w:r>
    </w:p>
    <w:p w14:paraId="02858847">
      <w:pPr>
        <w:pStyle w:val="668"/>
        <w:spacing w:line="400" w:lineRule="atLeast"/>
        <w:ind w:firstLine="480" w:firstLineChars="200"/>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rPr>
        <w:t>3．</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（其他补充说明）。</w:t>
      </w:r>
    </w:p>
    <w:p w14:paraId="097A93BD">
      <w:pPr>
        <w:pStyle w:val="668"/>
        <w:spacing w:line="400" w:lineRule="atLeast"/>
        <w:ind w:firstLine="480" w:firstLineChars="200"/>
        <w:rPr>
          <w:rStyle w:val="57"/>
          <w:rFonts w:hint="eastAsia" w:ascii="仿宋" w:hAnsi="仿宋" w:eastAsia="仿宋" w:cs="仿宋"/>
          <w:color w:val="auto"/>
          <w:sz w:val="24"/>
          <w:szCs w:val="24"/>
          <w:highlight w:val="none"/>
        </w:rPr>
      </w:pPr>
    </w:p>
    <w:p w14:paraId="38D15901">
      <w:pPr>
        <w:pStyle w:val="668"/>
        <w:spacing w:line="400" w:lineRule="atLeast"/>
        <w:ind w:firstLine="3420" w:firstLineChars="1425"/>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rPr>
        <w:t>投 标 人：</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（盖单位章）</w:t>
      </w:r>
    </w:p>
    <w:p w14:paraId="42F2E07B">
      <w:pPr>
        <w:pStyle w:val="668"/>
        <w:spacing w:line="400" w:lineRule="atLeast"/>
        <w:ind w:firstLine="3420" w:firstLineChars="1425"/>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rPr>
        <w:t>法定代表人：</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w:t>
      </w:r>
      <w:r>
        <w:rPr>
          <w:rStyle w:val="57"/>
          <w:rFonts w:hint="eastAsia" w:ascii="仿宋" w:hAnsi="仿宋" w:eastAsia="仿宋" w:cs="仿宋"/>
          <w:color w:val="auto"/>
          <w:sz w:val="24"/>
          <w:szCs w:val="24"/>
          <w:highlight w:val="none"/>
          <w:lang w:val="en-US" w:eastAsia="zh-CN"/>
        </w:rPr>
        <w:t>亲笔签名</w:t>
      </w:r>
      <w:r>
        <w:rPr>
          <w:rStyle w:val="57"/>
          <w:rFonts w:hint="eastAsia" w:ascii="仿宋" w:hAnsi="仿宋" w:eastAsia="仿宋" w:cs="仿宋"/>
          <w:color w:val="auto"/>
          <w:sz w:val="24"/>
          <w:szCs w:val="24"/>
          <w:highlight w:val="none"/>
        </w:rPr>
        <w:t>）</w:t>
      </w:r>
    </w:p>
    <w:p w14:paraId="619F9596">
      <w:pPr>
        <w:pStyle w:val="668"/>
        <w:spacing w:line="400" w:lineRule="atLeast"/>
        <w:ind w:firstLine="3420" w:firstLineChars="1425"/>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rPr>
        <w:t>地    址：</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 xml:space="preserve"> </w:t>
      </w:r>
    </w:p>
    <w:p w14:paraId="31F501DE">
      <w:pPr>
        <w:pStyle w:val="668"/>
        <w:spacing w:line="400" w:lineRule="atLeast"/>
        <w:ind w:firstLine="3420" w:firstLineChars="1425"/>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rPr>
        <w:t>网    址：</w:t>
      </w:r>
      <w:r>
        <w:rPr>
          <w:rStyle w:val="57"/>
          <w:rFonts w:hint="eastAsia" w:ascii="仿宋" w:hAnsi="仿宋" w:eastAsia="仿宋" w:cs="仿宋"/>
          <w:color w:val="auto"/>
          <w:sz w:val="24"/>
          <w:szCs w:val="24"/>
          <w:highlight w:val="none"/>
          <w:u w:val="single"/>
        </w:rPr>
        <w:t xml:space="preserve">                                     </w:t>
      </w:r>
    </w:p>
    <w:p w14:paraId="52C0A264">
      <w:pPr>
        <w:pStyle w:val="668"/>
        <w:spacing w:line="400" w:lineRule="atLeast"/>
        <w:ind w:firstLine="3420" w:firstLineChars="1425"/>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rPr>
        <w:t>电    话：</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 xml:space="preserve"> </w:t>
      </w:r>
    </w:p>
    <w:p w14:paraId="380E3945">
      <w:pPr>
        <w:pStyle w:val="668"/>
        <w:spacing w:line="400" w:lineRule="atLeast"/>
        <w:ind w:firstLine="3420" w:firstLineChars="1425"/>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rPr>
        <w:t>传    真：</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 xml:space="preserve"> </w:t>
      </w:r>
    </w:p>
    <w:p w14:paraId="28F42A84">
      <w:pPr>
        <w:pStyle w:val="668"/>
        <w:spacing w:line="400" w:lineRule="atLeast"/>
        <w:ind w:firstLine="3420" w:firstLineChars="1425"/>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rPr>
        <w:t>邮政编码：</w:t>
      </w:r>
      <w:r>
        <w:rPr>
          <w:rStyle w:val="57"/>
          <w:rFonts w:hint="eastAsia" w:ascii="仿宋" w:hAnsi="仿宋" w:eastAsia="仿宋" w:cs="仿宋"/>
          <w:color w:val="auto"/>
          <w:sz w:val="24"/>
          <w:szCs w:val="24"/>
          <w:highlight w:val="none"/>
          <w:u w:val="single"/>
        </w:rPr>
        <w:t xml:space="preserve">                                  </w:t>
      </w:r>
    </w:p>
    <w:p w14:paraId="36DE22A7">
      <w:pPr>
        <w:pStyle w:val="668"/>
        <w:spacing w:line="400" w:lineRule="atLeast"/>
        <w:ind w:firstLine="3420" w:firstLineChars="1425"/>
        <w:rPr>
          <w:rStyle w:val="57"/>
          <w:rFonts w:hint="eastAsia" w:ascii="仿宋" w:hAnsi="仿宋" w:eastAsia="仿宋" w:cs="仿宋"/>
          <w:color w:val="auto"/>
          <w:sz w:val="24"/>
          <w:szCs w:val="24"/>
          <w:highlight w:val="none"/>
        </w:rPr>
      </w:pPr>
    </w:p>
    <w:p w14:paraId="2664D0D8">
      <w:pPr>
        <w:pStyle w:val="668"/>
        <w:spacing w:line="400" w:lineRule="atLeast"/>
        <w:ind w:firstLine="4740" w:firstLineChars="1975"/>
        <w:rPr>
          <w:rStyle w:val="57"/>
          <w:rFonts w:hint="eastAsia" w:ascii="仿宋" w:hAnsi="仿宋" w:eastAsia="仿宋" w:cs="仿宋"/>
          <w:color w:val="auto"/>
          <w:sz w:val="24"/>
          <w:szCs w:val="24"/>
          <w:highlight w:val="none"/>
        </w:rPr>
      </w:pP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年</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月</w:t>
      </w:r>
      <w:r>
        <w:rPr>
          <w:rStyle w:val="57"/>
          <w:rFonts w:hint="eastAsia" w:ascii="仿宋" w:hAnsi="仿宋" w:eastAsia="仿宋" w:cs="仿宋"/>
          <w:color w:val="auto"/>
          <w:sz w:val="24"/>
          <w:szCs w:val="24"/>
          <w:highlight w:val="none"/>
          <w:u w:val="single"/>
        </w:rPr>
        <w:t xml:space="preserve">       </w:t>
      </w:r>
      <w:r>
        <w:rPr>
          <w:rStyle w:val="57"/>
          <w:rFonts w:hint="eastAsia" w:ascii="仿宋" w:hAnsi="仿宋" w:eastAsia="仿宋" w:cs="仿宋"/>
          <w:color w:val="auto"/>
          <w:sz w:val="24"/>
          <w:szCs w:val="24"/>
          <w:highlight w:val="none"/>
        </w:rPr>
        <w:t>日</w:t>
      </w:r>
    </w:p>
    <w:p w14:paraId="56235E6C">
      <w:pPr>
        <w:rPr>
          <w:rFonts w:hint="eastAsia" w:ascii="仿宋" w:hAnsi="仿宋" w:eastAsia="仿宋" w:cs="仿宋"/>
          <w:color w:val="auto"/>
          <w:sz w:val="20"/>
          <w:szCs w:val="22"/>
          <w:highlight w:val="none"/>
        </w:rPr>
      </w:pPr>
    </w:p>
    <w:p w14:paraId="37FF2CB0">
      <w:pPr>
        <w:widowControl/>
        <w:jc w:val="left"/>
        <w:outlineLvl w:val="9"/>
        <w:rPr>
          <w:rFonts w:hint="eastAsia" w:ascii="黑体" w:hAnsi="黑体" w:eastAsia="黑体" w:cs="黑体"/>
          <w:b/>
          <w:color w:val="auto"/>
          <w:kern w:val="0"/>
          <w:sz w:val="32"/>
          <w:szCs w:val="24"/>
          <w:highlight w:val="none"/>
          <w:lang w:val="en-US" w:eastAsia="zh-CN"/>
        </w:rPr>
      </w:pPr>
      <w:r>
        <w:rPr>
          <w:rFonts w:hint="eastAsia" w:ascii="黑体" w:hAnsi="黑体" w:eastAsia="黑体" w:cs="黑体"/>
          <w:b/>
          <w:color w:val="auto"/>
          <w:kern w:val="0"/>
          <w:sz w:val="32"/>
          <w:szCs w:val="24"/>
          <w:highlight w:val="none"/>
          <w:lang w:val="en-US" w:eastAsia="zh-CN"/>
        </w:rPr>
        <w:br w:type="page"/>
      </w:r>
    </w:p>
    <w:tbl>
      <w:tblPr>
        <w:tblStyle w:val="55"/>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65"/>
      </w:tblGrid>
      <w:tr w14:paraId="261C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9465" w:type="dxa"/>
            <w:tcBorders>
              <w:top w:val="nil"/>
              <w:left w:val="nil"/>
              <w:bottom w:val="nil"/>
              <w:right w:val="nil"/>
            </w:tcBorders>
            <w:shd w:val="clear" w:color="auto" w:fill="auto"/>
            <w:vAlign w:val="center"/>
          </w:tcPr>
          <w:p w14:paraId="25C12D35">
            <w:pPr>
              <w:keepNext w:val="0"/>
              <w:keepLines w:val="0"/>
              <w:widowControl/>
              <w:suppressLineNumbers w:val="0"/>
              <w:spacing w:line="360" w:lineRule="exact"/>
              <w:ind w:left="3120" w:hanging="3120" w:hangingChars="1300"/>
              <w:jc w:val="both"/>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color w:val="auto"/>
                <w:sz w:val="24"/>
                <w:szCs w:val="24"/>
                <w:highlight w:val="none"/>
              </w:rPr>
              <w:t xml:space="preserve">附录A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bCs/>
                <w:i w:val="0"/>
                <w:iCs w:val="0"/>
                <w:color w:val="auto"/>
                <w:kern w:val="0"/>
                <w:sz w:val="24"/>
                <w:szCs w:val="24"/>
                <w:highlight w:val="none"/>
                <w:u w:val="none"/>
                <w:lang w:val="en-US" w:eastAsia="zh-CN" w:bidi="ar"/>
              </w:rPr>
              <w:t>湖南省新新张官高速公路建设开发有限公司张家界分公司项目</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color w:val="auto"/>
                <w:sz w:val="24"/>
                <w:szCs w:val="24"/>
                <w:highlight w:val="none"/>
                <w:lang w:val="en-US" w:eastAsia="zh-CN"/>
              </w:rPr>
              <w:t>成桥动静载检测（桥梁）</w:t>
            </w:r>
            <w:r>
              <w:rPr>
                <w:rFonts w:hint="eastAsia" w:ascii="宋体" w:hAnsi="宋体" w:eastAsia="宋体" w:cs="宋体"/>
                <w:b/>
                <w:bCs/>
                <w:i w:val="0"/>
                <w:iCs w:val="0"/>
                <w:color w:val="auto"/>
                <w:kern w:val="0"/>
                <w:sz w:val="24"/>
                <w:szCs w:val="24"/>
                <w:highlight w:val="none"/>
                <w:u w:val="none"/>
                <w:lang w:val="en-US" w:eastAsia="zh-CN" w:bidi="ar"/>
              </w:rPr>
              <w:t>技术咨询服务合同清单</w:t>
            </w:r>
          </w:p>
          <w:tbl>
            <w:tblPr>
              <w:tblStyle w:val="55"/>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130"/>
              <w:gridCol w:w="1600"/>
              <w:gridCol w:w="1670"/>
              <w:gridCol w:w="1686"/>
              <w:gridCol w:w="1041"/>
            </w:tblGrid>
            <w:tr w14:paraId="1484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951" w:type="dxa"/>
                  <w:vMerge w:val="restart"/>
                  <w:noWrap/>
                  <w:vAlign w:val="center"/>
                </w:tcPr>
                <w:p w14:paraId="7EB5646C">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序号</w:t>
                  </w:r>
                </w:p>
              </w:tc>
              <w:tc>
                <w:tcPr>
                  <w:tcW w:w="2130" w:type="dxa"/>
                  <w:vMerge w:val="restart"/>
                  <w:noWrap/>
                  <w:vAlign w:val="center"/>
                </w:tcPr>
                <w:p w14:paraId="775B22A8">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服务费用名称</w:t>
                  </w:r>
                </w:p>
              </w:tc>
              <w:tc>
                <w:tcPr>
                  <w:tcW w:w="4956" w:type="dxa"/>
                  <w:gridSpan w:val="3"/>
                  <w:noWrap/>
                  <w:vAlign w:val="center"/>
                </w:tcPr>
                <w:p w14:paraId="1566C268">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总价（元）</w:t>
                  </w:r>
                </w:p>
              </w:tc>
              <w:tc>
                <w:tcPr>
                  <w:tcW w:w="1041" w:type="dxa"/>
                  <w:vMerge w:val="restart"/>
                  <w:noWrap/>
                  <w:vAlign w:val="center"/>
                </w:tcPr>
                <w:p w14:paraId="26C4C13D">
                  <w:pPr>
                    <w:widowControl/>
                    <w:spacing w:line="600" w:lineRule="exact"/>
                    <w:jc w:val="center"/>
                    <w:rPr>
                      <w:rFonts w:hint="eastAsia" w:ascii="宋体" w:hAnsi="宋体" w:eastAsia="宋体" w:cs="宋体"/>
                      <w:color w:val="auto"/>
                      <w:sz w:val="30"/>
                      <w:szCs w:val="30"/>
                      <w:highlight w:val="none"/>
                    </w:rPr>
                  </w:pPr>
                  <w:r>
                    <w:rPr>
                      <w:rFonts w:hint="eastAsia" w:ascii="仿宋_GB2312" w:hAnsi="宋体" w:eastAsia="仿宋_GB2312" w:cs="仿宋_GB2312"/>
                      <w:b/>
                      <w:bCs/>
                      <w:i w:val="0"/>
                      <w:iCs w:val="0"/>
                      <w:color w:val="auto"/>
                      <w:kern w:val="0"/>
                      <w:sz w:val="21"/>
                      <w:szCs w:val="21"/>
                      <w:highlight w:val="none"/>
                      <w:u w:val="none"/>
                      <w:lang w:val="en-US" w:eastAsia="zh-CN" w:bidi="ar"/>
                    </w:rPr>
                    <w:t>备注</w:t>
                  </w:r>
                </w:p>
              </w:tc>
            </w:tr>
            <w:tr w14:paraId="5C88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51" w:type="dxa"/>
                  <w:vMerge w:val="continue"/>
                  <w:noWrap/>
                  <w:vAlign w:val="center"/>
                </w:tcPr>
                <w:p w14:paraId="2367ADC3">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p>
              </w:tc>
              <w:tc>
                <w:tcPr>
                  <w:tcW w:w="2130" w:type="dxa"/>
                  <w:vMerge w:val="continue"/>
                  <w:noWrap/>
                  <w:vAlign w:val="center"/>
                </w:tcPr>
                <w:p w14:paraId="2F9C81B2">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p>
              </w:tc>
              <w:tc>
                <w:tcPr>
                  <w:tcW w:w="1600" w:type="dxa"/>
                  <w:noWrap/>
                  <w:vAlign w:val="center"/>
                </w:tcPr>
                <w:p w14:paraId="648C1069">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不含税金额</w:t>
                  </w:r>
                </w:p>
              </w:tc>
              <w:tc>
                <w:tcPr>
                  <w:tcW w:w="1670" w:type="dxa"/>
                  <w:noWrap/>
                  <w:vAlign w:val="center"/>
                </w:tcPr>
                <w:p w14:paraId="594B352B">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税额</w:t>
                  </w:r>
                </w:p>
              </w:tc>
              <w:tc>
                <w:tcPr>
                  <w:tcW w:w="1686" w:type="dxa"/>
                  <w:noWrap/>
                  <w:vAlign w:val="center"/>
                </w:tcPr>
                <w:p w14:paraId="1009A0CF">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价税合计</w:t>
                  </w:r>
                </w:p>
              </w:tc>
              <w:tc>
                <w:tcPr>
                  <w:tcW w:w="1041" w:type="dxa"/>
                  <w:vMerge w:val="continue"/>
                  <w:noWrap/>
                  <w:vAlign w:val="center"/>
                </w:tcPr>
                <w:p w14:paraId="36C1A3E9">
                  <w:pPr>
                    <w:widowControl/>
                    <w:spacing w:line="600" w:lineRule="exact"/>
                    <w:jc w:val="left"/>
                    <w:rPr>
                      <w:rFonts w:hint="eastAsia" w:ascii="宋体" w:hAnsi="宋体" w:eastAsia="宋体" w:cs="宋体"/>
                      <w:color w:val="auto"/>
                      <w:sz w:val="30"/>
                      <w:szCs w:val="30"/>
                      <w:highlight w:val="none"/>
                    </w:rPr>
                  </w:pPr>
                </w:p>
              </w:tc>
            </w:tr>
            <w:tr w14:paraId="1141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51" w:type="dxa"/>
                  <w:noWrap/>
                  <w:vAlign w:val="center"/>
                </w:tcPr>
                <w:p w14:paraId="7A27BD34">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2130" w:type="dxa"/>
                  <w:noWrap/>
                  <w:vAlign w:val="center"/>
                </w:tcPr>
                <w:p w14:paraId="445AB0CD">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成桥动静载检测（桥梁）技术咨询服务费</w:t>
                  </w:r>
                </w:p>
              </w:tc>
              <w:tc>
                <w:tcPr>
                  <w:tcW w:w="1600" w:type="dxa"/>
                  <w:noWrap/>
                  <w:vAlign w:val="center"/>
                </w:tcPr>
                <w:p w14:paraId="769C3105">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70" w:type="dxa"/>
                  <w:noWrap/>
                  <w:vAlign w:val="center"/>
                </w:tcPr>
                <w:p w14:paraId="235908A8">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86" w:type="dxa"/>
                  <w:noWrap/>
                  <w:vAlign w:val="center"/>
                </w:tcPr>
                <w:p w14:paraId="6DDC3275">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041" w:type="dxa"/>
                  <w:noWrap/>
                  <w:vAlign w:val="center"/>
                </w:tcPr>
                <w:p w14:paraId="61FF5950">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r>
          </w:tbl>
          <w:p w14:paraId="513F68D6">
            <w:pPr>
              <w:keepNext w:val="0"/>
              <w:keepLines w:val="0"/>
              <w:widowControl/>
              <w:suppressLineNumbers w:val="0"/>
              <w:spacing w:line="360" w:lineRule="exact"/>
              <w:ind w:left="3120" w:hanging="3132" w:hangingChars="1300"/>
              <w:jc w:val="both"/>
              <w:textAlignment w:val="center"/>
              <w:rPr>
                <w:rFonts w:hint="eastAsia" w:ascii="宋体" w:hAnsi="宋体" w:eastAsia="宋体" w:cs="宋体"/>
                <w:b/>
                <w:bCs/>
                <w:i w:val="0"/>
                <w:iCs w:val="0"/>
                <w:color w:val="auto"/>
                <w:kern w:val="0"/>
                <w:sz w:val="24"/>
                <w:szCs w:val="24"/>
                <w:highlight w:val="none"/>
                <w:u w:val="none"/>
                <w:lang w:val="en-US" w:eastAsia="zh-CN" w:bidi="ar"/>
              </w:rPr>
            </w:pPr>
          </w:p>
        </w:tc>
      </w:tr>
    </w:tbl>
    <w:p w14:paraId="00226934">
      <w:pPr>
        <w:widowControl/>
        <w:jc w:val="center"/>
        <w:outlineLvl w:val="1"/>
        <w:rPr>
          <w:rFonts w:hint="eastAsia" w:ascii="黑体" w:hAnsi="黑体" w:eastAsia="黑体" w:cs="黑体"/>
          <w:b/>
          <w:color w:val="auto"/>
          <w:kern w:val="0"/>
          <w:sz w:val="32"/>
          <w:szCs w:val="24"/>
          <w:highlight w:val="none"/>
          <w:lang w:val="en-US" w:eastAsia="zh-CN"/>
        </w:rPr>
      </w:pPr>
    </w:p>
    <w:p w14:paraId="4A40C9E0">
      <w:pPr>
        <w:pageBreakBefore w:val="0"/>
        <w:kinsoku/>
        <w:wordWrap/>
        <w:overflowPunct/>
        <w:topLinePunct w:val="0"/>
        <w:autoSpaceDE/>
        <w:autoSpaceDN/>
        <w:bidi w:val="0"/>
        <w:spacing w:before="120" w:beforeLines="50" w:after="120" w:afterLines="50" w:line="440" w:lineRule="exact"/>
        <w:ind w:firstLine="480" w:firstLineChars="200"/>
        <w:jc w:val="both"/>
        <w:outlineLvl w:val="3"/>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1、本项目合同为总价合同，由</w:t>
      </w:r>
      <w:r>
        <w:rPr>
          <w:rFonts w:hint="eastAsia" w:ascii="宋体" w:hAnsi="宋体" w:eastAsia="宋体" w:cs="宋体"/>
          <w:b w:val="0"/>
          <w:bCs w:val="0"/>
          <w:color w:val="auto"/>
          <w:sz w:val="24"/>
          <w:szCs w:val="24"/>
          <w:highlight w:val="none"/>
          <w:lang w:val="en-US" w:eastAsia="zh-CN"/>
        </w:rPr>
        <w:t>受托</w:t>
      </w:r>
      <w:r>
        <w:rPr>
          <w:rFonts w:hint="eastAsia" w:ascii="宋体" w:hAnsi="宋体" w:eastAsia="宋体" w:cs="宋体"/>
          <w:b w:val="0"/>
          <w:bCs w:val="0"/>
          <w:color w:val="auto"/>
          <w:sz w:val="24"/>
          <w:szCs w:val="24"/>
          <w:highlight w:val="none"/>
          <w:lang w:eastAsia="zh-CN"/>
        </w:rPr>
        <w:t>人包干使用。</w:t>
      </w:r>
      <w:r>
        <w:rPr>
          <w:rFonts w:hint="eastAsia" w:ascii="宋体" w:hAnsi="宋体" w:eastAsia="宋体" w:cs="宋体"/>
          <w:b w:val="0"/>
          <w:bCs w:val="0"/>
          <w:color w:val="auto"/>
          <w:sz w:val="24"/>
          <w:szCs w:val="24"/>
          <w:highlight w:val="none"/>
          <w:lang w:val="en-US" w:eastAsia="zh-CN"/>
        </w:rPr>
        <w:t>受托</w:t>
      </w:r>
      <w:r>
        <w:rPr>
          <w:rFonts w:hint="eastAsia" w:ascii="宋体" w:hAnsi="宋体" w:eastAsia="宋体" w:cs="宋体"/>
          <w:b w:val="0"/>
          <w:bCs w:val="0"/>
          <w:color w:val="auto"/>
          <w:sz w:val="24"/>
          <w:szCs w:val="24"/>
          <w:highlight w:val="none"/>
          <w:lang w:eastAsia="zh-CN"/>
        </w:rPr>
        <w:t>人为完成合同所确定的范围内的全部服务工作内容所发生的一切费用均认为已包括在总报价中，包括人员及设备费用及相关工作所需的费用、管理费、出版费、食宿费、差旅费、车辆使用费（含驾驶员费用）、评审费（含专家费用）、通讯费、保险、利润、杂费、税费及其它可能发生的费用，以及服务项目的规模、性质、服务期间的市场风险和国家政策性调整风险费用等。</w:t>
      </w:r>
    </w:p>
    <w:p w14:paraId="25D79DBF">
      <w:pPr>
        <w:widowControl/>
        <w:spacing w:line="600" w:lineRule="exact"/>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2、本项目中的给出</w:t>
      </w:r>
      <w:r>
        <w:rPr>
          <w:rFonts w:hint="eastAsia" w:ascii="宋体" w:hAnsi="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lang w:eastAsia="zh-CN"/>
        </w:rPr>
        <w:t>服务项目数量为发包人的预估数量，</w:t>
      </w:r>
      <w:r>
        <w:rPr>
          <w:rFonts w:hint="eastAsia" w:ascii="宋体" w:hAnsi="宋体" w:eastAsia="宋体" w:cs="宋体"/>
          <w:b w:val="0"/>
          <w:bCs w:val="0"/>
          <w:color w:val="auto"/>
          <w:sz w:val="24"/>
          <w:szCs w:val="24"/>
          <w:highlight w:val="none"/>
          <w:lang w:val="en-US" w:eastAsia="zh-CN"/>
        </w:rPr>
        <w:t>受托</w:t>
      </w:r>
      <w:r>
        <w:rPr>
          <w:rFonts w:hint="eastAsia" w:ascii="宋体" w:hAnsi="宋体" w:eastAsia="宋体" w:cs="宋体"/>
          <w:b w:val="0"/>
          <w:bCs w:val="0"/>
          <w:color w:val="auto"/>
          <w:sz w:val="24"/>
          <w:szCs w:val="24"/>
          <w:highlight w:val="none"/>
          <w:lang w:eastAsia="zh-CN"/>
        </w:rPr>
        <w:t>人在实施过程中完成的数量不能少于规范要求的数量; 若根据技术咨询服务需求完成的数量超过预估数量，均被认为已包含在合同总价中，</w:t>
      </w:r>
      <w:r>
        <w:rPr>
          <w:rFonts w:hint="eastAsia" w:ascii="宋体" w:hAnsi="宋体" w:eastAsia="宋体" w:cs="宋体"/>
          <w:b w:val="0"/>
          <w:bCs w:val="0"/>
          <w:color w:val="auto"/>
          <w:sz w:val="24"/>
          <w:szCs w:val="24"/>
          <w:highlight w:val="none"/>
          <w:lang w:val="en-US" w:eastAsia="zh-CN"/>
        </w:rPr>
        <w:t>委托</w:t>
      </w:r>
      <w:r>
        <w:rPr>
          <w:rFonts w:hint="eastAsia" w:ascii="宋体" w:hAnsi="宋体" w:eastAsia="宋体" w:cs="宋体"/>
          <w:b w:val="0"/>
          <w:bCs w:val="0"/>
          <w:color w:val="auto"/>
          <w:sz w:val="24"/>
          <w:szCs w:val="24"/>
          <w:highlight w:val="none"/>
          <w:lang w:eastAsia="zh-CN"/>
        </w:rPr>
        <w:t>人不另行支付。</w:t>
      </w:r>
    </w:p>
    <w:p w14:paraId="54866B68">
      <w:pPr>
        <w:widowControl/>
        <w:jc w:val="center"/>
        <w:outlineLvl w:val="1"/>
        <w:rPr>
          <w:rFonts w:hint="eastAsia" w:ascii="黑体" w:hAnsi="黑体" w:eastAsia="黑体" w:cs="黑体"/>
          <w:b/>
          <w:color w:val="auto"/>
          <w:kern w:val="0"/>
          <w:sz w:val="32"/>
          <w:szCs w:val="24"/>
          <w:highlight w:val="none"/>
          <w:lang w:val="en-US" w:eastAsia="zh-CN"/>
        </w:rPr>
      </w:pPr>
    </w:p>
    <w:p w14:paraId="40990538">
      <w:pPr>
        <w:widowControl/>
        <w:jc w:val="center"/>
        <w:outlineLvl w:val="1"/>
        <w:rPr>
          <w:rFonts w:hint="eastAsia" w:ascii="黑体" w:hAnsi="黑体" w:eastAsia="黑体" w:cs="黑体"/>
          <w:b/>
          <w:color w:val="auto"/>
          <w:kern w:val="0"/>
          <w:sz w:val="32"/>
          <w:szCs w:val="24"/>
          <w:highlight w:val="none"/>
          <w:lang w:val="en-US" w:eastAsia="zh-CN"/>
        </w:rPr>
      </w:pPr>
    </w:p>
    <w:p w14:paraId="58541AF4">
      <w:pPr>
        <w:widowControl/>
        <w:jc w:val="center"/>
        <w:outlineLvl w:val="1"/>
        <w:rPr>
          <w:rFonts w:hint="eastAsia" w:ascii="黑体" w:hAnsi="黑体" w:eastAsia="黑体" w:cs="黑体"/>
          <w:b/>
          <w:color w:val="auto"/>
          <w:kern w:val="0"/>
          <w:sz w:val="32"/>
          <w:szCs w:val="24"/>
          <w:highlight w:val="none"/>
          <w:lang w:val="en-US" w:eastAsia="zh-CN"/>
        </w:rPr>
      </w:pPr>
    </w:p>
    <w:p w14:paraId="19C969AA">
      <w:pPr>
        <w:rPr>
          <w:rFonts w:hint="eastAsia" w:ascii="黑体" w:hAnsi="黑体" w:eastAsia="黑体" w:cs="黑体"/>
          <w:b/>
          <w:color w:val="auto"/>
          <w:kern w:val="0"/>
          <w:sz w:val="32"/>
          <w:szCs w:val="24"/>
          <w:highlight w:val="none"/>
          <w:lang w:val="en-US" w:eastAsia="zh-CN"/>
        </w:rPr>
      </w:pPr>
      <w:r>
        <w:rPr>
          <w:rFonts w:hint="eastAsia" w:ascii="黑体" w:hAnsi="黑体" w:eastAsia="黑体" w:cs="黑体"/>
          <w:b/>
          <w:color w:val="auto"/>
          <w:kern w:val="0"/>
          <w:sz w:val="32"/>
          <w:szCs w:val="24"/>
          <w:highlight w:val="none"/>
          <w:lang w:val="en-US" w:eastAsia="zh-CN"/>
        </w:rPr>
        <w:br w:type="page"/>
      </w:r>
    </w:p>
    <w:p w14:paraId="46A31DE4">
      <w:pPr>
        <w:widowControl/>
        <w:jc w:val="center"/>
        <w:outlineLvl w:val="1"/>
        <w:rPr>
          <w:rFonts w:ascii="黑体" w:hAnsi="黑体" w:eastAsia="黑体" w:cs="黑体"/>
          <w:b/>
          <w:color w:val="auto"/>
          <w:kern w:val="0"/>
          <w:sz w:val="32"/>
          <w:szCs w:val="24"/>
          <w:highlight w:val="none"/>
          <w:lang w:eastAsia="en-US"/>
        </w:rPr>
      </w:pPr>
      <w:r>
        <w:rPr>
          <w:rFonts w:hint="eastAsia" w:ascii="黑体" w:hAnsi="黑体" w:eastAsia="黑体" w:cs="黑体"/>
          <w:b/>
          <w:color w:val="auto"/>
          <w:kern w:val="0"/>
          <w:sz w:val="32"/>
          <w:szCs w:val="24"/>
          <w:highlight w:val="none"/>
          <w:lang w:val="en-US" w:eastAsia="zh-CN"/>
        </w:rPr>
        <w:t>二</w:t>
      </w:r>
      <w:r>
        <w:rPr>
          <w:rFonts w:ascii="黑体" w:hAnsi="黑体" w:eastAsia="黑体" w:cs="黑体"/>
          <w:b/>
          <w:color w:val="auto"/>
          <w:kern w:val="0"/>
          <w:sz w:val="32"/>
          <w:szCs w:val="24"/>
          <w:highlight w:val="none"/>
          <w:lang w:eastAsia="en-US"/>
        </w:rPr>
        <w:t>、服务费用清单</w:t>
      </w:r>
    </w:p>
    <w:tbl>
      <w:tblPr>
        <w:tblStyle w:val="55"/>
        <w:tblpPr w:leftFromText="180" w:rightFromText="180" w:vertAnchor="text" w:horzAnchor="page" w:tblpX="1040" w:tblpY="248"/>
        <w:tblOverlap w:val="never"/>
        <w:tblW w:w="54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1129"/>
        <w:gridCol w:w="1012"/>
        <w:gridCol w:w="2194"/>
        <w:gridCol w:w="919"/>
        <w:gridCol w:w="506"/>
        <w:gridCol w:w="450"/>
        <w:gridCol w:w="825"/>
        <w:gridCol w:w="881"/>
        <w:gridCol w:w="1294"/>
      </w:tblGrid>
      <w:tr w14:paraId="49BC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10"/>
            <w:tcBorders>
              <w:top w:val="nil"/>
              <w:left w:val="nil"/>
              <w:bottom w:val="nil"/>
              <w:right w:val="nil"/>
            </w:tcBorders>
            <w:shd w:val="clear" w:color="auto" w:fill="auto"/>
            <w:noWrap/>
            <w:vAlign w:val="center"/>
          </w:tcPr>
          <w:p w14:paraId="57FEB627">
            <w:pPr>
              <w:keepNext w:val="0"/>
              <w:keepLines w:val="0"/>
              <w:widowControl/>
              <w:suppressLineNumbers w:val="0"/>
              <w:spacing w:line="360" w:lineRule="exact"/>
              <w:jc w:val="center"/>
              <w:textAlignment w:val="center"/>
              <w:rPr>
                <w:rFonts w:hint="eastAsia" w:ascii="宋体" w:hAnsi="宋体" w:eastAsia="宋体" w:cs="宋体"/>
                <w:i w:val="0"/>
                <w:iCs w:val="0"/>
                <w:color w:val="000000"/>
                <w:kern w:val="0"/>
                <w:sz w:val="32"/>
                <w:szCs w:val="32"/>
                <w:highlight w:val="none"/>
                <w:u w:val="none"/>
                <w:lang w:val="en-US" w:eastAsia="zh-CN" w:bidi="ar"/>
              </w:rPr>
            </w:pPr>
            <w:r>
              <w:rPr>
                <w:rFonts w:hint="default" w:ascii="Times New Roman" w:hAnsi="Times New Roman" w:eastAsia="宋体" w:cs="Times New Roman"/>
                <w:i w:val="0"/>
                <w:iCs w:val="0"/>
                <w:color w:val="000000"/>
                <w:kern w:val="0"/>
                <w:sz w:val="32"/>
                <w:szCs w:val="32"/>
                <w:highlight w:val="none"/>
                <w:u w:val="none"/>
                <w:lang w:val="en-US" w:eastAsia="zh-CN" w:bidi="ar"/>
              </w:rPr>
              <w:t>G59</w:t>
            </w:r>
            <w:r>
              <w:rPr>
                <w:rFonts w:hint="eastAsia" w:ascii="宋体" w:hAnsi="宋体" w:eastAsia="宋体" w:cs="宋体"/>
                <w:i w:val="0"/>
                <w:iCs w:val="0"/>
                <w:color w:val="000000"/>
                <w:kern w:val="0"/>
                <w:sz w:val="32"/>
                <w:szCs w:val="32"/>
                <w:highlight w:val="none"/>
                <w:u w:val="none"/>
                <w:lang w:val="en-US" w:eastAsia="zh-CN" w:bidi="ar"/>
              </w:rPr>
              <w:t>呼北高速张家界至官庄段张家界分公司桥梁荷载试验</w:t>
            </w:r>
          </w:p>
          <w:p w14:paraId="5C5C221D">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ascii="华文宋体" w:hAnsi="华文宋体" w:eastAsia="华文宋体" w:cs="华文宋体"/>
                <w:i w:val="0"/>
                <w:iCs w:val="0"/>
                <w:color w:val="000000"/>
                <w:kern w:val="0"/>
                <w:sz w:val="32"/>
                <w:szCs w:val="32"/>
                <w:highlight w:val="none"/>
                <w:u w:val="none"/>
                <w:lang w:val="en-US" w:eastAsia="zh-CN" w:bidi="ar"/>
              </w:rPr>
              <w:t>技术服务费用报价表</w:t>
            </w:r>
          </w:p>
        </w:tc>
      </w:tr>
      <w:tr w14:paraId="5877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1B00">
            <w:pPr>
              <w:keepNext w:val="0"/>
              <w:keepLines w:val="0"/>
              <w:widowControl/>
              <w:suppressLineNumbers w:val="0"/>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11F2">
            <w:pPr>
              <w:keepNext w:val="0"/>
              <w:keepLines w:val="0"/>
              <w:widowControl/>
              <w:suppressLineNumbers w:val="0"/>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桥梁名称</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9E47">
            <w:pPr>
              <w:keepNext w:val="0"/>
              <w:keepLines w:val="0"/>
              <w:widowControl/>
              <w:suppressLineNumbers w:val="0"/>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桥梁长度</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BC72">
            <w:pPr>
              <w:keepNext w:val="0"/>
              <w:keepLines w:val="0"/>
              <w:widowControl/>
              <w:suppressLineNumbers w:val="0"/>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结构类型</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3CE6">
            <w:pPr>
              <w:keepNext w:val="0"/>
              <w:keepLines w:val="0"/>
              <w:widowControl/>
              <w:suppressLineNumbers w:val="0"/>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试验孔跨</w:t>
            </w: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244A">
            <w:pPr>
              <w:keepNext w:val="0"/>
              <w:keepLines w:val="0"/>
              <w:widowControl/>
              <w:suppressLineNumbers w:val="0"/>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数量（孔）</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7B6D">
            <w:pPr>
              <w:keepNext w:val="0"/>
              <w:keepLines w:val="0"/>
              <w:widowControl/>
              <w:suppressLineNumbers w:val="0"/>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静载单价（元）</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3A7D">
            <w:pPr>
              <w:keepNext w:val="0"/>
              <w:keepLines w:val="0"/>
              <w:widowControl/>
              <w:suppressLineNumbers w:val="0"/>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动载单价（元）</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0439">
            <w:pPr>
              <w:keepNext w:val="0"/>
              <w:keepLines w:val="0"/>
              <w:widowControl/>
              <w:suppressLineNumbers w:val="0"/>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合计（元）</w:t>
            </w:r>
          </w:p>
        </w:tc>
      </w:tr>
      <w:tr w14:paraId="2D88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C3A7">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FDE1">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砖溪洲大桥</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DEF7">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790</w:t>
            </w:r>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8D398">
            <w:pPr>
              <w:keepNext w:val="0"/>
              <w:keepLines w:val="0"/>
              <w:widowControl/>
              <w:suppressLineNumbers w:val="0"/>
              <w:spacing w:line="360" w:lineRule="exact"/>
              <w:jc w:val="center"/>
              <w:textAlignment w:val="center"/>
              <w:rPr>
                <w:rFonts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左幅（</w:t>
            </w:r>
            <w:r>
              <w:rPr>
                <w:rFonts w:hint="default" w:ascii="Times New Roman" w:hAnsi="Times New Roman" w:eastAsia="仿宋" w:cs="Times New Roman"/>
                <w:i w:val="0"/>
                <w:iCs w:val="0"/>
                <w:color w:val="000000"/>
                <w:kern w:val="0"/>
                <w:sz w:val="22"/>
                <w:szCs w:val="22"/>
                <w:highlight w:val="none"/>
                <w:u w:val="none"/>
                <w:lang w:val="en-US" w:eastAsia="zh-CN" w:bidi="ar"/>
              </w:rPr>
              <w:t>65+120+65</w:t>
            </w:r>
            <w:r>
              <w:rPr>
                <w:rFonts w:hint="eastAsia" w:ascii="仿宋" w:hAnsi="仿宋" w:eastAsia="仿宋" w:cs="仿宋"/>
                <w:i w:val="0"/>
                <w:iCs w:val="0"/>
                <w:color w:val="000000"/>
                <w:kern w:val="0"/>
                <w:sz w:val="22"/>
                <w:szCs w:val="22"/>
                <w:highlight w:val="none"/>
                <w:u w:val="none"/>
                <w:lang w:val="en-US" w:eastAsia="zh-CN" w:bidi="ar"/>
              </w:rPr>
              <w:t>）</w:t>
            </w:r>
            <w:r>
              <w:rPr>
                <w:rFonts w:hint="default" w:ascii="Times New Roman" w:hAnsi="Times New Roman" w:eastAsia="仿宋" w:cs="Times New Roman"/>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lang w:val="en-US" w:eastAsia="zh-CN" w:bidi="ar"/>
              </w:rPr>
              <w:t>连续刚构</w:t>
            </w:r>
            <w:r>
              <w:rPr>
                <w:rFonts w:hint="default" w:ascii="Times New Roman" w:hAnsi="Times New Roman" w:eastAsia="仿宋" w:cs="Times New Roman"/>
                <w:i w:val="0"/>
                <w:iCs w:val="0"/>
                <w:color w:val="000000"/>
                <w:kern w:val="0"/>
                <w:sz w:val="22"/>
                <w:szCs w:val="22"/>
                <w:highlight w:val="none"/>
                <w:u w:val="none"/>
                <w:lang w:val="en-US" w:eastAsia="zh-CN" w:bidi="ar"/>
              </w:rPr>
              <w:t>+3×40mT</w:t>
            </w:r>
            <w:r>
              <w:rPr>
                <w:rFonts w:hint="eastAsia" w:ascii="仿宋" w:hAnsi="仿宋" w:eastAsia="仿宋" w:cs="仿宋"/>
                <w:i w:val="0"/>
                <w:iCs w:val="0"/>
                <w:color w:val="000000"/>
                <w:kern w:val="0"/>
                <w:sz w:val="22"/>
                <w:szCs w:val="22"/>
                <w:highlight w:val="none"/>
                <w:u w:val="none"/>
                <w:lang w:val="en-US" w:eastAsia="zh-CN" w:bidi="ar"/>
              </w:rPr>
              <w:t>梁</w:t>
            </w:r>
            <w:r>
              <w:rPr>
                <w:rFonts w:hint="default" w:ascii="Times New Roman" w:hAnsi="Times New Roman" w:eastAsia="仿宋" w:cs="Times New Roman"/>
                <w:i w:val="0"/>
                <w:iCs w:val="0"/>
                <w:color w:val="000000"/>
                <w:kern w:val="0"/>
                <w:sz w:val="22"/>
                <w:szCs w:val="22"/>
                <w:highlight w:val="none"/>
                <w:u w:val="none"/>
                <w:lang w:val="en-US" w:eastAsia="zh-CN" w:bidi="ar"/>
              </w:rPr>
              <w:t>+4×40mT</w:t>
            </w:r>
            <w:r>
              <w:rPr>
                <w:rFonts w:hint="eastAsia" w:ascii="仿宋" w:hAnsi="仿宋" w:eastAsia="仿宋" w:cs="仿宋"/>
                <w:i w:val="0"/>
                <w:iCs w:val="0"/>
                <w:color w:val="000000"/>
                <w:kern w:val="0"/>
                <w:sz w:val="22"/>
                <w:szCs w:val="22"/>
                <w:highlight w:val="none"/>
                <w:u w:val="none"/>
                <w:lang w:val="en-US" w:eastAsia="zh-CN" w:bidi="ar"/>
              </w:rPr>
              <w:t>梁</w:t>
            </w:r>
            <w:r>
              <w:rPr>
                <w:rFonts w:hint="default" w:ascii="Times New Roman" w:hAnsi="Times New Roman" w:eastAsia="仿宋" w:cs="Times New Roman"/>
                <w:i w:val="0"/>
                <w:iCs w:val="0"/>
                <w:color w:val="000000"/>
                <w:kern w:val="0"/>
                <w:sz w:val="22"/>
                <w:szCs w:val="22"/>
                <w:highlight w:val="none"/>
                <w:u w:val="none"/>
                <w:lang w:val="en-US" w:eastAsia="zh-CN" w:bidi="ar"/>
              </w:rPr>
              <w:t>+4×40mT</w:t>
            </w:r>
            <w:r>
              <w:rPr>
                <w:rFonts w:hint="eastAsia" w:ascii="仿宋" w:hAnsi="仿宋" w:eastAsia="仿宋" w:cs="仿宋"/>
                <w:i w:val="0"/>
                <w:iCs w:val="0"/>
                <w:color w:val="000000"/>
                <w:kern w:val="0"/>
                <w:sz w:val="22"/>
                <w:szCs w:val="22"/>
                <w:highlight w:val="none"/>
                <w:u w:val="none"/>
                <w:lang w:val="en-US" w:eastAsia="zh-CN" w:bidi="ar"/>
              </w:rPr>
              <w:t>梁</w:t>
            </w:r>
            <w:r>
              <w:rPr>
                <w:rFonts w:hint="default" w:ascii="Times New Roman" w:hAnsi="Times New Roman" w:eastAsia="仿宋" w:cs="Times New Roman"/>
                <w:i w:val="0"/>
                <w:iCs w:val="0"/>
                <w:color w:val="000000"/>
                <w:kern w:val="0"/>
                <w:sz w:val="22"/>
                <w:szCs w:val="22"/>
                <w:highlight w:val="none"/>
                <w:u w:val="none"/>
                <w:lang w:val="en-US" w:eastAsia="zh-CN" w:bidi="ar"/>
              </w:rPr>
              <w:t>+3×40mT</w:t>
            </w:r>
            <w:r>
              <w:rPr>
                <w:rFonts w:hint="eastAsia" w:ascii="仿宋" w:hAnsi="仿宋" w:eastAsia="仿宋" w:cs="仿宋"/>
                <w:i w:val="0"/>
                <w:iCs w:val="0"/>
                <w:color w:val="000000"/>
                <w:kern w:val="0"/>
                <w:sz w:val="22"/>
                <w:szCs w:val="22"/>
                <w:highlight w:val="none"/>
                <w:u w:val="none"/>
                <w:lang w:val="en-US" w:eastAsia="zh-CN" w:bidi="ar"/>
              </w:rPr>
              <w:t>梁</w:t>
            </w:r>
            <w:r>
              <w:rPr>
                <w:rFonts w:hint="default" w:ascii="Times New Roman" w:hAnsi="Times New Roman" w:eastAsia="仿宋" w:cs="Times New Roman"/>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右幅</w:t>
            </w:r>
            <w:r>
              <w:rPr>
                <w:rFonts w:hint="default" w:ascii="Times New Roman" w:hAnsi="Times New Roman" w:eastAsia="仿宋" w:cs="Times New Roman"/>
                <w:i w:val="0"/>
                <w:iCs w:val="0"/>
                <w:color w:val="000000"/>
                <w:kern w:val="0"/>
                <w:sz w:val="22"/>
                <w:szCs w:val="22"/>
                <w:highlight w:val="none"/>
                <w:u w:val="none"/>
                <w:lang w:val="en-US" w:eastAsia="zh-CN" w:bidi="ar"/>
              </w:rPr>
              <w:t>1</w:t>
            </w:r>
            <w:r>
              <w:rPr>
                <w:rFonts w:hint="eastAsia" w:ascii="仿宋" w:hAnsi="仿宋" w:eastAsia="仿宋" w:cs="仿宋"/>
                <w:i w:val="0"/>
                <w:iCs w:val="0"/>
                <w:color w:val="000000"/>
                <w:kern w:val="0"/>
                <w:sz w:val="22"/>
                <w:szCs w:val="22"/>
                <w:highlight w:val="none"/>
                <w:u w:val="none"/>
                <w:lang w:val="en-US" w:eastAsia="zh-CN" w:bidi="ar"/>
              </w:rPr>
              <w:t>号桥</w:t>
            </w:r>
            <w:r>
              <w:rPr>
                <w:rFonts w:hint="default" w:ascii="Times New Roman" w:hAnsi="Times New Roman" w:eastAsia="仿宋" w:cs="Times New Roman"/>
                <w:i w:val="0"/>
                <w:iCs w:val="0"/>
                <w:color w:val="000000"/>
                <w:kern w:val="0"/>
                <w:sz w:val="22"/>
                <w:szCs w:val="22"/>
                <w:highlight w:val="none"/>
                <w:u w:val="none"/>
                <w:lang w:val="en-US" w:eastAsia="zh-CN" w:bidi="ar"/>
              </w:rPr>
              <w:t>10m</w:t>
            </w:r>
            <w:r>
              <w:rPr>
                <w:rFonts w:hint="eastAsia" w:ascii="仿宋" w:hAnsi="仿宋" w:eastAsia="仿宋" w:cs="仿宋"/>
                <w:i w:val="0"/>
                <w:iCs w:val="0"/>
                <w:color w:val="000000"/>
                <w:kern w:val="0"/>
                <w:sz w:val="22"/>
                <w:szCs w:val="22"/>
                <w:highlight w:val="none"/>
                <w:u w:val="none"/>
                <w:lang w:val="en-US" w:eastAsia="zh-CN" w:bidi="ar"/>
              </w:rPr>
              <w:t>框架台</w:t>
            </w:r>
            <w:r>
              <w:rPr>
                <w:rFonts w:hint="default" w:ascii="Times New Roman" w:hAnsi="Times New Roman" w:eastAsia="仿宋" w:cs="Times New Roman"/>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w:t>
            </w:r>
            <w:r>
              <w:rPr>
                <w:rFonts w:hint="default" w:ascii="Times New Roman" w:hAnsi="Times New Roman" w:eastAsia="仿宋" w:cs="Times New Roman"/>
                <w:i w:val="0"/>
                <w:iCs w:val="0"/>
                <w:color w:val="000000"/>
                <w:kern w:val="0"/>
                <w:sz w:val="22"/>
                <w:szCs w:val="22"/>
                <w:highlight w:val="none"/>
                <w:u w:val="none"/>
                <w:lang w:val="en-US" w:eastAsia="zh-CN" w:bidi="ar"/>
              </w:rPr>
              <w:t>65+120+65</w:t>
            </w:r>
            <w:r>
              <w:rPr>
                <w:rFonts w:hint="eastAsia" w:ascii="仿宋" w:hAnsi="仿宋" w:eastAsia="仿宋" w:cs="仿宋"/>
                <w:i w:val="0"/>
                <w:iCs w:val="0"/>
                <w:color w:val="000000"/>
                <w:kern w:val="0"/>
                <w:sz w:val="22"/>
                <w:szCs w:val="22"/>
                <w:highlight w:val="none"/>
                <w:u w:val="none"/>
                <w:lang w:val="en-US" w:eastAsia="zh-CN" w:bidi="ar"/>
              </w:rPr>
              <w:t>）</w:t>
            </w:r>
            <w:r>
              <w:rPr>
                <w:rFonts w:hint="default" w:ascii="Times New Roman" w:hAnsi="Times New Roman" w:eastAsia="仿宋" w:cs="Times New Roman"/>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lang w:val="en-US" w:eastAsia="zh-CN" w:bidi="ar"/>
              </w:rPr>
              <w:t>连续刚构</w:t>
            </w:r>
            <w:r>
              <w:rPr>
                <w:rFonts w:hint="default" w:ascii="Times New Roman" w:hAnsi="Times New Roman" w:eastAsia="仿宋" w:cs="Times New Roman"/>
                <w:i w:val="0"/>
                <w:iCs w:val="0"/>
                <w:color w:val="000000"/>
                <w:kern w:val="0"/>
                <w:sz w:val="22"/>
                <w:szCs w:val="22"/>
                <w:highlight w:val="none"/>
                <w:u w:val="none"/>
                <w:lang w:val="en-US" w:eastAsia="zh-CN" w:bidi="ar"/>
              </w:rPr>
              <w:t>+3×40mT</w:t>
            </w:r>
            <w:r>
              <w:rPr>
                <w:rFonts w:hint="eastAsia" w:ascii="仿宋" w:hAnsi="仿宋" w:eastAsia="仿宋" w:cs="仿宋"/>
                <w:i w:val="0"/>
                <w:iCs w:val="0"/>
                <w:color w:val="000000"/>
                <w:kern w:val="0"/>
                <w:sz w:val="22"/>
                <w:szCs w:val="22"/>
                <w:highlight w:val="none"/>
                <w:u w:val="none"/>
                <w:lang w:val="en-US" w:eastAsia="zh-CN" w:bidi="ar"/>
              </w:rPr>
              <w:t>梁</w:t>
            </w:r>
            <w:r>
              <w:rPr>
                <w:rFonts w:hint="default" w:ascii="Times New Roman" w:hAnsi="Times New Roman" w:eastAsia="仿宋" w:cs="Times New Roman"/>
                <w:i w:val="0"/>
                <w:iCs w:val="0"/>
                <w:color w:val="000000"/>
                <w:kern w:val="0"/>
                <w:sz w:val="22"/>
                <w:szCs w:val="22"/>
                <w:highlight w:val="none"/>
                <w:u w:val="none"/>
                <w:lang w:val="en-US" w:eastAsia="zh-CN" w:bidi="ar"/>
              </w:rPr>
              <w:t>+2×40mT</w:t>
            </w:r>
            <w:r>
              <w:rPr>
                <w:rFonts w:hint="eastAsia" w:ascii="仿宋" w:hAnsi="仿宋" w:eastAsia="仿宋" w:cs="仿宋"/>
                <w:i w:val="0"/>
                <w:iCs w:val="0"/>
                <w:color w:val="000000"/>
                <w:kern w:val="0"/>
                <w:sz w:val="22"/>
                <w:szCs w:val="22"/>
                <w:highlight w:val="none"/>
                <w:u w:val="none"/>
                <w:lang w:val="en-US" w:eastAsia="zh-CN" w:bidi="ar"/>
              </w:rPr>
              <w:t>梁</w:t>
            </w:r>
            <w:r>
              <w:rPr>
                <w:rFonts w:hint="default" w:ascii="Times New Roman" w:hAnsi="Times New Roman" w:eastAsia="仿宋" w:cs="Times New Roman"/>
                <w:i w:val="0"/>
                <w:iCs w:val="0"/>
                <w:color w:val="000000"/>
                <w:kern w:val="0"/>
                <w:sz w:val="22"/>
                <w:szCs w:val="22"/>
                <w:highlight w:val="none"/>
                <w:u w:val="none"/>
                <w:lang w:val="en-US" w:eastAsia="zh-CN" w:bidi="ar"/>
              </w:rPr>
              <w:t>+10m</w:t>
            </w:r>
            <w:r>
              <w:rPr>
                <w:rFonts w:hint="eastAsia" w:ascii="仿宋" w:hAnsi="仿宋" w:eastAsia="仿宋" w:cs="仿宋"/>
                <w:i w:val="0"/>
                <w:iCs w:val="0"/>
                <w:color w:val="000000"/>
                <w:kern w:val="0"/>
                <w:sz w:val="22"/>
                <w:szCs w:val="22"/>
                <w:highlight w:val="none"/>
                <w:u w:val="none"/>
                <w:lang w:val="en-US" w:eastAsia="zh-CN" w:bidi="ar"/>
              </w:rPr>
              <w:t>框架台</w:t>
            </w:r>
            <w:r>
              <w:rPr>
                <w:rFonts w:hint="default" w:ascii="Times New Roman" w:hAnsi="Times New Roman" w:eastAsia="仿宋" w:cs="Times New Roman"/>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右幅</w:t>
            </w:r>
            <w:r>
              <w:rPr>
                <w:rFonts w:hint="default" w:ascii="Times New Roman" w:hAnsi="Times New Roman" w:eastAsia="仿宋" w:cs="Times New Roman"/>
                <w:i w:val="0"/>
                <w:iCs w:val="0"/>
                <w:color w:val="000000"/>
                <w:kern w:val="0"/>
                <w:sz w:val="22"/>
                <w:szCs w:val="22"/>
                <w:highlight w:val="none"/>
                <w:u w:val="none"/>
                <w:lang w:val="en-US" w:eastAsia="zh-CN" w:bidi="ar"/>
              </w:rPr>
              <w:t>2</w:t>
            </w:r>
            <w:r>
              <w:rPr>
                <w:rFonts w:hint="eastAsia" w:ascii="仿宋" w:hAnsi="仿宋" w:eastAsia="仿宋" w:cs="仿宋"/>
                <w:i w:val="0"/>
                <w:iCs w:val="0"/>
                <w:color w:val="000000"/>
                <w:kern w:val="0"/>
                <w:sz w:val="22"/>
                <w:szCs w:val="22"/>
                <w:highlight w:val="none"/>
                <w:u w:val="none"/>
                <w:lang w:val="en-US" w:eastAsia="zh-CN" w:bidi="ar"/>
              </w:rPr>
              <w:t>号桥</w:t>
            </w:r>
            <w:r>
              <w:rPr>
                <w:rFonts w:hint="default" w:ascii="Times New Roman" w:hAnsi="Times New Roman" w:eastAsia="仿宋" w:cs="Times New Roman"/>
                <w:i w:val="0"/>
                <w:iCs w:val="0"/>
                <w:color w:val="000000"/>
                <w:kern w:val="0"/>
                <w:sz w:val="22"/>
                <w:szCs w:val="22"/>
                <w:highlight w:val="none"/>
                <w:u w:val="none"/>
                <w:lang w:val="en-US" w:eastAsia="zh-CN" w:bidi="ar"/>
              </w:rPr>
              <w:t>4×40mT</w:t>
            </w:r>
            <w:r>
              <w:rPr>
                <w:rFonts w:hint="eastAsia" w:ascii="仿宋" w:hAnsi="仿宋" w:eastAsia="仿宋" w:cs="仿宋"/>
                <w:i w:val="0"/>
                <w:iCs w:val="0"/>
                <w:color w:val="000000"/>
                <w:kern w:val="0"/>
                <w:sz w:val="22"/>
                <w:szCs w:val="22"/>
                <w:highlight w:val="none"/>
                <w:u w:val="none"/>
                <w:lang w:val="en-US" w:eastAsia="zh-CN" w:bidi="ar"/>
              </w:rPr>
              <w:t>梁</w:t>
            </w:r>
            <w:r>
              <w:rPr>
                <w:rFonts w:hint="default" w:ascii="Times New Roman" w:hAnsi="Times New Roman" w:eastAsia="仿宋" w:cs="Times New Roman"/>
                <w:i w:val="0"/>
                <w:iCs w:val="0"/>
                <w:color w:val="000000"/>
                <w:kern w:val="0"/>
                <w:sz w:val="22"/>
                <w:szCs w:val="22"/>
                <w:highlight w:val="none"/>
                <w:u w:val="none"/>
                <w:lang w:val="en-US" w:eastAsia="zh-CN" w:bidi="ar"/>
              </w:rPr>
              <w:t>+4×40mT</w:t>
            </w:r>
            <w:r>
              <w:rPr>
                <w:rFonts w:hint="eastAsia" w:ascii="仿宋" w:hAnsi="仿宋" w:eastAsia="仿宋" w:cs="仿宋"/>
                <w:i w:val="0"/>
                <w:iCs w:val="0"/>
                <w:color w:val="000000"/>
                <w:kern w:val="0"/>
                <w:sz w:val="22"/>
                <w:szCs w:val="22"/>
                <w:highlight w:val="none"/>
                <w:u w:val="none"/>
                <w:lang w:val="en-US" w:eastAsia="zh-CN" w:bidi="ar"/>
              </w:rPr>
              <w:t>梁</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79701">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左右幅主桥</w:t>
            </w:r>
            <w:r>
              <w:rPr>
                <w:rFonts w:hint="default" w:ascii="Times New Roman" w:hAnsi="Times New Roman" w:eastAsia="宋体" w:cs="Times New Roman"/>
                <w:i w:val="0"/>
                <w:iCs w:val="0"/>
                <w:color w:val="000000"/>
                <w:kern w:val="0"/>
                <w:sz w:val="22"/>
                <w:szCs w:val="22"/>
                <w:highlight w:val="none"/>
                <w:u w:val="none"/>
                <w:lang w:val="en-US" w:eastAsia="zh-CN" w:bidi="ar"/>
              </w:rPr>
              <w:t>65m</w:t>
            </w:r>
            <w:r>
              <w:rPr>
                <w:rFonts w:hint="eastAsia" w:ascii="宋体" w:hAnsi="宋体" w:eastAsia="宋体" w:cs="宋体"/>
                <w:i w:val="0"/>
                <w:iCs w:val="0"/>
                <w:color w:val="000000"/>
                <w:kern w:val="0"/>
                <w:sz w:val="22"/>
                <w:szCs w:val="22"/>
                <w:highlight w:val="none"/>
                <w:u w:val="none"/>
                <w:lang w:val="en-US" w:eastAsia="zh-CN" w:bidi="ar"/>
              </w:rPr>
              <w:t>边跨</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左右幅主桥</w:t>
            </w:r>
            <w:r>
              <w:rPr>
                <w:rFonts w:hint="default" w:ascii="Times New Roman" w:hAnsi="Times New Roman" w:eastAsia="宋体" w:cs="Times New Roman"/>
                <w:i w:val="0"/>
                <w:iCs w:val="0"/>
                <w:color w:val="000000"/>
                <w:kern w:val="0"/>
                <w:sz w:val="22"/>
                <w:szCs w:val="22"/>
                <w:highlight w:val="none"/>
                <w:u w:val="none"/>
                <w:lang w:val="en-US" w:eastAsia="zh-CN" w:bidi="ar"/>
              </w:rPr>
              <w:t>120m</w:t>
            </w:r>
            <w:r>
              <w:rPr>
                <w:rFonts w:hint="eastAsia" w:ascii="宋体" w:hAnsi="宋体" w:eastAsia="宋体" w:cs="宋体"/>
                <w:i w:val="0"/>
                <w:iCs w:val="0"/>
                <w:color w:val="000000"/>
                <w:kern w:val="0"/>
                <w:sz w:val="22"/>
                <w:szCs w:val="22"/>
                <w:highlight w:val="none"/>
                <w:u w:val="none"/>
                <w:lang w:val="en-US" w:eastAsia="zh-CN" w:bidi="ar"/>
              </w:rPr>
              <w:t>主跨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EDA7">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边跨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413C">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D7D8">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2325">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9FB9">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4498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4FB3">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C1E7">
            <w:pPr>
              <w:widowControl/>
              <w:spacing w:line="360" w:lineRule="exact"/>
              <w:jc w:val="center"/>
              <w:rPr>
                <w:rFonts w:hint="eastAsia" w:ascii="宋体" w:hAnsi="宋体" w:eastAsia="宋体" w:cs="宋体"/>
                <w:i w:val="0"/>
                <w:iCs w:val="0"/>
                <w:color w:val="000000"/>
                <w:sz w:val="22"/>
                <w:szCs w:val="22"/>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D1BA">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2DF4">
            <w:pPr>
              <w:widowControl/>
              <w:spacing w:line="360" w:lineRule="exact"/>
              <w:jc w:val="center"/>
              <w:rPr>
                <w:rFonts w:hint="eastAsia" w:ascii="仿宋" w:hAnsi="仿宋" w:eastAsia="仿宋" w:cs="仿宋"/>
                <w:i w:val="0"/>
                <w:iCs w:val="0"/>
                <w:color w:val="000000"/>
                <w:sz w:val="22"/>
                <w:szCs w:val="22"/>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D8E3">
            <w:pPr>
              <w:widowControl/>
              <w:spacing w:line="360" w:lineRule="exact"/>
              <w:jc w:val="center"/>
              <w:rPr>
                <w:rFonts w:hint="eastAsia" w:ascii="宋体" w:hAnsi="宋体" w:eastAsia="宋体" w:cs="宋体"/>
                <w:i w:val="0"/>
                <w:iCs w:val="0"/>
                <w:color w:val="000000"/>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1CB7">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8ABD">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9351">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6ACE">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E53D">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40EB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586D">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5B30B">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南滩岗互通主线桥</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25DA">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371</w:t>
            </w:r>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17418">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左幅</w:t>
            </w:r>
            <w:r>
              <w:rPr>
                <w:rFonts w:hint="default" w:ascii="Times New Roman" w:hAnsi="Times New Roman" w:eastAsia="宋体" w:cs="Times New Roman"/>
                <w:i w:val="0"/>
                <w:iCs w:val="0"/>
                <w:color w:val="000000"/>
                <w:kern w:val="0"/>
                <w:sz w:val="22"/>
                <w:szCs w:val="22"/>
                <w:highlight w:val="none"/>
                <w:u w:val="none"/>
                <w:lang w:val="en-US" w:eastAsia="zh-CN" w:bidi="ar"/>
              </w:rPr>
              <w:t>2×30mT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42+70+42</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m</w:t>
            </w:r>
            <w:r>
              <w:rPr>
                <w:rFonts w:hint="eastAsia" w:ascii="宋体" w:hAnsi="宋体" w:eastAsia="宋体" w:cs="宋体"/>
                <w:i w:val="0"/>
                <w:iCs w:val="0"/>
                <w:color w:val="000000"/>
                <w:kern w:val="0"/>
                <w:sz w:val="22"/>
                <w:szCs w:val="22"/>
                <w:highlight w:val="none"/>
                <w:u w:val="none"/>
                <w:lang w:val="en-US" w:eastAsia="zh-CN" w:bidi="ar"/>
              </w:rPr>
              <w:t>连续刚构</w:t>
            </w:r>
            <w:r>
              <w:rPr>
                <w:rFonts w:hint="default" w:ascii="Times New Roman" w:hAnsi="Times New Roman" w:eastAsia="宋体" w:cs="Times New Roman"/>
                <w:i w:val="0"/>
                <w:iCs w:val="0"/>
                <w:color w:val="000000"/>
                <w:kern w:val="0"/>
                <w:sz w:val="22"/>
                <w:szCs w:val="22"/>
                <w:highlight w:val="none"/>
                <w:u w:val="none"/>
                <w:lang w:val="en-US" w:eastAsia="zh-CN" w:bidi="ar"/>
              </w:rPr>
              <w:t>+3×30mT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+2×30mT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右幅</w:t>
            </w:r>
            <w:r>
              <w:rPr>
                <w:rFonts w:hint="default" w:ascii="Times New Roman" w:hAnsi="Times New Roman" w:eastAsia="宋体" w:cs="Times New Roman"/>
                <w:i w:val="0"/>
                <w:iCs w:val="0"/>
                <w:color w:val="000000"/>
                <w:kern w:val="0"/>
                <w:sz w:val="22"/>
                <w:szCs w:val="22"/>
                <w:highlight w:val="none"/>
                <w:u w:val="none"/>
                <w:lang w:val="en-US" w:eastAsia="zh-CN" w:bidi="ar"/>
              </w:rPr>
              <w:t>2×30mT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42+70+42</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m</w:t>
            </w:r>
            <w:r>
              <w:rPr>
                <w:rFonts w:hint="eastAsia" w:ascii="宋体" w:hAnsi="宋体" w:eastAsia="宋体" w:cs="宋体"/>
                <w:i w:val="0"/>
                <w:iCs w:val="0"/>
                <w:color w:val="000000"/>
                <w:kern w:val="0"/>
                <w:sz w:val="22"/>
                <w:szCs w:val="22"/>
                <w:highlight w:val="none"/>
                <w:u w:val="none"/>
                <w:lang w:val="en-US" w:eastAsia="zh-CN" w:bidi="ar"/>
              </w:rPr>
              <w:t>连续刚构</w:t>
            </w:r>
            <w:r>
              <w:rPr>
                <w:rFonts w:hint="default" w:ascii="Times New Roman" w:hAnsi="Times New Roman" w:eastAsia="宋体" w:cs="Times New Roman"/>
                <w:i w:val="0"/>
                <w:iCs w:val="0"/>
                <w:color w:val="000000"/>
                <w:kern w:val="0"/>
                <w:sz w:val="22"/>
                <w:szCs w:val="22"/>
                <w:highlight w:val="none"/>
                <w:u w:val="none"/>
                <w:lang w:val="en-US" w:eastAsia="zh-CN" w:bidi="ar"/>
              </w:rPr>
              <w:t>+3×30mT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+30+30mT</w:t>
            </w:r>
            <w:r>
              <w:rPr>
                <w:rFonts w:hint="eastAsia" w:ascii="宋体" w:hAnsi="宋体" w:eastAsia="宋体" w:cs="宋体"/>
                <w:i w:val="0"/>
                <w:iCs w:val="0"/>
                <w:color w:val="000000"/>
                <w:kern w:val="0"/>
                <w:sz w:val="22"/>
                <w:szCs w:val="22"/>
                <w:highlight w:val="none"/>
                <w:u w:val="none"/>
                <w:lang w:val="en-US" w:eastAsia="zh-CN" w:bidi="ar"/>
              </w:rPr>
              <w:t>梁</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9FFA9">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左右幅主桥</w:t>
            </w:r>
            <w:r>
              <w:rPr>
                <w:rFonts w:hint="default" w:ascii="Times New Roman" w:hAnsi="Times New Roman" w:eastAsia="宋体" w:cs="Times New Roman"/>
                <w:i w:val="0"/>
                <w:iCs w:val="0"/>
                <w:color w:val="000000"/>
                <w:kern w:val="0"/>
                <w:sz w:val="22"/>
                <w:szCs w:val="22"/>
                <w:highlight w:val="none"/>
                <w:u w:val="none"/>
                <w:lang w:val="en-US" w:eastAsia="zh-CN" w:bidi="ar"/>
              </w:rPr>
              <w:t>42m</w:t>
            </w:r>
            <w:r>
              <w:rPr>
                <w:rFonts w:hint="eastAsia" w:ascii="宋体" w:hAnsi="宋体" w:eastAsia="宋体" w:cs="宋体"/>
                <w:i w:val="0"/>
                <w:iCs w:val="0"/>
                <w:color w:val="000000"/>
                <w:kern w:val="0"/>
                <w:sz w:val="22"/>
                <w:szCs w:val="22"/>
                <w:highlight w:val="none"/>
                <w:u w:val="none"/>
                <w:lang w:val="en-US" w:eastAsia="zh-CN" w:bidi="ar"/>
              </w:rPr>
              <w:t>边跨，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左右幅主桥</w:t>
            </w:r>
            <w:r>
              <w:rPr>
                <w:rFonts w:hint="default" w:ascii="Times New Roman" w:hAnsi="Times New Roman" w:eastAsia="宋体" w:cs="Times New Roman"/>
                <w:i w:val="0"/>
                <w:iCs w:val="0"/>
                <w:color w:val="000000"/>
                <w:kern w:val="0"/>
                <w:sz w:val="22"/>
                <w:szCs w:val="22"/>
                <w:highlight w:val="none"/>
                <w:u w:val="none"/>
                <w:lang w:val="en-US" w:eastAsia="zh-CN" w:bidi="ar"/>
              </w:rPr>
              <w:t>70m</w:t>
            </w:r>
            <w:r>
              <w:rPr>
                <w:rFonts w:hint="eastAsia" w:ascii="宋体" w:hAnsi="宋体" w:eastAsia="宋体" w:cs="宋体"/>
                <w:i w:val="0"/>
                <w:iCs w:val="0"/>
                <w:color w:val="000000"/>
                <w:kern w:val="0"/>
                <w:sz w:val="22"/>
                <w:szCs w:val="22"/>
                <w:highlight w:val="none"/>
                <w:u w:val="none"/>
                <w:lang w:val="en-US" w:eastAsia="zh-CN" w:bidi="ar"/>
              </w:rPr>
              <w:t>主跨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FF27">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边跨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4F0C">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3F62">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58C7">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175B">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5A66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C09D">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8740">
            <w:pPr>
              <w:widowControl/>
              <w:spacing w:line="360" w:lineRule="exact"/>
              <w:jc w:val="center"/>
              <w:rPr>
                <w:rFonts w:hint="eastAsia" w:ascii="宋体" w:hAnsi="宋体" w:eastAsia="宋体" w:cs="宋体"/>
                <w:i w:val="0"/>
                <w:iCs w:val="0"/>
                <w:color w:val="000000"/>
                <w:sz w:val="22"/>
                <w:szCs w:val="22"/>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2420">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E4A9F">
            <w:pPr>
              <w:widowControl/>
              <w:spacing w:line="360" w:lineRule="exact"/>
              <w:jc w:val="center"/>
              <w:rPr>
                <w:rFonts w:hint="eastAsia" w:ascii="宋体" w:hAnsi="宋体" w:eastAsia="宋体" w:cs="宋体"/>
                <w:i w:val="0"/>
                <w:iCs w:val="0"/>
                <w:color w:val="000000"/>
                <w:sz w:val="22"/>
                <w:szCs w:val="22"/>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AD0D">
            <w:pPr>
              <w:widowControl/>
              <w:spacing w:line="360" w:lineRule="exact"/>
              <w:jc w:val="center"/>
              <w:rPr>
                <w:rFonts w:hint="eastAsia" w:ascii="宋体" w:hAnsi="宋体" w:eastAsia="宋体" w:cs="宋体"/>
                <w:i w:val="0"/>
                <w:iCs w:val="0"/>
                <w:color w:val="000000"/>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71B1">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3F9A">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51CD">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CBC7">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EEB2">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1BB0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7E99">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BDB75">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孟家溪大桥</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1 </w:t>
            </w:r>
            <w:r>
              <w:rPr>
                <w:rFonts w:hint="eastAsia" w:ascii="宋体" w:hAnsi="宋体" w:eastAsia="宋体" w:cs="宋体"/>
                <w:i w:val="0"/>
                <w:iCs w:val="0"/>
                <w:color w:val="000000"/>
                <w:kern w:val="0"/>
                <w:sz w:val="22"/>
                <w:szCs w:val="22"/>
                <w:highlight w:val="none"/>
                <w:u w:val="none"/>
                <w:lang w:val="en-US" w:eastAsia="zh-CN" w:bidi="ar"/>
              </w:rPr>
              <w:t>号大桥</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9557">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437.5</w:t>
            </w:r>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4C4E9">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左幅</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65+120+65</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m</w:t>
            </w:r>
            <w:r>
              <w:rPr>
                <w:rFonts w:hint="eastAsia" w:ascii="宋体" w:hAnsi="宋体" w:eastAsia="宋体" w:cs="宋体"/>
                <w:i w:val="0"/>
                <w:iCs w:val="0"/>
                <w:color w:val="000000"/>
                <w:kern w:val="0"/>
                <w:sz w:val="22"/>
                <w:szCs w:val="22"/>
                <w:highlight w:val="none"/>
                <w:u w:val="none"/>
                <w:lang w:val="en-US" w:eastAsia="zh-CN" w:bidi="ar"/>
              </w:rPr>
              <w:t>连续刚构</w:t>
            </w:r>
            <w:r>
              <w:rPr>
                <w:rFonts w:hint="default" w:ascii="Times New Roman" w:hAnsi="Times New Roman" w:eastAsia="宋体" w:cs="Times New Roman"/>
                <w:i w:val="0"/>
                <w:iCs w:val="0"/>
                <w:color w:val="000000"/>
                <w:kern w:val="0"/>
                <w:sz w:val="22"/>
                <w:szCs w:val="22"/>
                <w:highlight w:val="none"/>
                <w:u w:val="none"/>
                <w:lang w:val="en-US" w:eastAsia="zh-CN" w:bidi="ar"/>
              </w:rPr>
              <w:t>+2×30mT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右幅</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65+120+65</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m</w:t>
            </w:r>
            <w:r>
              <w:rPr>
                <w:rFonts w:hint="eastAsia" w:ascii="宋体" w:hAnsi="宋体" w:eastAsia="宋体" w:cs="宋体"/>
                <w:i w:val="0"/>
                <w:iCs w:val="0"/>
                <w:color w:val="000000"/>
                <w:kern w:val="0"/>
                <w:sz w:val="22"/>
                <w:szCs w:val="22"/>
                <w:highlight w:val="none"/>
                <w:u w:val="none"/>
                <w:lang w:val="en-US" w:eastAsia="zh-CN" w:bidi="ar"/>
              </w:rPr>
              <w:t>连续刚构</w:t>
            </w:r>
            <w:r>
              <w:rPr>
                <w:rFonts w:hint="default" w:ascii="Times New Roman" w:hAnsi="Times New Roman" w:eastAsia="宋体" w:cs="Times New Roman"/>
                <w:i w:val="0"/>
                <w:iCs w:val="0"/>
                <w:color w:val="000000"/>
                <w:kern w:val="0"/>
                <w:sz w:val="22"/>
                <w:szCs w:val="22"/>
                <w:highlight w:val="none"/>
                <w:u w:val="none"/>
                <w:lang w:val="en-US" w:eastAsia="zh-CN" w:bidi="ar"/>
              </w:rPr>
              <w:t>+2×30mT</w:t>
            </w:r>
            <w:r>
              <w:rPr>
                <w:rFonts w:hint="eastAsia" w:ascii="宋体" w:hAnsi="宋体" w:eastAsia="宋体" w:cs="宋体"/>
                <w:i w:val="0"/>
                <w:iCs w:val="0"/>
                <w:color w:val="000000"/>
                <w:kern w:val="0"/>
                <w:sz w:val="22"/>
                <w:szCs w:val="22"/>
                <w:highlight w:val="none"/>
                <w:u w:val="none"/>
                <w:lang w:val="en-US" w:eastAsia="zh-CN" w:bidi="ar"/>
              </w:rPr>
              <w:t>梁</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F0BED">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左右幅主桥</w:t>
            </w:r>
            <w:r>
              <w:rPr>
                <w:rFonts w:hint="default" w:ascii="Times New Roman" w:hAnsi="Times New Roman" w:eastAsia="宋体" w:cs="Times New Roman"/>
                <w:i w:val="0"/>
                <w:iCs w:val="0"/>
                <w:color w:val="000000"/>
                <w:kern w:val="0"/>
                <w:sz w:val="22"/>
                <w:szCs w:val="22"/>
                <w:highlight w:val="none"/>
                <w:u w:val="none"/>
                <w:lang w:val="en-US" w:eastAsia="zh-CN" w:bidi="ar"/>
              </w:rPr>
              <w:t>65m</w:t>
            </w:r>
            <w:r>
              <w:rPr>
                <w:rFonts w:hint="eastAsia" w:ascii="宋体" w:hAnsi="宋体" w:eastAsia="宋体" w:cs="宋体"/>
                <w:i w:val="0"/>
                <w:iCs w:val="0"/>
                <w:color w:val="000000"/>
                <w:kern w:val="0"/>
                <w:sz w:val="22"/>
                <w:szCs w:val="22"/>
                <w:highlight w:val="none"/>
                <w:u w:val="none"/>
                <w:lang w:val="en-US" w:eastAsia="zh-CN" w:bidi="ar"/>
              </w:rPr>
              <w:t>边跨，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左右幅主桥</w:t>
            </w:r>
            <w:r>
              <w:rPr>
                <w:rFonts w:hint="default" w:ascii="Times New Roman" w:hAnsi="Times New Roman" w:eastAsia="宋体" w:cs="Times New Roman"/>
                <w:i w:val="0"/>
                <w:iCs w:val="0"/>
                <w:color w:val="000000"/>
                <w:kern w:val="0"/>
                <w:sz w:val="22"/>
                <w:szCs w:val="22"/>
                <w:highlight w:val="none"/>
                <w:u w:val="none"/>
                <w:lang w:val="en-US" w:eastAsia="zh-CN" w:bidi="ar"/>
              </w:rPr>
              <w:t>120m</w:t>
            </w:r>
            <w:r>
              <w:rPr>
                <w:rFonts w:hint="eastAsia" w:ascii="宋体" w:hAnsi="宋体" w:eastAsia="宋体" w:cs="宋体"/>
                <w:i w:val="0"/>
                <w:iCs w:val="0"/>
                <w:color w:val="000000"/>
                <w:kern w:val="0"/>
                <w:sz w:val="22"/>
                <w:szCs w:val="22"/>
                <w:highlight w:val="none"/>
                <w:u w:val="none"/>
                <w:lang w:val="en-US" w:eastAsia="zh-CN" w:bidi="ar"/>
              </w:rPr>
              <w:t>主跨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07E3">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边跨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10BD">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1B4A">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2313">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CBC6">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6D91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BF66">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FB0C">
            <w:pPr>
              <w:widowControl/>
              <w:spacing w:line="360" w:lineRule="exact"/>
              <w:jc w:val="center"/>
              <w:rPr>
                <w:rFonts w:hint="eastAsia" w:ascii="宋体" w:hAnsi="宋体" w:eastAsia="宋体" w:cs="宋体"/>
                <w:i w:val="0"/>
                <w:iCs w:val="0"/>
                <w:color w:val="000000"/>
                <w:sz w:val="22"/>
                <w:szCs w:val="22"/>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1E5F">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C782">
            <w:pPr>
              <w:widowControl/>
              <w:spacing w:line="360" w:lineRule="exact"/>
              <w:jc w:val="center"/>
              <w:rPr>
                <w:rFonts w:hint="eastAsia" w:ascii="宋体" w:hAnsi="宋体" w:eastAsia="宋体" w:cs="宋体"/>
                <w:i w:val="0"/>
                <w:iCs w:val="0"/>
                <w:color w:val="000000"/>
                <w:sz w:val="22"/>
                <w:szCs w:val="22"/>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7CC5">
            <w:pPr>
              <w:widowControl/>
              <w:spacing w:line="360" w:lineRule="exact"/>
              <w:jc w:val="center"/>
              <w:rPr>
                <w:rFonts w:hint="eastAsia" w:ascii="宋体" w:hAnsi="宋体" w:eastAsia="宋体" w:cs="宋体"/>
                <w:i w:val="0"/>
                <w:iCs w:val="0"/>
                <w:color w:val="000000"/>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B3BB">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7603">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1F0E">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8BB1">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7F60">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3B25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9C54">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301FF">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孟家溪大桥</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2 </w:t>
            </w:r>
            <w:r>
              <w:rPr>
                <w:rFonts w:hint="eastAsia" w:ascii="宋体" w:hAnsi="宋体" w:eastAsia="宋体" w:cs="宋体"/>
                <w:i w:val="0"/>
                <w:iCs w:val="0"/>
                <w:color w:val="000000"/>
                <w:kern w:val="0"/>
                <w:sz w:val="22"/>
                <w:szCs w:val="22"/>
                <w:highlight w:val="none"/>
                <w:u w:val="none"/>
                <w:lang w:val="en-US" w:eastAsia="zh-CN" w:bidi="ar"/>
              </w:rPr>
              <w:t>号大桥</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6CB1">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858</w:t>
            </w:r>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17B58">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左幅</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+4×30mT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+4×40mT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65+120+65</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m</w:t>
            </w:r>
            <w:r>
              <w:rPr>
                <w:rFonts w:hint="eastAsia" w:ascii="宋体" w:hAnsi="宋体" w:eastAsia="宋体" w:cs="宋体"/>
                <w:i w:val="0"/>
                <w:iCs w:val="0"/>
                <w:color w:val="000000"/>
                <w:kern w:val="0"/>
                <w:sz w:val="22"/>
                <w:szCs w:val="22"/>
                <w:highlight w:val="none"/>
                <w:u w:val="none"/>
                <w:lang w:val="en-US" w:eastAsia="zh-CN" w:bidi="ar"/>
              </w:rPr>
              <w:t>连续刚构</w:t>
            </w:r>
            <w:r>
              <w:rPr>
                <w:rFonts w:hint="default" w:ascii="Times New Roman" w:hAnsi="Times New Roman" w:eastAsia="宋体" w:cs="Times New Roman"/>
                <w:i w:val="0"/>
                <w:iCs w:val="0"/>
                <w:color w:val="000000"/>
                <w:kern w:val="0"/>
                <w:sz w:val="22"/>
                <w:szCs w:val="22"/>
                <w:highlight w:val="none"/>
                <w:u w:val="none"/>
                <w:lang w:val="en-US" w:eastAsia="zh-CN" w:bidi="ar"/>
              </w:rPr>
              <w:t>+2×40mT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右幅</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+4×40mT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65+120+65</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m</w:t>
            </w:r>
            <w:r>
              <w:rPr>
                <w:rFonts w:hint="eastAsia" w:ascii="宋体" w:hAnsi="宋体" w:eastAsia="宋体" w:cs="宋体"/>
                <w:i w:val="0"/>
                <w:iCs w:val="0"/>
                <w:color w:val="000000"/>
                <w:kern w:val="0"/>
                <w:sz w:val="22"/>
                <w:szCs w:val="22"/>
                <w:highlight w:val="none"/>
                <w:u w:val="none"/>
                <w:lang w:val="en-US" w:eastAsia="zh-CN" w:bidi="ar"/>
              </w:rPr>
              <w:t>连续刚构</w:t>
            </w:r>
            <w:r>
              <w:rPr>
                <w:rFonts w:hint="default" w:ascii="Times New Roman" w:hAnsi="Times New Roman" w:eastAsia="宋体" w:cs="Times New Roman"/>
                <w:i w:val="0"/>
                <w:iCs w:val="0"/>
                <w:color w:val="000000"/>
                <w:kern w:val="0"/>
                <w:sz w:val="22"/>
                <w:szCs w:val="22"/>
                <w:highlight w:val="none"/>
                <w:u w:val="none"/>
                <w:lang w:val="en-US" w:eastAsia="zh-CN" w:bidi="ar"/>
              </w:rPr>
              <w:t>+2×40mT</w:t>
            </w:r>
            <w:r>
              <w:rPr>
                <w:rFonts w:hint="eastAsia" w:ascii="宋体" w:hAnsi="宋体" w:eastAsia="宋体" w:cs="宋体"/>
                <w:i w:val="0"/>
                <w:iCs w:val="0"/>
                <w:color w:val="000000"/>
                <w:kern w:val="0"/>
                <w:sz w:val="22"/>
                <w:szCs w:val="22"/>
                <w:highlight w:val="none"/>
                <w:u w:val="none"/>
                <w:lang w:val="en-US" w:eastAsia="zh-CN" w:bidi="ar"/>
              </w:rPr>
              <w:t>梁</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8E176">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左右幅主桥</w:t>
            </w:r>
            <w:r>
              <w:rPr>
                <w:rFonts w:hint="default" w:ascii="Times New Roman" w:hAnsi="Times New Roman" w:eastAsia="宋体" w:cs="Times New Roman"/>
                <w:i w:val="0"/>
                <w:iCs w:val="0"/>
                <w:color w:val="000000"/>
                <w:kern w:val="0"/>
                <w:sz w:val="22"/>
                <w:szCs w:val="22"/>
                <w:highlight w:val="none"/>
                <w:u w:val="none"/>
                <w:lang w:val="en-US" w:eastAsia="zh-CN" w:bidi="ar"/>
              </w:rPr>
              <w:t>65m</w:t>
            </w:r>
            <w:r>
              <w:rPr>
                <w:rFonts w:hint="eastAsia" w:ascii="宋体" w:hAnsi="宋体" w:eastAsia="宋体" w:cs="宋体"/>
                <w:i w:val="0"/>
                <w:iCs w:val="0"/>
                <w:color w:val="000000"/>
                <w:kern w:val="0"/>
                <w:sz w:val="22"/>
                <w:szCs w:val="22"/>
                <w:highlight w:val="none"/>
                <w:u w:val="none"/>
                <w:lang w:val="en-US" w:eastAsia="zh-CN" w:bidi="ar"/>
              </w:rPr>
              <w:t>边跨</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左右幅主桥</w:t>
            </w:r>
            <w:r>
              <w:rPr>
                <w:rFonts w:hint="default" w:ascii="Times New Roman" w:hAnsi="Times New Roman" w:eastAsia="宋体" w:cs="Times New Roman"/>
                <w:i w:val="0"/>
                <w:iCs w:val="0"/>
                <w:color w:val="000000"/>
                <w:kern w:val="0"/>
                <w:sz w:val="22"/>
                <w:szCs w:val="22"/>
                <w:highlight w:val="none"/>
                <w:u w:val="none"/>
                <w:lang w:val="en-US" w:eastAsia="zh-CN" w:bidi="ar"/>
              </w:rPr>
              <w:t>120m</w:t>
            </w:r>
            <w:r>
              <w:rPr>
                <w:rFonts w:hint="eastAsia" w:ascii="宋体" w:hAnsi="宋体" w:eastAsia="宋体" w:cs="宋体"/>
                <w:i w:val="0"/>
                <w:iCs w:val="0"/>
                <w:color w:val="000000"/>
                <w:kern w:val="0"/>
                <w:sz w:val="22"/>
                <w:szCs w:val="22"/>
                <w:highlight w:val="none"/>
                <w:u w:val="none"/>
                <w:lang w:val="en-US" w:eastAsia="zh-CN" w:bidi="ar"/>
              </w:rPr>
              <w:t>主跨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EA3C">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边跨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C9B0">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8F45">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99C8">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4BD0">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3FDD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0F94">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17580">
            <w:pPr>
              <w:widowControl/>
              <w:spacing w:line="360" w:lineRule="exact"/>
              <w:jc w:val="center"/>
              <w:rPr>
                <w:rFonts w:hint="eastAsia" w:ascii="宋体" w:hAnsi="宋体" w:eastAsia="宋体" w:cs="宋体"/>
                <w:i w:val="0"/>
                <w:iCs w:val="0"/>
                <w:color w:val="000000"/>
                <w:sz w:val="22"/>
                <w:szCs w:val="22"/>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7E5B">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6EEF">
            <w:pPr>
              <w:widowControl/>
              <w:spacing w:line="360" w:lineRule="exact"/>
              <w:jc w:val="center"/>
              <w:rPr>
                <w:rFonts w:hint="eastAsia" w:ascii="宋体" w:hAnsi="宋体" w:eastAsia="宋体" w:cs="宋体"/>
                <w:i w:val="0"/>
                <w:iCs w:val="0"/>
                <w:color w:val="000000"/>
                <w:sz w:val="22"/>
                <w:szCs w:val="22"/>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54BF">
            <w:pPr>
              <w:widowControl/>
              <w:spacing w:line="360" w:lineRule="exact"/>
              <w:jc w:val="center"/>
              <w:rPr>
                <w:rFonts w:hint="eastAsia" w:ascii="宋体" w:hAnsi="宋体" w:eastAsia="宋体" w:cs="宋体"/>
                <w:i w:val="0"/>
                <w:iCs w:val="0"/>
                <w:color w:val="000000"/>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4999">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D447">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18C0">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B6A7">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C444">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786A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3D44">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7A57B">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生地湾大桥</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A601">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257</w:t>
            </w:r>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42249">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65+120+65</w:t>
            </w:r>
            <w:r>
              <w:rPr>
                <w:rFonts w:hint="eastAsia" w:ascii="宋体" w:hAnsi="宋体" w:eastAsia="宋体" w:cs="宋体"/>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m</w:t>
            </w:r>
            <w:r>
              <w:rPr>
                <w:rFonts w:hint="eastAsia" w:ascii="宋体" w:hAnsi="宋体" w:eastAsia="宋体" w:cs="宋体"/>
                <w:i w:val="0"/>
                <w:iCs w:val="0"/>
                <w:color w:val="000000"/>
                <w:kern w:val="0"/>
                <w:sz w:val="22"/>
                <w:szCs w:val="22"/>
                <w:highlight w:val="none"/>
                <w:u w:val="none"/>
                <w:lang w:val="en-US" w:eastAsia="zh-CN" w:bidi="ar"/>
              </w:rPr>
              <w:t>连续刚构</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10E41">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65m</w:t>
            </w:r>
            <w:r>
              <w:rPr>
                <w:rFonts w:hint="eastAsia" w:ascii="宋体" w:hAnsi="宋体" w:eastAsia="宋体" w:cs="宋体"/>
                <w:i w:val="0"/>
                <w:iCs w:val="0"/>
                <w:color w:val="000000"/>
                <w:kern w:val="0"/>
                <w:sz w:val="22"/>
                <w:szCs w:val="22"/>
                <w:highlight w:val="none"/>
                <w:u w:val="none"/>
                <w:lang w:val="en-US" w:eastAsia="zh-CN" w:bidi="ar"/>
              </w:rPr>
              <w:t>边跨，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120m</w:t>
            </w:r>
            <w:r>
              <w:rPr>
                <w:rFonts w:hint="eastAsia" w:ascii="宋体" w:hAnsi="宋体" w:eastAsia="宋体" w:cs="宋体"/>
                <w:i w:val="0"/>
                <w:iCs w:val="0"/>
                <w:color w:val="000000"/>
                <w:kern w:val="0"/>
                <w:sz w:val="22"/>
                <w:szCs w:val="22"/>
                <w:highlight w:val="none"/>
                <w:u w:val="none"/>
                <w:lang w:val="en-US" w:eastAsia="zh-CN" w:bidi="ar"/>
              </w:rPr>
              <w:t>主跨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07A3">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边跨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E93A">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9C62">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1C2F">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B0D9">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0A16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9264">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B42EB">
            <w:pPr>
              <w:widowControl/>
              <w:spacing w:line="360" w:lineRule="exact"/>
              <w:jc w:val="center"/>
              <w:rPr>
                <w:rFonts w:hint="eastAsia" w:ascii="宋体" w:hAnsi="宋体" w:eastAsia="宋体" w:cs="宋体"/>
                <w:i w:val="0"/>
                <w:iCs w:val="0"/>
                <w:color w:val="000000"/>
                <w:sz w:val="22"/>
                <w:szCs w:val="22"/>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F9F1">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BEB9C">
            <w:pPr>
              <w:widowControl/>
              <w:spacing w:line="360" w:lineRule="exact"/>
              <w:jc w:val="center"/>
              <w:rPr>
                <w:rFonts w:hint="eastAsia" w:ascii="宋体" w:hAnsi="宋体" w:eastAsia="宋体" w:cs="宋体"/>
                <w:i w:val="0"/>
                <w:iCs w:val="0"/>
                <w:color w:val="000000"/>
                <w:sz w:val="22"/>
                <w:szCs w:val="22"/>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FCA8">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2A34">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1942">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D08F">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6F92">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D9F9">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5600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862B">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BB66">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镰刀湾特大桥</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1350">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389.88</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7333">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3×20m</w:t>
            </w:r>
            <w:r>
              <w:rPr>
                <w:rFonts w:hint="eastAsia" w:ascii="宋体" w:hAnsi="宋体" w:eastAsia="宋体" w:cs="宋体"/>
                <w:i w:val="0"/>
                <w:iCs w:val="0"/>
                <w:color w:val="000000"/>
                <w:kern w:val="0"/>
                <w:sz w:val="22"/>
                <w:szCs w:val="22"/>
                <w:highlight w:val="none"/>
                <w:u w:val="none"/>
                <w:lang w:val="en-US" w:eastAsia="zh-CN" w:bidi="ar"/>
              </w:rPr>
              <w:t>箱梁</w:t>
            </w:r>
            <w:r>
              <w:rPr>
                <w:rFonts w:hint="default" w:ascii="Times New Roman" w:hAnsi="Times New Roman" w:eastAsia="宋体" w:cs="Times New Roman"/>
                <w:i w:val="0"/>
                <w:iCs w:val="0"/>
                <w:color w:val="000000"/>
                <w:kern w:val="0"/>
                <w:sz w:val="22"/>
                <w:szCs w:val="22"/>
                <w:highlight w:val="none"/>
                <w:u w:val="none"/>
                <w:lang w:val="en-US" w:eastAsia="zh-CN" w:bidi="ar"/>
              </w:rPr>
              <w:t>+220</w:t>
            </w:r>
            <w:r>
              <w:rPr>
                <w:rFonts w:hint="eastAsia" w:ascii="宋体" w:hAnsi="宋体" w:eastAsia="宋体" w:cs="宋体"/>
                <w:i w:val="0"/>
                <w:iCs w:val="0"/>
                <w:color w:val="000000"/>
                <w:kern w:val="0"/>
                <w:sz w:val="22"/>
                <w:szCs w:val="22"/>
                <w:highlight w:val="none"/>
                <w:u w:val="none"/>
                <w:lang w:val="en-US" w:eastAsia="zh-CN" w:bidi="ar"/>
              </w:rPr>
              <w:t>上承式拱</w:t>
            </w:r>
            <w:r>
              <w:rPr>
                <w:rFonts w:hint="default" w:ascii="Times New Roman" w:hAnsi="Times New Roman" w:eastAsia="宋体" w:cs="Times New Roman"/>
                <w:i w:val="0"/>
                <w:iCs w:val="0"/>
                <w:color w:val="000000"/>
                <w:kern w:val="0"/>
                <w:sz w:val="22"/>
                <w:szCs w:val="22"/>
                <w:highlight w:val="none"/>
                <w:u w:val="none"/>
                <w:lang w:val="en-US" w:eastAsia="zh-CN" w:bidi="ar"/>
              </w:rPr>
              <w:t>+5×20m</w:t>
            </w:r>
            <w:r>
              <w:rPr>
                <w:rFonts w:hint="eastAsia" w:ascii="宋体" w:hAnsi="宋体" w:eastAsia="宋体" w:cs="宋体"/>
                <w:i w:val="0"/>
                <w:iCs w:val="0"/>
                <w:color w:val="000000"/>
                <w:kern w:val="0"/>
                <w:sz w:val="22"/>
                <w:szCs w:val="22"/>
                <w:highlight w:val="none"/>
                <w:u w:val="none"/>
                <w:lang w:val="en-US" w:eastAsia="zh-CN" w:bidi="ar"/>
              </w:rPr>
              <w:t>箱梁</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C320">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主桥</w:t>
            </w:r>
            <w:r>
              <w:rPr>
                <w:rFonts w:hint="default" w:ascii="Times New Roman" w:hAnsi="Times New Roman" w:eastAsia="宋体" w:cs="Times New Roman"/>
                <w:i w:val="0"/>
                <w:iCs w:val="0"/>
                <w:color w:val="000000"/>
                <w:kern w:val="0"/>
                <w:sz w:val="22"/>
                <w:szCs w:val="22"/>
                <w:highlight w:val="none"/>
                <w:u w:val="none"/>
                <w:lang w:val="en-US" w:eastAsia="zh-CN" w:bidi="ar"/>
              </w:rPr>
              <w:t>220m</w:t>
            </w:r>
            <w:r>
              <w:rPr>
                <w:rFonts w:hint="eastAsia" w:ascii="宋体" w:hAnsi="宋体" w:eastAsia="宋体" w:cs="宋体"/>
                <w:i w:val="0"/>
                <w:iCs w:val="0"/>
                <w:color w:val="000000"/>
                <w:kern w:val="0"/>
                <w:sz w:val="22"/>
                <w:szCs w:val="22"/>
                <w:highlight w:val="none"/>
                <w:u w:val="none"/>
                <w:lang w:val="en-US" w:eastAsia="zh-CN" w:bidi="ar"/>
              </w:rPr>
              <w:t>主跨</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C00F">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主跨</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3AA5">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DD45">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160B">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141F">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5EEA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A5EF">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C74D">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洋庄坪大桥</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1021">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500</w:t>
            </w:r>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19414">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左幅</w:t>
            </w:r>
            <w:r>
              <w:rPr>
                <w:rFonts w:hint="default" w:ascii="Times New Roman" w:hAnsi="Times New Roman" w:eastAsia="宋体" w:cs="Times New Roman"/>
                <w:i w:val="0"/>
                <w:iCs w:val="0"/>
                <w:color w:val="000000"/>
                <w:kern w:val="0"/>
                <w:sz w:val="22"/>
                <w:szCs w:val="22"/>
                <w:highlight w:val="none"/>
                <w:u w:val="none"/>
                <w:lang w:val="en-US" w:eastAsia="zh-CN" w:bidi="ar"/>
              </w:rPr>
              <w:t>10m</w:t>
            </w:r>
            <w:r>
              <w:rPr>
                <w:rFonts w:hint="eastAsia" w:ascii="宋体" w:hAnsi="宋体" w:eastAsia="宋体" w:cs="宋体"/>
                <w:i w:val="0"/>
                <w:iCs w:val="0"/>
                <w:color w:val="000000"/>
                <w:kern w:val="0"/>
                <w:sz w:val="22"/>
                <w:szCs w:val="22"/>
                <w:highlight w:val="none"/>
                <w:u w:val="none"/>
                <w:lang w:val="en-US" w:eastAsia="zh-CN" w:bidi="ar"/>
              </w:rPr>
              <w:t>框架台</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+10m</w:t>
            </w:r>
            <w:r>
              <w:rPr>
                <w:rFonts w:hint="eastAsia" w:ascii="宋体" w:hAnsi="宋体" w:eastAsia="宋体" w:cs="宋体"/>
                <w:i w:val="0"/>
                <w:iCs w:val="0"/>
                <w:color w:val="000000"/>
                <w:kern w:val="0"/>
                <w:sz w:val="22"/>
                <w:szCs w:val="22"/>
                <w:highlight w:val="none"/>
                <w:u w:val="none"/>
                <w:lang w:val="en-US" w:eastAsia="zh-CN" w:bidi="ar"/>
              </w:rPr>
              <w:t>框架台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右幅</w:t>
            </w:r>
            <w:r>
              <w:rPr>
                <w:rFonts w:hint="default" w:ascii="Times New Roman" w:hAnsi="Times New Roman" w:eastAsia="宋体" w:cs="Times New Roman"/>
                <w:i w:val="0"/>
                <w:iCs w:val="0"/>
                <w:color w:val="000000"/>
                <w:kern w:val="0"/>
                <w:sz w:val="22"/>
                <w:szCs w:val="22"/>
                <w:highlight w:val="none"/>
                <w:u w:val="none"/>
                <w:lang w:val="en-US" w:eastAsia="zh-CN" w:bidi="ar"/>
              </w:rPr>
              <w:t>18m</w:t>
            </w:r>
            <w:r>
              <w:rPr>
                <w:rFonts w:hint="eastAsia" w:ascii="宋体" w:hAnsi="宋体" w:eastAsia="宋体" w:cs="宋体"/>
                <w:i w:val="0"/>
                <w:iCs w:val="0"/>
                <w:color w:val="000000"/>
                <w:kern w:val="0"/>
                <w:sz w:val="22"/>
                <w:szCs w:val="22"/>
                <w:highlight w:val="none"/>
                <w:u w:val="none"/>
                <w:lang w:val="en-US" w:eastAsia="zh-CN" w:bidi="ar"/>
              </w:rPr>
              <w:t>现浇梁</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+4×40mT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+3×40mT</w:t>
            </w:r>
            <w:r>
              <w:rPr>
                <w:rFonts w:hint="eastAsia" w:ascii="宋体" w:hAnsi="宋体" w:eastAsia="宋体" w:cs="宋体"/>
                <w:i w:val="0"/>
                <w:iCs w:val="0"/>
                <w:color w:val="000000"/>
                <w:kern w:val="0"/>
                <w:sz w:val="22"/>
                <w:szCs w:val="22"/>
                <w:highlight w:val="none"/>
                <w:u w:val="none"/>
                <w:lang w:val="en-US" w:eastAsia="zh-CN" w:bidi="ar"/>
              </w:rPr>
              <w:t>梁</w:t>
            </w:r>
            <w:r>
              <w:rPr>
                <w:rFonts w:hint="default" w:ascii="Times New Roman" w:hAnsi="Times New Roman" w:eastAsia="宋体" w:cs="Times New Roman"/>
                <w:i w:val="0"/>
                <w:iCs w:val="0"/>
                <w:color w:val="000000"/>
                <w:kern w:val="0"/>
                <w:sz w:val="22"/>
                <w:szCs w:val="22"/>
                <w:highlight w:val="none"/>
                <w:u w:val="none"/>
                <w:lang w:val="en-US" w:eastAsia="zh-CN" w:bidi="ar"/>
              </w:rPr>
              <w:t>+6.5m</w:t>
            </w:r>
            <w:r>
              <w:rPr>
                <w:rFonts w:hint="eastAsia" w:ascii="宋体" w:hAnsi="宋体" w:eastAsia="宋体" w:cs="宋体"/>
                <w:i w:val="0"/>
                <w:iCs w:val="0"/>
                <w:color w:val="000000"/>
                <w:kern w:val="0"/>
                <w:sz w:val="22"/>
                <w:szCs w:val="22"/>
                <w:highlight w:val="none"/>
                <w:u w:val="none"/>
                <w:lang w:val="en-US" w:eastAsia="zh-CN" w:bidi="ar"/>
              </w:rPr>
              <w:t>框架台</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AB708">
            <w:pPr>
              <w:keepNext w:val="0"/>
              <w:keepLines w:val="0"/>
              <w:widowControl/>
              <w:suppressLineNumbers w:val="0"/>
              <w:spacing w:line="36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左幅第</w:t>
            </w:r>
            <w:r>
              <w:rPr>
                <w:rFonts w:hint="default" w:ascii="Times New Roman" w:hAnsi="Times New Roman" w:eastAsia="宋体" w:cs="Times New Roman"/>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联第</w:t>
            </w:r>
            <w:r>
              <w:rPr>
                <w:rFonts w:hint="default" w:ascii="Times New Roman" w:hAnsi="Times New Roman" w:eastAsia="宋体" w:cs="Times New Roman"/>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跨与第</w:t>
            </w:r>
            <w:r>
              <w:rPr>
                <w:rFonts w:hint="default" w:ascii="Times New Roman" w:hAnsi="Times New Roman" w:eastAsia="宋体" w:cs="Times New Roman"/>
                <w:i w:val="0"/>
                <w:iCs w:val="0"/>
                <w:color w:val="000000"/>
                <w:kern w:val="0"/>
                <w:sz w:val="22"/>
                <w:szCs w:val="22"/>
                <w:highlight w:val="none"/>
                <w:u w:val="none"/>
                <w:lang w:val="en-US" w:eastAsia="zh-CN" w:bidi="ar"/>
              </w:rPr>
              <w:t>6</w:t>
            </w:r>
            <w:r>
              <w:rPr>
                <w:rFonts w:hint="eastAsia" w:ascii="宋体" w:hAnsi="宋体" w:eastAsia="宋体" w:cs="宋体"/>
                <w:i w:val="0"/>
                <w:iCs w:val="0"/>
                <w:color w:val="000000"/>
                <w:kern w:val="0"/>
                <w:sz w:val="22"/>
                <w:szCs w:val="22"/>
                <w:highlight w:val="none"/>
                <w:u w:val="none"/>
                <w:lang w:val="en-US" w:eastAsia="zh-CN" w:bidi="ar"/>
              </w:rPr>
              <w:t>跨</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右幅第</w:t>
            </w:r>
            <w:r>
              <w:rPr>
                <w:rFonts w:hint="default" w:ascii="Times New Roman" w:hAnsi="Times New Roman" w:eastAsia="宋体" w:cs="Times New Roman"/>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联第</w:t>
            </w:r>
            <w:r>
              <w:rPr>
                <w:rFonts w:hint="default" w:ascii="Times New Roman" w:hAnsi="Times New Roman" w:eastAsia="宋体" w:cs="Times New Roman"/>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跨与第</w:t>
            </w:r>
            <w:r>
              <w:rPr>
                <w:rFonts w:hint="default" w:ascii="Times New Roman" w:hAnsi="Times New Roman" w:eastAsia="宋体" w:cs="Times New Roman"/>
                <w:i w:val="0"/>
                <w:iCs w:val="0"/>
                <w:color w:val="000000"/>
                <w:kern w:val="0"/>
                <w:sz w:val="22"/>
                <w:szCs w:val="22"/>
                <w:highlight w:val="none"/>
                <w:u w:val="none"/>
                <w:lang w:val="en-US" w:eastAsia="zh-CN" w:bidi="ar"/>
              </w:rPr>
              <w:t>6</w:t>
            </w:r>
            <w:r>
              <w:rPr>
                <w:rFonts w:hint="eastAsia" w:ascii="宋体" w:hAnsi="宋体" w:eastAsia="宋体" w:cs="宋体"/>
                <w:i w:val="0"/>
                <w:iCs w:val="0"/>
                <w:color w:val="000000"/>
                <w:kern w:val="0"/>
                <w:sz w:val="22"/>
                <w:szCs w:val="22"/>
                <w:highlight w:val="none"/>
                <w:u w:val="none"/>
                <w:lang w:val="en-US" w:eastAsia="zh-CN" w:bidi="ar"/>
              </w:rPr>
              <w:t>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B423">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边跨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6092">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3FDA">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5B48">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EA04">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0641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96F2">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CE24">
            <w:pPr>
              <w:widowControl/>
              <w:spacing w:line="360" w:lineRule="exact"/>
              <w:jc w:val="center"/>
              <w:rPr>
                <w:rFonts w:hint="eastAsia" w:ascii="宋体" w:hAnsi="宋体" w:eastAsia="宋体" w:cs="宋体"/>
                <w:i w:val="0"/>
                <w:iCs w:val="0"/>
                <w:color w:val="000000"/>
                <w:sz w:val="22"/>
                <w:szCs w:val="22"/>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153A">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A290">
            <w:pPr>
              <w:widowControl/>
              <w:spacing w:line="360" w:lineRule="exact"/>
              <w:jc w:val="center"/>
              <w:rPr>
                <w:rFonts w:hint="eastAsia" w:ascii="宋体" w:hAnsi="宋体" w:eastAsia="宋体" w:cs="宋体"/>
                <w:i w:val="0"/>
                <w:iCs w:val="0"/>
                <w:color w:val="000000"/>
                <w:sz w:val="22"/>
                <w:szCs w:val="22"/>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9A33">
            <w:pPr>
              <w:widowControl/>
              <w:spacing w:line="360" w:lineRule="exact"/>
              <w:jc w:val="left"/>
              <w:rPr>
                <w:rFonts w:hint="eastAsia" w:ascii="宋体" w:hAnsi="宋体" w:eastAsia="宋体" w:cs="宋体"/>
                <w:i w:val="0"/>
                <w:iCs w:val="0"/>
                <w:color w:val="000000"/>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21D8">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主跨</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7640">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423F">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7183">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10C0">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061B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1DD9">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98B1">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加载车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DC06">
            <w:pPr>
              <w:widowControl/>
              <w:spacing w:line="360" w:lineRule="exact"/>
              <w:jc w:val="left"/>
              <w:rPr>
                <w:rFonts w:hint="default" w:ascii="Times New Roman" w:hAnsi="Times New Roman" w:eastAsia="宋体" w:cs="Times New Roman"/>
                <w:i w:val="0"/>
                <w:iCs w:val="0"/>
                <w:color w:val="000000"/>
                <w:sz w:val="22"/>
                <w:szCs w:val="22"/>
                <w:highlight w:val="none"/>
                <w:u w:val="none"/>
              </w:rPr>
            </w:pP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A6B5">
            <w:pPr>
              <w:widowControl/>
              <w:spacing w:line="360" w:lineRule="exact"/>
              <w:jc w:val="left"/>
              <w:rPr>
                <w:rFonts w:hint="default" w:ascii="Times New Roman" w:hAnsi="Times New Roman" w:eastAsia="宋体" w:cs="Times New Roman"/>
                <w:i w:val="0"/>
                <w:iCs w:val="0"/>
                <w:color w:val="000000"/>
                <w:sz w:val="22"/>
                <w:szCs w:val="22"/>
                <w:highlight w:val="none"/>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1FC6">
            <w:pPr>
              <w:widowControl/>
              <w:spacing w:line="360" w:lineRule="exact"/>
              <w:jc w:val="left"/>
              <w:rPr>
                <w:rFonts w:hint="default" w:ascii="Times New Roman" w:hAnsi="Times New Roman" w:eastAsia="宋体" w:cs="Times New Roman"/>
                <w:i w:val="0"/>
                <w:iCs w:val="0"/>
                <w:color w:val="000000"/>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FAC7">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台班</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1425">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3CF4">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BEA2">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656E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A2B2">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C4A8">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桥梁检测车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09AD">
            <w:pPr>
              <w:widowControl/>
              <w:spacing w:line="360" w:lineRule="exact"/>
              <w:jc w:val="left"/>
              <w:rPr>
                <w:rFonts w:hint="default" w:ascii="Times New Roman" w:hAnsi="Times New Roman" w:eastAsia="宋体" w:cs="Times New Roman"/>
                <w:i w:val="0"/>
                <w:iCs w:val="0"/>
                <w:color w:val="000000"/>
                <w:sz w:val="22"/>
                <w:szCs w:val="22"/>
                <w:highlight w:val="none"/>
                <w:u w:val="none"/>
              </w:rPr>
            </w:pP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AC62">
            <w:pPr>
              <w:widowControl/>
              <w:spacing w:line="360" w:lineRule="exact"/>
              <w:jc w:val="left"/>
              <w:rPr>
                <w:rFonts w:hint="default" w:ascii="Times New Roman" w:hAnsi="Times New Roman" w:eastAsia="宋体" w:cs="Times New Roman"/>
                <w:i w:val="0"/>
                <w:iCs w:val="0"/>
                <w:color w:val="000000"/>
                <w:sz w:val="22"/>
                <w:szCs w:val="22"/>
                <w:highlight w:val="none"/>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0BF9">
            <w:pPr>
              <w:widowControl/>
              <w:spacing w:line="360" w:lineRule="exact"/>
              <w:jc w:val="left"/>
              <w:rPr>
                <w:rFonts w:hint="default" w:ascii="Times New Roman" w:hAnsi="Times New Roman" w:eastAsia="宋体" w:cs="Times New Roman"/>
                <w:i w:val="0"/>
                <w:iCs w:val="0"/>
                <w:color w:val="000000"/>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DD81">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台班</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D9EC">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15</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EDE2">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1CE6">
            <w:pPr>
              <w:widowControl/>
              <w:spacing w:line="360" w:lineRule="exact"/>
              <w:jc w:val="center"/>
              <w:rPr>
                <w:rFonts w:hint="default" w:ascii="Times New Roman" w:hAnsi="Times New Roman" w:eastAsia="宋体" w:cs="Times New Roman"/>
                <w:i w:val="0"/>
                <w:iCs w:val="0"/>
                <w:color w:val="000000"/>
                <w:sz w:val="22"/>
                <w:szCs w:val="22"/>
                <w:highlight w:val="none"/>
                <w:u w:val="none"/>
              </w:rPr>
            </w:pPr>
          </w:p>
        </w:tc>
      </w:tr>
      <w:tr w14:paraId="2879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5EB2">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09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2F76">
            <w:pPr>
              <w:keepNext w:val="0"/>
              <w:keepLines w:val="0"/>
              <w:widowControl/>
              <w:suppressLineNumbers w:val="0"/>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总计（元）</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B214">
            <w:pPr>
              <w:widowControl/>
              <w:spacing w:line="360" w:lineRule="exact"/>
              <w:jc w:val="center"/>
              <w:rPr>
                <w:rFonts w:hint="eastAsia" w:ascii="宋体" w:hAnsi="宋体" w:eastAsia="宋体" w:cs="宋体"/>
                <w:b/>
                <w:bCs/>
                <w:i w:val="0"/>
                <w:iCs w:val="0"/>
                <w:color w:val="000000"/>
                <w:sz w:val="22"/>
                <w:szCs w:val="22"/>
                <w:highlight w:val="none"/>
                <w:u w:val="none"/>
              </w:rPr>
            </w:pPr>
          </w:p>
        </w:tc>
      </w:tr>
    </w:tbl>
    <w:p w14:paraId="2EE41C97">
      <w:pPr>
        <w:widowControl/>
        <w:spacing w:line="360" w:lineRule="exact"/>
        <w:jc w:val="left"/>
        <w:rPr>
          <w:rFonts w:ascii="Times New Roman" w:hAnsi="Times New Roman" w:eastAsia="宋体" w:cs="Times New Roman"/>
          <w:highlight w:val="none"/>
        </w:rPr>
      </w:pPr>
    </w:p>
    <w:p w14:paraId="291FF783">
      <w:pPr>
        <w:widowControl/>
        <w:spacing w:line="360" w:lineRule="exact"/>
        <w:jc w:val="left"/>
        <w:rPr>
          <w:rFonts w:ascii="Times New Roman" w:hAnsi="Times New Roman" w:eastAsia="宋体" w:cs="Times New Roman"/>
          <w:highlight w:val="none"/>
        </w:rPr>
      </w:pPr>
    </w:p>
    <w:p w14:paraId="786A1ED6">
      <w:pPr>
        <w:pageBreakBefore w:val="0"/>
        <w:kinsoku/>
        <w:wordWrap/>
        <w:overflowPunct/>
        <w:topLinePunct w:val="0"/>
        <w:autoSpaceDE/>
        <w:autoSpaceDN/>
        <w:bidi w:val="0"/>
        <w:spacing w:before="120" w:beforeLines="50" w:after="120" w:afterLines="50" w:line="440" w:lineRule="exact"/>
        <w:ind w:firstLine="480" w:firstLineChars="200"/>
        <w:jc w:val="both"/>
        <w:outlineLvl w:val="3"/>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1、本项目合同为总价合同，由</w:t>
      </w:r>
      <w:r>
        <w:rPr>
          <w:rFonts w:hint="eastAsia" w:ascii="宋体" w:hAnsi="宋体" w:eastAsia="宋体" w:cs="宋体"/>
          <w:b w:val="0"/>
          <w:bCs w:val="0"/>
          <w:color w:val="auto"/>
          <w:sz w:val="24"/>
          <w:szCs w:val="24"/>
          <w:highlight w:val="none"/>
          <w:lang w:val="en-US" w:eastAsia="zh-CN"/>
        </w:rPr>
        <w:t>受托</w:t>
      </w:r>
      <w:r>
        <w:rPr>
          <w:rFonts w:hint="eastAsia" w:ascii="宋体" w:hAnsi="宋体" w:eastAsia="宋体" w:cs="宋体"/>
          <w:b w:val="0"/>
          <w:bCs w:val="0"/>
          <w:color w:val="auto"/>
          <w:sz w:val="24"/>
          <w:szCs w:val="24"/>
          <w:highlight w:val="none"/>
          <w:lang w:eastAsia="zh-CN"/>
        </w:rPr>
        <w:t>人包干使用。</w:t>
      </w:r>
      <w:r>
        <w:rPr>
          <w:rFonts w:hint="eastAsia" w:ascii="宋体" w:hAnsi="宋体" w:eastAsia="宋体" w:cs="宋体"/>
          <w:b w:val="0"/>
          <w:bCs w:val="0"/>
          <w:color w:val="auto"/>
          <w:sz w:val="24"/>
          <w:szCs w:val="24"/>
          <w:highlight w:val="none"/>
          <w:lang w:val="en-US" w:eastAsia="zh-CN"/>
        </w:rPr>
        <w:t>受托</w:t>
      </w:r>
      <w:r>
        <w:rPr>
          <w:rFonts w:hint="eastAsia" w:ascii="宋体" w:hAnsi="宋体" w:eastAsia="宋体" w:cs="宋体"/>
          <w:b w:val="0"/>
          <w:bCs w:val="0"/>
          <w:color w:val="auto"/>
          <w:sz w:val="24"/>
          <w:szCs w:val="24"/>
          <w:highlight w:val="none"/>
          <w:lang w:eastAsia="zh-CN"/>
        </w:rPr>
        <w:t>人为完成合同所确定的范围内的全部服务工作内容所发生的一切费用均认为已包括在总报价中，包括人员及设备费用及相关工作所需的费用、管理费、出版费、食宿费、差旅费、车辆使用费（含驾驶员费用）、评审费（含专家费用）、通讯费、保险、利润、杂费、税费及其它可能发生的费用，以及服务项目的规模、性质、服务期间的市场风险和国家政策性调整风险费用等。</w:t>
      </w:r>
    </w:p>
    <w:p w14:paraId="6F4DCDA3">
      <w:pPr>
        <w:widowControl/>
        <w:spacing w:line="600" w:lineRule="exact"/>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2、本项目中的给出</w:t>
      </w:r>
      <w:r>
        <w:rPr>
          <w:rFonts w:hint="eastAsia" w:ascii="宋体" w:hAnsi="宋体" w:cs="宋体"/>
          <w:b w:val="0"/>
          <w:bCs w:val="0"/>
          <w:color w:val="auto"/>
          <w:sz w:val="24"/>
          <w:szCs w:val="24"/>
          <w:highlight w:val="none"/>
          <w:lang w:val="en-US" w:eastAsia="zh-CN"/>
        </w:rPr>
        <w:t>检测</w:t>
      </w:r>
      <w:r>
        <w:rPr>
          <w:rFonts w:hint="eastAsia" w:ascii="宋体" w:hAnsi="宋体" w:eastAsia="宋体" w:cs="宋体"/>
          <w:b w:val="0"/>
          <w:bCs w:val="0"/>
          <w:color w:val="auto"/>
          <w:sz w:val="24"/>
          <w:szCs w:val="24"/>
          <w:highlight w:val="none"/>
          <w:lang w:eastAsia="zh-CN"/>
        </w:rPr>
        <w:t>服务项目数量为发包人的预估数量，</w:t>
      </w:r>
      <w:r>
        <w:rPr>
          <w:rFonts w:hint="eastAsia" w:ascii="宋体" w:hAnsi="宋体" w:eastAsia="宋体" w:cs="宋体"/>
          <w:b w:val="0"/>
          <w:bCs w:val="0"/>
          <w:color w:val="auto"/>
          <w:sz w:val="24"/>
          <w:szCs w:val="24"/>
          <w:highlight w:val="none"/>
          <w:lang w:val="en-US" w:eastAsia="zh-CN"/>
        </w:rPr>
        <w:t>受托</w:t>
      </w:r>
      <w:r>
        <w:rPr>
          <w:rFonts w:hint="eastAsia" w:ascii="宋体" w:hAnsi="宋体" w:eastAsia="宋体" w:cs="宋体"/>
          <w:b w:val="0"/>
          <w:bCs w:val="0"/>
          <w:color w:val="auto"/>
          <w:sz w:val="24"/>
          <w:szCs w:val="24"/>
          <w:highlight w:val="none"/>
          <w:lang w:eastAsia="zh-CN"/>
        </w:rPr>
        <w:t>人在实施过程中完成的数量不能少于规范要求的数量; 若根据技术咨询服务需求完成的数量超过预估数量，均被认为已包含在合同总价中，</w:t>
      </w:r>
      <w:r>
        <w:rPr>
          <w:rFonts w:hint="eastAsia" w:ascii="宋体" w:hAnsi="宋体" w:eastAsia="宋体" w:cs="宋体"/>
          <w:b w:val="0"/>
          <w:bCs w:val="0"/>
          <w:color w:val="auto"/>
          <w:sz w:val="24"/>
          <w:szCs w:val="24"/>
          <w:highlight w:val="none"/>
          <w:lang w:val="en-US" w:eastAsia="zh-CN"/>
        </w:rPr>
        <w:t>委托</w:t>
      </w:r>
      <w:r>
        <w:rPr>
          <w:rFonts w:hint="eastAsia" w:ascii="宋体" w:hAnsi="宋体" w:eastAsia="宋体" w:cs="宋体"/>
          <w:b w:val="0"/>
          <w:bCs w:val="0"/>
          <w:color w:val="auto"/>
          <w:sz w:val="24"/>
          <w:szCs w:val="24"/>
          <w:highlight w:val="none"/>
          <w:lang w:eastAsia="zh-CN"/>
        </w:rPr>
        <w:t>人不另行支付。</w:t>
      </w:r>
    </w:p>
    <w:bookmarkEnd w:id="675"/>
    <w:bookmarkEnd w:id="676"/>
    <w:bookmarkEnd w:id="677"/>
    <w:bookmarkEnd w:id="678"/>
    <w:bookmarkEnd w:id="679"/>
    <w:p w14:paraId="2CDB8C30">
      <w:pPr>
        <w:rPr>
          <w:rFonts w:hint="eastAsia" w:ascii="宋体" w:hAnsi="宋体" w:eastAsia="宋体" w:cs="宋体"/>
          <w:b w:val="0"/>
          <w:bCs w:val="0"/>
          <w:color w:val="auto"/>
          <w:kern w:val="0"/>
          <w:sz w:val="33"/>
          <w:szCs w:val="21"/>
          <w:highlight w:val="none"/>
          <w:lang w:val="en-US" w:eastAsia="zh-CN" w:bidi="zh-CN"/>
        </w:rPr>
      </w:pPr>
      <w:r>
        <w:rPr>
          <w:rFonts w:hint="eastAsia" w:ascii="宋体" w:hAnsi="宋体" w:eastAsia="宋体" w:cs="宋体"/>
          <w:b w:val="0"/>
          <w:bCs w:val="0"/>
          <w:color w:val="auto"/>
          <w:kern w:val="0"/>
          <w:sz w:val="33"/>
          <w:szCs w:val="21"/>
          <w:highlight w:val="none"/>
          <w:lang w:val="en-US" w:eastAsia="zh-CN" w:bidi="zh-CN"/>
        </w:rPr>
        <w:br w:type="page"/>
      </w:r>
    </w:p>
    <w:p w14:paraId="604BFB09">
      <w:pPr>
        <w:keepNext/>
        <w:keepLines/>
        <w:spacing w:before="340" w:after="330" w:line="240" w:lineRule="auto"/>
        <w:outlineLvl w:val="0"/>
        <w:rPr>
          <w:rFonts w:hint="eastAsia" w:ascii="宋体" w:hAnsi="宋体" w:eastAsia="宋体" w:cs="宋体"/>
          <w:b w:val="0"/>
          <w:bCs w:val="0"/>
          <w:color w:val="auto"/>
          <w:kern w:val="0"/>
          <w:sz w:val="33"/>
          <w:szCs w:val="21"/>
          <w:highlight w:val="none"/>
          <w:lang w:val="en-US" w:eastAsia="zh-CN" w:bidi="zh-CN"/>
        </w:rPr>
      </w:pPr>
      <w:r>
        <w:rPr>
          <w:rFonts w:hint="eastAsia" w:ascii="宋体" w:hAnsi="宋体" w:eastAsia="宋体" w:cs="宋体"/>
          <w:b w:val="0"/>
          <w:bCs w:val="0"/>
          <w:color w:val="auto"/>
          <w:kern w:val="0"/>
          <w:sz w:val="33"/>
          <w:szCs w:val="21"/>
          <w:highlight w:val="none"/>
          <w:lang w:val="en-US" w:eastAsia="zh-CN" w:bidi="zh-CN"/>
        </w:rPr>
        <w:t>附录：</w:t>
      </w:r>
    </w:p>
    <w:p w14:paraId="75FE31AD">
      <w:pPr>
        <w:keepNext/>
        <w:keepLines/>
        <w:spacing w:before="340" w:after="330" w:line="240" w:lineRule="auto"/>
        <w:jc w:val="center"/>
        <w:outlineLvl w:val="0"/>
        <w:rPr>
          <w:rFonts w:hint="eastAsia" w:ascii="宋体" w:hAnsi="宋体" w:eastAsia="宋体" w:cs="宋体"/>
          <w:b w:val="0"/>
          <w:bCs/>
          <w:color w:val="auto"/>
          <w:kern w:val="44"/>
          <w:sz w:val="2"/>
          <w:szCs w:val="44"/>
          <w:highlight w:val="none"/>
          <w:lang w:val="en-US" w:eastAsia="zh-CN" w:bidi="ar-SA"/>
        </w:rPr>
      </w:pPr>
      <w:r>
        <w:rPr>
          <w:rFonts w:hint="eastAsia" w:ascii="宋体" w:hAnsi="宋体" w:eastAsia="宋体" w:cs="宋体"/>
          <w:b/>
          <w:bCs/>
          <w:color w:val="auto"/>
          <w:kern w:val="44"/>
          <w:sz w:val="36"/>
          <w:szCs w:val="44"/>
          <w:highlight w:val="none"/>
          <w:lang w:val="en-US" w:eastAsia="zh-CN" w:bidi="ar-SA"/>
        </w:rPr>
        <w:t>采购比价表（有抵税需求的采购项目）</w:t>
      </w:r>
    </w:p>
    <w:tbl>
      <w:tblPr>
        <w:tblStyle w:val="55"/>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1CA12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36758242">
            <w:pPr>
              <w:widowControl/>
              <w:spacing w:line="36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一般纳税人   抵扣率</w:t>
            </w:r>
          </w:p>
        </w:tc>
        <w:tc>
          <w:tcPr>
            <w:tcW w:w="1560" w:type="dxa"/>
            <w:vAlign w:val="center"/>
          </w:tcPr>
          <w:p w14:paraId="704592CB">
            <w:pPr>
              <w:widowControl/>
              <w:spacing w:line="36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小规模纳税人  抵扣率</w:t>
            </w:r>
          </w:p>
        </w:tc>
        <w:tc>
          <w:tcPr>
            <w:tcW w:w="1842" w:type="dxa"/>
            <w:vAlign w:val="center"/>
          </w:tcPr>
          <w:p w14:paraId="02495E4D">
            <w:pPr>
              <w:widowControl/>
              <w:spacing w:line="36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含税价格          临界点</w:t>
            </w:r>
          </w:p>
        </w:tc>
        <w:tc>
          <w:tcPr>
            <w:tcW w:w="4047" w:type="dxa"/>
            <w:vAlign w:val="center"/>
          </w:tcPr>
          <w:p w14:paraId="465F8163">
            <w:pPr>
              <w:widowControl/>
              <w:spacing w:line="36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同等需求下供应商选择原则</w:t>
            </w:r>
          </w:p>
        </w:tc>
      </w:tr>
      <w:tr w14:paraId="7B0C2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217BDC0">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560" w:type="dxa"/>
            <w:vAlign w:val="center"/>
          </w:tcPr>
          <w:p w14:paraId="6EA2CBB5">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42" w:type="dxa"/>
            <w:vAlign w:val="center"/>
          </w:tcPr>
          <w:p w14:paraId="47873F96">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90.05269%</w:t>
            </w:r>
          </w:p>
        </w:tc>
        <w:tc>
          <w:tcPr>
            <w:tcW w:w="4047" w:type="dxa"/>
            <w:vAlign w:val="center"/>
          </w:tcPr>
          <w:p w14:paraId="1A7DB0FB">
            <w:pPr>
              <w:widowControl w:val="0"/>
              <w:autoSpaceDE w:val="0"/>
              <w:autoSpaceDN w:val="0"/>
              <w:spacing w:before="79" w:line="244" w:lineRule="auto"/>
              <w:ind w:left="108" w:right="95"/>
              <w:jc w:val="both"/>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小规模供应商的含税价格小于一般纳税</w:t>
            </w:r>
            <w:r>
              <w:rPr>
                <w:rFonts w:hint="eastAsia" w:ascii="宋体" w:hAnsi="宋体" w:eastAsia="宋体" w:cs="宋体"/>
                <w:color w:val="auto"/>
                <w:spacing w:val="-9"/>
                <w:kern w:val="0"/>
                <w:sz w:val="21"/>
                <w:szCs w:val="21"/>
                <w:highlight w:val="none"/>
                <w:lang w:val="zh-CN" w:eastAsia="zh-CN" w:bidi="zh-CN"/>
              </w:rPr>
              <w:t xml:space="preserve">人含税价格的 </w:t>
            </w:r>
            <w:r>
              <w:rPr>
                <w:rFonts w:hint="eastAsia" w:ascii="宋体" w:hAnsi="宋体" w:eastAsia="宋体" w:cs="宋体"/>
                <w:color w:val="auto"/>
                <w:kern w:val="0"/>
                <w:sz w:val="21"/>
                <w:szCs w:val="21"/>
                <w:highlight w:val="none"/>
                <w:lang w:val="zh-CN" w:eastAsia="zh-CN" w:bidi="zh-CN"/>
              </w:rPr>
              <w:t>90.052</w:t>
            </w:r>
            <w:r>
              <w:rPr>
                <w:rFonts w:hint="eastAsia" w:ascii="宋体" w:hAnsi="宋体" w:eastAsia="宋体" w:cs="宋体"/>
                <w:color w:val="auto"/>
                <w:kern w:val="0"/>
                <w:sz w:val="21"/>
                <w:szCs w:val="21"/>
                <w:highlight w:val="none"/>
                <w:lang w:val="en-US" w:eastAsia="zh-CN" w:bidi="zh-CN"/>
              </w:rPr>
              <w:t>69</w:t>
            </w:r>
            <w:r>
              <w:rPr>
                <w:rFonts w:hint="eastAsia" w:ascii="宋体" w:hAnsi="宋体" w:eastAsia="宋体" w:cs="宋体"/>
                <w:color w:val="auto"/>
                <w:kern w:val="0"/>
                <w:sz w:val="21"/>
                <w:szCs w:val="21"/>
                <w:highlight w:val="none"/>
                <w:lang w:val="zh-CN" w:eastAsia="zh-CN" w:bidi="zh-CN"/>
              </w:rPr>
              <w:t>%</w:t>
            </w:r>
            <w:r>
              <w:rPr>
                <w:rFonts w:hint="eastAsia" w:ascii="宋体" w:hAnsi="宋体" w:eastAsia="宋体" w:cs="宋体"/>
                <w:color w:val="auto"/>
                <w:spacing w:val="-5"/>
                <w:kern w:val="0"/>
                <w:sz w:val="21"/>
                <w:szCs w:val="21"/>
                <w:highlight w:val="none"/>
                <w:lang w:val="zh-CN" w:eastAsia="zh-CN" w:bidi="zh-CN"/>
              </w:rPr>
              <w:t>时，可选择小规</w:t>
            </w:r>
            <w:r>
              <w:rPr>
                <w:rFonts w:hint="eastAsia" w:ascii="宋体" w:hAnsi="宋体" w:eastAsia="宋体" w:cs="宋体"/>
                <w:color w:val="auto"/>
                <w:kern w:val="0"/>
                <w:sz w:val="21"/>
                <w:szCs w:val="21"/>
                <w:highlight w:val="none"/>
                <w:lang w:val="zh-CN" w:eastAsia="zh-CN" w:bidi="zh-CN"/>
              </w:rPr>
              <w:t>模纳税人。否则，选一般纳税人。</w:t>
            </w:r>
          </w:p>
        </w:tc>
      </w:tr>
      <w:tr w14:paraId="02127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0BAB786">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560" w:type="dxa"/>
            <w:vAlign w:val="center"/>
          </w:tcPr>
          <w:p w14:paraId="7BE8C743">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42" w:type="dxa"/>
            <w:vAlign w:val="center"/>
          </w:tcPr>
          <w:p w14:paraId="59A54A8B">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88.09190%</w:t>
            </w:r>
          </w:p>
        </w:tc>
        <w:tc>
          <w:tcPr>
            <w:tcW w:w="4047" w:type="dxa"/>
            <w:vAlign w:val="center"/>
          </w:tcPr>
          <w:p w14:paraId="2E68BF6B">
            <w:pPr>
              <w:widowControl w:val="0"/>
              <w:autoSpaceDE w:val="0"/>
              <w:autoSpaceDN w:val="0"/>
              <w:spacing w:before="81" w:line="244" w:lineRule="auto"/>
              <w:ind w:left="108" w:right="95"/>
              <w:jc w:val="both"/>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小规模供应商的含税价格小于一般纳税</w:t>
            </w:r>
            <w:r>
              <w:rPr>
                <w:rFonts w:hint="eastAsia" w:ascii="宋体" w:hAnsi="宋体" w:eastAsia="宋体" w:cs="宋体"/>
                <w:color w:val="auto"/>
                <w:spacing w:val="-9"/>
                <w:kern w:val="0"/>
                <w:sz w:val="21"/>
                <w:szCs w:val="21"/>
                <w:highlight w:val="none"/>
                <w:lang w:val="zh-CN" w:eastAsia="zh-CN" w:bidi="zh-CN"/>
              </w:rPr>
              <w:t xml:space="preserve">人含税价格的 </w:t>
            </w:r>
            <w:r>
              <w:rPr>
                <w:rFonts w:hint="eastAsia" w:ascii="宋体" w:hAnsi="宋体" w:eastAsia="宋体" w:cs="宋体"/>
                <w:color w:val="auto"/>
                <w:kern w:val="0"/>
                <w:sz w:val="21"/>
                <w:szCs w:val="21"/>
                <w:highlight w:val="none"/>
                <w:lang w:val="en-US" w:eastAsia="zh-CN" w:bidi="zh-CN"/>
              </w:rPr>
              <w:t>88.09190</w:t>
            </w:r>
            <w:r>
              <w:rPr>
                <w:rFonts w:hint="eastAsia" w:ascii="宋体" w:hAnsi="宋体" w:eastAsia="宋体" w:cs="宋体"/>
                <w:color w:val="auto"/>
                <w:kern w:val="0"/>
                <w:sz w:val="21"/>
                <w:szCs w:val="21"/>
                <w:highlight w:val="none"/>
                <w:lang w:val="zh-CN" w:eastAsia="zh-CN" w:bidi="zh-CN"/>
              </w:rPr>
              <w:t>%</w:t>
            </w:r>
            <w:r>
              <w:rPr>
                <w:rFonts w:hint="eastAsia" w:ascii="宋体" w:hAnsi="宋体" w:eastAsia="宋体" w:cs="宋体"/>
                <w:color w:val="auto"/>
                <w:spacing w:val="-5"/>
                <w:kern w:val="0"/>
                <w:sz w:val="21"/>
                <w:szCs w:val="21"/>
                <w:highlight w:val="none"/>
                <w:lang w:val="zh-CN" w:eastAsia="zh-CN" w:bidi="zh-CN"/>
              </w:rPr>
              <w:t>时，可选择小规</w:t>
            </w:r>
            <w:r>
              <w:rPr>
                <w:rFonts w:hint="eastAsia" w:ascii="宋体" w:hAnsi="宋体" w:eastAsia="宋体" w:cs="宋体"/>
                <w:color w:val="auto"/>
                <w:kern w:val="0"/>
                <w:sz w:val="21"/>
                <w:szCs w:val="21"/>
                <w:highlight w:val="none"/>
                <w:lang w:val="zh-CN" w:eastAsia="zh-CN" w:bidi="zh-CN"/>
              </w:rPr>
              <w:t>模纳税人。否则，选一般纳税人。</w:t>
            </w:r>
          </w:p>
        </w:tc>
      </w:tr>
      <w:tr w14:paraId="40712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AB4AF73">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560" w:type="dxa"/>
            <w:vAlign w:val="center"/>
          </w:tcPr>
          <w:p w14:paraId="5899115B">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1842" w:type="dxa"/>
            <w:vAlign w:val="center"/>
          </w:tcPr>
          <w:p w14:paraId="40FFB175">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87.11504%</w:t>
            </w:r>
          </w:p>
        </w:tc>
        <w:tc>
          <w:tcPr>
            <w:tcW w:w="4047" w:type="dxa"/>
            <w:vAlign w:val="center"/>
          </w:tcPr>
          <w:p w14:paraId="398D2CFB">
            <w:pPr>
              <w:widowControl w:val="0"/>
              <w:autoSpaceDE w:val="0"/>
              <w:autoSpaceDN w:val="0"/>
              <w:spacing w:before="79" w:line="242" w:lineRule="auto"/>
              <w:ind w:left="108" w:right="95"/>
              <w:jc w:val="both"/>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小规模供应商的含税价格小于一般纳税</w:t>
            </w:r>
            <w:r>
              <w:rPr>
                <w:rFonts w:hint="eastAsia" w:ascii="宋体" w:hAnsi="宋体" w:eastAsia="宋体" w:cs="宋体"/>
                <w:color w:val="auto"/>
                <w:spacing w:val="-9"/>
                <w:kern w:val="0"/>
                <w:sz w:val="21"/>
                <w:szCs w:val="21"/>
                <w:highlight w:val="none"/>
                <w:lang w:val="zh-CN" w:eastAsia="zh-CN" w:bidi="zh-CN"/>
              </w:rPr>
              <w:t xml:space="preserve">人含税价格的 </w:t>
            </w:r>
            <w:r>
              <w:rPr>
                <w:rFonts w:hint="eastAsia" w:ascii="宋体" w:hAnsi="宋体" w:eastAsia="宋体" w:cs="宋体"/>
                <w:color w:val="auto"/>
                <w:kern w:val="0"/>
                <w:sz w:val="21"/>
                <w:szCs w:val="21"/>
                <w:highlight w:val="none"/>
                <w:lang w:val="en-US" w:eastAsia="zh-CN" w:bidi="zh-CN"/>
              </w:rPr>
              <w:t>87.11504</w:t>
            </w:r>
            <w:r>
              <w:rPr>
                <w:rFonts w:hint="eastAsia" w:ascii="宋体" w:hAnsi="宋体" w:eastAsia="宋体" w:cs="宋体"/>
                <w:color w:val="auto"/>
                <w:kern w:val="0"/>
                <w:sz w:val="21"/>
                <w:szCs w:val="21"/>
                <w:highlight w:val="none"/>
                <w:lang w:val="zh-CN" w:eastAsia="zh-CN" w:bidi="zh-CN"/>
              </w:rPr>
              <w:t>%</w:t>
            </w:r>
            <w:r>
              <w:rPr>
                <w:rFonts w:hint="eastAsia" w:ascii="宋体" w:hAnsi="宋体" w:eastAsia="宋体" w:cs="宋体"/>
                <w:color w:val="auto"/>
                <w:spacing w:val="-5"/>
                <w:kern w:val="0"/>
                <w:sz w:val="21"/>
                <w:szCs w:val="21"/>
                <w:highlight w:val="none"/>
                <w:lang w:val="zh-CN" w:eastAsia="zh-CN" w:bidi="zh-CN"/>
              </w:rPr>
              <w:t>时，可选择小规</w:t>
            </w:r>
            <w:r>
              <w:rPr>
                <w:rFonts w:hint="eastAsia" w:ascii="宋体" w:hAnsi="宋体" w:eastAsia="宋体" w:cs="宋体"/>
                <w:color w:val="auto"/>
                <w:kern w:val="0"/>
                <w:sz w:val="21"/>
                <w:szCs w:val="21"/>
                <w:highlight w:val="none"/>
                <w:lang w:val="zh-CN" w:eastAsia="zh-CN" w:bidi="zh-CN"/>
              </w:rPr>
              <w:t>模纳税人。否则，选一般纳税人。</w:t>
            </w:r>
          </w:p>
        </w:tc>
      </w:tr>
      <w:tr w14:paraId="381C0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41091F8">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560" w:type="dxa"/>
            <w:vAlign w:val="center"/>
          </w:tcPr>
          <w:p w14:paraId="51CC2134">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42" w:type="dxa"/>
            <w:vAlign w:val="center"/>
          </w:tcPr>
          <w:p w14:paraId="65F03BAB">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93.81259%</w:t>
            </w:r>
          </w:p>
        </w:tc>
        <w:tc>
          <w:tcPr>
            <w:tcW w:w="4047" w:type="dxa"/>
            <w:vAlign w:val="center"/>
          </w:tcPr>
          <w:p w14:paraId="02A527E4">
            <w:pPr>
              <w:widowControl w:val="0"/>
              <w:autoSpaceDE w:val="0"/>
              <w:autoSpaceDN w:val="0"/>
              <w:spacing w:before="79" w:line="242" w:lineRule="auto"/>
              <w:ind w:left="108" w:right="95"/>
              <w:jc w:val="both"/>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小规模供应商的含税价格小于一般纳税</w:t>
            </w:r>
            <w:r>
              <w:rPr>
                <w:rFonts w:hint="eastAsia" w:ascii="宋体" w:hAnsi="宋体" w:eastAsia="宋体" w:cs="宋体"/>
                <w:color w:val="auto"/>
                <w:spacing w:val="-9"/>
                <w:kern w:val="0"/>
                <w:sz w:val="21"/>
                <w:szCs w:val="21"/>
                <w:highlight w:val="none"/>
                <w:lang w:val="zh-CN" w:eastAsia="zh-CN" w:bidi="zh-CN"/>
              </w:rPr>
              <w:t xml:space="preserve">人含税价格的 </w:t>
            </w:r>
            <w:r>
              <w:rPr>
                <w:rFonts w:hint="eastAsia" w:ascii="宋体" w:hAnsi="宋体" w:eastAsia="宋体" w:cs="宋体"/>
                <w:color w:val="auto"/>
                <w:kern w:val="0"/>
                <w:sz w:val="21"/>
                <w:szCs w:val="21"/>
                <w:highlight w:val="none"/>
                <w:lang w:val="en-US" w:eastAsia="zh-CN" w:bidi="zh-CN"/>
              </w:rPr>
              <w:t>93.81259</w:t>
            </w:r>
            <w:r>
              <w:rPr>
                <w:rFonts w:hint="eastAsia" w:ascii="宋体" w:hAnsi="宋体" w:eastAsia="宋体" w:cs="宋体"/>
                <w:color w:val="auto"/>
                <w:kern w:val="0"/>
                <w:sz w:val="21"/>
                <w:szCs w:val="21"/>
                <w:highlight w:val="none"/>
                <w:lang w:val="zh-CN" w:eastAsia="zh-CN" w:bidi="zh-CN"/>
              </w:rPr>
              <w:t>%</w:t>
            </w:r>
            <w:r>
              <w:rPr>
                <w:rFonts w:hint="eastAsia" w:ascii="宋体" w:hAnsi="宋体" w:eastAsia="宋体" w:cs="宋体"/>
                <w:color w:val="auto"/>
                <w:spacing w:val="-5"/>
                <w:kern w:val="0"/>
                <w:sz w:val="21"/>
                <w:szCs w:val="21"/>
                <w:highlight w:val="none"/>
                <w:lang w:val="zh-CN" w:eastAsia="zh-CN" w:bidi="zh-CN"/>
              </w:rPr>
              <w:t>时，可选择小规</w:t>
            </w:r>
            <w:r>
              <w:rPr>
                <w:rFonts w:hint="eastAsia" w:ascii="宋体" w:hAnsi="宋体" w:eastAsia="宋体" w:cs="宋体"/>
                <w:color w:val="auto"/>
                <w:kern w:val="0"/>
                <w:sz w:val="21"/>
                <w:szCs w:val="21"/>
                <w:highlight w:val="none"/>
                <w:lang w:val="zh-CN" w:eastAsia="zh-CN" w:bidi="zh-CN"/>
              </w:rPr>
              <w:t>模纳税人。否则，选一般纳税人。</w:t>
            </w:r>
          </w:p>
        </w:tc>
      </w:tr>
      <w:tr w14:paraId="4E5A8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0DCB630">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560" w:type="dxa"/>
            <w:vAlign w:val="center"/>
          </w:tcPr>
          <w:p w14:paraId="25C22D75">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42" w:type="dxa"/>
            <w:vAlign w:val="center"/>
          </w:tcPr>
          <w:p w14:paraId="50263E10">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91.76994%</w:t>
            </w:r>
          </w:p>
        </w:tc>
        <w:tc>
          <w:tcPr>
            <w:tcW w:w="4047" w:type="dxa"/>
            <w:vAlign w:val="center"/>
          </w:tcPr>
          <w:p w14:paraId="4411B088">
            <w:pPr>
              <w:widowControl w:val="0"/>
              <w:autoSpaceDE w:val="0"/>
              <w:autoSpaceDN w:val="0"/>
              <w:spacing w:before="79" w:line="242" w:lineRule="auto"/>
              <w:ind w:left="108" w:right="95"/>
              <w:jc w:val="both"/>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小规模供应商的含税价格小于一般纳税</w:t>
            </w:r>
            <w:r>
              <w:rPr>
                <w:rFonts w:hint="eastAsia" w:ascii="宋体" w:hAnsi="宋体" w:eastAsia="宋体" w:cs="宋体"/>
                <w:color w:val="auto"/>
                <w:spacing w:val="-9"/>
                <w:kern w:val="0"/>
                <w:sz w:val="21"/>
                <w:szCs w:val="21"/>
                <w:highlight w:val="none"/>
                <w:lang w:val="zh-CN" w:eastAsia="zh-CN" w:bidi="zh-CN"/>
              </w:rPr>
              <w:t xml:space="preserve">人含税价格的 </w:t>
            </w:r>
            <w:r>
              <w:rPr>
                <w:rFonts w:hint="eastAsia" w:ascii="宋体" w:hAnsi="宋体" w:eastAsia="宋体" w:cs="宋体"/>
                <w:color w:val="auto"/>
                <w:kern w:val="0"/>
                <w:sz w:val="21"/>
                <w:szCs w:val="21"/>
                <w:highlight w:val="none"/>
                <w:lang w:val="zh-CN" w:eastAsia="zh-CN" w:bidi="zh-CN"/>
              </w:rPr>
              <w:t>88.9009%</w:t>
            </w:r>
            <w:r>
              <w:rPr>
                <w:rFonts w:hint="eastAsia" w:ascii="宋体" w:hAnsi="宋体" w:eastAsia="宋体" w:cs="宋体"/>
                <w:color w:val="auto"/>
                <w:spacing w:val="-5"/>
                <w:kern w:val="0"/>
                <w:sz w:val="21"/>
                <w:szCs w:val="21"/>
                <w:highlight w:val="none"/>
                <w:lang w:val="zh-CN" w:eastAsia="zh-CN" w:bidi="zh-CN"/>
              </w:rPr>
              <w:t>时，可选择小规</w:t>
            </w:r>
            <w:r>
              <w:rPr>
                <w:rFonts w:hint="eastAsia" w:ascii="宋体" w:hAnsi="宋体" w:eastAsia="宋体" w:cs="宋体"/>
                <w:color w:val="auto"/>
                <w:kern w:val="0"/>
                <w:sz w:val="21"/>
                <w:szCs w:val="21"/>
                <w:highlight w:val="none"/>
                <w:lang w:val="zh-CN" w:eastAsia="zh-CN" w:bidi="zh-CN"/>
              </w:rPr>
              <w:t>模纳税人。否则，选一般纳税人。</w:t>
            </w:r>
          </w:p>
        </w:tc>
      </w:tr>
      <w:tr w14:paraId="3C657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B0CC823">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560" w:type="dxa"/>
            <w:vAlign w:val="center"/>
          </w:tcPr>
          <w:p w14:paraId="46080635">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1842" w:type="dxa"/>
            <w:vAlign w:val="center"/>
          </w:tcPr>
          <w:p w14:paraId="5FAEE10E">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90.75229%</w:t>
            </w:r>
          </w:p>
        </w:tc>
        <w:tc>
          <w:tcPr>
            <w:tcW w:w="4047" w:type="dxa"/>
            <w:vAlign w:val="center"/>
          </w:tcPr>
          <w:p w14:paraId="290B8F37">
            <w:pPr>
              <w:widowControl w:val="0"/>
              <w:autoSpaceDE w:val="0"/>
              <w:autoSpaceDN w:val="0"/>
              <w:spacing w:before="79" w:line="242" w:lineRule="auto"/>
              <w:ind w:left="108" w:right="95"/>
              <w:jc w:val="both"/>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小规模供应商的含税价格小于一般纳税</w:t>
            </w:r>
            <w:r>
              <w:rPr>
                <w:rFonts w:hint="eastAsia" w:ascii="宋体" w:hAnsi="宋体" w:eastAsia="宋体" w:cs="宋体"/>
                <w:color w:val="auto"/>
                <w:spacing w:val="-9"/>
                <w:kern w:val="0"/>
                <w:sz w:val="21"/>
                <w:szCs w:val="21"/>
                <w:highlight w:val="none"/>
                <w:lang w:val="zh-CN" w:eastAsia="zh-CN" w:bidi="zh-CN"/>
              </w:rPr>
              <w:t xml:space="preserve">人含税价格的 </w:t>
            </w:r>
            <w:r>
              <w:rPr>
                <w:rFonts w:hint="eastAsia" w:ascii="宋体" w:hAnsi="宋体" w:eastAsia="宋体" w:cs="宋体"/>
                <w:color w:val="auto"/>
                <w:kern w:val="0"/>
                <w:sz w:val="21"/>
                <w:szCs w:val="21"/>
                <w:highlight w:val="none"/>
                <w:lang w:val="en-US" w:eastAsia="zh-CN" w:bidi="zh-CN"/>
              </w:rPr>
              <w:t>90.75229</w:t>
            </w:r>
            <w:r>
              <w:rPr>
                <w:rFonts w:hint="eastAsia" w:ascii="宋体" w:hAnsi="宋体" w:eastAsia="宋体" w:cs="宋体"/>
                <w:color w:val="auto"/>
                <w:kern w:val="0"/>
                <w:sz w:val="21"/>
                <w:szCs w:val="21"/>
                <w:highlight w:val="none"/>
                <w:lang w:val="zh-CN" w:eastAsia="zh-CN" w:bidi="zh-CN"/>
              </w:rPr>
              <w:t>%</w:t>
            </w:r>
            <w:r>
              <w:rPr>
                <w:rFonts w:hint="eastAsia" w:ascii="宋体" w:hAnsi="宋体" w:eastAsia="宋体" w:cs="宋体"/>
                <w:color w:val="auto"/>
                <w:spacing w:val="-5"/>
                <w:kern w:val="0"/>
                <w:sz w:val="21"/>
                <w:szCs w:val="21"/>
                <w:highlight w:val="none"/>
                <w:lang w:val="zh-CN" w:eastAsia="zh-CN" w:bidi="zh-CN"/>
              </w:rPr>
              <w:t>时，可选择小规</w:t>
            </w:r>
            <w:r>
              <w:rPr>
                <w:rFonts w:hint="eastAsia" w:ascii="宋体" w:hAnsi="宋体" w:eastAsia="宋体" w:cs="宋体"/>
                <w:color w:val="auto"/>
                <w:kern w:val="0"/>
                <w:sz w:val="21"/>
                <w:szCs w:val="21"/>
                <w:highlight w:val="none"/>
                <w:lang w:val="zh-CN" w:eastAsia="zh-CN" w:bidi="zh-CN"/>
              </w:rPr>
              <w:t>模纳税人。否则，选一般纳税人。</w:t>
            </w:r>
          </w:p>
        </w:tc>
      </w:tr>
      <w:tr w14:paraId="038B6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703F9E6">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560" w:type="dxa"/>
            <w:vAlign w:val="center"/>
          </w:tcPr>
          <w:p w14:paraId="11EAF9DF">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42" w:type="dxa"/>
            <w:vAlign w:val="center"/>
          </w:tcPr>
          <w:p w14:paraId="7B184048">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96.81874%</w:t>
            </w:r>
          </w:p>
        </w:tc>
        <w:tc>
          <w:tcPr>
            <w:tcW w:w="4047" w:type="dxa"/>
            <w:vAlign w:val="center"/>
          </w:tcPr>
          <w:p w14:paraId="0CF7A5BA">
            <w:pPr>
              <w:widowControl w:val="0"/>
              <w:autoSpaceDE w:val="0"/>
              <w:autoSpaceDN w:val="0"/>
              <w:spacing w:before="79" w:line="244" w:lineRule="auto"/>
              <w:ind w:left="108" w:right="95"/>
              <w:jc w:val="both"/>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小规模供应商的含税价格小于一般纳税</w:t>
            </w:r>
            <w:r>
              <w:rPr>
                <w:rFonts w:hint="eastAsia" w:ascii="宋体" w:hAnsi="宋体" w:eastAsia="宋体" w:cs="宋体"/>
                <w:color w:val="auto"/>
                <w:spacing w:val="-9"/>
                <w:kern w:val="0"/>
                <w:sz w:val="21"/>
                <w:szCs w:val="21"/>
                <w:highlight w:val="none"/>
                <w:lang w:val="zh-CN" w:eastAsia="zh-CN" w:bidi="zh-CN"/>
              </w:rPr>
              <w:t xml:space="preserve">人含税价格的 </w:t>
            </w:r>
            <w:r>
              <w:rPr>
                <w:rFonts w:hint="eastAsia" w:ascii="宋体" w:hAnsi="宋体" w:eastAsia="宋体" w:cs="宋体"/>
                <w:color w:val="auto"/>
                <w:kern w:val="0"/>
                <w:sz w:val="21"/>
                <w:szCs w:val="21"/>
                <w:highlight w:val="none"/>
                <w:lang w:val="zh-CN" w:eastAsia="zh-CN" w:bidi="zh-CN"/>
              </w:rPr>
              <w:t>96.8187</w:t>
            </w:r>
            <w:r>
              <w:rPr>
                <w:rFonts w:hint="eastAsia" w:ascii="宋体" w:hAnsi="宋体" w:eastAsia="宋体" w:cs="宋体"/>
                <w:color w:val="auto"/>
                <w:kern w:val="0"/>
                <w:sz w:val="21"/>
                <w:szCs w:val="21"/>
                <w:highlight w:val="none"/>
                <w:lang w:val="en-US" w:eastAsia="zh-CN" w:bidi="zh-CN"/>
              </w:rPr>
              <w:t>4</w:t>
            </w:r>
            <w:r>
              <w:rPr>
                <w:rFonts w:hint="eastAsia" w:ascii="宋体" w:hAnsi="宋体" w:eastAsia="宋体" w:cs="宋体"/>
                <w:color w:val="auto"/>
                <w:kern w:val="0"/>
                <w:sz w:val="21"/>
                <w:szCs w:val="21"/>
                <w:highlight w:val="none"/>
                <w:lang w:val="zh-CN" w:eastAsia="zh-CN" w:bidi="zh-CN"/>
              </w:rPr>
              <w:t>%</w:t>
            </w:r>
            <w:r>
              <w:rPr>
                <w:rFonts w:hint="eastAsia" w:ascii="宋体" w:hAnsi="宋体" w:eastAsia="宋体" w:cs="宋体"/>
                <w:color w:val="auto"/>
                <w:spacing w:val="-5"/>
                <w:kern w:val="0"/>
                <w:sz w:val="21"/>
                <w:szCs w:val="21"/>
                <w:highlight w:val="none"/>
                <w:lang w:val="zh-CN" w:eastAsia="zh-CN" w:bidi="zh-CN"/>
              </w:rPr>
              <w:t>时，可选择小规</w:t>
            </w:r>
            <w:r>
              <w:rPr>
                <w:rFonts w:hint="eastAsia" w:ascii="宋体" w:hAnsi="宋体" w:eastAsia="宋体" w:cs="宋体"/>
                <w:color w:val="auto"/>
                <w:kern w:val="0"/>
                <w:sz w:val="21"/>
                <w:szCs w:val="21"/>
                <w:highlight w:val="none"/>
                <w:lang w:val="zh-CN" w:eastAsia="zh-CN" w:bidi="zh-CN"/>
              </w:rPr>
              <w:t>模纳税人。否则，选一般纳税人。</w:t>
            </w:r>
          </w:p>
        </w:tc>
      </w:tr>
      <w:tr w14:paraId="1E7F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8D46A3B">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560" w:type="dxa"/>
            <w:vAlign w:val="center"/>
          </w:tcPr>
          <w:p w14:paraId="42968FA9">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42" w:type="dxa"/>
            <w:vAlign w:val="center"/>
          </w:tcPr>
          <w:p w14:paraId="06B1519A">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94.71063%</w:t>
            </w:r>
          </w:p>
        </w:tc>
        <w:tc>
          <w:tcPr>
            <w:tcW w:w="4047" w:type="dxa"/>
            <w:vAlign w:val="center"/>
          </w:tcPr>
          <w:p w14:paraId="5B5173B3">
            <w:pPr>
              <w:widowControl w:val="0"/>
              <w:autoSpaceDE w:val="0"/>
              <w:autoSpaceDN w:val="0"/>
              <w:spacing w:before="79" w:line="244" w:lineRule="auto"/>
              <w:ind w:left="108" w:right="95"/>
              <w:jc w:val="both"/>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小规模供应商的含税价格小于一般纳税</w:t>
            </w:r>
            <w:r>
              <w:rPr>
                <w:rFonts w:hint="eastAsia" w:ascii="宋体" w:hAnsi="宋体" w:eastAsia="宋体" w:cs="宋体"/>
                <w:color w:val="auto"/>
                <w:spacing w:val="-9"/>
                <w:kern w:val="0"/>
                <w:sz w:val="21"/>
                <w:szCs w:val="21"/>
                <w:highlight w:val="none"/>
                <w:lang w:val="zh-CN" w:eastAsia="zh-CN" w:bidi="zh-CN"/>
              </w:rPr>
              <w:t xml:space="preserve">人含税价格的 </w:t>
            </w:r>
            <w:r>
              <w:rPr>
                <w:rFonts w:hint="eastAsia" w:ascii="宋体" w:hAnsi="宋体" w:eastAsia="宋体" w:cs="宋体"/>
                <w:color w:val="auto"/>
                <w:kern w:val="0"/>
                <w:sz w:val="21"/>
                <w:szCs w:val="21"/>
                <w:highlight w:val="none"/>
                <w:lang w:val="zh-CN" w:eastAsia="zh-CN" w:bidi="zh-CN"/>
              </w:rPr>
              <w:t>93.6604%</w:t>
            </w:r>
            <w:r>
              <w:rPr>
                <w:rFonts w:hint="eastAsia" w:ascii="宋体" w:hAnsi="宋体" w:eastAsia="宋体" w:cs="宋体"/>
                <w:color w:val="auto"/>
                <w:spacing w:val="-5"/>
                <w:kern w:val="0"/>
                <w:sz w:val="21"/>
                <w:szCs w:val="21"/>
                <w:highlight w:val="none"/>
                <w:lang w:val="zh-CN" w:eastAsia="zh-CN" w:bidi="zh-CN"/>
              </w:rPr>
              <w:t>时，可选择小规</w:t>
            </w:r>
            <w:r>
              <w:rPr>
                <w:rFonts w:hint="eastAsia" w:ascii="宋体" w:hAnsi="宋体" w:eastAsia="宋体" w:cs="宋体"/>
                <w:color w:val="auto"/>
                <w:kern w:val="0"/>
                <w:sz w:val="21"/>
                <w:szCs w:val="21"/>
                <w:highlight w:val="none"/>
                <w:lang w:val="zh-CN" w:eastAsia="zh-CN" w:bidi="zh-CN"/>
              </w:rPr>
              <w:t>模纳税人。否则，选一般纳税人。</w:t>
            </w:r>
          </w:p>
        </w:tc>
      </w:tr>
      <w:tr w14:paraId="57CA0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0518ABD">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560" w:type="dxa"/>
            <w:vAlign w:val="center"/>
          </w:tcPr>
          <w:p w14:paraId="780C13DB">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1842" w:type="dxa"/>
            <w:vAlign w:val="center"/>
          </w:tcPr>
          <w:p w14:paraId="5E5F95B8">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93.66038%</w:t>
            </w:r>
          </w:p>
        </w:tc>
        <w:tc>
          <w:tcPr>
            <w:tcW w:w="4047" w:type="dxa"/>
            <w:vAlign w:val="center"/>
          </w:tcPr>
          <w:p w14:paraId="64049E2B">
            <w:pPr>
              <w:widowControl w:val="0"/>
              <w:autoSpaceDE w:val="0"/>
              <w:autoSpaceDN w:val="0"/>
              <w:spacing w:before="79" w:line="244" w:lineRule="auto"/>
              <w:ind w:left="108" w:right="95"/>
              <w:jc w:val="both"/>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小规模供应商的含税价格小于一般纳税</w:t>
            </w:r>
            <w:r>
              <w:rPr>
                <w:rFonts w:hint="eastAsia" w:ascii="宋体" w:hAnsi="宋体" w:eastAsia="宋体" w:cs="宋体"/>
                <w:color w:val="auto"/>
                <w:spacing w:val="-9"/>
                <w:kern w:val="0"/>
                <w:sz w:val="21"/>
                <w:szCs w:val="21"/>
                <w:highlight w:val="none"/>
                <w:lang w:val="zh-CN" w:eastAsia="zh-CN" w:bidi="zh-CN"/>
              </w:rPr>
              <w:t xml:space="preserve">人含税价格的 </w:t>
            </w:r>
            <w:r>
              <w:rPr>
                <w:rFonts w:hint="eastAsia" w:ascii="宋体" w:hAnsi="宋体" w:eastAsia="宋体" w:cs="宋体"/>
                <w:color w:val="auto"/>
                <w:kern w:val="0"/>
                <w:sz w:val="21"/>
                <w:szCs w:val="21"/>
                <w:highlight w:val="none"/>
                <w:lang w:val="zh-CN" w:eastAsia="zh-CN" w:bidi="zh-CN"/>
              </w:rPr>
              <w:t>93.660</w:t>
            </w:r>
            <w:r>
              <w:rPr>
                <w:rFonts w:hint="eastAsia" w:ascii="宋体" w:hAnsi="宋体" w:eastAsia="宋体" w:cs="宋体"/>
                <w:color w:val="auto"/>
                <w:kern w:val="0"/>
                <w:sz w:val="21"/>
                <w:szCs w:val="21"/>
                <w:highlight w:val="none"/>
                <w:lang w:val="en-US" w:eastAsia="zh-CN" w:bidi="zh-CN"/>
              </w:rPr>
              <w:t>38</w:t>
            </w:r>
            <w:r>
              <w:rPr>
                <w:rFonts w:hint="eastAsia" w:ascii="宋体" w:hAnsi="宋体" w:eastAsia="宋体" w:cs="宋体"/>
                <w:color w:val="auto"/>
                <w:kern w:val="0"/>
                <w:sz w:val="21"/>
                <w:szCs w:val="21"/>
                <w:highlight w:val="none"/>
                <w:lang w:val="zh-CN" w:eastAsia="zh-CN" w:bidi="zh-CN"/>
              </w:rPr>
              <w:t>%</w:t>
            </w:r>
            <w:r>
              <w:rPr>
                <w:rFonts w:hint="eastAsia" w:ascii="宋体" w:hAnsi="宋体" w:eastAsia="宋体" w:cs="宋体"/>
                <w:color w:val="auto"/>
                <w:spacing w:val="-5"/>
                <w:kern w:val="0"/>
                <w:sz w:val="21"/>
                <w:szCs w:val="21"/>
                <w:highlight w:val="none"/>
                <w:lang w:val="zh-CN" w:eastAsia="zh-CN" w:bidi="zh-CN"/>
              </w:rPr>
              <w:t>时，可选择小规</w:t>
            </w:r>
            <w:r>
              <w:rPr>
                <w:rFonts w:hint="eastAsia" w:ascii="宋体" w:hAnsi="宋体" w:eastAsia="宋体" w:cs="宋体"/>
                <w:color w:val="auto"/>
                <w:kern w:val="0"/>
                <w:sz w:val="21"/>
                <w:szCs w:val="21"/>
                <w:highlight w:val="none"/>
                <w:lang w:val="zh-CN" w:eastAsia="zh-CN" w:bidi="zh-CN"/>
              </w:rPr>
              <w:t>模纳税人。否则，选一般纳税人。</w:t>
            </w:r>
          </w:p>
        </w:tc>
      </w:tr>
      <w:tr w14:paraId="552A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BA5AB35">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560" w:type="dxa"/>
            <w:vAlign w:val="center"/>
          </w:tcPr>
          <w:p w14:paraId="658A28F9">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1842" w:type="dxa"/>
            <w:vAlign w:val="center"/>
          </w:tcPr>
          <w:p w14:paraId="63D9AAD7">
            <w:pPr>
              <w:widowControl/>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96.7379%</w:t>
            </w:r>
          </w:p>
        </w:tc>
        <w:tc>
          <w:tcPr>
            <w:tcW w:w="4047" w:type="dxa"/>
            <w:vAlign w:val="center"/>
          </w:tcPr>
          <w:p w14:paraId="5976D74B">
            <w:pPr>
              <w:widowControl w:val="0"/>
              <w:autoSpaceDE w:val="0"/>
              <w:autoSpaceDN w:val="0"/>
              <w:spacing w:before="79" w:line="244" w:lineRule="auto"/>
              <w:ind w:left="108" w:right="95"/>
              <w:jc w:val="both"/>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小规模供应商的含税价格小于一般纳税</w:t>
            </w:r>
            <w:r>
              <w:rPr>
                <w:rFonts w:hint="eastAsia" w:ascii="宋体" w:hAnsi="宋体" w:eastAsia="宋体" w:cs="宋体"/>
                <w:color w:val="auto"/>
                <w:spacing w:val="-9"/>
                <w:kern w:val="0"/>
                <w:sz w:val="21"/>
                <w:szCs w:val="21"/>
                <w:highlight w:val="none"/>
                <w:lang w:val="zh-CN" w:eastAsia="zh-CN" w:bidi="zh-CN"/>
              </w:rPr>
              <w:t xml:space="preserve">人含税价格的 </w:t>
            </w:r>
            <w:r>
              <w:rPr>
                <w:rFonts w:hint="eastAsia" w:ascii="宋体" w:hAnsi="宋体" w:eastAsia="宋体" w:cs="宋体"/>
                <w:color w:val="auto"/>
                <w:kern w:val="0"/>
                <w:sz w:val="21"/>
                <w:szCs w:val="21"/>
                <w:highlight w:val="none"/>
                <w:lang w:val="zh-CN" w:eastAsia="zh-CN" w:bidi="zh-CN"/>
              </w:rPr>
              <w:t>96.7379%</w:t>
            </w:r>
            <w:r>
              <w:rPr>
                <w:rFonts w:hint="eastAsia" w:ascii="宋体" w:hAnsi="宋体" w:eastAsia="宋体" w:cs="宋体"/>
                <w:color w:val="auto"/>
                <w:spacing w:val="-5"/>
                <w:kern w:val="0"/>
                <w:sz w:val="21"/>
                <w:szCs w:val="21"/>
                <w:highlight w:val="none"/>
                <w:lang w:val="zh-CN" w:eastAsia="zh-CN" w:bidi="zh-CN"/>
              </w:rPr>
              <w:t>时，可选择小规</w:t>
            </w:r>
            <w:r>
              <w:rPr>
                <w:rFonts w:hint="eastAsia" w:ascii="宋体" w:hAnsi="宋体" w:eastAsia="宋体" w:cs="宋体"/>
                <w:color w:val="auto"/>
                <w:kern w:val="0"/>
                <w:sz w:val="21"/>
                <w:szCs w:val="21"/>
                <w:highlight w:val="none"/>
                <w:lang w:val="zh-CN" w:eastAsia="zh-CN" w:bidi="zh-CN"/>
              </w:rPr>
              <w:t>模纳税人。否则，选一般纳税人。</w:t>
            </w:r>
          </w:p>
        </w:tc>
      </w:tr>
    </w:tbl>
    <w:p w14:paraId="3E17105E">
      <w:pPr>
        <w:widowControl/>
        <w:spacing w:line="360" w:lineRule="exact"/>
        <w:jc w:val="left"/>
        <w:rPr>
          <w:color w:val="auto"/>
          <w:highlight w:val="none"/>
        </w:rPr>
      </w:pPr>
      <w:r>
        <w:rPr>
          <w:rFonts w:hint="eastAsia" w:ascii="宋体" w:hAnsi="宋体" w:eastAsia="宋体" w:cs="宋体"/>
          <w:color w:val="auto"/>
          <w:sz w:val="24"/>
          <w:highlight w:val="none"/>
        </w:rPr>
        <w:t>备注：取得增值税普通发票的，抵扣率在上表中视为 0%。</w:t>
      </w:r>
    </w:p>
    <w:sectPr>
      <w:headerReference r:id="rId33" w:type="default"/>
      <w:footerReference r:id="rId34" w:type="default"/>
      <w:footnotePr>
        <w:numFmt w:val="decimalEnclosedCircleChinese"/>
        <w:numRestart w:val="eachPage"/>
      </w:footnotePr>
      <w:pgSz w:w="11907" w:h="16840"/>
      <w:pgMar w:top="1701" w:right="1588" w:bottom="1418" w:left="1588" w:header="992"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宋体">
    <w:panose1 w:val="02010600030101010101"/>
    <w:charset w:val="86"/>
    <w:family w:val="auto"/>
    <w:pitch w:val="default"/>
    <w:sig w:usb0="0000000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Yu Gothic UI">
    <w:altName w:val="Meiryo UI"/>
    <w:panose1 w:val="020B0500000000000000"/>
    <w:charset w:val="80"/>
    <w:family w:val="auto"/>
    <w:pitch w:val="default"/>
    <w:sig w:usb0="00000000" w:usb1="00000000" w:usb2="00000016" w:usb3="00000000" w:csb0="2002009F" w:csb1="00000000"/>
  </w:font>
  <w:font w:name="@黑体">
    <w:panose1 w:val="02010609060101010101"/>
    <w:charset w:val="86"/>
    <w:family w:val="modern"/>
    <w:pitch w:val="default"/>
    <w:sig w:usb0="800002BF" w:usb1="38CF7CFA" w:usb2="00000016" w:usb3="00000000" w:csb0="00040001" w:csb1="00000000"/>
  </w:font>
  <w:font w:name="@昆仑仿宋">
    <w:altName w:val="@黑体"/>
    <w:panose1 w:val="00000000000000000000"/>
    <w:charset w:val="86"/>
    <w:family w:val="modern"/>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Plotter">
    <w:altName w:val="Times New Roman"/>
    <w:panose1 w:val="00000000000000000000"/>
    <w:charset w:val="00"/>
    <w:family w:val="roman"/>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078933"/>
      <w:docPartObj>
        <w:docPartGallery w:val="autotext"/>
      </w:docPartObj>
    </w:sdtPr>
    <w:sdtContent>
      <w:p w14:paraId="6158522E">
        <w:pPr>
          <w:pStyle w:val="35"/>
          <w:jc w:val="center"/>
        </w:pPr>
        <w:r>
          <w:fldChar w:fldCharType="begin"/>
        </w:r>
        <w:r>
          <w:instrText xml:space="preserve">PAGE   \* MERGEFORMAT</w:instrText>
        </w:r>
        <w:r>
          <w:fldChar w:fldCharType="separate"/>
        </w:r>
        <w:r>
          <w:rPr>
            <w:lang w:val="zh-CN"/>
          </w:rPr>
          <w:t>7</w:t>
        </w:r>
        <w:r>
          <w:fldChar w:fldCharType="end"/>
        </w:r>
      </w:p>
    </w:sdtContent>
  </w:sdt>
  <w:p w14:paraId="31588967">
    <w:pPr>
      <w:pStyle w:val="35"/>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D849">
    <w:pPr>
      <w:tabs>
        <w:tab w:val="center" w:pos="4153"/>
        <w:tab w:val="right" w:pos="8306"/>
      </w:tabs>
      <w:snapToGrid w:val="0"/>
      <w:spacing w:line="360" w:lineRule="exact"/>
      <w:ind w:right="210" w:rightChars="100" w:firstLine="360"/>
      <w:jc w:val="center"/>
      <w:rPr>
        <w:rFonts w:asciiTheme="minorHAnsi" w:hAnsiTheme="minorHAnsi" w:eastAsiaTheme="minorEastAsia" w:cstheme="minorBidi"/>
        <w:kern w:val="2"/>
        <w:sz w:val="18"/>
        <w:szCs w:val="18"/>
        <w:lang w:val="en-US" w:eastAsia="zh-CN" w:bidi="ar-S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4982">
    <w:pPr>
      <w:tabs>
        <w:tab w:val="center" w:pos="4153"/>
        <w:tab w:val="right" w:pos="8306"/>
      </w:tabs>
      <w:snapToGrid w:val="0"/>
      <w:spacing w:line="240" w:lineRule="exact"/>
      <w:ind w:right="210" w:rightChars="100" w:firstLine="360"/>
      <w:jc w:val="center"/>
      <w:rPr>
        <w:rFonts w:eastAsia="黑体" w:asciiTheme="minorHAnsi" w:hAnsiTheme="minorHAnsi" w:cstheme="minorBidi"/>
        <w:kern w:val="2"/>
        <w:sz w:val="17"/>
        <w:szCs w:val="17"/>
        <w:lang w:val="en-US" w:eastAsia="zh-CN" w:bidi="ar-SA"/>
      </w:rPr>
    </w:pPr>
    <w:r>
      <w:rPr>
        <w:rFonts w:asciiTheme="minorHAnsi" w:hAnsiTheme="minorHAnsi" w:eastAsiaTheme="minorEastAsia" w:cstheme="minorBidi"/>
        <w:kern w:val="2"/>
        <w:sz w:val="17"/>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01332">
                          <w:pPr>
                            <w:snapToGrid w:val="0"/>
                            <w:spacing w:line="360" w:lineRule="exact"/>
                            <w:ind w:right="210" w:rightChars="100"/>
                            <w:jc w:val="righ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1</w:t>
                          </w:r>
                          <w:r>
                            <w:rPr>
                              <w:rFonts w:asciiTheme="minorHAnsi"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E301332">
                    <w:pPr>
                      <w:snapToGrid w:val="0"/>
                      <w:spacing w:line="360" w:lineRule="exact"/>
                      <w:ind w:right="210" w:rightChars="100"/>
                      <w:jc w:val="righ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1</w:t>
                    </w:r>
                    <w:r>
                      <w:rPr>
                        <w:rFonts w:asciiTheme="minorHAnsi"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1020C">
    <w:pPr>
      <w:tabs>
        <w:tab w:val="center" w:pos="4153"/>
        <w:tab w:val="right" w:pos="8306"/>
      </w:tabs>
      <w:snapToGrid w:val="0"/>
      <w:spacing w:line="240" w:lineRule="exact"/>
      <w:ind w:right="210" w:rightChars="100" w:firstLine="360"/>
      <w:jc w:val="center"/>
      <w:rPr>
        <w:rFonts w:eastAsia="黑体" w:asciiTheme="minorHAnsi" w:hAnsiTheme="minorHAnsi" w:cstheme="minorBidi"/>
        <w:kern w:val="2"/>
        <w:sz w:val="17"/>
        <w:szCs w:val="17"/>
        <w:lang w:val="en-US" w:eastAsia="zh-CN" w:bidi="ar-SA"/>
      </w:rPr>
    </w:pPr>
    <w:r>
      <w:rPr>
        <w:rFonts w:asciiTheme="minorHAnsi" w:hAnsiTheme="minorHAnsi" w:eastAsiaTheme="minorEastAsia" w:cstheme="minorBidi"/>
        <w:kern w:val="2"/>
        <w:sz w:val="17"/>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06D34">
                          <w:pPr>
                            <w:snapToGrid w:val="0"/>
                            <w:spacing w:line="360" w:lineRule="exact"/>
                            <w:ind w:right="210" w:rightChars="100"/>
                            <w:jc w:val="righ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1</w:t>
                          </w:r>
                          <w:r>
                            <w:rPr>
                              <w:rFonts w:asciiTheme="minorHAnsi"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36906D34">
                    <w:pPr>
                      <w:snapToGrid w:val="0"/>
                      <w:spacing w:line="360" w:lineRule="exact"/>
                      <w:ind w:right="210" w:rightChars="100"/>
                      <w:jc w:val="righ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1</w:t>
                    </w:r>
                    <w:r>
                      <w:rPr>
                        <w:rFonts w:asciiTheme="minorHAnsi"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57AEC">
    <w:pPr>
      <w:tabs>
        <w:tab w:val="center" w:pos="4153"/>
        <w:tab w:val="right" w:pos="8306"/>
      </w:tabs>
      <w:snapToGrid w:val="0"/>
      <w:spacing w:line="240" w:lineRule="exact"/>
      <w:ind w:right="210" w:rightChars="100" w:firstLine="360"/>
      <w:jc w:val="center"/>
      <w:rPr>
        <w:rFonts w:eastAsia="黑体" w:asciiTheme="minorHAnsi" w:hAnsiTheme="minorHAnsi" w:cstheme="minorBidi"/>
        <w:kern w:val="2"/>
        <w:sz w:val="17"/>
        <w:szCs w:val="17"/>
        <w:lang w:val="en-US" w:eastAsia="zh-CN" w:bidi="ar-SA"/>
      </w:rPr>
    </w:pPr>
    <w:r>
      <w:rPr>
        <w:rFonts w:asciiTheme="minorHAnsi" w:hAnsiTheme="minorHAnsi" w:eastAsiaTheme="minorEastAsia" w:cstheme="minorBidi"/>
        <w:kern w:val="2"/>
        <w:sz w:val="17"/>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3BF45">
                          <w:pPr>
                            <w:tabs>
                              <w:tab w:val="center" w:pos="4153"/>
                              <w:tab w:val="right" w:pos="8306"/>
                            </w:tabs>
                            <w:snapToGrid w:val="0"/>
                            <w:spacing w:line="360" w:lineRule="exact"/>
                            <w:ind w:right="210" w:rightChars="100"/>
                            <w:jc w:val="righ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39</w:t>
                          </w:r>
                          <w:r>
                            <w:rPr>
                              <w:rFonts w:asciiTheme="minorHAnsi"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A13BF45">
                    <w:pPr>
                      <w:tabs>
                        <w:tab w:val="center" w:pos="4153"/>
                        <w:tab w:val="right" w:pos="8306"/>
                      </w:tabs>
                      <w:snapToGrid w:val="0"/>
                      <w:spacing w:line="360" w:lineRule="exact"/>
                      <w:ind w:right="210" w:rightChars="100"/>
                      <w:jc w:val="righ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39</w:t>
                    </w:r>
                    <w:r>
                      <w:rPr>
                        <w:rFonts w:asciiTheme="minorHAnsi"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624A0">
    <w:pPr>
      <w:tabs>
        <w:tab w:val="center" w:pos="4153"/>
        <w:tab w:val="right" w:pos="8306"/>
      </w:tabs>
      <w:snapToGrid w:val="0"/>
      <w:spacing w:line="360" w:lineRule="exact"/>
      <w:ind w:right="210" w:rightChars="100" w:firstLine="360"/>
      <w:jc w:val="center"/>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C2E40">
                          <w:pPr>
                            <w:tabs>
                              <w:tab w:val="center" w:pos="4153"/>
                              <w:tab w:val="right" w:pos="8306"/>
                            </w:tabs>
                            <w:snapToGrid w:val="0"/>
                            <w:spacing w:line="360" w:lineRule="exact"/>
                            <w:ind w:right="210" w:rightChars="100"/>
                            <w:jc w:val="righ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38</w:t>
                          </w:r>
                          <w:r>
                            <w:rPr>
                              <w:rFonts w:asciiTheme="minorHAnsi"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CBC2E40">
                    <w:pPr>
                      <w:tabs>
                        <w:tab w:val="center" w:pos="4153"/>
                        <w:tab w:val="right" w:pos="8306"/>
                      </w:tabs>
                      <w:snapToGrid w:val="0"/>
                      <w:spacing w:line="360" w:lineRule="exact"/>
                      <w:ind w:right="210" w:rightChars="100"/>
                      <w:jc w:val="righ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38</w:t>
                    </w:r>
                    <w:r>
                      <w:rPr>
                        <w:rFonts w:asciiTheme="minorHAnsi"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7898">
    <w:pPr>
      <w:tabs>
        <w:tab w:val="center" w:pos="4153"/>
        <w:tab w:val="right" w:pos="8306"/>
      </w:tabs>
      <w:snapToGrid w:val="0"/>
      <w:spacing w:line="360" w:lineRule="exact"/>
      <w:ind w:right="210" w:rightChars="100"/>
      <w:jc w:val="center"/>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PAGE   \* MERGEFORMAT</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zh-CN" w:eastAsia="zh-CN" w:bidi="ar-SA"/>
      </w:rPr>
      <w:t>143</w:t>
    </w:r>
    <w:r>
      <w:rPr>
        <w:rFonts w:asciiTheme="minorHAnsi" w:hAnsiTheme="minorHAnsi" w:eastAsiaTheme="minorEastAsia" w:cstheme="minorBidi"/>
        <w:kern w:val="2"/>
        <w:sz w:val="18"/>
        <w:szCs w:val="18"/>
        <w:lang w:val="zh-CN" w:eastAsia="zh-CN" w:bidi="ar-SA"/>
      </w:rPr>
      <w:fldChar w:fldCharType="end"/>
    </w:r>
  </w:p>
  <w:p w14:paraId="1E5CAF18">
    <w:pPr>
      <w:tabs>
        <w:tab w:val="center" w:pos="4153"/>
        <w:tab w:val="right" w:pos="8306"/>
      </w:tabs>
      <w:snapToGrid w:val="0"/>
      <w:spacing w:line="240" w:lineRule="exact"/>
      <w:ind w:right="210" w:rightChars="100" w:firstLine="360"/>
      <w:jc w:val="center"/>
      <w:rPr>
        <w:rFonts w:eastAsia="黑体" w:asciiTheme="minorHAnsi" w:hAnsiTheme="minorHAnsi" w:cstheme="minorBidi"/>
        <w:kern w:val="2"/>
        <w:sz w:val="17"/>
        <w:szCs w:val="17"/>
        <w:lang w:val="en-US" w:eastAsia="zh-CN" w:bidi="ar-SA"/>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0C734">
    <w:pPr>
      <w:tabs>
        <w:tab w:val="center" w:pos="4153"/>
        <w:tab w:val="right" w:pos="8306"/>
      </w:tabs>
      <w:snapToGrid w:val="0"/>
      <w:spacing w:line="360" w:lineRule="exact"/>
      <w:ind w:right="210" w:rightChars="100" w:firstLine="360"/>
      <w:jc w:val="center"/>
      <w:rPr>
        <w:rFonts w:asciiTheme="minorHAnsi" w:hAnsiTheme="minorHAnsi" w:eastAsiaTheme="minorEastAsia" w:cstheme="minorBidi"/>
        <w:kern w:val="2"/>
        <w:sz w:val="18"/>
        <w:szCs w:val="18"/>
        <w:lang w:val="en-US" w:eastAsia="zh-CN" w:bidi="ar-SA"/>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B41F">
    <w:pPr>
      <w:pStyle w:val="35"/>
      <w:pBdr>
        <w:top w:val="thinThickSmallGap" w:color="622423" w:sz="24" w:space="1"/>
      </w:pBdr>
      <w:tabs>
        <w:tab w:val="right" w:pos="9072"/>
        <w:tab w:val="clear" w:pos="4153"/>
        <w:tab w:val="clear" w:pos="8306"/>
      </w:tabs>
      <w:rPr>
        <w:rFonts w:hint="default" w:ascii="Cambria" w:hAnsi="Cambria"/>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59D4D">
                          <w:pPr>
                            <w:pStyle w:val="3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5559D4D">
                    <w:pPr>
                      <w:pStyle w:val="3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Cambria" w:hAnsi="Cambria"/>
        <w:lang w:val="en-US" w:eastAsia="zh-CN"/>
      </w:rPr>
      <w:t xml:space="preserve">                                                                    </w:t>
    </w:r>
    <w:r>
      <w:rPr>
        <w:rFonts w:hint="eastAsia" w:ascii="黑体" w:hAnsi="黑体" w:eastAsia="黑体" w:cs="黑体"/>
        <w:lang w:val="en-US" w:eastAsia="zh-CN"/>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A850">
    <w:pPr>
      <w:pStyle w:val="35"/>
      <w:jc w:val="center"/>
    </w:pPr>
    <w:r>
      <w:fldChar w:fldCharType="begin"/>
    </w:r>
    <w:r>
      <w:instrText xml:space="preserve">PAGE   \* MERGEFORMAT</w:instrText>
    </w:r>
    <w:r>
      <w:fldChar w:fldCharType="separate"/>
    </w:r>
    <w:r>
      <w:rPr>
        <w:lang w:val="zh-CN"/>
      </w:rPr>
      <w:t>169</w:t>
    </w:r>
    <w:r>
      <w:rPr>
        <w:lang w:val="zh-CN"/>
      </w:rPr>
      <w:fldChar w:fldCharType="end"/>
    </w:r>
  </w:p>
  <w:p w14:paraId="0AD8E592">
    <w:pPr>
      <w:pStyle w:val="35"/>
      <w:spacing w:line="240" w:lineRule="exact"/>
      <w:ind w:right="360" w:firstLine="360"/>
      <w:jc w:val="center"/>
      <w:rPr>
        <w:rFonts w:eastAsia="黑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C5188">
    <w:pPr>
      <w:pStyle w:val="35"/>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BB270">
    <w:pPr>
      <w:pStyle w:val="3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9344">
    <w:pPr>
      <w:pStyle w:val="35"/>
      <w:jc w:val="center"/>
    </w:pPr>
    <w:r>
      <w:fldChar w:fldCharType="begin"/>
    </w:r>
    <w:r>
      <w:instrText xml:space="preserve">PAGE   \* MERGEFORMAT</w:instrText>
    </w:r>
    <w:r>
      <w:fldChar w:fldCharType="separate"/>
    </w:r>
    <w:r>
      <w:rPr>
        <w:lang w:val="zh-CN"/>
      </w:rPr>
      <w:t>25</w:t>
    </w:r>
    <w:r>
      <w:rPr>
        <w:lang w:val="zh-CN"/>
      </w:rPr>
      <w:fldChar w:fldCharType="end"/>
    </w:r>
  </w:p>
  <w:p w14:paraId="5305F949">
    <w:pPr>
      <w:pStyle w:val="35"/>
      <w:spacing w:line="240" w:lineRule="exact"/>
      <w:ind w:right="360" w:firstLine="360"/>
      <w:jc w:val="center"/>
      <w:rPr>
        <w:rFonts w:eastAsia="黑体"/>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9B0DC">
    <w:pPr>
      <w:pStyle w:val="35"/>
      <w:jc w:val="center"/>
    </w:pPr>
    <w:r>
      <w:fldChar w:fldCharType="begin"/>
    </w:r>
    <w:r>
      <w:instrText xml:space="preserve">PAGE   \* MERGEFORMAT</w:instrText>
    </w:r>
    <w:r>
      <w:fldChar w:fldCharType="separate"/>
    </w:r>
    <w:r>
      <w:rPr>
        <w:lang w:val="zh-CN"/>
      </w:rPr>
      <w:t>59</w:t>
    </w:r>
    <w:r>
      <w:rPr>
        <w:lang w:val="zh-CN"/>
      </w:rPr>
      <w:fldChar w:fldCharType="end"/>
    </w:r>
  </w:p>
  <w:p w14:paraId="1C04A6EA">
    <w:pPr>
      <w:pStyle w:val="35"/>
      <w:spacing w:line="240" w:lineRule="exact"/>
      <w:ind w:right="360" w:firstLine="360"/>
      <w:jc w:val="center"/>
      <w:rPr>
        <w:rFonts w:eastAsia="黑体"/>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AEFF2">
    <w:pPr>
      <w:pStyle w:val="35"/>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4CFE">
    <w:pPr>
      <w:pStyle w:val="35"/>
      <w:jc w:val="center"/>
    </w:pPr>
    <w:r>
      <w:fldChar w:fldCharType="begin"/>
    </w:r>
    <w:r>
      <w:instrText xml:space="preserve">PAGE   \* MERGEFORMAT</w:instrText>
    </w:r>
    <w:r>
      <w:fldChar w:fldCharType="separate"/>
    </w:r>
    <w:r>
      <w:rPr>
        <w:lang w:val="zh-CN"/>
      </w:rPr>
      <w:t>66</w:t>
    </w:r>
    <w:r>
      <w:rPr>
        <w:lang w:val="zh-CN"/>
      </w:rPr>
      <w:fldChar w:fldCharType="end"/>
    </w:r>
  </w:p>
  <w:p w14:paraId="1443C3E4">
    <w:pPr>
      <w:pStyle w:val="35"/>
      <w:spacing w:line="240" w:lineRule="exact"/>
      <w:ind w:right="360" w:firstLine="360"/>
      <w:jc w:val="center"/>
      <w:rPr>
        <w:rFonts w:eastAsia="黑体"/>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3D131">
    <w:pPr>
      <w:pStyle w:val="35"/>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533E2">
    <w:pPr>
      <w:tabs>
        <w:tab w:val="center" w:pos="4153"/>
        <w:tab w:val="right" w:pos="8306"/>
      </w:tabs>
      <w:snapToGrid w:val="0"/>
      <w:spacing w:line="240" w:lineRule="exact"/>
      <w:ind w:right="210" w:rightChars="100" w:firstLine="360"/>
      <w:jc w:val="center"/>
      <w:rPr>
        <w:rFonts w:eastAsia="黑体" w:asciiTheme="minorHAnsi" w:hAnsiTheme="minorHAnsi" w:cstheme="minorBidi"/>
        <w:kern w:val="2"/>
        <w:sz w:val="17"/>
        <w:szCs w:val="17"/>
        <w:lang w:val="en-US" w:eastAsia="zh-CN" w:bidi="ar-SA"/>
      </w:rPr>
    </w:pPr>
    <w:r>
      <w:rPr>
        <w:rFonts w:asciiTheme="minorHAnsi" w:hAnsiTheme="minorHAnsi" w:eastAsiaTheme="minorEastAsia" w:cstheme="minorBidi"/>
        <w:kern w:val="2"/>
        <w:sz w:val="17"/>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C1013">
                          <w:pPr>
                            <w:snapToGrid w:val="0"/>
                            <w:spacing w:line="360" w:lineRule="exact"/>
                            <w:ind w:right="210" w:rightChars="100"/>
                            <w:jc w:val="righ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6</w:t>
                          </w:r>
                          <w:r>
                            <w:rPr>
                              <w:rFonts w:asciiTheme="minorHAnsi"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1BC1013">
                    <w:pPr>
                      <w:snapToGrid w:val="0"/>
                      <w:spacing w:line="360" w:lineRule="exact"/>
                      <w:ind w:right="210" w:rightChars="100"/>
                      <w:jc w:val="righ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en-US" w:eastAsia="zh-CN" w:bidi="ar-SA"/>
                      </w:rPr>
                      <w:t>6</w:t>
                    </w:r>
                    <w:r>
                      <w:rPr>
                        <w:rFonts w:asciiTheme="minorHAnsi" w:hAnsiTheme="minorHAnsi" w:eastAsiaTheme="minorEastAsia" w:cstheme="minorBidi"/>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54AF9DB0">
      <w:pPr>
        <w:pStyle w:val="41"/>
        <w:spacing w:line="340" w:lineRule="atLeast"/>
        <w:ind w:right="-88" w:rightChars="-42" w:firstLine="0"/>
        <w:rPr>
          <w:szCs w:val="18"/>
        </w:rPr>
      </w:pPr>
      <w:r>
        <w:rPr>
          <w:rStyle w:val="70"/>
          <w:szCs w:val="18"/>
        </w:rPr>
        <w:footnoteRef/>
      </w:r>
      <w:r>
        <w:rPr>
          <w:rFonts w:hint="eastAsia"/>
          <w:szCs w:val="18"/>
        </w:rPr>
        <w:t xml:space="preserve"> 投标保证金</w:t>
      </w:r>
      <w:r>
        <w:rPr>
          <w:szCs w:val="18"/>
        </w:rPr>
        <w:t>不得超过招标标段估算价的2%</w:t>
      </w:r>
      <w:r>
        <w:rPr>
          <w:rFonts w:hint="eastAsia"/>
          <w:szCs w:val="18"/>
        </w:rPr>
        <w:t>，招标人应据此测算出具体金额。</w:t>
      </w:r>
    </w:p>
  </w:footnote>
  <w:footnote w:id="1">
    <w:p w14:paraId="573FC2F7">
      <w:pPr>
        <w:pStyle w:val="41"/>
        <w:spacing w:line="320" w:lineRule="atLeast"/>
        <w:ind w:left="180" w:hanging="180" w:hangingChars="100"/>
        <w:rPr>
          <w:szCs w:val="18"/>
        </w:rPr>
      </w:pPr>
      <w:r>
        <w:rPr>
          <w:rStyle w:val="70"/>
          <w:szCs w:val="18"/>
        </w:rPr>
        <w:footnoteRef/>
      </w:r>
      <w:r>
        <w:rPr>
          <w:rFonts w:hint="eastAsia"/>
          <w:szCs w:val="18"/>
        </w:rPr>
        <w:t xml:space="preserve"> 招标文件中要求</w:t>
      </w:r>
      <w:r>
        <w:rPr>
          <w:szCs w:val="18"/>
        </w:rPr>
        <w:t>投标人提供的各类</w:t>
      </w:r>
      <w:r>
        <w:rPr>
          <w:rFonts w:hint="eastAsia"/>
          <w:szCs w:val="18"/>
        </w:rPr>
        <w:t>证照复印件均指彩色扫描件或彩色复印件，</w:t>
      </w:r>
      <w:r>
        <w:rPr>
          <w:szCs w:val="18"/>
        </w:rPr>
        <w:t>其他</w:t>
      </w:r>
      <w:r>
        <w:rPr>
          <w:rFonts w:hint="eastAsia"/>
          <w:szCs w:val="18"/>
        </w:rPr>
        <w:t>资料</w:t>
      </w:r>
      <w:r>
        <w:rPr>
          <w:szCs w:val="18"/>
        </w:rPr>
        <w:t>的复印件可</w:t>
      </w:r>
      <w:r>
        <w:rPr>
          <w:rFonts w:hint="eastAsia"/>
          <w:szCs w:val="18"/>
        </w:rPr>
        <w:t>为</w:t>
      </w:r>
      <w:r>
        <w:rPr>
          <w:szCs w:val="18"/>
        </w:rPr>
        <w:t>黑白扫描件或黑白复印件</w:t>
      </w:r>
      <w:r>
        <w:rPr>
          <w:rFonts w:hint="eastAsia"/>
          <w:szCs w:val="18"/>
        </w:rPr>
        <w:t>。</w:t>
      </w:r>
    </w:p>
  </w:footnote>
  <w:footnote w:id="2">
    <w:p w14:paraId="28704408">
      <w:pPr>
        <w:pStyle w:val="41"/>
        <w:tabs>
          <w:tab w:val="left" w:pos="3780"/>
        </w:tabs>
        <w:spacing w:line="340" w:lineRule="atLeast"/>
        <w:ind w:firstLine="0"/>
        <w:rPr>
          <w:szCs w:val="18"/>
        </w:rPr>
      </w:pPr>
      <w:r>
        <w:rPr>
          <w:rStyle w:val="70"/>
          <w:szCs w:val="18"/>
        </w:rPr>
        <w:footnoteRef/>
      </w:r>
      <w:r>
        <w:rPr>
          <w:szCs w:val="18"/>
        </w:rPr>
        <w:t xml:space="preserve"> </w:t>
      </w:r>
      <w:r>
        <w:rPr>
          <w:rFonts w:hint="eastAsia"/>
          <w:szCs w:val="18"/>
        </w:rPr>
        <w:t>招标人可根据项目具体特点和实际情况进行修改。</w:t>
      </w:r>
    </w:p>
  </w:footnote>
  <w:footnote w:id="3">
    <w:p w14:paraId="13599650">
      <w:pPr>
        <w:pStyle w:val="41"/>
        <w:spacing w:line="300" w:lineRule="atLeast"/>
        <w:ind w:left="180" w:hanging="180" w:hangingChars="100"/>
        <w:jc w:val="both"/>
        <w:rPr>
          <w:rFonts w:hAnsi="宋体"/>
          <w:szCs w:val="18"/>
        </w:rPr>
      </w:pPr>
      <w:r>
        <w:rPr>
          <w:rStyle w:val="70"/>
          <w:rFonts w:ascii="宋体" w:hAnsi="宋体"/>
          <w:szCs w:val="18"/>
        </w:rPr>
        <w:footnoteRef/>
      </w:r>
      <w:r>
        <w:rPr>
          <w:rFonts w:hint="eastAsia" w:hAnsi="宋体"/>
          <w:szCs w:val="18"/>
        </w:rPr>
        <w:t xml:space="preserve"> 投标人仅须在投标文件的澄清或说明上加盖单位章，或由法定代表人或其委托代理人签字。</w:t>
      </w:r>
    </w:p>
  </w:footnote>
  <w:footnote w:id="4">
    <w:p w14:paraId="2A410B7F">
      <w:pPr>
        <w:pStyle w:val="41"/>
        <w:spacing w:line="320" w:lineRule="atLeast"/>
        <w:ind w:left="180" w:hanging="180" w:hangingChars="100"/>
        <w:rPr>
          <w:kern w:val="2"/>
          <w:sz w:val="21"/>
          <w:szCs w:val="21"/>
        </w:rPr>
      </w:pPr>
      <w:r>
        <w:rPr>
          <w:rStyle w:val="70"/>
        </w:rPr>
        <w:footnoteRef/>
      </w:r>
      <w:r>
        <w:t xml:space="preserve"> </w:t>
      </w:r>
      <w:r>
        <w:rPr>
          <w:rFonts w:hint="eastAsia" w:ascii="黑体" w:hAnsi="黑体" w:eastAsia="黑体"/>
        </w:rPr>
        <w:t>所有否决投标的条款标明*号。未标明*号的条款不得作为否决投标的条款。</w:t>
      </w:r>
    </w:p>
  </w:footnote>
  <w:footnote w:id="5">
    <w:p w14:paraId="6E70279B">
      <w:pPr>
        <w:tabs>
          <w:tab w:val="left" w:pos="3780"/>
        </w:tabs>
        <w:snapToGrid w:val="0"/>
        <w:spacing w:line="340" w:lineRule="atLeast"/>
        <w:ind w:left="720" w:firstLine="0"/>
        <w:jc w:val="both"/>
        <w:rPr>
          <w:rFonts w:ascii="宋体" w:hAnsiTheme="minorHAnsi" w:eastAsiaTheme="minorEastAsia" w:cstheme="minorBidi"/>
          <w:kern w:val="2"/>
          <w:sz w:val="18"/>
          <w:szCs w:val="18"/>
          <w:lang w:val="en-US" w:eastAsia="zh-CN" w:bidi="ar-SA"/>
        </w:rPr>
      </w:pPr>
      <w:r>
        <w:rPr>
          <w:rStyle w:val="70"/>
          <w:rFonts w:ascii="Times New Roman" w:hAnsi="Times New Roman" w:eastAsia="宋体" w:cs="Times New Roman"/>
          <w:kern w:val="2"/>
          <w:sz w:val="21"/>
          <w:szCs w:val="24"/>
          <w:lang w:val="en-US" w:eastAsia="zh-CN" w:bidi="ar-SA"/>
        </w:rPr>
        <w:footnoteRef/>
      </w:r>
      <w:r>
        <w:rPr>
          <w:rFonts w:hint="eastAsia" w:ascii="宋体" w:hAnsiTheme="minorHAnsi" w:eastAsiaTheme="minorEastAsia" w:cstheme="minorBidi"/>
          <w:kern w:val="2"/>
          <w:sz w:val="18"/>
          <w:szCs w:val="18"/>
          <w:lang w:val="en-US" w:eastAsia="zh-CN" w:bidi="ar-SA"/>
        </w:rPr>
        <w:t>本条内容可修改为：“</w:t>
      </w:r>
      <w:r>
        <w:rPr>
          <w:rFonts w:ascii="宋体" w:hAnsiTheme="minorHAnsi" w:eastAsiaTheme="minorEastAsia" w:cstheme="minorBidi"/>
          <w:kern w:val="2"/>
          <w:sz w:val="18"/>
          <w:szCs w:val="18"/>
          <w:lang w:val="en-US" w:eastAsia="zh-CN" w:bidi="ar-SA"/>
        </w:rPr>
        <w:t>本</w:t>
      </w:r>
      <w:r>
        <w:rPr>
          <w:rFonts w:hint="eastAsia" w:ascii="宋体" w:hAnsiTheme="minorHAnsi" w:eastAsiaTheme="minorEastAsia" w:cstheme="minorBidi"/>
          <w:kern w:val="2"/>
          <w:sz w:val="18"/>
          <w:szCs w:val="18"/>
          <w:lang w:val="en-US" w:eastAsia="zh-CN" w:bidi="ar-SA"/>
        </w:rPr>
        <w:t>担保</w:t>
      </w:r>
      <w:r>
        <w:rPr>
          <w:rFonts w:ascii="宋体" w:hAnsiTheme="minorHAnsi" w:eastAsiaTheme="minorEastAsia" w:cstheme="minorBidi"/>
          <w:kern w:val="2"/>
          <w:sz w:val="18"/>
          <w:szCs w:val="18"/>
          <w:lang w:val="en-US" w:eastAsia="zh-CN" w:bidi="ar-SA"/>
        </w:rPr>
        <w:t>自</w:t>
      </w:r>
      <w:r>
        <w:rPr>
          <w:rFonts w:hint="eastAsia" w:ascii="宋体" w:hAnsiTheme="minorHAnsi" w:eastAsiaTheme="minorEastAsia" w:cstheme="minorBidi"/>
          <w:kern w:val="2"/>
          <w:sz w:val="18"/>
          <w:szCs w:val="18"/>
          <w:u w:val="single"/>
          <w:lang w:val="en-US" w:eastAsia="zh-CN" w:bidi="ar-SA"/>
        </w:rPr>
        <w:t xml:space="preserve">         </w:t>
      </w:r>
      <w:r>
        <w:rPr>
          <w:rFonts w:ascii="宋体" w:hAnsiTheme="minorHAnsi" w:eastAsiaTheme="minorEastAsia" w:cstheme="minorBidi"/>
          <w:kern w:val="2"/>
          <w:sz w:val="18"/>
          <w:szCs w:val="18"/>
          <w:lang w:val="en-US" w:eastAsia="zh-CN" w:bidi="ar-SA"/>
        </w:rPr>
        <w:t>（生效日期）之日起生效，至</w:t>
      </w:r>
      <w:r>
        <w:rPr>
          <w:rFonts w:hint="eastAsia" w:ascii="宋体" w:hAnsiTheme="minorHAnsi" w:eastAsiaTheme="minorEastAsia" w:cstheme="minorBidi"/>
          <w:kern w:val="2"/>
          <w:sz w:val="18"/>
          <w:szCs w:val="18"/>
          <w:u w:val="single"/>
          <w:lang w:val="en-US" w:eastAsia="zh-CN" w:bidi="ar-SA"/>
        </w:rPr>
        <w:t xml:space="preserve">         </w:t>
      </w:r>
      <w:r>
        <w:rPr>
          <w:rFonts w:ascii="宋体" w:hAnsiTheme="minorHAnsi" w:eastAsiaTheme="minorEastAsia" w:cstheme="minorBidi"/>
          <w:kern w:val="2"/>
          <w:sz w:val="18"/>
          <w:szCs w:val="18"/>
          <w:lang w:val="en-US" w:eastAsia="zh-CN" w:bidi="ar-SA"/>
        </w:rPr>
        <w:t>（失效日期）之日失效</w:t>
      </w:r>
      <w:r>
        <w:rPr>
          <w:rFonts w:hint="eastAsia" w:ascii="宋体" w:hAnsiTheme="minorHAnsi" w:eastAsiaTheme="minorEastAsia" w:cstheme="minorBidi"/>
          <w:kern w:val="2"/>
          <w:sz w:val="18"/>
          <w:szCs w:val="18"/>
          <w:lang w:val="en-US" w:eastAsia="zh-CN" w:bidi="ar-SA"/>
        </w:rPr>
        <w:t>。”</w:t>
      </w:r>
      <w:r>
        <w:rPr>
          <w:rFonts w:hint="eastAsia" w:ascii="宋体" w:hAnsiTheme="minorHAnsi" w:eastAsiaTheme="minorEastAsia" w:cstheme="minorBidi"/>
          <w:kern w:val="2"/>
          <w:sz w:val="21"/>
          <w:szCs w:val="21"/>
          <w:lang w:val="en-US" w:eastAsia="zh-CN" w:bidi="ar-SA"/>
        </w:rPr>
        <w:t xml:space="preserve"> </w:t>
      </w:r>
      <w:r>
        <w:rPr>
          <w:rFonts w:hint="eastAsia" w:ascii="宋体" w:hAnsiTheme="minorHAnsi" w:eastAsiaTheme="minorEastAsia" w:cstheme="minorBidi"/>
          <w:kern w:val="2"/>
          <w:sz w:val="18"/>
          <w:szCs w:val="18"/>
          <w:lang w:val="en-US" w:eastAsia="zh-CN" w:bidi="ar-SA"/>
        </w:rPr>
        <w:t>如委托人接受履约</w:t>
      </w:r>
      <w:r>
        <w:rPr>
          <w:rFonts w:ascii="宋体" w:hAnsiTheme="minorHAnsi" w:eastAsiaTheme="minorEastAsia" w:cstheme="minorBidi"/>
          <w:kern w:val="2"/>
          <w:sz w:val="18"/>
          <w:szCs w:val="18"/>
          <w:lang w:val="en-US" w:eastAsia="zh-CN" w:bidi="ar-SA"/>
        </w:rPr>
        <w:t>保函</w:t>
      </w:r>
      <w:r>
        <w:rPr>
          <w:rFonts w:hint="eastAsia" w:ascii="宋体" w:hAnsiTheme="minorHAnsi" w:eastAsiaTheme="minorEastAsia" w:cstheme="minorBidi"/>
          <w:kern w:val="2"/>
          <w:sz w:val="18"/>
          <w:szCs w:val="18"/>
          <w:lang w:val="en-US" w:eastAsia="zh-CN" w:bidi="ar-SA"/>
        </w:rPr>
        <w:t>采用固定有效</w:t>
      </w:r>
      <w:r>
        <w:rPr>
          <w:rFonts w:ascii="宋体" w:hAnsiTheme="minorHAnsi" w:eastAsiaTheme="minorEastAsia" w:cstheme="minorBidi"/>
          <w:kern w:val="2"/>
          <w:sz w:val="18"/>
          <w:szCs w:val="18"/>
          <w:lang w:val="en-US" w:eastAsia="zh-CN" w:bidi="ar-SA"/>
        </w:rPr>
        <w:t>期，</w:t>
      </w:r>
      <w:r>
        <w:rPr>
          <w:rFonts w:hint="eastAsia" w:ascii="宋体" w:hAnsiTheme="minorHAnsi" w:eastAsiaTheme="minorEastAsia" w:cstheme="minorBidi"/>
          <w:kern w:val="2"/>
          <w:sz w:val="18"/>
          <w:szCs w:val="18"/>
          <w:lang w:val="en-US" w:eastAsia="zh-CN" w:bidi="ar-SA"/>
        </w:rPr>
        <w:t>在项目</w:t>
      </w:r>
      <w:r>
        <w:rPr>
          <w:rFonts w:ascii="宋体" w:hAnsiTheme="minorHAnsi" w:eastAsiaTheme="minorEastAsia" w:cstheme="minorBidi"/>
          <w:kern w:val="2"/>
          <w:sz w:val="18"/>
          <w:szCs w:val="18"/>
          <w:lang w:val="en-US" w:eastAsia="zh-CN" w:bidi="ar-SA"/>
        </w:rPr>
        <w:t>专用合同条款中</w:t>
      </w:r>
      <w:r>
        <w:rPr>
          <w:rFonts w:hint="eastAsia" w:ascii="宋体" w:hAnsiTheme="minorHAnsi" w:eastAsiaTheme="minorEastAsia" w:cstheme="minorBidi"/>
          <w:kern w:val="2"/>
          <w:sz w:val="18"/>
          <w:szCs w:val="18"/>
          <w:lang w:val="en-US" w:eastAsia="zh-CN" w:bidi="ar-SA"/>
        </w:rPr>
        <w:t>应</w:t>
      </w:r>
      <w:r>
        <w:rPr>
          <w:rFonts w:ascii="宋体" w:hAnsiTheme="minorHAnsi" w:eastAsiaTheme="minorEastAsia" w:cstheme="minorBidi"/>
          <w:kern w:val="2"/>
          <w:sz w:val="18"/>
          <w:szCs w:val="18"/>
          <w:lang w:val="en-US" w:eastAsia="zh-CN" w:bidi="ar-SA"/>
        </w:rPr>
        <w:t>增加</w:t>
      </w:r>
      <w:r>
        <w:rPr>
          <w:rFonts w:hint="eastAsia" w:ascii="宋体" w:hAnsiTheme="minorHAnsi" w:eastAsiaTheme="minorEastAsia" w:cstheme="minorBidi"/>
          <w:kern w:val="2"/>
          <w:sz w:val="18"/>
          <w:szCs w:val="18"/>
          <w:lang w:val="en-US" w:eastAsia="zh-CN" w:bidi="ar-SA"/>
        </w:rPr>
        <w:t>保证咨询人在履约</w:t>
      </w:r>
      <w:r>
        <w:rPr>
          <w:rFonts w:ascii="宋体" w:hAnsiTheme="minorHAnsi" w:eastAsiaTheme="minorEastAsia" w:cstheme="minorBidi"/>
          <w:kern w:val="2"/>
          <w:sz w:val="18"/>
          <w:szCs w:val="18"/>
          <w:lang w:val="en-US" w:eastAsia="zh-CN" w:bidi="ar-SA"/>
        </w:rPr>
        <w:t>保函失效</w:t>
      </w:r>
      <w:r>
        <w:rPr>
          <w:rFonts w:hint="eastAsia" w:ascii="宋体" w:hAnsiTheme="minorHAnsi" w:eastAsiaTheme="minorEastAsia" w:cstheme="minorBidi"/>
          <w:kern w:val="2"/>
          <w:sz w:val="18"/>
          <w:szCs w:val="18"/>
          <w:lang w:val="en-US" w:eastAsia="zh-CN" w:bidi="ar-SA"/>
        </w:rPr>
        <w:t>日</w:t>
      </w:r>
      <w:r>
        <w:rPr>
          <w:rFonts w:ascii="宋体" w:hAnsiTheme="minorHAnsi" w:eastAsiaTheme="minorEastAsia" w:cstheme="minorBidi"/>
          <w:kern w:val="2"/>
          <w:sz w:val="18"/>
          <w:szCs w:val="18"/>
          <w:lang w:val="en-US" w:eastAsia="zh-CN" w:bidi="ar-SA"/>
        </w:rPr>
        <w:t>前向委托人出具后续阶段履约保函</w:t>
      </w:r>
      <w:r>
        <w:rPr>
          <w:rFonts w:hint="eastAsia" w:ascii="宋体" w:hAnsiTheme="minorHAnsi" w:eastAsiaTheme="minorEastAsia" w:cstheme="minorBidi"/>
          <w:kern w:val="2"/>
          <w:sz w:val="18"/>
          <w:szCs w:val="18"/>
          <w:lang w:val="en-US" w:eastAsia="zh-CN" w:bidi="ar-SA"/>
        </w:rPr>
        <w:t>的约束性</w:t>
      </w:r>
      <w:r>
        <w:rPr>
          <w:rFonts w:ascii="宋体" w:hAnsiTheme="minorHAnsi" w:eastAsiaTheme="minorEastAsia" w:cstheme="minorBidi"/>
          <w:kern w:val="2"/>
          <w:sz w:val="18"/>
          <w:szCs w:val="18"/>
          <w:lang w:val="en-US" w:eastAsia="zh-CN" w:bidi="ar-SA"/>
        </w:rPr>
        <w:t>条款，直至委托人签发交工验收证书且</w:t>
      </w:r>
      <w:r>
        <w:rPr>
          <w:rFonts w:hint="eastAsia" w:ascii="宋体" w:hAnsiTheme="minorHAnsi" w:eastAsiaTheme="minorEastAsia" w:cstheme="minorBidi"/>
          <w:kern w:val="2"/>
          <w:sz w:val="18"/>
          <w:szCs w:val="18"/>
          <w:lang w:val="en-US" w:eastAsia="zh-CN" w:bidi="ar-SA"/>
        </w:rPr>
        <w:t>咨询</w:t>
      </w:r>
      <w:r>
        <w:rPr>
          <w:rFonts w:ascii="宋体" w:hAnsiTheme="minorHAnsi" w:eastAsiaTheme="minorEastAsia" w:cstheme="minorBidi"/>
          <w:kern w:val="2"/>
          <w:sz w:val="18"/>
          <w:szCs w:val="18"/>
          <w:lang w:val="en-US" w:eastAsia="zh-CN" w:bidi="ar-SA"/>
        </w:rPr>
        <w:t>人按照合同约定提交缺陷责任期保函之日</w:t>
      </w:r>
      <w:r>
        <w:rPr>
          <w:rFonts w:hint="eastAsia" w:ascii="宋体" w:hAnsiTheme="minorHAnsi" w:eastAsiaTheme="minorEastAsia" w:cstheme="minorBidi"/>
          <w:kern w:val="2"/>
          <w:sz w:val="18"/>
          <w:szCs w:val="18"/>
          <w:lang w:val="en-US" w:eastAsia="zh-CN" w:bidi="ar-SA"/>
        </w:rPr>
        <w:t>为止</w:t>
      </w:r>
      <w:r>
        <w:rPr>
          <w:rFonts w:ascii="宋体" w:hAnsiTheme="minorHAnsi" w:eastAsiaTheme="minorEastAsia" w:cstheme="minorBidi"/>
          <w:kern w:val="2"/>
          <w:sz w:val="18"/>
          <w:szCs w:val="18"/>
          <w:lang w:val="en-US" w:eastAsia="zh-CN" w:bidi="ar-SA"/>
        </w:rPr>
        <w:t>。</w:t>
      </w:r>
    </w:p>
  </w:footnote>
  <w:footnote w:id="6">
    <w:p w14:paraId="55195106">
      <w:pPr>
        <w:pStyle w:val="41"/>
        <w:ind w:firstLine="0"/>
        <w:rPr>
          <w:szCs w:val="18"/>
        </w:rPr>
      </w:pPr>
      <w:r>
        <w:rPr>
          <w:rStyle w:val="70"/>
          <w:szCs w:val="18"/>
        </w:rPr>
        <w:footnoteRef/>
      </w:r>
      <w:r>
        <w:rPr>
          <w:rFonts w:hint="eastAsia"/>
          <w:szCs w:val="18"/>
        </w:rPr>
        <w:t xml:space="preserve"> 招标人可结合招标项目具体特点和实际需要，对本章内容进行补充、细化。</w:t>
      </w:r>
    </w:p>
  </w:footnote>
  <w:footnote w:id="7">
    <w:p w14:paraId="10883921">
      <w:pPr>
        <w:pStyle w:val="480"/>
        <w:spacing w:line="300" w:lineRule="atLeast"/>
        <w:ind w:left="180" w:hanging="180" w:hangingChars="100"/>
        <w:rPr>
          <w:rStyle w:val="57"/>
          <w:rFonts w:eastAsia="宋体" w:cs="Times New Roman"/>
          <w:szCs w:val="18"/>
        </w:rPr>
      </w:pPr>
      <w:r>
        <w:rPr>
          <w:rStyle w:val="57"/>
          <w:rFonts w:eastAsia="宋体" w:cs="Times New Roman"/>
          <w:szCs w:val="18"/>
          <w:vertAlign w:val="superscript"/>
        </w:rPr>
        <w:footnoteRef/>
      </w:r>
      <w:r>
        <w:rPr>
          <w:rStyle w:val="57"/>
          <w:rFonts w:hint="eastAsia" w:eastAsia="宋体" w:cs="Times New Roman"/>
          <w:szCs w:val="18"/>
        </w:rPr>
        <w:t xml:space="preserve"> 如果由投标人的法定代表人签署投标文件，则无须提交授权委托书。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3E18">
    <w:pPr>
      <w:pStyle w:val="36"/>
      <w:pBdr>
        <w:bottom w:val="single" w:color="auto" w:sz="4" w:space="1"/>
      </w:pBdr>
      <w:jc w:val="right"/>
      <w:rPr>
        <w:rFonts w:ascii="黑体" w:hAnsi="黑体" w:eastAsia="黑体"/>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80E4">
    <w:pPr>
      <w:pBdr>
        <w:top w:val="none" w:color="auto" w:sz="0" w:space="1"/>
        <w:left w:val="none" w:color="auto" w:sz="0" w:space="4"/>
        <w:bottom w:val="none" w:color="auto" w:sz="0" w:space="1"/>
        <w:right w:val="none" w:color="auto" w:sz="0" w:space="4"/>
      </w:pBdr>
      <w:snapToGrid w:val="0"/>
      <w:spacing w:line="240" w:lineRule="auto"/>
      <w:jc w:val="both"/>
      <w:rPr>
        <w:rFonts w:ascii="Times New Roman" w:hAnsi="Times New Roman" w:eastAsia="宋体" w:cs="Times New Roman"/>
        <w:b/>
        <w:kern w:val="2"/>
        <w:sz w:val="18"/>
        <w:szCs w:val="17"/>
        <w:lang w:val="en-US" w:eastAsia="zh-CN"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D9525">
    <w:pPr>
      <w:pBdr>
        <w:top w:val="none" w:color="auto" w:sz="0" w:space="1"/>
        <w:left w:val="none" w:color="auto" w:sz="0" w:space="4"/>
        <w:bottom w:val="none" w:color="auto" w:sz="0" w:space="1"/>
        <w:right w:val="none" w:color="auto" w:sz="0" w:space="4"/>
      </w:pBdr>
      <w:snapToGrid w:val="0"/>
      <w:spacing w:line="240" w:lineRule="auto"/>
      <w:jc w:val="both"/>
      <w:rPr>
        <w:rFonts w:ascii="Times New Roman" w:hAnsi="Times New Roman" w:eastAsia="宋体" w:cs="Times New Roman"/>
        <w:kern w:val="2"/>
        <w:sz w:val="18"/>
        <w:szCs w:val="17"/>
        <w:lang w:val="en-US" w:eastAsia="zh-CN" w:bidi="ar-S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30BDF">
    <w:pPr>
      <w:pStyle w:val="36"/>
      <w:rPr>
        <w:b/>
        <w:szCs w:val="17"/>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2F16">
    <w:pPr>
      <w:pBdr>
        <w:bottom w:val="single" w:color="auto" w:sz="4" w:space="1"/>
      </w:pBdr>
      <w:topLinePunct/>
      <w:spacing w:line="240" w:lineRule="atLeast"/>
      <w:ind w:right="190"/>
      <w:jc w:val="right"/>
      <w:rPr>
        <w:rStyle w:val="87"/>
        <w:rFonts w:eastAsia="黑体"/>
        <w:kern w:val="1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92D6F">
    <w:pPr>
      <w:pStyle w:val="36"/>
      <w:rPr>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CAFCA">
    <w:pPr>
      <w:pStyle w:val="36"/>
      <w:pBdr>
        <w:bottom w:val="single" w:color="auto" w:sz="4" w:space="1"/>
      </w:pBdr>
      <w:jc w:val="right"/>
      <w:rPr>
        <w:rFonts w:ascii="黑体" w:hAnsi="黑体" w:eastAsia="黑体"/>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D51F4">
    <w:pPr>
      <w:pBdr>
        <w:bottom w:val="single" w:color="auto" w:sz="4" w:space="1"/>
      </w:pBdr>
      <w:topLinePunct/>
      <w:spacing w:line="240" w:lineRule="atLeast"/>
      <w:ind w:right="190"/>
      <w:rPr>
        <w:sz w:val="17"/>
        <w:szCs w:val="17"/>
      </w:rPr>
    </w:pPr>
    <w:r>
      <w:rPr>
        <w:rStyle w:val="87"/>
        <w:rFonts w:hint="eastAsia" w:eastAsia="黑体"/>
        <w:kern w:val="10"/>
        <w:sz w:val="22"/>
        <w:szCs w:val="22"/>
      </w:rPr>
      <w:t>公路工程标准咨询服务招标文件（2019年版）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D026">
    <w:pPr>
      <w:pBdr>
        <w:bottom w:val="single" w:color="auto" w:sz="4" w:space="1"/>
      </w:pBdr>
      <w:topLinePunct/>
      <w:spacing w:line="240" w:lineRule="atLeast"/>
      <w:ind w:right="190"/>
      <w:rPr>
        <w:sz w:val="17"/>
        <w:szCs w:val="17"/>
      </w:rPr>
    </w:pPr>
    <w:r>
      <w:rPr>
        <w:rStyle w:val="87"/>
        <w:rFonts w:hint="eastAsia" w:eastAsia="黑体"/>
        <w:kern w:val="10"/>
        <w:sz w:val="22"/>
        <w:szCs w:val="22"/>
      </w:rPr>
      <w:t>公路工程标准咨询服务招标文件（2019年版）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D796">
    <w:pPr>
      <w:pStyle w:val="36"/>
      <w:rPr>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87DC">
    <w:pPr>
      <w:pBdr>
        <w:top w:val="none" w:color="auto" w:sz="0" w:space="1"/>
        <w:left w:val="none" w:color="auto" w:sz="0" w:space="4"/>
        <w:bottom w:val="none" w:color="auto" w:sz="0" w:space="1"/>
        <w:right w:val="none" w:color="auto" w:sz="0" w:space="4"/>
      </w:pBdr>
      <w:snapToGrid w:val="0"/>
      <w:spacing w:line="240" w:lineRule="auto"/>
      <w:jc w:val="both"/>
      <w:rPr>
        <w:rFonts w:ascii="Times New Roman" w:hAnsi="Times New Roman" w:eastAsia="宋体" w:cs="Times New Roman"/>
        <w:kern w:val="2"/>
        <w:sz w:val="18"/>
        <w:szCs w:val="17"/>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5CBB">
    <w:pPr>
      <w:widowControl/>
      <w:pBdr>
        <w:bottom w:val="single" w:color="auto" w:sz="4" w:space="1"/>
      </w:pBdr>
      <w:topLinePunct/>
      <w:spacing w:line="240" w:lineRule="atLeast"/>
      <w:ind w:right="190"/>
      <w:jc w:val="right"/>
      <w:rPr>
        <w:rStyle w:val="87"/>
        <w:rFonts w:ascii="黑体" w:hAnsi="黑体" w:eastAsia="黑体" w:cs="Times New Roman"/>
        <w:kern w:val="10"/>
        <w:sz w:val="21"/>
        <w:szCs w:val="21"/>
      </w:rPr>
    </w:pPr>
  </w:p>
  <w:p w14:paraId="2FD3E98E">
    <w:pPr>
      <w:pBdr>
        <w:top w:val="none" w:color="auto" w:sz="0" w:space="1"/>
        <w:left w:val="none" w:color="auto" w:sz="0" w:space="4"/>
        <w:bottom w:val="none" w:color="auto" w:sz="0" w:space="1"/>
        <w:right w:val="none" w:color="auto" w:sz="0" w:space="4"/>
      </w:pBdr>
      <w:snapToGrid w:val="0"/>
      <w:spacing w:line="240" w:lineRule="auto"/>
      <w:jc w:val="both"/>
      <w:rPr>
        <w:rFonts w:ascii="Times New Roman" w:hAnsi="Times New Roman" w:eastAsia="宋体" w:cs="Times New Roman"/>
        <w:b/>
        <w:kern w:val="2"/>
        <w:sz w:val="18"/>
        <w:szCs w:val="17"/>
        <w:lang w:val="en-US" w:eastAsia="zh-CN" w:bidi="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0E4A4">
    <w:pPr>
      <w:pBdr>
        <w:top w:val="none" w:color="auto" w:sz="0" w:space="1"/>
        <w:left w:val="none" w:color="auto" w:sz="0" w:space="4"/>
        <w:bottom w:val="none" w:color="auto" w:sz="0" w:space="1"/>
        <w:right w:val="none" w:color="auto" w:sz="0" w:space="4"/>
      </w:pBdr>
      <w:snapToGrid w:val="0"/>
      <w:spacing w:line="240" w:lineRule="auto"/>
      <w:jc w:val="both"/>
      <w:rPr>
        <w:rFonts w:ascii="Times New Roman" w:hAnsi="Times New Roman" w:eastAsia="宋体" w:cs="Times New Roman"/>
        <w:kern w:val="2"/>
        <w:sz w:val="18"/>
        <w:szCs w:val="17"/>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362CB"/>
    <w:multiLevelType w:val="singleLevel"/>
    <w:tmpl w:val="8C5362CB"/>
    <w:lvl w:ilvl="0" w:tentative="0">
      <w:start w:val="1"/>
      <w:numFmt w:val="decimal"/>
      <w:lvlText w:val="%1."/>
      <w:lvlJc w:val="left"/>
      <w:pPr>
        <w:tabs>
          <w:tab w:val="left" w:pos="312"/>
        </w:tabs>
      </w:pPr>
    </w:lvl>
  </w:abstractNum>
  <w:abstractNum w:abstractNumId="1">
    <w:nsid w:val="B9662C70"/>
    <w:multiLevelType w:val="singleLevel"/>
    <w:tmpl w:val="B9662C70"/>
    <w:lvl w:ilvl="0" w:tentative="0">
      <w:start w:val="1"/>
      <w:numFmt w:val="decimal"/>
      <w:lvlText w:val="%1."/>
      <w:lvlJc w:val="left"/>
      <w:pPr>
        <w:tabs>
          <w:tab w:val="left" w:pos="312"/>
        </w:tabs>
      </w:pPr>
    </w:lvl>
  </w:abstractNum>
  <w:abstractNum w:abstractNumId="2">
    <w:nsid w:val="F362E47E"/>
    <w:multiLevelType w:val="singleLevel"/>
    <w:tmpl w:val="F362E47E"/>
    <w:lvl w:ilvl="0" w:tentative="0">
      <w:start w:val="1"/>
      <w:numFmt w:val="chineseCounting"/>
      <w:suff w:val="nothing"/>
      <w:lvlText w:val="%1、"/>
      <w:lvlJc w:val="left"/>
      <w:rPr>
        <w:rFonts w:hint="eastAsia"/>
      </w:rPr>
    </w:lvl>
  </w:abstractNum>
  <w:abstractNum w:abstractNumId="3">
    <w:nsid w:val="F4CB9FC4"/>
    <w:multiLevelType w:val="singleLevel"/>
    <w:tmpl w:val="F4CB9FC4"/>
    <w:lvl w:ilvl="0" w:tentative="0">
      <w:start w:val="1"/>
      <w:numFmt w:val="chineseCounting"/>
      <w:suff w:val="nothing"/>
      <w:lvlText w:val="（%1）"/>
      <w:lvlJc w:val="left"/>
      <w:rPr>
        <w:rFonts w:hint="eastAsia"/>
      </w:rPr>
    </w:lvl>
  </w:abstractNum>
  <w:abstractNum w:abstractNumId="4">
    <w:nsid w:val="0F226130"/>
    <w:multiLevelType w:val="singleLevel"/>
    <w:tmpl w:val="0F226130"/>
    <w:lvl w:ilvl="0" w:tentative="0">
      <w:start w:val="2"/>
      <w:numFmt w:val="decimalFullWidth"/>
      <w:suff w:val="space"/>
      <w:lvlText w:val="%1."/>
      <w:lvlJc w:val="left"/>
      <w:rPr>
        <w:rFonts w:hint="eastAsia"/>
      </w:rPr>
    </w:lvl>
  </w:abstractNum>
  <w:abstractNum w:abstractNumId="5">
    <w:nsid w:val="2F9D7C12"/>
    <w:multiLevelType w:val="singleLevel"/>
    <w:tmpl w:val="2F9D7C12"/>
    <w:lvl w:ilvl="0" w:tentative="0">
      <w:start w:val="1"/>
      <w:numFmt w:val="decimal"/>
      <w:suff w:val="nothing"/>
      <w:lvlText w:val="（%1）"/>
      <w:lvlJc w:val="left"/>
      <w:pPr>
        <w:ind w:left="-6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16"/>
    <w:footnote w:id="1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ODJhMWVhYzkyMzg2ZmU1NWNiMTIxODkyNmE4YjUifQ=="/>
  </w:docVars>
  <w:rsids>
    <w:rsidRoot w:val="00183A6E"/>
    <w:rsid w:val="0000001F"/>
    <w:rsid w:val="0000015E"/>
    <w:rsid w:val="000004EC"/>
    <w:rsid w:val="00000524"/>
    <w:rsid w:val="0000071E"/>
    <w:rsid w:val="00000EEC"/>
    <w:rsid w:val="000013AF"/>
    <w:rsid w:val="000027F1"/>
    <w:rsid w:val="00002AD1"/>
    <w:rsid w:val="00002B9B"/>
    <w:rsid w:val="0000303A"/>
    <w:rsid w:val="00003C39"/>
    <w:rsid w:val="00003C73"/>
    <w:rsid w:val="00003F38"/>
    <w:rsid w:val="0000436D"/>
    <w:rsid w:val="00004C0C"/>
    <w:rsid w:val="00005417"/>
    <w:rsid w:val="0000567A"/>
    <w:rsid w:val="00005781"/>
    <w:rsid w:val="00005AF8"/>
    <w:rsid w:val="00005D16"/>
    <w:rsid w:val="0000601A"/>
    <w:rsid w:val="000060FE"/>
    <w:rsid w:val="000062A9"/>
    <w:rsid w:val="00006980"/>
    <w:rsid w:val="0000700D"/>
    <w:rsid w:val="0000722D"/>
    <w:rsid w:val="00007455"/>
    <w:rsid w:val="00007799"/>
    <w:rsid w:val="00007E1B"/>
    <w:rsid w:val="00010CBD"/>
    <w:rsid w:val="00010D0A"/>
    <w:rsid w:val="00011909"/>
    <w:rsid w:val="0001267B"/>
    <w:rsid w:val="00012A9E"/>
    <w:rsid w:val="000135D2"/>
    <w:rsid w:val="0001364D"/>
    <w:rsid w:val="00014EA1"/>
    <w:rsid w:val="000152F7"/>
    <w:rsid w:val="000156DA"/>
    <w:rsid w:val="0001594C"/>
    <w:rsid w:val="00015B67"/>
    <w:rsid w:val="00015FF0"/>
    <w:rsid w:val="00016921"/>
    <w:rsid w:val="0001738A"/>
    <w:rsid w:val="000173A0"/>
    <w:rsid w:val="0001746B"/>
    <w:rsid w:val="000175A9"/>
    <w:rsid w:val="00017876"/>
    <w:rsid w:val="0002009E"/>
    <w:rsid w:val="0002025C"/>
    <w:rsid w:val="00020375"/>
    <w:rsid w:val="00020382"/>
    <w:rsid w:val="00020409"/>
    <w:rsid w:val="000207C2"/>
    <w:rsid w:val="0002098B"/>
    <w:rsid w:val="000216E6"/>
    <w:rsid w:val="0002185D"/>
    <w:rsid w:val="000219A3"/>
    <w:rsid w:val="0002204B"/>
    <w:rsid w:val="00023047"/>
    <w:rsid w:val="000232C6"/>
    <w:rsid w:val="0002335B"/>
    <w:rsid w:val="00023703"/>
    <w:rsid w:val="000237C3"/>
    <w:rsid w:val="0002394B"/>
    <w:rsid w:val="00023E8C"/>
    <w:rsid w:val="00024283"/>
    <w:rsid w:val="00024371"/>
    <w:rsid w:val="00024A25"/>
    <w:rsid w:val="00024C5C"/>
    <w:rsid w:val="00024D41"/>
    <w:rsid w:val="000250A1"/>
    <w:rsid w:val="0002617F"/>
    <w:rsid w:val="00026423"/>
    <w:rsid w:val="00026D2B"/>
    <w:rsid w:val="00027B42"/>
    <w:rsid w:val="0003009E"/>
    <w:rsid w:val="0003015B"/>
    <w:rsid w:val="000302DB"/>
    <w:rsid w:val="00030850"/>
    <w:rsid w:val="00030F00"/>
    <w:rsid w:val="00031249"/>
    <w:rsid w:val="000316B1"/>
    <w:rsid w:val="000318AC"/>
    <w:rsid w:val="00031A9B"/>
    <w:rsid w:val="00032323"/>
    <w:rsid w:val="0003252B"/>
    <w:rsid w:val="00033048"/>
    <w:rsid w:val="00033271"/>
    <w:rsid w:val="000333E6"/>
    <w:rsid w:val="0003369F"/>
    <w:rsid w:val="00033BA1"/>
    <w:rsid w:val="00033CB7"/>
    <w:rsid w:val="00034A2F"/>
    <w:rsid w:val="0003557E"/>
    <w:rsid w:val="000355F3"/>
    <w:rsid w:val="000357A5"/>
    <w:rsid w:val="00035C00"/>
    <w:rsid w:val="00035EFC"/>
    <w:rsid w:val="000360AF"/>
    <w:rsid w:val="0003643A"/>
    <w:rsid w:val="0003653D"/>
    <w:rsid w:val="00036575"/>
    <w:rsid w:val="00036605"/>
    <w:rsid w:val="00036E8E"/>
    <w:rsid w:val="00037A32"/>
    <w:rsid w:val="00037FF8"/>
    <w:rsid w:val="000406C1"/>
    <w:rsid w:val="00041302"/>
    <w:rsid w:val="000413A1"/>
    <w:rsid w:val="0004141C"/>
    <w:rsid w:val="00041598"/>
    <w:rsid w:val="0004179D"/>
    <w:rsid w:val="0004197A"/>
    <w:rsid w:val="00041DCF"/>
    <w:rsid w:val="00042459"/>
    <w:rsid w:val="0004298A"/>
    <w:rsid w:val="00042A06"/>
    <w:rsid w:val="00042F0B"/>
    <w:rsid w:val="00043269"/>
    <w:rsid w:val="00043437"/>
    <w:rsid w:val="00043AF5"/>
    <w:rsid w:val="00043BA4"/>
    <w:rsid w:val="00043BB1"/>
    <w:rsid w:val="00043D44"/>
    <w:rsid w:val="00043E93"/>
    <w:rsid w:val="000448C6"/>
    <w:rsid w:val="00045307"/>
    <w:rsid w:val="00045474"/>
    <w:rsid w:val="00045588"/>
    <w:rsid w:val="00045BF8"/>
    <w:rsid w:val="00045ED3"/>
    <w:rsid w:val="00046385"/>
    <w:rsid w:val="00046742"/>
    <w:rsid w:val="0004688A"/>
    <w:rsid w:val="00046C6C"/>
    <w:rsid w:val="00046E46"/>
    <w:rsid w:val="00046F75"/>
    <w:rsid w:val="000470FD"/>
    <w:rsid w:val="00047E18"/>
    <w:rsid w:val="00047F50"/>
    <w:rsid w:val="0005001E"/>
    <w:rsid w:val="0005085F"/>
    <w:rsid w:val="000509E1"/>
    <w:rsid w:val="00050A3B"/>
    <w:rsid w:val="00050A57"/>
    <w:rsid w:val="00050ACF"/>
    <w:rsid w:val="00050C5E"/>
    <w:rsid w:val="000518A1"/>
    <w:rsid w:val="000519C9"/>
    <w:rsid w:val="00051D76"/>
    <w:rsid w:val="000522D6"/>
    <w:rsid w:val="000527D2"/>
    <w:rsid w:val="00052918"/>
    <w:rsid w:val="0005336F"/>
    <w:rsid w:val="0005350A"/>
    <w:rsid w:val="0005365E"/>
    <w:rsid w:val="00054111"/>
    <w:rsid w:val="000555D9"/>
    <w:rsid w:val="00055AB6"/>
    <w:rsid w:val="00055FC3"/>
    <w:rsid w:val="00056659"/>
    <w:rsid w:val="00056868"/>
    <w:rsid w:val="00056B72"/>
    <w:rsid w:val="000572A7"/>
    <w:rsid w:val="00057692"/>
    <w:rsid w:val="00057F27"/>
    <w:rsid w:val="000603C4"/>
    <w:rsid w:val="000608B3"/>
    <w:rsid w:val="00060B96"/>
    <w:rsid w:val="0006168E"/>
    <w:rsid w:val="000616D0"/>
    <w:rsid w:val="00061BC0"/>
    <w:rsid w:val="00061C1B"/>
    <w:rsid w:val="00061E21"/>
    <w:rsid w:val="00062D89"/>
    <w:rsid w:val="00062E9C"/>
    <w:rsid w:val="00063161"/>
    <w:rsid w:val="0006334C"/>
    <w:rsid w:val="00063B44"/>
    <w:rsid w:val="00063B57"/>
    <w:rsid w:val="00063D02"/>
    <w:rsid w:val="00063E83"/>
    <w:rsid w:val="00063EAB"/>
    <w:rsid w:val="000641E9"/>
    <w:rsid w:val="00064380"/>
    <w:rsid w:val="000643F2"/>
    <w:rsid w:val="000644B9"/>
    <w:rsid w:val="00064857"/>
    <w:rsid w:val="00065384"/>
    <w:rsid w:val="00065B0A"/>
    <w:rsid w:val="00065F8D"/>
    <w:rsid w:val="0006638C"/>
    <w:rsid w:val="00066735"/>
    <w:rsid w:val="00067AC0"/>
    <w:rsid w:val="0007022C"/>
    <w:rsid w:val="0007037D"/>
    <w:rsid w:val="000704F8"/>
    <w:rsid w:val="00070522"/>
    <w:rsid w:val="00070656"/>
    <w:rsid w:val="000706F5"/>
    <w:rsid w:val="00070FE7"/>
    <w:rsid w:val="0007147C"/>
    <w:rsid w:val="000715D7"/>
    <w:rsid w:val="000716AB"/>
    <w:rsid w:val="00071B8A"/>
    <w:rsid w:val="000725F4"/>
    <w:rsid w:val="00072643"/>
    <w:rsid w:val="0007269F"/>
    <w:rsid w:val="000726A6"/>
    <w:rsid w:val="00072E36"/>
    <w:rsid w:val="000733ED"/>
    <w:rsid w:val="00073431"/>
    <w:rsid w:val="00073C97"/>
    <w:rsid w:val="00074090"/>
    <w:rsid w:val="000740B0"/>
    <w:rsid w:val="0007425D"/>
    <w:rsid w:val="00074972"/>
    <w:rsid w:val="00074C68"/>
    <w:rsid w:val="00074D82"/>
    <w:rsid w:val="00074F9B"/>
    <w:rsid w:val="00074FF8"/>
    <w:rsid w:val="00075B9F"/>
    <w:rsid w:val="00076D26"/>
    <w:rsid w:val="00076F72"/>
    <w:rsid w:val="00076FD6"/>
    <w:rsid w:val="00077029"/>
    <w:rsid w:val="00077120"/>
    <w:rsid w:val="00077713"/>
    <w:rsid w:val="00077756"/>
    <w:rsid w:val="0007778E"/>
    <w:rsid w:val="00077EAC"/>
    <w:rsid w:val="000808D7"/>
    <w:rsid w:val="00080C3A"/>
    <w:rsid w:val="00080DF4"/>
    <w:rsid w:val="00080E55"/>
    <w:rsid w:val="00080E94"/>
    <w:rsid w:val="00080ED8"/>
    <w:rsid w:val="0008123A"/>
    <w:rsid w:val="00081A55"/>
    <w:rsid w:val="00081F5B"/>
    <w:rsid w:val="00083298"/>
    <w:rsid w:val="00083489"/>
    <w:rsid w:val="000837DD"/>
    <w:rsid w:val="00083F9A"/>
    <w:rsid w:val="000840A6"/>
    <w:rsid w:val="000845C3"/>
    <w:rsid w:val="00084744"/>
    <w:rsid w:val="0008478E"/>
    <w:rsid w:val="00085015"/>
    <w:rsid w:val="00085174"/>
    <w:rsid w:val="000858F1"/>
    <w:rsid w:val="00085B7E"/>
    <w:rsid w:val="00085E0C"/>
    <w:rsid w:val="00085E67"/>
    <w:rsid w:val="00086726"/>
    <w:rsid w:val="00086CB8"/>
    <w:rsid w:val="0008716E"/>
    <w:rsid w:val="00087B78"/>
    <w:rsid w:val="00087C4A"/>
    <w:rsid w:val="00087D47"/>
    <w:rsid w:val="00090245"/>
    <w:rsid w:val="00090903"/>
    <w:rsid w:val="00090907"/>
    <w:rsid w:val="00090F1F"/>
    <w:rsid w:val="0009131C"/>
    <w:rsid w:val="000914F2"/>
    <w:rsid w:val="000915D5"/>
    <w:rsid w:val="00091AEB"/>
    <w:rsid w:val="00091EF6"/>
    <w:rsid w:val="00092130"/>
    <w:rsid w:val="0009214B"/>
    <w:rsid w:val="000931C5"/>
    <w:rsid w:val="0009379A"/>
    <w:rsid w:val="00093BEA"/>
    <w:rsid w:val="000943FA"/>
    <w:rsid w:val="00094591"/>
    <w:rsid w:val="00094875"/>
    <w:rsid w:val="00094C83"/>
    <w:rsid w:val="00094FED"/>
    <w:rsid w:val="0009547B"/>
    <w:rsid w:val="00095BD6"/>
    <w:rsid w:val="00095F22"/>
    <w:rsid w:val="000960F1"/>
    <w:rsid w:val="00097246"/>
    <w:rsid w:val="000972BB"/>
    <w:rsid w:val="00097D04"/>
    <w:rsid w:val="00097DDB"/>
    <w:rsid w:val="000A0114"/>
    <w:rsid w:val="000A01B9"/>
    <w:rsid w:val="000A04EF"/>
    <w:rsid w:val="000A0AFA"/>
    <w:rsid w:val="000A0CE7"/>
    <w:rsid w:val="000A1330"/>
    <w:rsid w:val="000A18E2"/>
    <w:rsid w:val="000A1D8C"/>
    <w:rsid w:val="000A26A9"/>
    <w:rsid w:val="000A2AEF"/>
    <w:rsid w:val="000A2D88"/>
    <w:rsid w:val="000A31F5"/>
    <w:rsid w:val="000A3338"/>
    <w:rsid w:val="000A3F5B"/>
    <w:rsid w:val="000A45CB"/>
    <w:rsid w:val="000A4A47"/>
    <w:rsid w:val="000A4FE7"/>
    <w:rsid w:val="000A5528"/>
    <w:rsid w:val="000A5935"/>
    <w:rsid w:val="000A5CD2"/>
    <w:rsid w:val="000A5CF1"/>
    <w:rsid w:val="000A5EFF"/>
    <w:rsid w:val="000A610F"/>
    <w:rsid w:val="000A627F"/>
    <w:rsid w:val="000A659F"/>
    <w:rsid w:val="000A6613"/>
    <w:rsid w:val="000A666A"/>
    <w:rsid w:val="000A6891"/>
    <w:rsid w:val="000A7442"/>
    <w:rsid w:val="000A7B25"/>
    <w:rsid w:val="000A7E78"/>
    <w:rsid w:val="000B070D"/>
    <w:rsid w:val="000B0F3E"/>
    <w:rsid w:val="000B1980"/>
    <w:rsid w:val="000B216A"/>
    <w:rsid w:val="000B22CB"/>
    <w:rsid w:val="000B24A3"/>
    <w:rsid w:val="000B24F4"/>
    <w:rsid w:val="000B2B0C"/>
    <w:rsid w:val="000B2E75"/>
    <w:rsid w:val="000B30BD"/>
    <w:rsid w:val="000B317B"/>
    <w:rsid w:val="000B34E6"/>
    <w:rsid w:val="000B388D"/>
    <w:rsid w:val="000B389E"/>
    <w:rsid w:val="000B3922"/>
    <w:rsid w:val="000B48BB"/>
    <w:rsid w:val="000B4953"/>
    <w:rsid w:val="000B4E6F"/>
    <w:rsid w:val="000B501B"/>
    <w:rsid w:val="000B5B41"/>
    <w:rsid w:val="000B69AB"/>
    <w:rsid w:val="000B6A50"/>
    <w:rsid w:val="000B6B21"/>
    <w:rsid w:val="000B6E09"/>
    <w:rsid w:val="000B75C5"/>
    <w:rsid w:val="000C083D"/>
    <w:rsid w:val="000C1050"/>
    <w:rsid w:val="000C1885"/>
    <w:rsid w:val="000C18B8"/>
    <w:rsid w:val="000C2010"/>
    <w:rsid w:val="000C2704"/>
    <w:rsid w:val="000C29B6"/>
    <w:rsid w:val="000C3341"/>
    <w:rsid w:val="000C3414"/>
    <w:rsid w:val="000C384C"/>
    <w:rsid w:val="000C3ADC"/>
    <w:rsid w:val="000C3DF6"/>
    <w:rsid w:val="000C3EEC"/>
    <w:rsid w:val="000C40AF"/>
    <w:rsid w:val="000C473F"/>
    <w:rsid w:val="000C4A5D"/>
    <w:rsid w:val="000C532C"/>
    <w:rsid w:val="000C55A8"/>
    <w:rsid w:val="000C5DFE"/>
    <w:rsid w:val="000C5E78"/>
    <w:rsid w:val="000C5F02"/>
    <w:rsid w:val="000C678C"/>
    <w:rsid w:val="000C697F"/>
    <w:rsid w:val="000C6997"/>
    <w:rsid w:val="000C6DED"/>
    <w:rsid w:val="000C7208"/>
    <w:rsid w:val="000C74BA"/>
    <w:rsid w:val="000C74BE"/>
    <w:rsid w:val="000C757B"/>
    <w:rsid w:val="000C7BEF"/>
    <w:rsid w:val="000D0506"/>
    <w:rsid w:val="000D12D1"/>
    <w:rsid w:val="000D19D3"/>
    <w:rsid w:val="000D1A37"/>
    <w:rsid w:val="000D1B0E"/>
    <w:rsid w:val="000D25F4"/>
    <w:rsid w:val="000D2739"/>
    <w:rsid w:val="000D28FA"/>
    <w:rsid w:val="000D2B15"/>
    <w:rsid w:val="000D2C53"/>
    <w:rsid w:val="000D2C75"/>
    <w:rsid w:val="000D32A6"/>
    <w:rsid w:val="000D3395"/>
    <w:rsid w:val="000D3B2A"/>
    <w:rsid w:val="000D4042"/>
    <w:rsid w:val="000D4177"/>
    <w:rsid w:val="000D4265"/>
    <w:rsid w:val="000D4BFB"/>
    <w:rsid w:val="000D4CCF"/>
    <w:rsid w:val="000D4D62"/>
    <w:rsid w:val="000D4E80"/>
    <w:rsid w:val="000D4EEB"/>
    <w:rsid w:val="000D5115"/>
    <w:rsid w:val="000D5765"/>
    <w:rsid w:val="000D57FA"/>
    <w:rsid w:val="000D5902"/>
    <w:rsid w:val="000D5CCF"/>
    <w:rsid w:val="000D60F8"/>
    <w:rsid w:val="000D63A8"/>
    <w:rsid w:val="000D668E"/>
    <w:rsid w:val="000D6ABE"/>
    <w:rsid w:val="000D6B3E"/>
    <w:rsid w:val="000D6CF7"/>
    <w:rsid w:val="000D7C93"/>
    <w:rsid w:val="000E087A"/>
    <w:rsid w:val="000E0D30"/>
    <w:rsid w:val="000E0F8F"/>
    <w:rsid w:val="000E14FD"/>
    <w:rsid w:val="000E15CC"/>
    <w:rsid w:val="000E1BAC"/>
    <w:rsid w:val="000E1E2A"/>
    <w:rsid w:val="000E1F2B"/>
    <w:rsid w:val="000E2291"/>
    <w:rsid w:val="000E294B"/>
    <w:rsid w:val="000E2BBA"/>
    <w:rsid w:val="000E3659"/>
    <w:rsid w:val="000E3A5C"/>
    <w:rsid w:val="000E3FE5"/>
    <w:rsid w:val="000E4159"/>
    <w:rsid w:val="000E58C7"/>
    <w:rsid w:val="000E5ABE"/>
    <w:rsid w:val="000E5B50"/>
    <w:rsid w:val="000E5B9F"/>
    <w:rsid w:val="000E5EE4"/>
    <w:rsid w:val="000E63A4"/>
    <w:rsid w:val="000E66F7"/>
    <w:rsid w:val="000E6F28"/>
    <w:rsid w:val="000E7037"/>
    <w:rsid w:val="000E7263"/>
    <w:rsid w:val="000E7387"/>
    <w:rsid w:val="000E751B"/>
    <w:rsid w:val="000E7614"/>
    <w:rsid w:val="000E7A3F"/>
    <w:rsid w:val="000E7BC6"/>
    <w:rsid w:val="000F0614"/>
    <w:rsid w:val="000F08A1"/>
    <w:rsid w:val="000F125B"/>
    <w:rsid w:val="000F18AD"/>
    <w:rsid w:val="000F219D"/>
    <w:rsid w:val="000F23BC"/>
    <w:rsid w:val="000F2F8A"/>
    <w:rsid w:val="000F34B1"/>
    <w:rsid w:val="000F3770"/>
    <w:rsid w:val="000F3E55"/>
    <w:rsid w:val="000F414D"/>
    <w:rsid w:val="000F4804"/>
    <w:rsid w:val="000F5CC3"/>
    <w:rsid w:val="000F6064"/>
    <w:rsid w:val="000F6B5A"/>
    <w:rsid w:val="000F6DFE"/>
    <w:rsid w:val="000F7128"/>
    <w:rsid w:val="000F7FB7"/>
    <w:rsid w:val="001000F9"/>
    <w:rsid w:val="00100873"/>
    <w:rsid w:val="00100884"/>
    <w:rsid w:val="00101096"/>
    <w:rsid w:val="001010B9"/>
    <w:rsid w:val="001012B9"/>
    <w:rsid w:val="0010183A"/>
    <w:rsid w:val="00101CB6"/>
    <w:rsid w:val="0010209B"/>
    <w:rsid w:val="0010238C"/>
    <w:rsid w:val="00102510"/>
    <w:rsid w:val="00102585"/>
    <w:rsid w:val="0010293D"/>
    <w:rsid w:val="001029A6"/>
    <w:rsid w:val="00102A47"/>
    <w:rsid w:val="00102DC7"/>
    <w:rsid w:val="00103696"/>
    <w:rsid w:val="0010405D"/>
    <w:rsid w:val="001043B4"/>
    <w:rsid w:val="0010444F"/>
    <w:rsid w:val="001045E4"/>
    <w:rsid w:val="001046F1"/>
    <w:rsid w:val="001049F2"/>
    <w:rsid w:val="001053C2"/>
    <w:rsid w:val="00105F4B"/>
    <w:rsid w:val="0010623A"/>
    <w:rsid w:val="001064B4"/>
    <w:rsid w:val="0010678A"/>
    <w:rsid w:val="00106927"/>
    <w:rsid w:val="00106AB6"/>
    <w:rsid w:val="00106F6C"/>
    <w:rsid w:val="00107070"/>
    <w:rsid w:val="00107D22"/>
    <w:rsid w:val="00111409"/>
    <w:rsid w:val="00111797"/>
    <w:rsid w:val="001117F2"/>
    <w:rsid w:val="00111946"/>
    <w:rsid w:val="00111966"/>
    <w:rsid w:val="001120D3"/>
    <w:rsid w:val="0011236D"/>
    <w:rsid w:val="00112B4A"/>
    <w:rsid w:val="00113540"/>
    <w:rsid w:val="001138ED"/>
    <w:rsid w:val="00113ACB"/>
    <w:rsid w:val="00113D3F"/>
    <w:rsid w:val="001140AD"/>
    <w:rsid w:val="0011496D"/>
    <w:rsid w:val="00114DD9"/>
    <w:rsid w:val="00115546"/>
    <w:rsid w:val="001157AB"/>
    <w:rsid w:val="00115D86"/>
    <w:rsid w:val="00115EFE"/>
    <w:rsid w:val="00116134"/>
    <w:rsid w:val="0011640B"/>
    <w:rsid w:val="0011674E"/>
    <w:rsid w:val="00116C28"/>
    <w:rsid w:val="00116F83"/>
    <w:rsid w:val="0011720A"/>
    <w:rsid w:val="001179B6"/>
    <w:rsid w:val="00117A3A"/>
    <w:rsid w:val="00117EAE"/>
    <w:rsid w:val="00117F1B"/>
    <w:rsid w:val="00120B09"/>
    <w:rsid w:val="00120BCB"/>
    <w:rsid w:val="001227CC"/>
    <w:rsid w:val="00122DD3"/>
    <w:rsid w:val="00122FC9"/>
    <w:rsid w:val="00123370"/>
    <w:rsid w:val="00123396"/>
    <w:rsid w:val="00123468"/>
    <w:rsid w:val="00123772"/>
    <w:rsid w:val="00123FBF"/>
    <w:rsid w:val="00124485"/>
    <w:rsid w:val="001247DB"/>
    <w:rsid w:val="00124969"/>
    <w:rsid w:val="001249C5"/>
    <w:rsid w:val="0012509C"/>
    <w:rsid w:val="001251FF"/>
    <w:rsid w:val="00125420"/>
    <w:rsid w:val="001263E5"/>
    <w:rsid w:val="00127200"/>
    <w:rsid w:val="0012732F"/>
    <w:rsid w:val="00127689"/>
    <w:rsid w:val="00127911"/>
    <w:rsid w:val="00127CF0"/>
    <w:rsid w:val="001309EA"/>
    <w:rsid w:val="00131AEF"/>
    <w:rsid w:val="001320D1"/>
    <w:rsid w:val="00132269"/>
    <w:rsid w:val="0013245F"/>
    <w:rsid w:val="0013292B"/>
    <w:rsid w:val="00133B3C"/>
    <w:rsid w:val="00133B60"/>
    <w:rsid w:val="001344FC"/>
    <w:rsid w:val="001348D0"/>
    <w:rsid w:val="00134C18"/>
    <w:rsid w:val="00134C27"/>
    <w:rsid w:val="001352AA"/>
    <w:rsid w:val="00135F8F"/>
    <w:rsid w:val="0014008F"/>
    <w:rsid w:val="00140305"/>
    <w:rsid w:val="0014069F"/>
    <w:rsid w:val="001406FD"/>
    <w:rsid w:val="00140A61"/>
    <w:rsid w:val="0014123A"/>
    <w:rsid w:val="0014178B"/>
    <w:rsid w:val="00141966"/>
    <w:rsid w:val="00141D5D"/>
    <w:rsid w:val="00141E3A"/>
    <w:rsid w:val="001421E7"/>
    <w:rsid w:val="00142219"/>
    <w:rsid w:val="00142B3F"/>
    <w:rsid w:val="00142B6A"/>
    <w:rsid w:val="00142CD1"/>
    <w:rsid w:val="00142E68"/>
    <w:rsid w:val="00142E7D"/>
    <w:rsid w:val="0014306A"/>
    <w:rsid w:val="001434BA"/>
    <w:rsid w:val="00143C47"/>
    <w:rsid w:val="00143C48"/>
    <w:rsid w:val="00143C68"/>
    <w:rsid w:val="00143D4C"/>
    <w:rsid w:val="00143EA5"/>
    <w:rsid w:val="00144441"/>
    <w:rsid w:val="001448A5"/>
    <w:rsid w:val="00144B21"/>
    <w:rsid w:val="001459F8"/>
    <w:rsid w:val="00145E6D"/>
    <w:rsid w:val="0014600B"/>
    <w:rsid w:val="0014658C"/>
    <w:rsid w:val="00146710"/>
    <w:rsid w:val="0014690F"/>
    <w:rsid w:val="00146989"/>
    <w:rsid w:val="001476B3"/>
    <w:rsid w:val="00151038"/>
    <w:rsid w:val="00151A7F"/>
    <w:rsid w:val="00151F2E"/>
    <w:rsid w:val="001521E8"/>
    <w:rsid w:val="001527C1"/>
    <w:rsid w:val="00152861"/>
    <w:rsid w:val="00153DAB"/>
    <w:rsid w:val="00153EDC"/>
    <w:rsid w:val="0015434C"/>
    <w:rsid w:val="00154BB7"/>
    <w:rsid w:val="00155250"/>
    <w:rsid w:val="00155293"/>
    <w:rsid w:val="00155667"/>
    <w:rsid w:val="00155FC6"/>
    <w:rsid w:val="00156AD4"/>
    <w:rsid w:val="00157346"/>
    <w:rsid w:val="00157E52"/>
    <w:rsid w:val="001600C8"/>
    <w:rsid w:val="00160D73"/>
    <w:rsid w:val="0016205A"/>
    <w:rsid w:val="001623CE"/>
    <w:rsid w:val="00162541"/>
    <w:rsid w:val="00162720"/>
    <w:rsid w:val="001639C4"/>
    <w:rsid w:val="00163CB4"/>
    <w:rsid w:val="00164529"/>
    <w:rsid w:val="00164893"/>
    <w:rsid w:val="00164EDC"/>
    <w:rsid w:val="001655A3"/>
    <w:rsid w:val="00165E5B"/>
    <w:rsid w:val="001675B1"/>
    <w:rsid w:val="00167A32"/>
    <w:rsid w:val="00167AF9"/>
    <w:rsid w:val="00167EC1"/>
    <w:rsid w:val="00167F63"/>
    <w:rsid w:val="00170071"/>
    <w:rsid w:val="001701AF"/>
    <w:rsid w:val="00170CF8"/>
    <w:rsid w:val="00170F89"/>
    <w:rsid w:val="00171326"/>
    <w:rsid w:val="00171738"/>
    <w:rsid w:val="00171A81"/>
    <w:rsid w:val="00171F27"/>
    <w:rsid w:val="001722A2"/>
    <w:rsid w:val="001724E2"/>
    <w:rsid w:val="0017301A"/>
    <w:rsid w:val="001736BA"/>
    <w:rsid w:val="00174FFE"/>
    <w:rsid w:val="0017537A"/>
    <w:rsid w:val="001755A3"/>
    <w:rsid w:val="00175AB3"/>
    <w:rsid w:val="00175C51"/>
    <w:rsid w:val="00175F61"/>
    <w:rsid w:val="0017601A"/>
    <w:rsid w:val="0017609D"/>
    <w:rsid w:val="0017610F"/>
    <w:rsid w:val="00177050"/>
    <w:rsid w:val="00177564"/>
    <w:rsid w:val="00177857"/>
    <w:rsid w:val="00177D94"/>
    <w:rsid w:val="00177E64"/>
    <w:rsid w:val="00177F61"/>
    <w:rsid w:val="001801E3"/>
    <w:rsid w:val="00180461"/>
    <w:rsid w:val="00180BD9"/>
    <w:rsid w:val="0018150D"/>
    <w:rsid w:val="00181D41"/>
    <w:rsid w:val="00181DE7"/>
    <w:rsid w:val="00182E08"/>
    <w:rsid w:val="00182ED0"/>
    <w:rsid w:val="00182EE9"/>
    <w:rsid w:val="0018342A"/>
    <w:rsid w:val="00183553"/>
    <w:rsid w:val="00183A6E"/>
    <w:rsid w:val="00183AA1"/>
    <w:rsid w:val="001844D0"/>
    <w:rsid w:val="00184660"/>
    <w:rsid w:val="00184741"/>
    <w:rsid w:val="00185C87"/>
    <w:rsid w:val="00185CA1"/>
    <w:rsid w:val="00185D34"/>
    <w:rsid w:val="001861A7"/>
    <w:rsid w:val="001861EF"/>
    <w:rsid w:val="001867B8"/>
    <w:rsid w:val="00186CA7"/>
    <w:rsid w:val="001870B7"/>
    <w:rsid w:val="00187F1D"/>
    <w:rsid w:val="00190010"/>
    <w:rsid w:val="00190127"/>
    <w:rsid w:val="0019028F"/>
    <w:rsid w:val="001907E8"/>
    <w:rsid w:val="00190F1B"/>
    <w:rsid w:val="00191065"/>
    <w:rsid w:val="00191DE6"/>
    <w:rsid w:val="00192400"/>
    <w:rsid w:val="001928AA"/>
    <w:rsid w:val="00192F5D"/>
    <w:rsid w:val="0019378D"/>
    <w:rsid w:val="001937F4"/>
    <w:rsid w:val="001942E7"/>
    <w:rsid w:val="00194424"/>
    <w:rsid w:val="00194885"/>
    <w:rsid w:val="001948D6"/>
    <w:rsid w:val="001951E1"/>
    <w:rsid w:val="00195B3D"/>
    <w:rsid w:val="00195E02"/>
    <w:rsid w:val="00195EE2"/>
    <w:rsid w:val="00196648"/>
    <w:rsid w:val="0019679B"/>
    <w:rsid w:val="001970B8"/>
    <w:rsid w:val="00197451"/>
    <w:rsid w:val="001974F4"/>
    <w:rsid w:val="001976DF"/>
    <w:rsid w:val="001978F4"/>
    <w:rsid w:val="001979F5"/>
    <w:rsid w:val="00197C2B"/>
    <w:rsid w:val="001A022D"/>
    <w:rsid w:val="001A040D"/>
    <w:rsid w:val="001A0BFE"/>
    <w:rsid w:val="001A0DCA"/>
    <w:rsid w:val="001A1705"/>
    <w:rsid w:val="001A19C0"/>
    <w:rsid w:val="001A1B7D"/>
    <w:rsid w:val="001A235C"/>
    <w:rsid w:val="001A2394"/>
    <w:rsid w:val="001A2511"/>
    <w:rsid w:val="001A2F26"/>
    <w:rsid w:val="001A331C"/>
    <w:rsid w:val="001A3787"/>
    <w:rsid w:val="001A394A"/>
    <w:rsid w:val="001A4A1E"/>
    <w:rsid w:val="001A504B"/>
    <w:rsid w:val="001A521E"/>
    <w:rsid w:val="001A5288"/>
    <w:rsid w:val="001A5437"/>
    <w:rsid w:val="001A566A"/>
    <w:rsid w:val="001A5CEA"/>
    <w:rsid w:val="001A60BC"/>
    <w:rsid w:val="001A657E"/>
    <w:rsid w:val="001A7133"/>
    <w:rsid w:val="001A7519"/>
    <w:rsid w:val="001B0287"/>
    <w:rsid w:val="001B0400"/>
    <w:rsid w:val="001B08C8"/>
    <w:rsid w:val="001B0AF9"/>
    <w:rsid w:val="001B12B3"/>
    <w:rsid w:val="001B1532"/>
    <w:rsid w:val="001B156A"/>
    <w:rsid w:val="001B1621"/>
    <w:rsid w:val="001B1665"/>
    <w:rsid w:val="001B1F05"/>
    <w:rsid w:val="001B2591"/>
    <w:rsid w:val="001B2724"/>
    <w:rsid w:val="001B296B"/>
    <w:rsid w:val="001B3077"/>
    <w:rsid w:val="001B32C4"/>
    <w:rsid w:val="001B37CF"/>
    <w:rsid w:val="001B3A50"/>
    <w:rsid w:val="001B3A92"/>
    <w:rsid w:val="001B40A6"/>
    <w:rsid w:val="001B42CF"/>
    <w:rsid w:val="001B4551"/>
    <w:rsid w:val="001B4C52"/>
    <w:rsid w:val="001B5962"/>
    <w:rsid w:val="001B5C46"/>
    <w:rsid w:val="001B6EB9"/>
    <w:rsid w:val="001B709E"/>
    <w:rsid w:val="001B7600"/>
    <w:rsid w:val="001B7ADE"/>
    <w:rsid w:val="001B7F6B"/>
    <w:rsid w:val="001B7FAA"/>
    <w:rsid w:val="001C03EC"/>
    <w:rsid w:val="001C0798"/>
    <w:rsid w:val="001C0D43"/>
    <w:rsid w:val="001C0E0C"/>
    <w:rsid w:val="001C17B6"/>
    <w:rsid w:val="001C1F0F"/>
    <w:rsid w:val="001C2569"/>
    <w:rsid w:val="001C2706"/>
    <w:rsid w:val="001C2F08"/>
    <w:rsid w:val="001C371D"/>
    <w:rsid w:val="001C392F"/>
    <w:rsid w:val="001C39CD"/>
    <w:rsid w:val="001C3B66"/>
    <w:rsid w:val="001C3FC6"/>
    <w:rsid w:val="001C4090"/>
    <w:rsid w:val="001C515C"/>
    <w:rsid w:val="001C63CB"/>
    <w:rsid w:val="001C65FC"/>
    <w:rsid w:val="001C6637"/>
    <w:rsid w:val="001C6799"/>
    <w:rsid w:val="001C6FCA"/>
    <w:rsid w:val="001D02B6"/>
    <w:rsid w:val="001D052F"/>
    <w:rsid w:val="001D0C48"/>
    <w:rsid w:val="001D10E6"/>
    <w:rsid w:val="001D11C3"/>
    <w:rsid w:val="001D12E4"/>
    <w:rsid w:val="001D152C"/>
    <w:rsid w:val="001D167A"/>
    <w:rsid w:val="001D1B97"/>
    <w:rsid w:val="001D1CED"/>
    <w:rsid w:val="001D1E44"/>
    <w:rsid w:val="001D2FB7"/>
    <w:rsid w:val="001D4235"/>
    <w:rsid w:val="001D4307"/>
    <w:rsid w:val="001D4347"/>
    <w:rsid w:val="001D4533"/>
    <w:rsid w:val="001D4A24"/>
    <w:rsid w:val="001D57AC"/>
    <w:rsid w:val="001D5866"/>
    <w:rsid w:val="001D5DAF"/>
    <w:rsid w:val="001D6FAE"/>
    <w:rsid w:val="001D741C"/>
    <w:rsid w:val="001D7AAE"/>
    <w:rsid w:val="001D7D69"/>
    <w:rsid w:val="001E0669"/>
    <w:rsid w:val="001E0B04"/>
    <w:rsid w:val="001E0B91"/>
    <w:rsid w:val="001E115B"/>
    <w:rsid w:val="001E12A8"/>
    <w:rsid w:val="001E1824"/>
    <w:rsid w:val="001E1832"/>
    <w:rsid w:val="001E19EB"/>
    <w:rsid w:val="001E1B30"/>
    <w:rsid w:val="001E2042"/>
    <w:rsid w:val="001E373B"/>
    <w:rsid w:val="001E4157"/>
    <w:rsid w:val="001E49AB"/>
    <w:rsid w:val="001E4B2C"/>
    <w:rsid w:val="001E50F2"/>
    <w:rsid w:val="001E58DE"/>
    <w:rsid w:val="001E5CBA"/>
    <w:rsid w:val="001E5D85"/>
    <w:rsid w:val="001E5DA3"/>
    <w:rsid w:val="001E6754"/>
    <w:rsid w:val="001E679A"/>
    <w:rsid w:val="001E7161"/>
    <w:rsid w:val="001E72E6"/>
    <w:rsid w:val="001E7AC9"/>
    <w:rsid w:val="001F0054"/>
    <w:rsid w:val="001F0B5C"/>
    <w:rsid w:val="001F0C8E"/>
    <w:rsid w:val="001F10F7"/>
    <w:rsid w:val="001F1A09"/>
    <w:rsid w:val="001F239A"/>
    <w:rsid w:val="001F2CFE"/>
    <w:rsid w:val="001F3253"/>
    <w:rsid w:val="001F36DC"/>
    <w:rsid w:val="001F3F62"/>
    <w:rsid w:val="001F42BD"/>
    <w:rsid w:val="001F4AFD"/>
    <w:rsid w:val="001F5509"/>
    <w:rsid w:val="001F57DF"/>
    <w:rsid w:val="001F5A6D"/>
    <w:rsid w:val="001F5A72"/>
    <w:rsid w:val="001F5CC0"/>
    <w:rsid w:val="001F61A4"/>
    <w:rsid w:val="001F6978"/>
    <w:rsid w:val="001F6AF8"/>
    <w:rsid w:val="001F6C09"/>
    <w:rsid w:val="001F6CCF"/>
    <w:rsid w:val="001F7498"/>
    <w:rsid w:val="00200308"/>
    <w:rsid w:val="00200443"/>
    <w:rsid w:val="00200867"/>
    <w:rsid w:val="00200ECF"/>
    <w:rsid w:val="00201064"/>
    <w:rsid w:val="0020150A"/>
    <w:rsid w:val="0020179E"/>
    <w:rsid w:val="00201AC4"/>
    <w:rsid w:val="002020E2"/>
    <w:rsid w:val="002021E7"/>
    <w:rsid w:val="00202688"/>
    <w:rsid w:val="002028BE"/>
    <w:rsid w:val="00202C8B"/>
    <w:rsid w:val="00202E5F"/>
    <w:rsid w:val="002032AE"/>
    <w:rsid w:val="00203B2C"/>
    <w:rsid w:val="00204216"/>
    <w:rsid w:val="002046F4"/>
    <w:rsid w:val="00204811"/>
    <w:rsid w:val="002054A7"/>
    <w:rsid w:val="00205D23"/>
    <w:rsid w:val="00205E18"/>
    <w:rsid w:val="00206515"/>
    <w:rsid w:val="002065A4"/>
    <w:rsid w:val="002065BE"/>
    <w:rsid w:val="002065E5"/>
    <w:rsid w:val="00206614"/>
    <w:rsid w:val="00206837"/>
    <w:rsid w:val="00206911"/>
    <w:rsid w:val="00207070"/>
    <w:rsid w:val="00210261"/>
    <w:rsid w:val="002106DB"/>
    <w:rsid w:val="0021070F"/>
    <w:rsid w:val="002108B3"/>
    <w:rsid w:val="00210A9D"/>
    <w:rsid w:val="0021111D"/>
    <w:rsid w:val="00211290"/>
    <w:rsid w:val="00211F2E"/>
    <w:rsid w:val="00212112"/>
    <w:rsid w:val="00212930"/>
    <w:rsid w:val="00212EEE"/>
    <w:rsid w:val="00213CDF"/>
    <w:rsid w:val="002140AD"/>
    <w:rsid w:val="002144BD"/>
    <w:rsid w:val="002145CD"/>
    <w:rsid w:val="00214B79"/>
    <w:rsid w:val="00215256"/>
    <w:rsid w:val="002154B6"/>
    <w:rsid w:val="002154BD"/>
    <w:rsid w:val="00215715"/>
    <w:rsid w:val="00215CBA"/>
    <w:rsid w:val="002160BA"/>
    <w:rsid w:val="002165D8"/>
    <w:rsid w:val="0021666A"/>
    <w:rsid w:val="00216BB3"/>
    <w:rsid w:val="00216E27"/>
    <w:rsid w:val="00216E7F"/>
    <w:rsid w:val="0021718B"/>
    <w:rsid w:val="00217257"/>
    <w:rsid w:val="00217CF1"/>
    <w:rsid w:val="002201B6"/>
    <w:rsid w:val="00220C71"/>
    <w:rsid w:val="0022109F"/>
    <w:rsid w:val="0022165A"/>
    <w:rsid w:val="002219FC"/>
    <w:rsid w:val="00221C93"/>
    <w:rsid w:val="00222CCE"/>
    <w:rsid w:val="0022318A"/>
    <w:rsid w:val="00223607"/>
    <w:rsid w:val="00223909"/>
    <w:rsid w:val="0022391D"/>
    <w:rsid w:val="00223B1E"/>
    <w:rsid w:val="0022409B"/>
    <w:rsid w:val="0022468C"/>
    <w:rsid w:val="002246ED"/>
    <w:rsid w:val="00224EA5"/>
    <w:rsid w:val="002250A2"/>
    <w:rsid w:val="00227A17"/>
    <w:rsid w:val="00227C4C"/>
    <w:rsid w:val="00227FD0"/>
    <w:rsid w:val="0023000B"/>
    <w:rsid w:val="00230CC1"/>
    <w:rsid w:val="00230E1A"/>
    <w:rsid w:val="002316F7"/>
    <w:rsid w:val="00231924"/>
    <w:rsid w:val="00231A25"/>
    <w:rsid w:val="00231E84"/>
    <w:rsid w:val="00232B43"/>
    <w:rsid w:val="00233041"/>
    <w:rsid w:val="002331CB"/>
    <w:rsid w:val="0023365A"/>
    <w:rsid w:val="00233816"/>
    <w:rsid w:val="00233B47"/>
    <w:rsid w:val="00233BA2"/>
    <w:rsid w:val="00233F0A"/>
    <w:rsid w:val="00234046"/>
    <w:rsid w:val="0023437D"/>
    <w:rsid w:val="00234492"/>
    <w:rsid w:val="002344BC"/>
    <w:rsid w:val="00235022"/>
    <w:rsid w:val="002359BB"/>
    <w:rsid w:val="00235B31"/>
    <w:rsid w:val="00237420"/>
    <w:rsid w:val="0023753D"/>
    <w:rsid w:val="0023753F"/>
    <w:rsid w:val="002375FD"/>
    <w:rsid w:val="00237600"/>
    <w:rsid w:val="002378C0"/>
    <w:rsid w:val="002378E0"/>
    <w:rsid w:val="0023798D"/>
    <w:rsid w:val="00237AC6"/>
    <w:rsid w:val="0024026E"/>
    <w:rsid w:val="00240277"/>
    <w:rsid w:val="00240294"/>
    <w:rsid w:val="002402B6"/>
    <w:rsid w:val="002404B0"/>
    <w:rsid w:val="0024089F"/>
    <w:rsid w:val="00240A8C"/>
    <w:rsid w:val="00240A99"/>
    <w:rsid w:val="00240E40"/>
    <w:rsid w:val="00240FFC"/>
    <w:rsid w:val="0024141E"/>
    <w:rsid w:val="00241641"/>
    <w:rsid w:val="002418BA"/>
    <w:rsid w:val="00241CF9"/>
    <w:rsid w:val="00241F5A"/>
    <w:rsid w:val="00241F86"/>
    <w:rsid w:val="00242399"/>
    <w:rsid w:val="0024257A"/>
    <w:rsid w:val="002425C2"/>
    <w:rsid w:val="00242853"/>
    <w:rsid w:val="00242A5B"/>
    <w:rsid w:val="00242C8C"/>
    <w:rsid w:val="00242E9C"/>
    <w:rsid w:val="00243153"/>
    <w:rsid w:val="0024330C"/>
    <w:rsid w:val="00243B8D"/>
    <w:rsid w:val="00243CE1"/>
    <w:rsid w:val="0024401D"/>
    <w:rsid w:val="0024448F"/>
    <w:rsid w:val="0024573D"/>
    <w:rsid w:val="00245B13"/>
    <w:rsid w:val="00245B4A"/>
    <w:rsid w:val="002462F5"/>
    <w:rsid w:val="00246467"/>
    <w:rsid w:val="00246A6B"/>
    <w:rsid w:val="00247135"/>
    <w:rsid w:val="00247743"/>
    <w:rsid w:val="00247C28"/>
    <w:rsid w:val="00247E30"/>
    <w:rsid w:val="002504A3"/>
    <w:rsid w:val="00250752"/>
    <w:rsid w:val="002508CE"/>
    <w:rsid w:val="00250B12"/>
    <w:rsid w:val="0025110B"/>
    <w:rsid w:val="0025166D"/>
    <w:rsid w:val="00251817"/>
    <w:rsid w:val="00251CAE"/>
    <w:rsid w:val="00251F0B"/>
    <w:rsid w:val="002526D2"/>
    <w:rsid w:val="00253008"/>
    <w:rsid w:val="0025381B"/>
    <w:rsid w:val="00253D36"/>
    <w:rsid w:val="00254698"/>
    <w:rsid w:val="002551C1"/>
    <w:rsid w:val="00255397"/>
    <w:rsid w:val="002557AD"/>
    <w:rsid w:val="00255950"/>
    <w:rsid w:val="00255EA5"/>
    <w:rsid w:val="00255F7D"/>
    <w:rsid w:val="00256B38"/>
    <w:rsid w:val="00256E0A"/>
    <w:rsid w:val="002571DE"/>
    <w:rsid w:val="002574A6"/>
    <w:rsid w:val="002575DA"/>
    <w:rsid w:val="00257956"/>
    <w:rsid w:val="00260712"/>
    <w:rsid w:val="002609B8"/>
    <w:rsid w:val="00260B83"/>
    <w:rsid w:val="00260CED"/>
    <w:rsid w:val="00261214"/>
    <w:rsid w:val="00261345"/>
    <w:rsid w:val="002618D0"/>
    <w:rsid w:val="00262363"/>
    <w:rsid w:val="00262489"/>
    <w:rsid w:val="00262680"/>
    <w:rsid w:val="002626A6"/>
    <w:rsid w:val="0026284E"/>
    <w:rsid w:val="00262BD1"/>
    <w:rsid w:val="00262BEA"/>
    <w:rsid w:val="00262FF8"/>
    <w:rsid w:val="00263183"/>
    <w:rsid w:val="00263A33"/>
    <w:rsid w:val="00263E6F"/>
    <w:rsid w:val="002645C4"/>
    <w:rsid w:val="00264A64"/>
    <w:rsid w:val="00264FAF"/>
    <w:rsid w:val="00265412"/>
    <w:rsid w:val="002659F2"/>
    <w:rsid w:val="00265A72"/>
    <w:rsid w:val="00265CB8"/>
    <w:rsid w:val="00265EA7"/>
    <w:rsid w:val="00266006"/>
    <w:rsid w:val="002666CC"/>
    <w:rsid w:val="00266923"/>
    <w:rsid w:val="00266DC2"/>
    <w:rsid w:val="00267831"/>
    <w:rsid w:val="00267C08"/>
    <w:rsid w:val="00270598"/>
    <w:rsid w:val="00270AEF"/>
    <w:rsid w:val="00270F3F"/>
    <w:rsid w:val="0027103D"/>
    <w:rsid w:val="002711B5"/>
    <w:rsid w:val="00271294"/>
    <w:rsid w:val="002716E5"/>
    <w:rsid w:val="002717DC"/>
    <w:rsid w:val="00271B81"/>
    <w:rsid w:val="00272746"/>
    <w:rsid w:val="00273222"/>
    <w:rsid w:val="002734C1"/>
    <w:rsid w:val="00274870"/>
    <w:rsid w:val="00274C9D"/>
    <w:rsid w:val="00275CB1"/>
    <w:rsid w:val="0027634F"/>
    <w:rsid w:val="002769A8"/>
    <w:rsid w:val="00277167"/>
    <w:rsid w:val="002771E0"/>
    <w:rsid w:val="002773A0"/>
    <w:rsid w:val="002776CE"/>
    <w:rsid w:val="0028018D"/>
    <w:rsid w:val="002805EA"/>
    <w:rsid w:val="00280D65"/>
    <w:rsid w:val="00281A41"/>
    <w:rsid w:val="00281C4D"/>
    <w:rsid w:val="0028205E"/>
    <w:rsid w:val="00282120"/>
    <w:rsid w:val="002827B0"/>
    <w:rsid w:val="00282B9A"/>
    <w:rsid w:val="00283A57"/>
    <w:rsid w:val="00283AD7"/>
    <w:rsid w:val="00283E11"/>
    <w:rsid w:val="00284214"/>
    <w:rsid w:val="0028427F"/>
    <w:rsid w:val="00284401"/>
    <w:rsid w:val="00284410"/>
    <w:rsid w:val="00284557"/>
    <w:rsid w:val="00285158"/>
    <w:rsid w:val="00285553"/>
    <w:rsid w:val="002857E8"/>
    <w:rsid w:val="00285EC5"/>
    <w:rsid w:val="00286094"/>
    <w:rsid w:val="002860C8"/>
    <w:rsid w:val="0028653E"/>
    <w:rsid w:val="00286646"/>
    <w:rsid w:val="002867AF"/>
    <w:rsid w:val="00286F27"/>
    <w:rsid w:val="002870FA"/>
    <w:rsid w:val="00287DBC"/>
    <w:rsid w:val="00287FA5"/>
    <w:rsid w:val="002904C2"/>
    <w:rsid w:val="00290590"/>
    <w:rsid w:val="002907FE"/>
    <w:rsid w:val="00290C6D"/>
    <w:rsid w:val="00291290"/>
    <w:rsid w:val="002912BB"/>
    <w:rsid w:val="0029130F"/>
    <w:rsid w:val="0029143D"/>
    <w:rsid w:val="00291DA5"/>
    <w:rsid w:val="00291E84"/>
    <w:rsid w:val="0029264B"/>
    <w:rsid w:val="00292868"/>
    <w:rsid w:val="00292C9F"/>
    <w:rsid w:val="00292CBA"/>
    <w:rsid w:val="00292CF2"/>
    <w:rsid w:val="00292D11"/>
    <w:rsid w:val="00292DE6"/>
    <w:rsid w:val="00294316"/>
    <w:rsid w:val="00294C70"/>
    <w:rsid w:val="00295361"/>
    <w:rsid w:val="00295381"/>
    <w:rsid w:val="00295B78"/>
    <w:rsid w:val="00295FD5"/>
    <w:rsid w:val="0029631E"/>
    <w:rsid w:val="00296D16"/>
    <w:rsid w:val="002973CE"/>
    <w:rsid w:val="002975F0"/>
    <w:rsid w:val="00297A8B"/>
    <w:rsid w:val="00297AC9"/>
    <w:rsid w:val="002A0882"/>
    <w:rsid w:val="002A091E"/>
    <w:rsid w:val="002A092D"/>
    <w:rsid w:val="002A0D77"/>
    <w:rsid w:val="002A12FA"/>
    <w:rsid w:val="002A1845"/>
    <w:rsid w:val="002A19AC"/>
    <w:rsid w:val="002A1E56"/>
    <w:rsid w:val="002A2BAF"/>
    <w:rsid w:val="002A31B3"/>
    <w:rsid w:val="002A33CE"/>
    <w:rsid w:val="002A3583"/>
    <w:rsid w:val="002A3A20"/>
    <w:rsid w:val="002A43B7"/>
    <w:rsid w:val="002A448D"/>
    <w:rsid w:val="002A4544"/>
    <w:rsid w:val="002A481F"/>
    <w:rsid w:val="002A4B4C"/>
    <w:rsid w:val="002A572F"/>
    <w:rsid w:val="002A5734"/>
    <w:rsid w:val="002A593A"/>
    <w:rsid w:val="002A5D63"/>
    <w:rsid w:val="002A5E61"/>
    <w:rsid w:val="002A6594"/>
    <w:rsid w:val="002A65EE"/>
    <w:rsid w:val="002A694F"/>
    <w:rsid w:val="002A698F"/>
    <w:rsid w:val="002A6E6F"/>
    <w:rsid w:val="002A6F1D"/>
    <w:rsid w:val="002A6FF4"/>
    <w:rsid w:val="002A71DB"/>
    <w:rsid w:val="002A782C"/>
    <w:rsid w:val="002B00AF"/>
    <w:rsid w:val="002B077D"/>
    <w:rsid w:val="002B0F88"/>
    <w:rsid w:val="002B12D2"/>
    <w:rsid w:val="002B26A2"/>
    <w:rsid w:val="002B35BE"/>
    <w:rsid w:val="002B35CA"/>
    <w:rsid w:val="002B362B"/>
    <w:rsid w:val="002B3A08"/>
    <w:rsid w:val="002B3D00"/>
    <w:rsid w:val="002B46BC"/>
    <w:rsid w:val="002B52FB"/>
    <w:rsid w:val="002B530F"/>
    <w:rsid w:val="002B5F2E"/>
    <w:rsid w:val="002B5F92"/>
    <w:rsid w:val="002B6389"/>
    <w:rsid w:val="002B6524"/>
    <w:rsid w:val="002B6535"/>
    <w:rsid w:val="002B67F5"/>
    <w:rsid w:val="002B7884"/>
    <w:rsid w:val="002C04C4"/>
    <w:rsid w:val="002C074C"/>
    <w:rsid w:val="002C0774"/>
    <w:rsid w:val="002C0E56"/>
    <w:rsid w:val="002C10F9"/>
    <w:rsid w:val="002C1978"/>
    <w:rsid w:val="002C1A0E"/>
    <w:rsid w:val="002C1B69"/>
    <w:rsid w:val="002C255D"/>
    <w:rsid w:val="002C2F03"/>
    <w:rsid w:val="002C382F"/>
    <w:rsid w:val="002C3877"/>
    <w:rsid w:val="002C5279"/>
    <w:rsid w:val="002C57DB"/>
    <w:rsid w:val="002C5ECE"/>
    <w:rsid w:val="002C66A4"/>
    <w:rsid w:val="002C695C"/>
    <w:rsid w:val="002C6A7D"/>
    <w:rsid w:val="002C6C43"/>
    <w:rsid w:val="002C6D70"/>
    <w:rsid w:val="002C6FD8"/>
    <w:rsid w:val="002C745C"/>
    <w:rsid w:val="002D028A"/>
    <w:rsid w:val="002D0405"/>
    <w:rsid w:val="002D136C"/>
    <w:rsid w:val="002D1882"/>
    <w:rsid w:val="002D1BBD"/>
    <w:rsid w:val="002D1D40"/>
    <w:rsid w:val="002D2D6A"/>
    <w:rsid w:val="002D2FCF"/>
    <w:rsid w:val="002D3271"/>
    <w:rsid w:val="002D3343"/>
    <w:rsid w:val="002D38E7"/>
    <w:rsid w:val="002D3953"/>
    <w:rsid w:val="002D39DD"/>
    <w:rsid w:val="002D3E80"/>
    <w:rsid w:val="002D419F"/>
    <w:rsid w:val="002D461D"/>
    <w:rsid w:val="002D479D"/>
    <w:rsid w:val="002D48A5"/>
    <w:rsid w:val="002D502C"/>
    <w:rsid w:val="002D5241"/>
    <w:rsid w:val="002D53D2"/>
    <w:rsid w:val="002D5838"/>
    <w:rsid w:val="002D5B4D"/>
    <w:rsid w:val="002D680E"/>
    <w:rsid w:val="002D703D"/>
    <w:rsid w:val="002D7326"/>
    <w:rsid w:val="002D743A"/>
    <w:rsid w:val="002D7532"/>
    <w:rsid w:val="002E01E5"/>
    <w:rsid w:val="002E0209"/>
    <w:rsid w:val="002E074A"/>
    <w:rsid w:val="002E0889"/>
    <w:rsid w:val="002E0C80"/>
    <w:rsid w:val="002E0E6A"/>
    <w:rsid w:val="002E0FAE"/>
    <w:rsid w:val="002E10E1"/>
    <w:rsid w:val="002E1148"/>
    <w:rsid w:val="002E1192"/>
    <w:rsid w:val="002E1611"/>
    <w:rsid w:val="002E16E7"/>
    <w:rsid w:val="002E18BB"/>
    <w:rsid w:val="002E1922"/>
    <w:rsid w:val="002E1A96"/>
    <w:rsid w:val="002E20D6"/>
    <w:rsid w:val="002E2F14"/>
    <w:rsid w:val="002E3058"/>
    <w:rsid w:val="002E47F0"/>
    <w:rsid w:val="002E4900"/>
    <w:rsid w:val="002E49D5"/>
    <w:rsid w:val="002E4BB3"/>
    <w:rsid w:val="002E4DDE"/>
    <w:rsid w:val="002E58B9"/>
    <w:rsid w:val="002E58D0"/>
    <w:rsid w:val="002E5CE5"/>
    <w:rsid w:val="002E634D"/>
    <w:rsid w:val="002E6A67"/>
    <w:rsid w:val="002E6C6E"/>
    <w:rsid w:val="002E6D99"/>
    <w:rsid w:val="002E7071"/>
    <w:rsid w:val="002E7166"/>
    <w:rsid w:val="002E7560"/>
    <w:rsid w:val="002F07D4"/>
    <w:rsid w:val="002F0D32"/>
    <w:rsid w:val="002F14E7"/>
    <w:rsid w:val="002F15CE"/>
    <w:rsid w:val="002F1F70"/>
    <w:rsid w:val="002F20F2"/>
    <w:rsid w:val="002F236D"/>
    <w:rsid w:val="002F36FE"/>
    <w:rsid w:val="002F3979"/>
    <w:rsid w:val="002F3CB3"/>
    <w:rsid w:val="002F3CE3"/>
    <w:rsid w:val="002F3D41"/>
    <w:rsid w:val="002F4B12"/>
    <w:rsid w:val="002F53BA"/>
    <w:rsid w:val="002F58B0"/>
    <w:rsid w:val="002F5DBA"/>
    <w:rsid w:val="002F5EB5"/>
    <w:rsid w:val="002F6395"/>
    <w:rsid w:val="002F681C"/>
    <w:rsid w:val="002F6F71"/>
    <w:rsid w:val="002F7756"/>
    <w:rsid w:val="002F785A"/>
    <w:rsid w:val="002F788C"/>
    <w:rsid w:val="002F79F8"/>
    <w:rsid w:val="00300146"/>
    <w:rsid w:val="00300B2E"/>
    <w:rsid w:val="00300BE1"/>
    <w:rsid w:val="00300D79"/>
    <w:rsid w:val="00300EE0"/>
    <w:rsid w:val="0030157A"/>
    <w:rsid w:val="003016F7"/>
    <w:rsid w:val="00301D28"/>
    <w:rsid w:val="00301E9B"/>
    <w:rsid w:val="00302A44"/>
    <w:rsid w:val="00302AB0"/>
    <w:rsid w:val="00302CED"/>
    <w:rsid w:val="00303B96"/>
    <w:rsid w:val="0030464A"/>
    <w:rsid w:val="00305986"/>
    <w:rsid w:val="00305AC1"/>
    <w:rsid w:val="00305E93"/>
    <w:rsid w:val="00305F5D"/>
    <w:rsid w:val="003065B4"/>
    <w:rsid w:val="003067C8"/>
    <w:rsid w:val="00306EF6"/>
    <w:rsid w:val="003103D6"/>
    <w:rsid w:val="00310439"/>
    <w:rsid w:val="00310B0A"/>
    <w:rsid w:val="00310B4D"/>
    <w:rsid w:val="00310ED4"/>
    <w:rsid w:val="00311036"/>
    <w:rsid w:val="0031154C"/>
    <w:rsid w:val="0031161B"/>
    <w:rsid w:val="00311722"/>
    <w:rsid w:val="003119EE"/>
    <w:rsid w:val="00311B2A"/>
    <w:rsid w:val="00311BD6"/>
    <w:rsid w:val="00311C97"/>
    <w:rsid w:val="003120AC"/>
    <w:rsid w:val="00312571"/>
    <w:rsid w:val="0031284C"/>
    <w:rsid w:val="00312914"/>
    <w:rsid w:val="00312DBC"/>
    <w:rsid w:val="00312EEA"/>
    <w:rsid w:val="003134CD"/>
    <w:rsid w:val="0031441C"/>
    <w:rsid w:val="003145E2"/>
    <w:rsid w:val="00314F2A"/>
    <w:rsid w:val="003150B5"/>
    <w:rsid w:val="003152FA"/>
    <w:rsid w:val="00316AB5"/>
    <w:rsid w:val="00316D72"/>
    <w:rsid w:val="00316E5F"/>
    <w:rsid w:val="0031718F"/>
    <w:rsid w:val="00320940"/>
    <w:rsid w:val="003209BE"/>
    <w:rsid w:val="00320A94"/>
    <w:rsid w:val="00320BD3"/>
    <w:rsid w:val="003211A3"/>
    <w:rsid w:val="00321684"/>
    <w:rsid w:val="0032212D"/>
    <w:rsid w:val="00322870"/>
    <w:rsid w:val="00322872"/>
    <w:rsid w:val="003228F1"/>
    <w:rsid w:val="00322A99"/>
    <w:rsid w:val="00323025"/>
    <w:rsid w:val="00323A0A"/>
    <w:rsid w:val="00323B36"/>
    <w:rsid w:val="00324910"/>
    <w:rsid w:val="0032505F"/>
    <w:rsid w:val="00325558"/>
    <w:rsid w:val="003269D9"/>
    <w:rsid w:val="00326B81"/>
    <w:rsid w:val="00326E2F"/>
    <w:rsid w:val="00327062"/>
    <w:rsid w:val="003271C1"/>
    <w:rsid w:val="00327756"/>
    <w:rsid w:val="0032786C"/>
    <w:rsid w:val="00331598"/>
    <w:rsid w:val="00331CF7"/>
    <w:rsid w:val="0033218E"/>
    <w:rsid w:val="0033235F"/>
    <w:rsid w:val="0033237D"/>
    <w:rsid w:val="003324D5"/>
    <w:rsid w:val="00332582"/>
    <w:rsid w:val="003325C4"/>
    <w:rsid w:val="0033260F"/>
    <w:rsid w:val="00332AC5"/>
    <w:rsid w:val="00332EA0"/>
    <w:rsid w:val="00332F54"/>
    <w:rsid w:val="0033354C"/>
    <w:rsid w:val="00333865"/>
    <w:rsid w:val="003354E9"/>
    <w:rsid w:val="00335AD0"/>
    <w:rsid w:val="00335ADA"/>
    <w:rsid w:val="00335C08"/>
    <w:rsid w:val="00335DB8"/>
    <w:rsid w:val="00335E1C"/>
    <w:rsid w:val="00335E38"/>
    <w:rsid w:val="0033610B"/>
    <w:rsid w:val="00336371"/>
    <w:rsid w:val="00336526"/>
    <w:rsid w:val="003366F0"/>
    <w:rsid w:val="00336E0B"/>
    <w:rsid w:val="00337ABE"/>
    <w:rsid w:val="00337E74"/>
    <w:rsid w:val="003406F0"/>
    <w:rsid w:val="00340860"/>
    <w:rsid w:val="00340DB5"/>
    <w:rsid w:val="003411DE"/>
    <w:rsid w:val="0034176D"/>
    <w:rsid w:val="00341C8B"/>
    <w:rsid w:val="00341D3B"/>
    <w:rsid w:val="003420D2"/>
    <w:rsid w:val="003426CA"/>
    <w:rsid w:val="00342C18"/>
    <w:rsid w:val="00342E44"/>
    <w:rsid w:val="00343B54"/>
    <w:rsid w:val="003442B0"/>
    <w:rsid w:val="00344435"/>
    <w:rsid w:val="003446AE"/>
    <w:rsid w:val="003449AB"/>
    <w:rsid w:val="003450A7"/>
    <w:rsid w:val="00345192"/>
    <w:rsid w:val="00345382"/>
    <w:rsid w:val="00346124"/>
    <w:rsid w:val="0034615D"/>
    <w:rsid w:val="00346770"/>
    <w:rsid w:val="00346DE8"/>
    <w:rsid w:val="003474E5"/>
    <w:rsid w:val="00347D55"/>
    <w:rsid w:val="003503C9"/>
    <w:rsid w:val="003505CC"/>
    <w:rsid w:val="00350960"/>
    <w:rsid w:val="00350B9A"/>
    <w:rsid w:val="00352B43"/>
    <w:rsid w:val="00353498"/>
    <w:rsid w:val="0035354D"/>
    <w:rsid w:val="00353948"/>
    <w:rsid w:val="00353AE7"/>
    <w:rsid w:val="00353BC8"/>
    <w:rsid w:val="00353DCB"/>
    <w:rsid w:val="00353ED8"/>
    <w:rsid w:val="00354126"/>
    <w:rsid w:val="0035423E"/>
    <w:rsid w:val="00354B9A"/>
    <w:rsid w:val="00354D89"/>
    <w:rsid w:val="003553E6"/>
    <w:rsid w:val="00355BC2"/>
    <w:rsid w:val="00355CB4"/>
    <w:rsid w:val="003567CE"/>
    <w:rsid w:val="00356B81"/>
    <w:rsid w:val="00357155"/>
    <w:rsid w:val="00357162"/>
    <w:rsid w:val="0035763B"/>
    <w:rsid w:val="00357D00"/>
    <w:rsid w:val="003601DD"/>
    <w:rsid w:val="0036028E"/>
    <w:rsid w:val="00360879"/>
    <w:rsid w:val="00361FEE"/>
    <w:rsid w:val="0036215A"/>
    <w:rsid w:val="0036280E"/>
    <w:rsid w:val="00362CC1"/>
    <w:rsid w:val="00362DE3"/>
    <w:rsid w:val="00363015"/>
    <w:rsid w:val="003632B0"/>
    <w:rsid w:val="00364210"/>
    <w:rsid w:val="0036437B"/>
    <w:rsid w:val="00364502"/>
    <w:rsid w:val="00364B09"/>
    <w:rsid w:val="00364B32"/>
    <w:rsid w:val="00365029"/>
    <w:rsid w:val="00365C66"/>
    <w:rsid w:val="00365CD8"/>
    <w:rsid w:val="00365D9F"/>
    <w:rsid w:val="00366487"/>
    <w:rsid w:val="003669C1"/>
    <w:rsid w:val="00366A85"/>
    <w:rsid w:val="00367490"/>
    <w:rsid w:val="003675AB"/>
    <w:rsid w:val="00367EE6"/>
    <w:rsid w:val="00370083"/>
    <w:rsid w:val="003702A1"/>
    <w:rsid w:val="00371088"/>
    <w:rsid w:val="003714E8"/>
    <w:rsid w:val="00371E9B"/>
    <w:rsid w:val="00372165"/>
    <w:rsid w:val="00372367"/>
    <w:rsid w:val="003727CB"/>
    <w:rsid w:val="00372B64"/>
    <w:rsid w:val="00372B66"/>
    <w:rsid w:val="00372DF3"/>
    <w:rsid w:val="00372DF4"/>
    <w:rsid w:val="00372F48"/>
    <w:rsid w:val="00373306"/>
    <w:rsid w:val="00373A02"/>
    <w:rsid w:val="003741EB"/>
    <w:rsid w:val="00374AB2"/>
    <w:rsid w:val="00374CA9"/>
    <w:rsid w:val="00374E86"/>
    <w:rsid w:val="00374E9B"/>
    <w:rsid w:val="003756E1"/>
    <w:rsid w:val="00375808"/>
    <w:rsid w:val="003762A4"/>
    <w:rsid w:val="00376495"/>
    <w:rsid w:val="003766E6"/>
    <w:rsid w:val="00376A2E"/>
    <w:rsid w:val="00376BC6"/>
    <w:rsid w:val="00376CA3"/>
    <w:rsid w:val="003772C0"/>
    <w:rsid w:val="003778E3"/>
    <w:rsid w:val="00380674"/>
    <w:rsid w:val="00380B17"/>
    <w:rsid w:val="00380BC4"/>
    <w:rsid w:val="00380C8C"/>
    <w:rsid w:val="00380CFF"/>
    <w:rsid w:val="00381B78"/>
    <w:rsid w:val="003822FB"/>
    <w:rsid w:val="003825EF"/>
    <w:rsid w:val="003828D3"/>
    <w:rsid w:val="00382CCF"/>
    <w:rsid w:val="00382DBE"/>
    <w:rsid w:val="00383083"/>
    <w:rsid w:val="00383352"/>
    <w:rsid w:val="00383CDD"/>
    <w:rsid w:val="00383D62"/>
    <w:rsid w:val="00383F32"/>
    <w:rsid w:val="003842D6"/>
    <w:rsid w:val="003843D8"/>
    <w:rsid w:val="00384498"/>
    <w:rsid w:val="003848D5"/>
    <w:rsid w:val="00384E7E"/>
    <w:rsid w:val="0038553E"/>
    <w:rsid w:val="00385CA1"/>
    <w:rsid w:val="00385CD4"/>
    <w:rsid w:val="00385E29"/>
    <w:rsid w:val="00385F95"/>
    <w:rsid w:val="003861C1"/>
    <w:rsid w:val="00386377"/>
    <w:rsid w:val="0038648E"/>
    <w:rsid w:val="00386CA2"/>
    <w:rsid w:val="00387E34"/>
    <w:rsid w:val="00390092"/>
    <w:rsid w:val="00390125"/>
    <w:rsid w:val="00390C7A"/>
    <w:rsid w:val="003911CA"/>
    <w:rsid w:val="003916E0"/>
    <w:rsid w:val="0039180F"/>
    <w:rsid w:val="00391DD7"/>
    <w:rsid w:val="00391E4C"/>
    <w:rsid w:val="00391EA1"/>
    <w:rsid w:val="00391EA4"/>
    <w:rsid w:val="003920A8"/>
    <w:rsid w:val="00392347"/>
    <w:rsid w:val="003923C0"/>
    <w:rsid w:val="00392853"/>
    <w:rsid w:val="0039286E"/>
    <w:rsid w:val="0039294E"/>
    <w:rsid w:val="003931CC"/>
    <w:rsid w:val="003936B9"/>
    <w:rsid w:val="003943A7"/>
    <w:rsid w:val="003945D9"/>
    <w:rsid w:val="00394826"/>
    <w:rsid w:val="00394C3C"/>
    <w:rsid w:val="0039509C"/>
    <w:rsid w:val="0039512F"/>
    <w:rsid w:val="00395333"/>
    <w:rsid w:val="003955F3"/>
    <w:rsid w:val="00395BB7"/>
    <w:rsid w:val="003961E1"/>
    <w:rsid w:val="0039708B"/>
    <w:rsid w:val="003970AF"/>
    <w:rsid w:val="003971CB"/>
    <w:rsid w:val="00397240"/>
    <w:rsid w:val="003972D7"/>
    <w:rsid w:val="00397FC6"/>
    <w:rsid w:val="003A0B84"/>
    <w:rsid w:val="003A0CE7"/>
    <w:rsid w:val="003A1020"/>
    <w:rsid w:val="003A1689"/>
    <w:rsid w:val="003A1CB4"/>
    <w:rsid w:val="003A1E22"/>
    <w:rsid w:val="003A2CBF"/>
    <w:rsid w:val="003A2D5C"/>
    <w:rsid w:val="003A2E95"/>
    <w:rsid w:val="003A31D9"/>
    <w:rsid w:val="003A3E83"/>
    <w:rsid w:val="003A5761"/>
    <w:rsid w:val="003A5EF8"/>
    <w:rsid w:val="003A610B"/>
    <w:rsid w:val="003A6751"/>
    <w:rsid w:val="003A6A50"/>
    <w:rsid w:val="003A6D0E"/>
    <w:rsid w:val="003A7117"/>
    <w:rsid w:val="003A7119"/>
    <w:rsid w:val="003A7582"/>
    <w:rsid w:val="003A7642"/>
    <w:rsid w:val="003B0065"/>
    <w:rsid w:val="003B0452"/>
    <w:rsid w:val="003B1DEA"/>
    <w:rsid w:val="003B3126"/>
    <w:rsid w:val="003B3A93"/>
    <w:rsid w:val="003B3CDF"/>
    <w:rsid w:val="003B3FE6"/>
    <w:rsid w:val="003B440A"/>
    <w:rsid w:val="003B4462"/>
    <w:rsid w:val="003B44D7"/>
    <w:rsid w:val="003B46AA"/>
    <w:rsid w:val="003B4820"/>
    <w:rsid w:val="003B4BEB"/>
    <w:rsid w:val="003B4CAF"/>
    <w:rsid w:val="003B5262"/>
    <w:rsid w:val="003B5308"/>
    <w:rsid w:val="003B5503"/>
    <w:rsid w:val="003B5581"/>
    <w:rsid w:val="003B6514"/>
    <w:rsid w:val="003B665E"/>
    <w:rsid w:val="003B763E"/>
    <w:rsid w:val="003B7D81"/>
    <w:rsid w:val="003B7E96"/>
    <w:rsid w:val="003B7EE7"/>
    <w:rsid w:val="003C0515"/>
    <w:rsid w:val="003C07E5"/>
    <w:rsid w:val="003C11A6"/>
    <w:rsid w:val="003C199A"/>
    <w:rsid w:val="003C21B9"/>
    <w:rsid w:val="003C2B54"/>
    <w:rsid w:val="003C30AB"/>
    <w:rsid w:val="003C30F9"/>
    <w:rsid w:val="003C3598"/>
    <w:rsid w:val="003C365A"/>
    <w:rsid w:val="003C369E"/>
    <w:rsid w:val="003C3B65"/>
    <w:rsid w:val="003C41DE"/>
    <w:rsid w:val="003C4DA7"/>
    <w:rsid w:val="003C53DB"/>
    <w:rsid w:val="003C5561"/>
    <w:rsid w:val="003C5992"/>
    <w:rsid w:val="003C5D5C"/>
    <w:rsid w:val="003C6031"/>
    <w:rsid w:val="003C6202"/>
    <w:rsid w:val="003C63D2"/>
    <w:rsid w:val="003C6A36"/>
    <w:rsid w:val="003C6D13"/>
    <w:rsid w:val="003C70BF"/>
    <w:rsid w:val="003C7278"/>
    <w:rsid w:val="003D0570"/>
    <w:rsid w:val="003D0A1C"/>
    <w:rsid w:val="003D0A7A"/>
    <w:rsid w:val="003D0C03"/>
    <w:rsid w:val="003D103E"/>
    <w:rsid w:val="003D10C1"/>
    <w:rsid w:val="003D1772"/>
    <w:rsid w:val="003D213A"/>
    <w:rsid w:val="003D256B"/>
    <w:rsid w:val="003D28A9"/>
    <w:rsid w:val="003D33EA"/>
    <w:rsid w:val="003D35E1"/>
    <w:rsid w:val="003D3B9B"/>
    <w:rsid w:val="003D3DF4"/>
    <w:rsid w:val="003D3EC0"/>
    <w:rsid w:val="003D4113"/>
    <w:rsid w:val="003D43C3"/>
    <w:rsid w:val="003D4474"/>
    <w:rsid w:val="003D46DF"/>
    <w:rsid w:val="003D4759"/>
    <w:rsid w:val="003D489F"/>
    <w:rsid w:val="003D4E0E"/>
    <w:rsid w:val="003D5944"/>
    <w:rsid w:val="003D5A84"/>
    <w:rsid w:val="003D619F"/>
    <w:rsid w:val="003D6D8A"/>
    <w:rsid w:val="003D76EE"/>
    <w:rsid w:val="003D770C"/>
    <w:rsid w:val="003D7778"/>
    <w:rsid w:val="003E0605"/>
    <w:rsid w:val="003E08CC"/>
    <w:rsid w:val="003E0907"/>
    <w:rsid w:val="003E0BA6"/>
    <w:rsid w:val="003E0E31"/>
    <w:rsid w:val="003E10C3"/>
    <w:rsid w:val="003E1145"/>
    <w:rsid w:val="003E118B"/>
    <w:rsid w:val="003E25AC"/>
    <w:rsid w:val="003E2DB1"/>
    <w:rsid w:val="003E3BA5"/>
    <w:rsid w:val="003E3C39"/>
    <w:rsid w:val="003E4892"/>
    <w:rsid w:val="003E4BED"/>
    <w:rsid w:val="003E5177"/>
    <w:rsid w:val="003E5DFD"/>
    <w:rsid w:val="003E64C5"/>
    <w:rsid w:val="003E654C"/>
    <w:rsid w:val="003E6788"/>
    <w:rsid w:val="003E6E1A"/>
    <w:rsid w:val="003E6E99"/>
    <w:rsid w:val="003E7369"/>
    <w:rsid w:val="003E73D3"/>
    <w:rsid w:val="003E7FDB"/>
    <w:rsid w:val="003F014D"/>
    <w:rsid w:val="003F0488"/>
    <w:rsid w:val="003F07EA"/>
    <w:rsid w:val="003F09A0"/>
    <w:rsid w:val="003F1063"/>
    <w:rsid w:val="003F1366"/>
    <w:rsid w:val="003F2363"/>
    <w:rsid w:val="003F2702"/>
    <w:rsid w:val="003F2CDC"/>
    <w:rsid w:val="003F2E2B"/>
    <w:rsid w:val="003F2F31"/>
    <w:rsid w:val="003F32E3"/>
    <w:rsid w:val="003F3365"/>
    <w:rsid w:val="003F35F8"/>
    <w:rsid w:val="003F4598"/>
    <w:rsid w:val="003F4A05"/>
    <w:rsid w:val="003F4BA3"/>
    <w:rsid w:val="003F514A"/>
    <w:rsid w:val="003F5530"/>
    <w:rsid w:val="003F58B9"/>
    <w:rsid w:val="003F59C0"/>
    <w:rsid w:val="003F5E5C"/>
    <w:rsid w:val="003F6180"/>
    <w:rsid w:val="003F63FF"/>
    <w:rsid w:val="003F6522"/>
    <w:rsid w:val="003F6917"/>
    <w:rsid w:val="003F6F01"/>
    <w:rsid w:val="003F71DC"/>
    <w:rsid w:val="003F798F"/>
    <w:rsid w:val="003F7AD3"/>
    <w:rsid w:val="00400384"/>
    <w:rsid w:val="0040044D"/>
    <w:rsid w:val="00400769"/>
    <w:rsid w:val="00400874"/>
    <w:rsid w:val="004014D5"/>
    <w:rsid w:val="0040157E"/>
    <w:rsid w:val="004015E3"/>
    <w:rsid w:val="00401841"/>
    <w:rsid w:val="0040236E"/>
    <w:rsid w:val="00402651"/>
    <w:rsid w:val="00402FBA"/>
    <w:rsid w:val="00403127"/>
    <w:rsid w:val="004035E3"/>
    <w:rsid w:val="00403A46"/>
    <w:rsid w:val="00403C6A"/>
    <w:rsid w:val="0040412B"/>
    <w:rsid w:val="0040437F"/>
    <w:rsid w:val="00404922"/>
    <w:rsid w:val="00404B61"/>
    <w:rsid w:val="00404F0B"/>
    <w:rsid w:val="0040559E"/>
    <w:rsid w:val="00405982"/>
    <w:rsid w:val="00405C49"/>
    <w:rsid w:val="004062C7"/>
    <w:rsid w:val="00406AD5"/>
    <w:rsid w:val="00406C43"/>
    <w:rsid w:val="00406CE9"/>
    <w:rsid w:val="00406D1E"/>
    <w:rsid w:val="00406D99"/>
    <w:rsid w:val="00406FD8"/>
    <w:rsid w:val="00407135"/>
    <w:rsid w:val="0041033A"/>
    <w:rsid w:val="004105E4"/>
    <w:rsid w:val="00410643"/>
    <w:rsid w:val="0041089D"/>
    <w:rsid w:val="00410A42"/>
    <w:rsid w:val="004123CD"/>
    <w:rsid w:val="004128A9"/>
    <w:rsid w:val="00412CD2"/>
    <w:rsid w:val="00412F56"/>
    <w:rsid w:val="004138F7"/>
    <w:rsid w:val="00413CBF"/>
    <w:rsid w:val="0041412C"/>
    <w:rsid w:val="00415158"/>
    <w:rsid w:val="004151DA"/>
    <w:rsid w:val="004151FA"/>
    <w:rsid w:val="004154CE"/>
    <w:rsid w:val="004159EB"/>
    <w:rsid w:val="00415BDB"/>
    <w:rsid w:val="0041674B"/>
    <w:rsid w:val="00416E0E"/>
    <w:rsid w:val="00416E42"/>
    <w:rsid w:val="004174E8"/>
    <w:rsid w:val="00420398"/>
    <w:rsid w:val="00420B88"/>
    <w:rsid w:val="00420D50"/>
    <w:rsid w:val="00421208"/>
    <w:rsid w:val="0042124F"/>
    <w:rsid w:val="00421886"/>
    <w:rsid w:val="00421A17"/>
    <w:rsid w:val="00421C18"/>
    <w:rsid w:val="00421E5F"/>
    <w:rsid w:val="004222DC"/>
    <w:rsid w:val="004227E5"/>
    <w:rsid w:val="00422958"/>
    <w:rsid w:val="00423E54"/>
    <w:rsid w:val="00425F8F"/>
    <w:rsid w:val="00426080"/>
    <w:rsid w:val="00426AA6"/>
    <w:rsid w:val="00426B17"/>
    <w:rsid w:val="00426CEC"/>
    <w:rsid w:val="00426DAE"/>
    <w:rsid w:val="00426FC0"/>
    <w:rsid w:val="0042702A"/>
    <w:rsid w:val="004271C4"/>
    <w:rsid w:val="00427223"/>
    <w:rsid w:val="00427530"/>
    <w:rsid w:val="00430AA0"/>
    <w:rsid w:val="00431756"/>
    <w:rsid w:val="00432C07"/>
    <w:rsid w:val="00432D33"/>
    <w:rsid w:val="00433008"/>
    <w:rsid w:val="004336CD"/>
    <w:rsid w:val="004338C2"/>
    <w:rsid w:val="004339C8"/>
    <w:rsid w:val="00433D3E"/>
    <w:rsid w:val="0043492D"/>
    <w:rsid w:val="004357B9"/>
    <w:rsid w:val="00435A81"/>
    <w:rsid w:val="00435DA6"/>
    <w:rsid w:val="00436BFC"/>
    <w:rsid w:val="004373C3"/>
    <w:rsid w:val="00437B32"/>
    <w:rsid w:val="0044164E"/>
    <w:rsid w:val="00441931"/>
    <w:rsid w:val="00441C30"/>
    <w:rsid w:val="00441E26"/>
    <w:rsid w:val="00441F02"/>
    <w:rsid w:val="00441F3B"/>
    <w:rsid w:val="00442374"/>
    <w:rsid w:val="004427E5"/>
    <w:rsid w:val="00442C76"/>
    <w:rsid w:val="00442FD7"/>
    <w:rsid w:val="00442FF3"/>
    <w:rsid w:val="00443DFB"/>
    <w:rsid w:val="004449E2"/>
    <w:rsid w:val="00444D6A"/>
    <w:rsid w:val="00445116"/>
    <w:rsid w:val="00445131"/>
    <w:rsid w:val="0044522F"/>
    <w:rsid w:val="00445384"/>
    <w:rsid w:val="0044559F"/>
    <w:rsid w:val="004456E5"/>
    <w:rsid w:val="004462F4"/>
    <w:rsid w:val="00446D47"/>
    <w:rsid w:val="00446E9F"/>
    <w:rsid w:val="00447037"/>
    <w:rsid w:val="004470AC"/>
    <w:rsid w:val="00447F29"/>
    <w:rsid w:val="0045032D"/>
    <w:rsid w:val="004503D5"/>
    <w:rsid w:val="00450D34"/>
    <w:rsid w:val="00450E8F"/>
    <w:rsid w:val="0045116B"/>
    <w:rsid w:val="00451A2D"/>
    <w:rsid w:val="00452664"/>
    <w:rsid w:val="00452AB5"/>
    <w:rsid w:val="00452BC4"/>
    <w:rsid w:val="004531DF"/>
    <w:rsid w:val="00453F6E"/>
    <w:rsid w:val="004544AA"/>
    <w:rsid w:val="0045458E"/>
    <w:rsid w:val="00454634"/>
    <w:rsid w:val="00454804"/>
    <w:rsid w:val="0045486F"/>
    <w:rsid w:val="00454EFE"/>
    <w:rsid w:val="004551E2"/>
    <w:rsid w:val="00456422"/>
    <w:rsid w:val="00456E02"/>
    <w:rsid w:val="004570E7"/>
    <w:rsid w:val="00457E09"/>
    <w:rsid w:val="0046027B"/>
    <w:rsid w:val="00460634"/>
    <w:rsid w:val="0046067C"/>
    <w:rsid w:val="004609C4"/>
    <w:rsid w:val="00460F3F"/>
    <w:rsid w:val="00461242"/>
    <w:rsid w:val="00461B4B"/>
    <w:rsid w:val="00461D43"/>
    <w:rsid w:val="00461E14"/>
    <w:rsid w:val="00462A73"/>
    <w:rsid w:val="004631CC"/>
    <w:rsid w:val="00464302"/>
    <w:rsid w:val="00464464"/>
    <w:rsid w:val="00465029"/>
    <w:rsid w:val="004651F3"/>
    <w:rsid w:val="004656B8"/>
    <w:rsid w:val="004658B7"/>
    <w:rsid w:val="00465EF9"/>
    <w:rsid w:val="00465F5A"/>
    <w:rsid w:val="004663A9"/>
    <w:rsid w:val="00466685"/>
    <w:rsid w:val="00466A5A"/>
    <w:rsid w:val="00466F9D"/>
    <w:rsid w:val="00467427"/>
    <w:rsid w:val="00467A8D"/>
    <w:rsid w:val="004700B4"/>
    <w:rsid w:val="00470354"/>
    <w:rsid w:val="00470DD6"/>
    <w:rsid w:val="0047140D"/>
    <w:rsid w:val="0047187A"/>
    <w:rsid w:val="00471CFC"/>
    <w:rsid w:val="00471E63"/>
    <w:rsid w:val="00471EE3"/>
    <w:rsid w:val="00472204"/>
    <w:rsid w:val="00472636"/>
    <w:rsid w:val="00472655"/>
    <w:rsid w:val="00472B57"/>
    <w:rsid w:val="00473207"/>
    <w:rsid w:val="0047324C"/>
    <w:rsid w:val="0047333E"/>
    <w:rsid w:val="00473442"/>
    <w:rsid w:val="00473D74"/>
    <w:rsid w:val="004742D3"/>
    <w:rsid w:val="00474921"/>
    <w:rsid w:val="004752A8"/>
    <w:rsid w:val="00475756"/>
    <w:rsid w:val="00476003"/>
    <w:rsid w:val="004761B9"/>
    <w:rsid w:val="00476343"/>
    <w:rsid w:val="00476743"/>
    <w:rsid w:val="004768FA"/>
    <w:rsid w:val="00476DDB"/>
    <w:rsid w:val="00480424"/>
    <w:rsid w:val="00480916"/>
    <w:rsid w:val="0048190D"/>
    <w:rsid w:val="00481A01"/>
    <w:rsid w:val="00482322"/>
    <w:rsid w:val="004823D6"/>
    <w:rsid w:val="00482801"/>
    <w:rsid w:val="00482F8A"/>
    <w:rsid w:val="00483258"/>
    <w:rsid w:val="00483464"/>
    <w:rsid w:val="0048365D"/>
    <w:rsid w:val="004836E5"/>
    <w:rsid w:val="00483B24"/>
    <w:rsid w:val="00483EC8"/>
    <w:rsid w:val="00484149"/>
    <w:rsid w:val="004842F1"/>
    <w:rsid w:val="0048468D"/>
    <w:rsid w:val="0048497F"/>
    <w:rsid w:val="0048505C"/>
    <w:rsid w:val="00485130"/>
    <w:rsid w:val="00485240"/>
    <w:rsid w:val="00485300"/>
    <w:rsid w:val="004855D4"/>
    <w:rsid w:val="00485B35"/>
    <w:rsid w:val="00486019"/>
    <w:rsid w:val="00486B98"/>
    <w:rsid w:val="00486D08"/>
    <w:rsid w:val="004877B3"/>
    <w:rsid w:val="00487C10"/>
    <w:rsid w:val="00487D5F"/>
    <w:rsid w:val="00490B22"/>
    <w:rsid w:val="00490B42"/>
    <w:rsid w:val="00490DDF"/>
    <w:rsid w:val="00491AD6"/>
    <w:rsid w:val="00491E4A"/>
    <w:rsid w:val="00492156"/>
    <w:rsid w:val="004922EB"/>
    <w:rsid w:val="0049273C"/>
    <w:rsid w:val="00492BDA"/>
    <w:rsid w:val="00492D16"/>
    <w:rsid w:val="00492DED"/>
    <w:rsid w:val="004933DC"/>
    <w:rsid w:val="00493C24"/>
    <w:rsid w:val="00493CA6"/>
    <w:rsid w:val="00493D49"/>
    <w:rsid w:val="00493E57"/>
    <w:rsid w:val="00495127"/>
    <w:rsid w:val="00495786"/>
    <w:rsid w:val="00495A92"/>
    <w:rsid w:val="00495AC1"/>
    <w:rsid w:val="00495B83"/>
    <w:rsid w:val="00495C83"/>
    <w:rsid w:val="00495F8D"/>
    <w:rsid w:val="004962AD"/>
    <w:rsid w:val="004966FB"/>
    <w:rsid w:val="00496B87"/>
    <w:rsid w:val="00496D71"/>
    <w:rsid w:val="00497165"/>
    <w:rsid w:val="00497F76"/>
    <w:rsid w:val="004A05AE"/>
    <w:rsid w:val="004A0AF5"/>
    <w:rsid w:val="004A0E13"/>
    <w:rsid w:val="004A0F88"/>
    <w:rsid w:val="004A147F"/>
    <w:rsid w:val="004A1661"/>
    <w:rsid w:val="004A1AEC"/>
    <w:rsid w:val="004A1ED8"/>
    <w:rsid w:val="004A30AF"/>
    <w:rsid w:val="004A3291"/>
    <w:rsid w:val="004A333D"/>
    <w:rsid w:val="004A3577"/>
    <w:rsid w:val="004A3FD6"/>
    <w:rsid w:val="004A4222"/>
    <w:rsid w:val="004A482A"/>
    <w:rsid w:val="004A4E33"/>
    <w:rsid w:val="004A5065"/>
    <w:rsid w:val="004A5FB1"/>
    <w:rsid w:val="004A609E"/>
    <w:rsid w:val="004A631A"/>
    <w:rsid w:val="004A6972"/>
    <w:rsid w:val="004A6CE6"/>
    <w:rsid w:val="004A7182"/>
    <w:rsid w:val="004A7371"/>
    <w:rsid w:val="004A74E2"/>
    <w:rsid w:val="004B01DD"/>
    <w:rsid w:val="004B0A53"/>
    <w:rsid w:val="004B0CEC"/>
    <w:rsid w:val="004B1245"/>
    <w:rsid w:val="004B1882"/>
    <w:rsid w:val="004B1927"/>
    <w:rsid w:val="004B1B5C"/>
    <w:rsid w:val="004B1CE6"/>
    <w:rsid w:val="004B2285"/>
    <w:rsid w:val="004B281E"/>
    <w:rsid w:val="004B2EFD"/>
    <w:rsid w:val="004B32FA"/>
    <w:rsid w:val="004B36ED"/>
    <w:rsid w:val="004B3701"/>
    <w:rsid w:val="004B3BE4"/>
    <w:rsid w:val="004B3CB0"/>
    <w:rsid w:val="004B455A"/>
    <w:rsid w:val="004B4AA0"/>
    <w:rsid w:val="004B4DCC"/>
    <w:rsid w:val="004B4FEF"/>
    <w:rsid w:val="004B5550"/>
    <w:rsid w:val="004B567C"/>
    <w:rsid w:val="004B57F7"/>
    <w:rsid w:val="004B57FA"/>
    <w:rsid w:val="004B583B"/>
    <w:rsid w:val="004B5CA1"/>
    <w:rsid w:val="004B602E"/>
    <w:rsid w:val="004B649F"/>
    <w:rsid w:val="004B69DF"/>
    <w:rsid w:val="004B6A69"/>
    <w:rsid w:val="004B6E52"/>
    <w:rsid w:val="004B7196"/>
    <w:rsid w:val="004B73A9"/>
    <w:rsid w:val="004B78DA"/>
    <w:rsid w:val="004B7BEC"/>
    <w:rsid w:val="004C049B"/>
    <w:rsid w:val="004C0626"/>
    <w:rsid w:val="004C0C3E"/>
    <w:rsid w:val="004C0EDF"/>
    <w:rsid w:val="004C0F9A"/>
    <w:rsid w:val="004C1D8B"/>
    <w:rsid w:val="004C1DA8"/>
    <w:rsid w:val="004C210B"/>
    <w:rsid w:val="004C21B8"/>
    <w:rsid w:val="004C238E"/>
    <w:rsid w:val="004C2551"/>
    <w:rsid w:val="004C2EEA"/>
    <w:rsid w:val="004C326B"/>
    <w:rsid w:val="004C35EF"/>
    <w:rsid w:val="004C4195"/>
    <w:rsid w:val="004C6EEE"/>
    <w:rsid w:val="004C76A2"/>
    <w:rsid w:val="004C7C90"/>
    <w:rsid w:val="004C7CD8"/>
    <w:rsid w:val="004D039B"/>
    <w:rsid w:val="004D0A5C"/>
    <w:rsid w:val="004D0DA1"/>
    <w:rsid w:val="004D0F80"/>
    <w:rsid w:val="004D1560"/>
    <w:rsid w:val="004D195B"/>
    <w:rsid w:val="004D1D26"/>
    <w:rsid w:val="004D1E2C"/>
    <w:rsid w:val="004D221E"/>
    <w:rsid w:val="004D256D"/>
    <w:rsid w:val="004D2793"/>
    <w:rsid w:val="004D2CBC"/>
    <w:rsid w:val="004D2F12"/>
    <w:rsid w:val="004D5422"/>
    <w:rsid w:val="004D565F"/>
    <w:rsid w:val="004D5B19"/>
    <w:rsid w:val="004D5BBB"/>
    <w:rsid w:val="004D5BC1"/>
    <w:rsid w:val="004D5F90"/>
    <w:rsid w:val="004D6599"/>
    <w:rsid w:val="004D688C"/>
    <w:rsid w:val="004D6CF4"/>
    <w:rsid w:val="004D6D0C"/>
    <w:rsid w:val="004D7A1B"/>
    <w:rsid w:val="004D7A3C"/>
    <w:rsid w:val="004D7A55"/>
    <w:rsid w:val="004E0095"/>
    <w:rsid w:val="004E0735"/>
    <w:rsid w:val="004E095F"/>
    <w:rsid w:val="004E0B7F"/>
    <w:rsid w:val="004E0DD0"/>
    <w:rsid w:val="004E0F30"/>
    <w:rsid w:val="004E110B"/>
    <w:rsid w:val="004E1278"/>
    <w:rsid w:val="004E15C5"/>
    <w:rsid w:val="004E1F68"/>
    <w:rsid w:val="004E252A"/>
    <w:rsid w:val="004E28E1"/>
    <w:rsid w:val="004E2FBC"/>
    <w:rsid w:val="004E3423"/>
    <w:rsid w:val="004E35CD"/>
    <w:rsid w:val="004E3823"/>
    <w:rsid w:val="004E387F"/>
    <w:rsid w:val="004E3C80"/>
    <w:rsid w:val="004E4122"/>
    <w:rsid w:val="004E4440"/>
    <w:rsid w:val="004E4A64"/>
    <w:rsid w:val="004E4B75"/>
    <w:rsid w:val="004E5504"/>
    <w:rsid w:val="004E5A75"/>
    <w:rsid w:val="004E5E8E"/>
    <w:rsid w:val="004E6129"/>
    <w:rsid w:val="004E6347"/>
    <w:rsid w:val="004E6357"/>
    <w:rsid w:val="004E6AD4"/>
    <w:rsid w:val="004E72B9"/>
    <w:rsid w:val="004E7ADA"/>
    <w:rsid w:val="004E7D13"/>
    <w:rsid w:val="004E7FAF"/>
    <w:rsid w:val="004F0063"/>
    <w:rsid w:val="004F0074"/>
    <w:rsid w:val="004F0171"/>
    <w:rsid w:val="004F03E0"/>
    <w:rsid w:val="004F08D9"/>
    <w:rsid w:val="004F0909"/>
    <w:rsid w:val="004F0DE3"/>
    <w:rsid w:val="004F0FCC"/>
    <w:rsid w:val="004F1D9F"/>
    <w:rsid w:val="004F2390"/>
    <w:rsid w:val="004F248A"/>
    <w:rsid w:val="004F24B0"/>
    <w:rsid w:val="004F27D5"/>
    <w:rsid w:val="004F2D81"/>
    <w:rsid w:val="004F3205"/>
    <w:rsid w:val="004F36AE"/>
    <w:rsid w:val="004F4492"/>
    <w:rsid w:val="004F45B3"/>
    <w:rsid w:val="004F4672"/>
    <w:rsid w:val="004F50D0"/>
    <w:rsid w:val="004F5188"/>
    <w:rsid w:val="004F5215"/>
    <w:rsid w:val="004F5827"/>
    <w:rsid w:val="004F5A80"/>
    <w:rsid w:val="004F5B61"/>
    <w:rsid w:val="004F5E74"/>
    <w:rsid w:val="004F606D"/>
    <w:rsid w:val="004F6C18"/>
    <w:rsid w:val="004F6C2D"/>
    <w:rsid w:val="004F6E2D"/>
    <w:rsid w:val="004F6E32"/>
    <w:rsid w:val="004F7461"/>
    <w:rsid w:val="0050020B"/>
    <w:rsid w:val="005002F3"/>
    <w:rsid w:val="00500548"/>
    <w:rsid w:val="005008EC"/>
    <w:rsid w:val="005009A6"/>
    <w:rsid w:val="00500D4E"/>
    <w:rsid w:val="00500E47"/>
    <w:rsid w:val="00501493"/>
    <w:rsid w:val="0050191C"/>
    <w:rsid w:val="00502A4B"/>
    <w:rsid w:val="00502F64"/>
    <w:rsid w:val="00503354"/>
    <w:rsid w:val="005039F1"/>
    <w:rsid w:val="00503ED4"/>
    <w:rsid w:val="00504C63"/>
    <w:rsid w:val="00504E4C"/>
    <w:rsid w:val="00505C75"/>
    <w:rsid w:val="00506745"/>
    <w:rsid w:val="0050693F"/>
    <w:rsid w:val="00506A72"/>
    <w:rsid w:val="00506EAB"/>
    <w:rsid w:val="00506F43"/>
    <w:rsid w:val="00507446"/>
    <w:rsid w:val="00507CF1"/>
    <w:rsid w:val="00507E80"/>
    <w:rsid w:val="00510236"/>
    <w:rsid w:val="00510F70"/>
    <w:rsid w:val="00511047"/>
    <w:rsid w:val="00511C56"/>
    <w:rsid w:val="00511E91"/>
    <w:rsid w:val="00511FA9"/>
    <w:rsid w:val="005121BA"/>
    <w:rsid w:val="005124C9"/>
    <w:rsid w:val="00513269"/>
    <w:rsid w:val="005137A2"/>
    <w:rsid w:val="00513AD4"/>
    <w:rsid w:val="00513BBF"/>
    <w:rsid w:val="00513CC1"/>
    <w:rsid w:val="00513DE4"/>
    <w:rsid w:val="00513E9F"/>
    <w:rsid w:val="00513FAE"/>
    <w:rsid w:val="005144DB"/>
    <w:rsid w:val="00514E87"/>
    <w:rsid w:val="00514F08"/>
    <w:rsid w:val="00515BDA"/>
    <w:rsid w:val="00515F7A"/>
    <w:rsid w:val="005168BE"/>
    <w:rsid w:val="00516AE1"/>
    <w:rsid w:val="00516C80"/>
    <w:rsid w:val="00516DA4"/>
    <w:rsid w:val="00517540"/>
    <w:rsid w:val="00520F15"/>
    <w:rsid w:val="00521296"/>
    <w:rsid w:val="005212FB"/>
    <w:rsid w:val="00521583"/>
    <w:rsid w:val="00521687"/>
    <w:rsid w:val="00521B2F"/>
    <w:rsid w:val="00522077"/>
    <w:rsid w:val="00522728"/>
    <w:rsid w:val="00522AC0"/>
    <w:rsid w:val="00523195"/>
    <w:rsid w:val="0052344E"/>
    <w:rsid w:val="00523CEB"/>
    <w:rsid w:val="0052454F"/>
    <w:rsid w:val="00524A52"/>
    <w:rsid w:val="00525843"/>
    <w:rsid w:val="00525864"/>
    <w:rsid w:val="00525A94"/>
    <w:rsid w:val="00525B8C"/>
    <w:rsid w:val="00525F80"/>
    <w:rsid w:val="00526031"/>
    <w:rsid w:val="005260D2"/>
    <w:rsid w:val="00526108"/>
    <w:rsid w:val="00527407"/>
    <w:rsid w:val="005278CD"/>
    <w:rsid w:val="00530440"/>
    <w:rsid w:val="00530800"/>
    <w:rsid w:val="00531B2B"/>
    <w:rsid w:val="00532CE3"/>
    <w:rsid w:val="00533262"/>
    <w:rsid w:val="005336FE"/>
    <w:rsid w:val="005338BD"/>
    <w:rsid w:val="00533B5C"/>
    <w:rsid w:val="005343BC"/>
    <w:rsid w:val="00534B00"/>
    <w:rsid w:val="00535471"/>
    <w:rsid w:val="005358FA"/>
    <w:rsid w:val="005359F5"/>
    <w:rsid w:val="00535F07"/>
    <w:rsid w:val="00536A9E"/>
    <w:rsid w:val="00536F35"/>
    <w:rsid w:val="0053732D"/>
    <w:rsid w:val="0053736B"/>
    <w:rsid w:val="0053751E"/>
    <w:rsid w:val="005375D5"/>
    <w:rsid w:val="005379F7"/>
    <w:rsid w:val="00537DC1"/>
    <w:rsid w:val="0054023C"/>
    <w:rsid w:val="005404B7"/>
    <w:rsid w:val="0054113D"/>
    <w:rsid w:val="005418F9"/>
    <w:rsid w:val="00541AF2"/>
    <w:rsid w:val="00542B4C"/>
    <w:rsid w:val="00542CA3"/>
    <w:rsid w:val="005432B2"/>
    <w:rsid w:val="005437B3"/>
    <w:rsid w:val="00543825"/>
    <w:rsid w:val="005439FE"/>
    <w:rsid w:val="00544BE5"/>
    <w:rsid w:val="0054571D"/>
    <w:rsid w:val="005459F7"/>
    <w:rsid w:val="00545BE6"/>
    <w:rsid w:val="00545E1F"/>
    <w:rsid w:val="00546715"/>
    <w:rsid w:val="00546973"/>
    <w:rsid w:val="00546D10"/>
    <w:rsid w:val="00546E9A"/>
    <w:rsid w:val="00547348"/>
    <w:rsid w:val="00547D91"/>
    <w:rsid w:val="00550001"/>
    <w:rsid w:val="00550642"/>
    <w:rsid w:val="005508FF"/>
    <w:rsid w:val="00551129"/>
    <w:rsid w:val="00551296"/>
    <w:rsid w:val="005514FB"/>
    <w:rsid w:val="00551983"/>
    <w:rsid w:val="0055208D"/>
    <w:rsid w:val="00552718"/>
    <w:rsid w:val="00552D06"/>
    <w:rsid w:val="00553022"/>
    <w:rsid w:val="0055305D"/>
    <w:rsid w:val="00553082"/>
    <w:rsid w:val="00553350"/>
    <w:rsid w:val="00553EF6"/>
    <w:rsid w:val="00554B2B"/>
    <w:rsid w:val="00554BFE"/>
    <w:rsid w:val="00554E70"/>
    <w:rsid w:val="0055515B"/>
    <w:rsid w:val="005557F2"/>
    <w:rsid w:val="0055598A"/>
    <w:rsid w:val="00555B2A"/>
    <w:rsid w:val="00555C79"/>
    <w:rsid w:val="00555CEE"/>
    <w:rsid w:val="00555D4F"/>
    <w:rsid w:val="0055630A"/>
    <w:rsid w:val="00556842"/>
    <w:rsid w:val="00556D65"/>
    <w:rsid w:val="00556D8A"/>
    <w:rsid w:val="00556D92"/>
    <w:rsid w:val="00557979"/>
    <w:rsid w:val="00557D78"/>
    <w:rsid w:val="005602C8"/>
    <w:rsid w:val="005603BC"/>
    <w:rsid w:val="005604D9"/>
    <w:rsid w:val="00560C2B"/>
    <w:rsid w:val="00560FAC"/>
    <w:rsid w:val="0056107B"/>
    <w:rsid w:val="00561AFF"/>
    <w:rsid w:val="00562AFD"/>
    <w:rsid w:val="00563B2F"/>
    <w:rsid w:val="00563D9B"/>
    <w:rsid w:val="005641F8"/>
    <w:rsid w:val="00565C3B"/>
    <w:rsid w:val="005662A4"/>
    <w:rsid w:val="0056650E"/>
    <w:rsid w:val="00566F7D"/>
    <w:rsid w:val="0056719E"/>
    <w:rsid w:val="00567248"/>
    <w:rsid w:val="00567F9B"/>
    <w:rsid w:val="005708CC"/>
    <w:rsid w:val="00570ED5"/>
    <w:rsid w:val="00570EF1"/>
    <w:rsid w:val="00571006"/>
    <w:rsid w:val="00571056"/>
    <w:rsid w:val="0057292D"/>
    <w:rsid w:val="00572F6F"/>
    <w:rsid w:val="005730DB"/>
    <w:rsid w:val="00573225"/>
    <w:rsid w:val="0057398D"/>
    <w:rsid w:val="00574C42"/>
    <w:rsid w:val="00574FE0"/>
    <w:rsid w:val="0057565B"/>
    <w:rsid w:val="005756FC"/>
    <w:rsid w:val="005758CF"/>
    <w:rsid w:val="0057618F"/>
    <w:rsid w:val="005763B0"/>
    <w:rsid w:val="00576593"/>
    <w:rsid w:val="00576B63"/>
    <w:rsid w:val="005770C6"/>
    <w:rsid w:val="00580182"/>
    <w:rsid w:val="005804E2"/>
    <w:rsid w:val="005812E7"/>
    <w:rsid w:val="00582471"/>
    <w:rsid w:val="00582A82"/>
    <w:rsid w:val="00582F3D"/>
    <w:rsid w:val="005832B5"/>
    <w:rsid w:val="0058337B"/>
    <w:rsid w:val="005839BA"/>
    <w:rsid w:val="005846CF"/>
    <w:rsid w:val="00584BFC"/>
    <w:rsid w:val="00584C86"/>
    <w:rsid w:val="005853FB"/>
    <w:rsid w:val="00585661"/>
    <w:rsid w:val="005857E4"/>
    <w:rsid w:val="0058592D"/>
    <w:rsid w:val="005859CA"/>
    <w:rsid w:val="00585BF7"/>
    <w:rsid w:val="00585C76"/>
    <w:rsid w:val="00585F75"/>
    <w:rsid w:val="005868A2"/>
    <w:rsid w:val="00586E76"/>
    <w:rsid w:val="00587085"/>
    <w:rsid w:val="0058721F"/>
    <w:rsid w:val="00587270"/>
    <w:rsid w:val="00587453"/>
    <w:rsid w:val="0058759D"/>
    <w:rsid w:val="0058762D"/>
    <w:rsid w:val="00587671"/>
    <w:rsid w:val="00587EBE"/>
    <w:rsid w:val="00590270"/>
    <w:rsid w:val="00590297"/>
    <w:rsid w:val="005902AE"/>
    <w:rsid w:val="005903EF"/>
    <w:rsid w:val="005917E6"/>
    <w:rsid w:val="00591848"/>
    <w:rsid w:val="0059205F"/>
    <w:rsid w:val="00593653"/>
    <w:rsid w:val="00593655"/>
    <w:rsid w:val="00593CF2"/>
    <w:rsid w:val="00593DE5"/>
    <w:rsid w:val="00594ABB"/>
    <w:rsid w:val="00594FF5"/>
    <w:rsid w:val="00595956"/>
    <w:rsid w:val="00595C88"/>
    <w:rsid w:val="00595D16"/>
    <w:rsid w:val="00595EB0"/>
    <w:rsid w:val="00595ECD"/>
    <w:rsid w:val="00595EFF"/>
    <w:rsid w:val="00596971"/>
    <w:rsid w:val="00596FB9"/>
    <w:rsid w:val="00597359"/>
    <w:rsid w:val="005978FC"/>
    <w:rsid w:val="005A0671"/>
    <w:rsid w:val="005A0F85"/>
    <w:rsid w:val="005A177A"/>
    <w:rsid w:val="005A24D0"/>
    <w:rsid w:val="005A31C9"/>
    <w:rsid w:val="005A3336"/>
    <w:rsid w:val="005A33E0"/>
    <w:rsid w:val="005A3B75"/>
    <w:rsid w:val="005A3BC8"/>
    <w:rsid w:val="005A46FC"/>
    <w:rsid w:val="005A4B2C"/>
    <w:rsid w:val="005A4E64"/>
    <w:rsid w:val="005A51F2"/>
    <w:rsid w:val="005A553D"/>
    <w:rsid w:val="005A5970"/>
    <w:rsid w:val="005A6290"/>
    <w:rsid w:val="005A6334"/>
    <w:rsid w:val="005A65CF"/>
    <w:rsid w:val="005A76D1"/>
    <w:rsid w:val="005A779F"/>
    <w:rsid w:val="005A78F8"/>
    <w:rsid w:val="005B0865"/>
    <w:rsid w:val="005B0A0C"/>
    <w:rsid w:val="005B0C27"/>
    <w:rsid w:val="005B0CD3"/>
    <w:rsid w:val="005B1945"/>
    <w:rsid w:val="005B1B44"/>
    <w:rsid w:val="005B1C7D"/>
    <w:rsid w:val="005B1E98"/>
    <w:rsid w:val="005B25B1"/>
    <w:rsid w:val="005B30AB"/>
    <w:rsid w:val="005B325A"/>
    <w:rsid w:val="005B3F6E"/>
    <w:rsid w:val="005B4054"/>
    <w:rsid w:val="005B413D"/>
    <w:rsid w:val="005B4977"/>
    <w:rsid w:val="005B4F90"/>
    <w:rsid w:val="005B560B"/>
    <w:rsid w:val="005B5860"/>
    <w:rsid w:val="005B5A92"/>
    <w:rsid w:val="005B5B67"/>
    <w:rsid w:val="005B5C46"/>
    <w:rsid w:val="005B609C"/>
    <w:rsid w:val="005B62D8"/>
    <w:rsid w:val="005B6386"/>
    <w:rsid w:val="005B65A5"/>
    <w:rsid w:val="005B6870"/>
    <w:rsid w:val="005B6B70"/>
    <w:rsid w:val="005B6E09"/>
    <w:rsid w:val="005B71D4"/>
    <w:rsid w:val="005B74F3"/>
    <w:rsid w:val="005B79E5"/>
    <w:rsid w:val="005C0B6A"/>
    <w:rsid w:val="005C0F7C"/>
    <w:rsid w:val="005C10D8"/>
    <w:rsid w:val="005C10E1"/>
    <w:rsid w:val="005C1461"/>
    <w:rsid w:val="005C22CE"/>
    <w:rsid w:val="005C2684"/>
    <w:rsid w:val="005C2688"/>
    <w:rsid w:val="005C289E"/>
    <w:rsid w:val="005C2D58"/>
    <w:rsid w:val="005C3542"/>
    <w:rsid w:val="005C3B62"/>
    <w:rsid w:val="005C422A"/>
    <w:rsid w:val="005C4492"/>
    <w:rsid w:val="005C4716"/>
    <w:rsid w:val="005C4912"/>
    <w:rsid w:val="005C4ABF"/>
    <w:rsid w:val="005C4AD2"/>
    <w:rsid w:val="005C4E5F"/>
    <w:rsid w:val="005C5ACE"/>
    <w:rsid w:val="005C5C94"/>
    <w:rsid w:val="005D0758"/>
    <w:rsid w:val="005D0DF1"/>
    <w:rsid w:val="005D0FBC"/>
    <w:rsid w:val="005D1B2B"/>
    <w:rsid w:val="005D29DA"/>
    <w:rsid w:val="005D2CE7"/>
    <w:rsid w:val="005D2D8B"/>
    <w:rsid w:val="005D2DC8"/>
    <w:rsid w:val="005D2F7D"/>
    <w:rsid w:val="005D3007"/>
    <w:rsid w:val="005D3A42"/>
    <w:rsid w:val="005D3D0F"/>
    <w:rsid w:val="005D469F"/>
    <w:rsid w:val="005D47A4"/>
    <w:rsid w:val="005D4946"/>
    <w:rsid w:val="005D49C8"/>
    <w:rsid w:val="005D4BA0"/>
    <w:rsid w:val="005D4E4E"/>
    <w:rsid w:val="005D5CE6"/>
    <w:rsid w:val="005D60AF"/>
    <w:rsid w:val="005D657F"/>
    <w:rsid w:val="005D694E"/>
    <w:rsid w:val="005D69AB"/>
    <w:rsid w:val="005D6B06"/>
    <w:rsid w:val="005D6E65"/>
    <w:rsid w:val="005D71E2"/>
    <w:rsid w:val="005D7462"/>
    <w:rsid w:val="005D7B53"/>
    <w:rsid w:val="005E0B7C"/>
    <w:rsid w:val="005E1C3F"/>
    <w:rsid w:val="005E1C85"/>
    <w:rsid w:val="005E1EF7"/>
    <w:rsid w:val="005E2271"/>
    <w:rsid w:val="005E2389"/>
    <w:rsid w:val="005E27E4"/>
    <w:rsid w:val="005E2B94"/>
    <w:rsid w:val="005E2C2F"/>
    <w:rsid w:val="005E2DFB"/>
    <w:rsid w:val="005E30EB"/>
    <w:rsid w:val="005E3265"/>
    <w:rsid w:val="005E326C"/>
    <w:rsid w:val="005E3300"/>
    <w:rsid w:val="005E432B"/>
    <w:rsid w:val="005E447C"/>
    <w:rsid w:val="005E4574"/>
    <w:rsid w:val="005E475B"/>
    <w:rsid w:val="005E5795"/>
    <w:rsid w:val="005E57D3"/>
    <w:rsid w:val="005E5E45"/>
    <w:rsid w:val="005E5FC3"/>
    <w:rsid w:val="005E608F"/>
    <w:rsid w:val="005E62B0"/>
    <w:rsid w:val="005E637A"/>
    <w:rsid w:val="005E6607"/>
    <w:rsid w:val="005E6D8D"/>
    <w:rsid w:val="005E70E4"/>
    <w:rsid w:val="005E7601"/>
    <w:rsid w:val="005E76E9"/>
    <w:rsid w:val="005E777D"/>
    <w:rsid w:val="005F07C4"/>
    <w:rsid w:val="005F085A"/>
    <w:rsid w:val="005F086D"/>
    <w:rsid w:val="005F0A3E"/>
    <w:rsid w:val="005F0A3F"/>
    <w:rsid w:val="005F0C81"/>
    <w:rsid w:val="005F0DC1"/>
    <w:rsid w:val="005F1090"/>
    <w:rsid w:val="005F10DB"/>
    <w:rsid w:val="005F116D"/>
    <w:rsid w:val="005F1530"/>
    <w:rsid w:val="005F1A20"/>
    <w:rsid w:val="005F1B03"/>
    <w:rsid w:val="005F391F"/>
    <w:rsid w:val="005F3B07"/>
    <w:rsid w:val="005F4561"/>
    <w:rsid w:val="005F4B62"/>
    <w:rsid w:val="005F4BAE"/>
    <w:rsid w:val="005F4D7E"/>
    <w:rsid w:val="005F51A2"/>
    <w:rsid w:val="005F5402"/>
    <w:rsid w:val="005F5604"/>
    <w:rsid w:val="005F58D6"/>
    <w:rsid w:val="005F5A1B"/>
    <w:rsid w:val="005F5C4D"/>
    <w:rsid w:val="005F5EDB"/>
    <w:rsid w:val="005F6523"/>
    <w:rsid w:val="005F666B"/>
    <w:rsid w:val="005F6EDE"/>
    <w:rsid w:val="005F734B"/>
    <w:rsid w:val="005F7751"/>
    <w:rsid w:val="005F7FC5"/>
    <w:rsid w:val="00600B55"/>
    <w:rsid w:val="0060173A"/>
    <w:rsid w:val="00601807"/>
    <w:rsid w:val="00601FCA"/>
    <w:rsid w:val="00602068"/>
    <w:rsid w:val="0060211E"/>
    <w:rsid w:val="006021E0"/>
    <w:rsid w:val="006028FC"/>
    <w:rsid w:val="006028FD"/>
    <w:rsid w:val="00602E81"/>
    <w:rsid w:val="00603706"/>
    <w:rsid w:val="006037A8"/>
    <w:rsid w:val="00603C92"/>
    <w:rsid w:val="00603DA0"/>
    <w:rsid w:val="0060450B"/>
    <w:rsid w:val="00604558"/>
    <w:rsid w:val="0060491C"/>
    <w:rsid w:val="0060493B"/>
    <w:rsid w:val="0060533A"/>
    <w:rsid w:val="00606546"/>
    <w:rsid w:val="00606C2A"/>
    <w:rsid w:val="00606D70"/>
    <w:rsid w:val="00607350"/>
    <w:rsid w:val="0060795F"/>
    <w:rsid w:val="0061030D"/>
    <w:rsid w:val="00610417"/>
    <w:rsid w:val="00610671"/>
    <w:rsid w:val="0061094A"/>
    <w:rsid w:val="00610A54"/>
    <w:rsid w:val="00610D6E"/>
    <w:rsid w:val="00610F45"/>
    <w:rsid w:val="00610F8F"/>
    <w:rsid w:val="0061112C"/>
    <w:rsid w:val="00611984"/>
    <w:rsid w:val="00611DC1"/>
    <w:rsid w:val="00611F71"/>
    <w:rsid w:val="0061275F"/>
    <w:rsid w:val="006131A8"/>
    <w:rsid w:val="0061330D"/>
    <w:rsid w:val="006142AD"/>
    <w:rsid w:val="00614550"/>
    <w:rsid w:val="0061490D"/>
    <w:rsid w:val="006164CA"/>
    <w:rsid w:val="00616991"/>
    <w:rsid w:val="00616DE0"/>
    <w:rsid w:val="006170F0"/>
    <w:rsid w:val="006173B7"/>
    <w:rsid w:val="00617EB5"/>
    <w:rsid w:val="0062023B"/>
    <w:rsid w:val="006203D3"/>
    <w:rsid w:val="00620A0A"/>
    <w:rsid w:val="0062111A"/>
    <w:rsid w:val="006212A2"/>
    <w:rsid w:val="00621661"/>
    <w:rsid w:val="0062180F"/>
    <w:rsid w:val="00621C9C"/>
    <w:rsid w:val="006223CC"/>
    <w:rsid w:val="00622610"/>
    <w:rsid w:val="0062296B"/>
    <w:rsid w:val="006234A9"/>
    <w:rsid w:val="00623B53"/>
    <w:rsid w:val="00623C21"/>
    <w:rsid w:val="00624972"/>
    <w:rsid w:val="006250D6"/>
    <w:rsid w:val="0062561A"/>
    <w:rsid w:val="0062579F"/>
    <w:rsid w:val="006257D1"/>
    <w:rsid w:val="00625837"/>
    <w:rsid w:val="00625994"/>
    <w:rsid w:val="00625C2D"/>
    <w:rsid w:val="00625CA4"/>
    <w:rsid w:val="0062650A"/>
    <w:rsid w:val="0062685E"/>
    <w:rsid w:val="00626938"/>
    <w:rsid w:val="00626A4A"/>
    <w:rsid w:val="00626D2F"/>
    <w:rsid w:val="00627044"/>
    <w:rsid w:val="006275F4"/>
    <w:rsid w:val="006277E2"/>
    <w:rsid w:val="00627BAA"/>
    <w:rsid w:val="00627CA8"/>
    <w:rsid w:val="00627E1A"/>
    <w:rsid w:val="00627FE9"/>
    <w:rsid w:val="00630369"/>
    <w:rsid w:val="0063062D"/>
    <w:rsid w:val="00630D40"/>
    <w:rsid w:val="006317EE"/>
    <w:rsid w:val="00632575"/>
    <w:rsid w:val="0063258F"/>
    <w:rsid w:val="00632C1A"/>
    <w:rsid w:val="00632D2F"/>
    <w:rsid w:val="00632D3D"/>
    <w:rsid w:val="00633172"/>
    <w:rsid w:val="00633327"/>
    <w:rsid w:val="006337E4"/>
    <w:rsid w:val="0063393B"/>
    <w:rsid w:val="00633945"/>
    <w:rsid w:val="00633B33"/>
    <w:rsid w:val="00633EFB"/>
    <w:rsid w:val="0063480C"/>
    <w:rsid w:val="00634D0C"/>
    <w:rsid w:val="00634ED0"/>
    <w:rsid w:val="00634FE8"/>
    <w:rsid w:val="00635753"/>
    <w:rsid w:val="00635BC0"/>
    <w:rsid w:val="0063622F"/>
    <w:rsid w:val="006366FE"/>
    <w:rsid w:val="00636749"/>
    <w:rsid w:val="0063685A"/>
    <w:rsid w:val="00636DDA"/>
    <w:rsid w:val="00636F07"/>
    <w:rsid w:val="00637002"/>
    <w:rsid w:val="006378EF"/>
    <w:rsid w:val="00637F96"/>
    <w:rsid w:val="0064005F"/>
    <w:rsid w:val="0064051A"/>
    <w:rsid w:val="006407B4"/>
    <w:rsid w:val="00640D4E"/>
    <w:rsid w:val="00640F8E"/>
    <w:rsid w:val="006414A8"/>
    <w:rsid w:val="006414FF"/>
    <w:rsid w:val="006416F3"/>
    <w:rsid w:val="00641752"/>
    <w:rsid w:val="00641862"/>
    <w:rsid w:val="00641DA0"/>
    <w:rsid w:val="00641E99"/>
    <w:rsid w:val="006420EA"/>
    <w:rsid w:val="006421BA"/>
    <w:rsid w:val="00642288"/>
    <w:rsid w:val="00642357"/>
    <w:rsid w:val="00642533"/>
    <w:rsid w:val="00642C42"/>
    <w:rsid w:val="00643846"/>
    <w:rsid w:val="00643EFF"/>
    <w:rsid w:val="00644A09"/>
    <w:rsid w:val="00644C95"/>
    <w:rsid w:val="0064583F"/>
    <w:rsid w:val="006458C3"/>
    <w:rsid w:val="00645C42"/>
    <w:rsid w:val="00645F0D"/>
    <w:rsid w:val="00646007"/>
    <w:rsid w:val="00646B29"/>
    <w:rsid w:val="0064756D"/>
    <w:rsid w:val="00647714"/>
    <w:rsid w:val="0064782C"/>
    <w:rsid w:val="00647B83"/>
    <w:rsid w:val="00647F04"/>
    <w:rsid w:val="0065011B"/>
    <w:rsid w:val="0065094D"/>
    <w:rsid w:val="00650A4E"/>
    <w:rsid w:val="00650DDE"/>
    <w:rsid w:val="00651039"/>
    <w:rsid w:val="0065104A"/>
    <w:rsid w:val="006515D7"/>
    <w:rsid w:val="00651A4C"/>
    <w:rsid w:val="00651B07"/>
    <w:rsid w:val="006521C7"/>
    <w:rsid w:val="0065220F"/>
    <w:rsid w:val="006526AD"/>
    <w:rsid w:val="00652AAA"/>
    <w:rsid w:val="006539EC"/>
    <w:rsid w:val="00653B98"/>
    <w:rsid w:val="00654128"/>
    <w:rsid w:val="006542A1"/>
    <w:rsid w:val="006544D9"/>
    <w:rsid w:val="006548E3"/>
    <w:rsid w:val="00654A1A"/>
    <w:rsid w:val="00654B38"/>
    <w:rsid w:val="00655280"/>
    <w:rsid w:val="00655AB9"/>
    <w:rsid w:val="00655E10"/>
    <w:rsid w:val="00655E5F"/>
    <w:rsid w:val="006569F7"/>
    <w:rsid w:val="00656A63"/>
    <w:rsid w:val="00656AC4"/>
    <w:rsid w:val="00656D2A"/>
    <w:rsid w:val="006575F7"/>
    <w:rsid w:val="00657B11"/>
    <w:rsid w:val="00657CB3"/>
    <w:rsid w:val="00657D25"/>
    <w:rsid w:val="00657E65"/>
    <w:rsid w:val="006600DF"/>
    <w:rsid w:val="006601D7"/>
    <w:rsid w:val="00660497"/>
    <w:rsid w:val="00660ABC"/>
    <w:rsid w:val="00660EA3"/>
    <w:rsid w:val="006615F0"/>
    <w:rsid w:val="00661D53"/>
    <w:rsid w:val="00661D5D"/>
    <w:rsid w:val="006620EA"/>
    <w:rsid w:val="006627D2"/>
    <w:rsid w:val="0066283C"/>
    <w:rsid w:val="00662AF4"/>
    <w:rsid w:val="00663005"/>
    <w:rsid w:val="00663069"/>
    <w:rsid w:val="006635BD"/>
    <w:rsid w:val="006642FA"/>
    <w:rsid w:val="00664E8A"/>
    <w:rsid w:val="00665500"/>
    <w:rsid w:val="0066581A"/>
    <w:rsid w:val="0066592A"/>
    <w:rsid w:val="00665E9F"/>
    <w:rsid w:val="006663A0"/>
    <w:rsid w:val="006664BA"/>
    <w:rsid w:val="00666729"/>
    <w:rsid w:val="00666861"/>
    <w:rsid w:val="00666AC1"/>
    <w:rsid w:val="00667228"/>
    <w:rsid w:val="0066740C"/>
    <w:rsid w:val="0066747A"/>
    <w:rsid w:val="00667BE1"/>
    <w:rsid w:val="006704CF"/>
    <w:rsid w:val="00670601"/>
    <w:rsid w:val="00670C38"/>
    <w:rsid w:val="00671107"/>
    <w:rsid w:val="00672059"/>
    <w:rsid w:val="00672811"/>
    <w:rsid w:val="00672843"/>
    <w:rsid w:val="00672C98"/>
    <w:rsid w:val="00672D41"/>
    <w:rsid w:val="00672DE4"/>
    <w:rsid w:val="00673A87"/>
    <w:rsid w:val="00673AD9"/>
    <w:rsid w:val="00675201"/>
    <w:rsid w:val="00675570"/>
    <w:rsid w:val="00675644"/>
    <w:rsid w:val="006758F5"/>
    <w:rsid w:val="00675D83"/>
    <w:rsid w:val="00675D95"/>
    <w:rsid w:val="00675EDE"/>
    <w:rsid w:val="006764FF"/>
    <w:rsid w:val="00676788"/>
    <w:rsid w:val="006767FE"/>
    <w:rsid w:val="00676C76"/>
    <w:rsid w:val="00676FEE"/>
    <w:rsid w:val="006771B5"/>
    <w:rsid w:val="00677589"/>
    <w:rsid w:val="00677856"/>
    <w:rsid w:val="0067797C"/>
    <w:rsid w:val="006779EA"/>
    <w:rsid w:val="00677DE0"/>
    <w:rsid w:val="0068084D"/>
    <w:rsid w:val="00680C27"/>
    <w:rsid w:val="00680FAB"/>
    <w:rsid w:val="006816F2"/>
    <w:rsid w:val="00681CD6"/>
    <w:rsid w:val="00681D62"/>
    <w:rsid w:val="00681E17"/>
    <w:rsid w:val="00682569"/>
    <w:rsid w:val="00682BED"/>
    <w:rsid w:val="00682DF6"/>
    <w:rsid w:val="00682FD5"/>
    <w:rsid w:val="006835AE"/>
    <w:rsid w:val="006836D5"/>
    <w:rsid w:val="00684541"/>
    <w:rsid w:val="00684D31"/>
    <w:rsid w:val="00684E65"/>
    <w:rsid w:val="00684F02"/>
    <w:rsid w:val="006856BD"/>
    <w:rsid w:val="006858FF"/>
    <w:rsid w:val="0068594D"/>
    <w:rsid w:val="006859B5"/>
    <w:rsid w:val="00685D34"/>
    <w:rsid w:val="00685EAD"/>
    <w:rsid w:val="0068602B"/>
    <w:rsid w:val="0068633C"/>
    <w:rsid w:val="006863EA"/>
    <w:rsid w:val="0068652B"/>
    <w:rsid w:val="00686A99"/>
    <w:rsid w:val="00686CD3"/>
    <w:rsid w:val="006874B3"/>
    <w:rsid w:val="00687638"/>
    <w:rsid w:val="0068785A"/>
    <w:rsid w:val="00690144"/>
    <w:rsid w:val="0069094A"/>
    <w:rsid w:val="0069154F"/>
    <w:rsid w:val="006917C3"/>
    <w:rsid w:val="0069187D"/>
    <w:rsid w:val="00692180"/>
    <w:rsid w:val="00692274"/>
    <w:rsid w:val="00692452"/>
    <w:rsid w:val="0069257A"/>
    <w:rsid w:val="006927D1"/>
    <w:rsid w:val="00692A1C"/>
    <w:rsid w:val="00692BA6"/>
    <w:rsid w:val="00692FD4"/>
    <w:rsid w:val="006930D3"/>
    <w:rsid w:val="00693F46"/>
    <w:rsid w:val="006943E2"/>
    <w:rsid w:val="0069458E"/>
    <w:rsid w:val="006945BF"/>
    <w:rsid w:val="006949DA"/>
    <w:rsid w:val="0069552E"/>
    <w:rsid w:val="006957F0"/>
    <w:rsid w:val="00695983"/>
    <w:rsid w:val="00695C21"/>
    <w:rsid w:val="006965BF"/>
    <w:rsid w:val="006969C6"/>
    <w:rsid w:val="00696C47"/>
    <w:rsid w:val="0069727F"/>
    <w:rsid w:val="006975BE"/>
    <w:rsid w:val="006975FD"/>
    <w:rsid w:val="0069760C"/>
    <w:rsid w:val="00697A9A"/>
    <w:rsid w:val="00697DF2"/>
    <w:rsid w:val="00697F96"/>
    <w:rsid w:val="00697FD7"/>
    <w:rsid w:val="006A03E0"/>
    <w:rsid w:val="006A0AA8"/>
    <w:rsid w:val="006A0AC4"/>
    <w:rsid w:val="006A0AD5"/>
    <w:rsid w:val="006A0B0B"/>
    <w:rsid w:val="006A10D9"/>
    <w:rsid w:val="006A1AC8"/>
    <w:rsid w:val="006A216A"/>
    <w:rsid w:val="006A3075"/>
    <w:rsid w:val="006A338A"/>
    <w:rsid w:val="006A3791"/>
    <w:rsid w:val="006A3C0A"/>
    <w:rsid w:val="006A432B"/>
    <w:rsid w:val="006A43EA"/>
    <w:rsid w:val="006A45A7"/>
    <w:rsid w:val="006A4959"/>
    <w:rsid w:val="006A4968"/>
    <w:rsid w:val="006A5420"/>
    <w:rsid w:val="006A5C64"/>
    <w:rsid w:val="006A5D68"/>
    <w:rsid w:val="006A60AD"/>
    <w:rsid w:val="006A64FF"/>
    <w:rsid w:val="006A7562"/>
    <w:rsid w:val="006B0224"/>
    <w:rsid w:val="006B0457"/>
    <w:rsid w:val="006B0483"/>
    <w:rsid w:val="006B1D01"/>
    <w:rsid w:val="006B21B4"/>
    <w:rsid w:val="006B2F9C"/>
    <w:rsid w:val="006B4091"/>
    <w:rsid w:val="006B44FD"/>
    <w:rsid w:val="006B4C72"/>
    <w:rsid w:val="006B59D1"/>
    <w:rsid w:val="006B6031"/>
    <w:rsid w:val="006B611C"/>
    <w:rsid w:val="006B69C1"/>
    <w:rsid w:val="006B6BD0"/>
    <w:rsid w:val="006B734B"/>
    <w:rsid w:val="006B739D"/>
    <w:rsid w:val="006B76B8"/>
    <w:rsid w:val="006B7E03"/>
    <w:rsid w:val="006C03CB"/>
    <w:rsid w:val="006C051A"/>
    <w:rsid w:val="006C0949"/>
    <w:rsid w:val="006C11E5"/>
    <w:rsid w:val="006C1441"/>
    <w:rsid w:val="006C198E"/>
    <w:rsid w:val="006C2699"/>
    <w:rsid w:val="006C2A13"/>
    <w:rsid w:val="006C3618"/>
    <w:rsid w:val="006C4D07"/>
    <w:rsid w:val="006C5675"/>
    <w:rsid w:val="006C5CA3"/>
    <w:rsid w:val="006C603E"/>
    <w:rsid w:val="006C65DF"/>
    <w:rsid w:val="006C6860"/>
    <w:rsid w:val="006C6B2B"/>
    <w:rsid w:val="006C6C71"/>
    <w:rsid w:val="006C70BC"/>
    <w:rsid w:val="006C78B5"/>
    <w:rsid w:val="006D00F5"/>
    <w:rsid w:val="006D0869"/>
    <w:rsid w:val="006D0E10"/>
    <w:rsid w:val="006D1085"/>
    <w:rsid w:val="006D155D"/>
    <w:rsid w:val="006D1997"/>
    <w:rsid w:val="006D1FEF"/>
    <w:rsid w:val="006D288D"/>
    <w:rsid w:val="006D2AA9"/>
    <w:rsid w:val="006D2C80"/>
    <w:rsid w:val="006D3571"/>
    <w:rsid w:val="006D400F"/>
    <w:rsid w:val="006D4EB5"/>
    <w:rsid w:val="006D515F"/>
    <w:rsid w:val="006D54CD"/>
    <w:rsid w:val="006D54E9"/>
    <w:rsid w:val="006D562F"/>
    <w:rsid w:val="006D5812"/>
    <w:rsid w:val="006D5B54"/>
    <w:rsid w:val="006D5B70"/>
    <w:rsid w:val="006D5DE1"/>
    <w:rsid w:val="006D5DE9"/>
    <w:rsid w:val="006D606E"/>
    <w:rsid w:val="006D6660"/>
    <w:rsid w:val="006D66C7"/>
    <w:rsid w:val="006D678B"/>
    <w:rsid w:val="006D6C09"/>
    <w:rsid w:val="006D6EBE"/>
    <w:rsid w:val="006D7866"/>
    <w:rsid w:val="006E03B4"/>
    <w:rsid w:val="006E1315"/>
    <w:rsid w:val="006E1A1E"/>
    <w:rsid w:val="006E1B7C"/>
    <w:rsid w:val="006E1B9A"/>
    <w:rsid w:val="006E21FF"/>
    <w:rsid w:val="006E2214"/>
    <w:rsid w:val="006E251B"/>
    <w:rsid w:val="006E292E"/>
    <w:rsid w:val="006E2A2C"/>
    <w:rsid w:val="006E2C88"/>
    <w:rsid w:val="006E3348"/>
    <w:rsid w:val="006E3360"/>
    <w:rsid w:val="006E3927"/>
    <w:rsid w:val="006E3CBF"/>
    <w:rsid w:val="006E3FFE"/>
    <w:rsid w:val="006E4AFD"/>
    <w:rsid w:val="006E52D8"/>
    <w:rsid w:val="006E598C"/>
    <w:rsid w:val="006E5DD8"/>
    <w:rsid w:val="006E68D4"/>
    <w:rsid w:val="006E6FC8"/>
    <w:rsid w:val="006E7030"/>
    <w:rsid w:val="006E7454"/>
    <w:rsid w:val="006E7827"/>
    <w:rsid w:val="006E7B11"/>
    <w:rsid w:val="006F018F"/>
    <w:rsid w:val="006F02E2"/>
    <w:rsid w:val="006F0537"/>
    <w:rsid w:val="006F0582"/>
    <w:rsid w:val="006F0AFE"/>
    <w:rsid w:val="006F0BFA"/>
    <w:rsid w:val="006F0C24"/>
    <w:rsid w:val="006F1536"/>
    <w:rsid w:val="006F20B8"/>
    <w:rsid w:val="006F25E6"/>
    <w:rsid w:val="006F28EB"/>
    <w:rsid w:val="006F2EA4"/>
    <w:rsid w:val="006F3425"/>
    <w:rsid w:val="006F3806"/>
    <w:rsid w:val="006F3C37"/>
    <w:rsid w:val="006F3DAA"/>
    <w:rsid w:val="006F45D7"/>
    <w:rsid w:val="006F4A12"/>
    <w:rsid w:val="006F4BD2"/>
    <w:rsid w:val="006F4C8C"/>
    <w:rsid w:val="006F4EDA"/>
    <w:rsid w:val="006F5C36"/>
    <w:rsid w:val="006F5D1A"/>
    <w:rsid w:val="006F6EC7"/>
    <w:rsid w:val="006F6F3F"/>
    <w:rsid w:val="006F73DA"/>
    <w:rsid w:val="006F7CD4"/>
    <w:rsid w:val="00700062"/>
    <w:rsid w:val="0070026A"/>
    <w:rsid w:val="00700604"/>
    <w:rsid w:val="00700CF5"/>
    <w:rsid w:val="00701534"/>
    <w:rsid w:val="00701913"/>
    <w:rsid w:val="00702248"/>
    <w:rsid w:val="0070293A"/>
    <w:rsid w:val="00702EC6"/>
    <w:rsid w:val="00703590"/>
    <w:rsid w:val="00703E8E"/>
    <w:rsid w:val="00704483"/>
    <w:rsid w:val="00704997"/>
    <w:rsid w:val="00704C28"/>
    <w:rsid w:val="00704D4B"/>
    <w:rsid w:val="007050CB"/>
    <w:rsid w:val="00705303"/>
    <w:rsid w:val="007054A7"/>
    <w:rsid w:val="00705A71"/>
    <w:rsid w:val="00706E3D"/>
    <w:rsid w:val="00706E58"/>
    <w:rsid w:val="007070A0"/>
    <w:rsid w:val="0070721A"/>
    <w:rsid w:val="007077F9"/>
    <w:rsid w:val="007078F0"/>
    <w:rsid w:val="00707F0B"/>
    <w:rsid w:val="0071024C"/>
    <w:rsid w:val="007108DE"/>
    <w:rsid w:val="00710906"/>
    <w:rsid w:val="00710F95"/>
    <w:rsid w:val="0071103F"/>
    <w:rsid w:val="007110E0"/>
    <w:rsid w:val="00711254"/>
    <w:rsid w:val="007117F9"/>
    <w:rsid w:val="0071189E"/>
    <w:rsid w:val="00711B61"/>
    <w:rsid w:val="00711E60"/>
    <w:rsid w:val="007120D5"/>
    <w:rsid w:val="007121E5"/>
    <w:rsid w:val="00712363"/>
    <w:rsid w:val="007123A6"/>
    <w:rsid w:val="007127DA"/>
    <w:rsid w:val="00712A62"/>
    <w:rsid w:val="007131E1"/>
    <w:rsid w:val="00713757"/>
    <w:rsid w:val="00714376"/>
    <w:rsid w:val="00714852"/>
    <w:rsid w:val="00714BE6"/>
    <w:rsid w:val="00714C43"/>
    <w:rsid w:val="007159C7"/>
    <w:rsid w:val="00716877"/>
    <w:rsid w:val="00716CAC"/>
    <w:rsid w:val="0071708D"/>
    <w:rsid w:val="00717101"/>
    <w:rsid w:val="00717539"/>
    <w:rsid w:val="0071763B"/>
    <w:rsid w:val="0072059B"/>
    <w:rsid w:val="007208F7"/>
    <w:rsid w:val="00720EF2"/>
    <w:rsid w:val="00721933"/>
    <w:rsid w:val="00722643"/>
    <w:rsid w:val="007226B4"/>
    <w:rsid w:val="00722F39"/>
    <w:rsid w:val="00723825"/>
    <w:rsid w:val="0072464C"/>
    <w:rsid w:val="00724BEA"/>
    <w:rsid w:val="0072544E"/>
    <w:rsid w:val="0072573B"/>
    <w:rsid w:val="0072590A"/>
    <w:rsid w:val="007264F6"/>
    <w:rsid w:val="00726762"/>
    <w:rsid w:val="00726D4C"/>
    <w:rsid w:val="00726EFF"/>
    <w:rsid w:val="00726F54"/>
    <w:rsid w:val="007271A4"/>
    <w:rsid w:val="00727655"/>
    <w:rsid w:val="007276B9"/>
    <w:rsid w:val="00727837"/>
    <w:rsid w:val="00727C2B"/>
    <w:rsid w:val="00730373"/>
    <w:rsid w:val="007305F3"/>
    <w:rsid w:val="00730BE6"/>
    <w:rsid w:val="007316B5"/>
    <w:rsid w:val="00732202"/>
    <w:rsid w:val="00732237"/>
    <w:rsid w:val="00732417"/>
    <w:rsid w:val="007324A2"/>
    <w:rsid w:val="0073287B"/>
    <w:rsid w:val="00733110"/>
    <w:rsid w:val="007338E1"/>
    <w:rsid w:val="007339E1"/>
    <w:rsid w:val="00733E0E"/>
    <w:rsid w:val="007342F7"/>
    <w:rsid w:val="00734CC8"/>
    <w:rsid w:val="007354AB"/>
    <w:rsid w:val="00735536"/>
    <w:rsid w:val="00735EA1"/>
    <w:rsid w:val="00736C0C"/>
    <w:rsid w:val="00736E03"/>
    <w:rsid w:val="00736F98"/>
    <w:rsid w:val="00737012"/>
    <w:rsid w:val="00737214"/>
    <w:rsid w:val="007372AA"/>
    <w:rsid w:val="0073748A"/>
    <w:rsid w:val="007378BF"/>
    <w:rsid w:val="00737E34"/>
    <w:rsid w:val="00737F2A"/>
    <w:rsid w:val="0074032B"/>
    <w:rsid w:val="0074127E"/>
    <w:rsid w:val="007417D7"/>
    <w:rsid w:val="00741B27"/>
    <w:rsid w:val="007424D2"/>
    <w:rsid w:val="00742BE5"/>
    <w:rsid w:val="00743074"/>
    <w:rsid w:val="00743382"/>
    <w:rsid w:val="00743C52"/>
    <w:rsid w:val="00743E02"/>
    <w:rsid w:val="00743EA7"/>
    <w:rsid w:val="0074422A"/>
    <w:rsid w:val="00744632"/>
    <w:rsid w:val="007446C3"/>
    <w:rsid w:val="00744951"/>
    <w:rsid w:val="00744952"/>
    <w:rsid w:val="00744C6D"/>
    <w:rsid w:val="00745699"/>
    <w:rsid w:val="007456E8"/>
    <w:rsid w:val="0074595D"/>
    <w:rsid w:val="00745C16"/>
    <w:rsid w:val="00745EF4"/>
    <w:rsid w:val="0074600E"/>
    <w:rsid w:val="007464BD"/>
    <w:rsid w:val="0074671F"/>
    <w:rsid w:val="00746905"/>
    <w:rsid w:val="007471A7"/>
    <w:rsid w:val="00747332"/>
    <w:rsid w:val="00747476"/>
    <w:rsid w:val="0074760F"/>
    <w:rsid w:val="00747B86"/>
    <w:rsid w:val="00747D1F"/>
    <w:rsid w:val="0075012F"/>
    <w:rsid w:val="007502D8"/>
    <w:rsid w:val="00750386"/>
    <w:rsid w:val="007505D9"/>
    <w:rsid w:val="007506C3"/>
    <w:rsid w:val="007508DA"/>
    <w:rsid w:val="00750D32"/>
    <w:rsid w:val="00751189"/>
    <w:rsid w:val="00751378"/>
    <w:rsid w:val="007519A0"/>
    <w:rsid w:val="00751E1F"/>
    <w:rsid w:val="00752794"/>
    <w:rsid w:val="00752C4C"/>
    <w:rsid w:val="007530D1"/>
    <w:rsid w:val="0075342D"/>
    <w:rsid w:val="007539DA"/>
    <w:rsid w:val="007547BF"/>
    <w:rsid w:val="00754994"/>
    <w:rsid w:val="00754C12"/>
    <w:rsid w:val="00754C9E"/>
    <w:rsid w:val="00754F19"/>
    <w:rsid w:val="00754F97"/>
    <w:rsid w:val="00755152"/>
    <w:rsid w:val="0075571A"/>
    <w:rsid w:val="00755BE6"/>
    <w:rsid w:val="00755ED2"/>
    <w:rsid w:val="007562A6"/>
    <w:rsid w:val="00756CB5"/>
    <w:rsid w:val="00757C2E"/>
    <w:rsid w:val="00760E2A"/>
    <w:rsid w:val="0076116F"/>
    <w:rsid w:val="007611BB"/>
    <w:rsid w:val="007613CE"/>
    <w:rsid w:val="007615FC"/>
    <w:rsid w:val="007619AF"/>
    <w:rsid w:val="00761DC8"/>
    <w:rsid w:val="0076247E"/>
    <w:rsid w:val="00762D1C"/>
    <w:rsid w:val="00763003"/>
    <w:rsid w:val="0076333D"/>
    <w:rsid w:val="007635EF"/>
    <w:rsid w:val="0076364F"/>
    <w:rsid w:val="00763D4B"/>
    <w:rsid w:val="00764E19"/>
    <w:rsid w:val="007657B2"/>
    <w:rsid w:val="00765B61"/>
    <w:rsid w:val="00765C33"/>
    <w:rsid w:val="00765F9E"/>
    <w:rsid w:val="007672A7"/>
    <w:rsid w:val="00767A36"/>
    <w:rsid w:val="00767CA6"/>
    <w:rsid w:val="00767FF8"/>
    <w:rsid w:val="00770594"/>
    <w:rsid w:val="00770A13"/>
    <w:rsid w:val="00770B89"/>
    <w:rsid w:val="00770BB8"/>
    <w:rsid w:val="0077167D"/>
    <w:rsid w:val="007722E7"/>
    <w:rsid w:val="007726D4"/>
    <w:rsid w:val="00772B22"/>
    <w:rsid w:val="00772B26"/>
    <w:rsid w:val="0077377F"/>
    <w:rsid w:val="00773C3D"/>
    <w:rsid w:val="00773DDA"/>
    <w:rsid w:val="00773E55"/>
    <w:rsid w:val="00773E84"/>
    <w:rsid w:val="00773FD7"/>
    <w:rsid w:val="00775080"/>
    <w:rsid w:val="00775469"/>
    <w:rsid w:val="007759BA"/>
    <w:rsid w:val="00776660"/>
    <w:rsid w:val="00776856"/>
    <w:rsid w:val="00777808"/>
    <w:rsid w:val="0077788F"/>
    <w:rsid w:val="00777952"/>
    <w:rsid w:val="00777A23"/>
    <w:rsid w:val="007804D5"/>
    <w:rsid w:val="00780580"/>
    <w:rsid w:val="00780650"/>
    <w:rsid w:val="00781726"/>
    <w:rsid w:val="00781AD1"/>
    <w:rsid w:val="00781B8F"/>
    <w:rsid w:val="00781CDE"/>
    <w:rsid w:val="00782911"/>
    <w:rsid w:val="00782ACF"/>
    <w:rsid w:val="00783173"/>
    <w:rsid w:val="007832A8"/>
    <w:rsid w:val="00783910"/>
    <w:rsid w:val="00783A25"/>
    <w:rsid w:val="00783D87"/>
    <w:rsid w:val="00784B30"/>
    <w:rsid w:val="00784BBD"/>
    <w:rsid w:val="00784D1D"/>
    <w:rsid w:val="007857AF"/>
    <w:rsid w:val="00785E5C"/>
    <w:rsid w:val="00785E7F"/>
    <w:rsid w:val="00785FEA"/>
    <w:rsid w:val="007861C1"/>
    <w:rsid w:val="00786874"/>
    <w:rsid w:val="00786E63"/>
    <w:rsid w:val="00787570"/>
    <w:rsid w:val="007906B9"/>
    <w:rsid w:val="00790A4E"/>
    <w:rsid w:val="00790DB5"/>
    <w:rsid w:val="00791009"/>
    <w:rsid w:val="007910D2"/>
    <w:rsid w:val="00791D0D"/>
    <w:rsid w:val="007924C8"/>
    <w:rsid w:val="0079294D"/>
    <w:rsid w:val="00793D15"/>
    <w:rsid w:val="00794D3E"/>
    <w:rsid w:val="007956C4"/>
    <w:rsid w:val="007959B0"/>
    <w:rsid w:val="00796037"/>
    <w:rsid w:val="007960AA"/>
    <w:rsid w:val="00796129"/>
    <w:rsid w:val="0079682B"/>
    <w:rsid w:val="00796E41"/>
    <w:rsid w:val="007970A4"/>
    <w:rsid w:val="00797AD0"/>
    <w:rsid w:val="00797BA9"/>
    <w:rsid w:val="00797DD8"/>
    <w:rsid w:val="007A0244"/>
    <w:rsid w:val="007A02A2"/>
    <w:rsid w:val="007A08F6"/>
    <w:rsid w:val="007A0BE8"/>
    <w:rsid w:val="007A0CD6"/>
    <w:rsid w:val="007A1078"/>
    <w:rsid w:val="007A14CC"/>
    <w:rsid w:val="007A1651"/>
    <w:rsid w:val="007A1B51"/>
    <w:rsid w:val="007A24B1"/>
    <w:rsid w:val="007A37BA"/>
    <w:rsid w:val="007A4627"/>
    <w:rsid w:val="007A4D95"/>
    <w:rsid w:val="007A5830"/>
    <w:rsid w:val="007A654C"/>
    <w:rsid w:val="007A6DCE"/>
    <w:rsid w:val="007A7C2C"/>
    <w:rsid w:val="007B0347"/>
    <w:rsid w:val="007B03F0"/>
    <w:rsid w:val="007B04FC"/>
    <w:rsid w:val="007B059E"/>
    <w:rsid w:val="007B073E"/>
    <w:rsid w:val="007B1518"/>
    <w:rsid w:val="007B1B31"/>
    <w:rsid w:val="007B1B3C"/>
    <w:rsid w:val="007B2550"/>
    <w:rsid w:val="007B29A5"/>
    <w:rsid w:val="007B2BFE"/>
    <w:rsid w:val="007B3796"/>
    <w:rsid w:val="007B4D86"/>
    <w:rsid w:val="007B532F"/>
    <w:rsid w:val="007B5398"/>
    <w:rsid w:val="007B5505"/>
    <w:rsid w:val="007B56F3"/>
    <w:rsid w:val="007B58A8"/>
    <w:rsid w:val="007B5DC0"/>
    <w:rsid w:val="007B6019"/>
    <w:rsid w:val="007B6673"/>
    <w:rsid w:val="007B6CB7"/>
    <w:rsid w:val="007B70C4"/>
    <w:rsid w:val="007B7138"/>
    <w:rsid w:val="007B758C"/>
    <w:rsid w:val="007B79ED"/>
    <w:rsid w:val="007B7E0B"/>
    <w:rsid w:val="007C0470"/>
    <w:rsid w:val="007C0A4F"/>
    <w:rsid w:val="007C0A7F"/>
    <w:rsid w:val="007C0B4E"/>
    <w:rsid w:val="007C0B81"/>
    <w:rsid w:val="007C1CDD"/>
    <w:rsid w:val="007C1E1D"/>
    <w:rsid w:val="007C1FEE"/>
    <w:rsid w:val="007C29DB"/>
    <w:rsid w:val="007C2B23"/>
    <w:rsid w:val="007C2E7C"/>
    <w:rsid w:val="007C2F54"/>
    <w:rsid w:val="007C35F3"/>
    <w:rsid w:val="007C3E2B"/>
    <w:rsid w:val="007C41FC"/>
    <w:rsid w:val="007C423A"/>
    <w:rsid w:val="007C456E"/>
    <w:rsid w:val="007C4CCB"/>
    <w:rsid w:val="007C4D2B"/>
    <w:rsid w:val="007C4EED"/>
    <w:rsid w:val="007C512E"/>
    <w:rsid w:val="007C5142"/>
    <w:rsid w:val="007C5875"/>
    <w:rsid w:val="007C5C54"/>
    <w:rsid w:val="007C5CEE"/>
    <w:rsid w:val="007C5F41"/>
    <w:rsid w:val="007C620E"/>
    <w:rsid w:val="007C6C59"/>
    <w:rsid w:val="007C742B"/>
    <w:rsid w:val="007D0712"/>
    <w:rsid w:val="007D0F09"/>
    <w:rsid w:val="007D0F23"/>
    <w:rsid w:val="007D16FD"/>
    <w:rsid w:val="007D2076"/>
    <w:rsid w:val="007D2787"/>
    <w:rsid w:val="007D2A4B"/>
    <w:rsid w:val="007D2DF5"/>
    <w:rsid w:val="007D2EA0"/>
    <w:rsid w:val="007D30AE"/>
    <w:rsid w:val="007D369B"/>
    <w:rsid w:val="007D36EE"/>
    <w:rsid w:val="007D3859"/>
    <w:rsid w:val="007D3A89"/>
    <w:rsid w:val="007D3BDC"/>
    <w:rsid w:val="007D3BED"/>
    <w:rsid w:val="007D3D10"/>
    <w:rsid w:val="007D413C"/>
    <w:rsid w:val="007D427E"/>
    <w:rsid w:val="007D44B5"/>
    <w:rsid w:val="007D465C"/>
    <w:rsid w:val="007D4B2C"/>
    <w:rsid w:val="007D5BAC"/>
    <w:rsid w:val="007D5BEC"/>
    <w:rsid w:val="007D5E8D"/>
    <w:rsid w:val="007D609D"/>
    <w:rsid w:val="007D6418"/>
    <w:rsid w:val="007D64F4"/>
    <w:rsid w:val="007D6645"/>
    <w:rsid w:val="007E056F"/>
    <w:rsid w:val="007E0B98"/>
    <w:rsid w:val="007E1307"/>
    <w:rsid w:val="007E1B1F"/>
    <w:rsid w:val="007E1B2D"/>
    <w:rsid w:val="007E1EA8"/>
    <w:rsid w:val="007E2E2C"/>
    <w:rsid w:val="007E35F5"/>
    <w:rsid w:val="007E3C43"/>
    <w:rsid w:val="007E3DC7"/>
    <w:rsid w:val="007E4057"/>
    <w:rsid w:val="007E4291"/>
    <w:rsid w:val="007E42AF"/>
    <w:rsid w:val="007E43D6"/>
    <w:rsid w:val="007E462E"/>
    <w:rsid w:val="007E4D52"/>
    <w:rsid w:val="007E4D5E"/>
    <w:rsid w:val="007E5104"/>
    <w:rsid w:val="007E567E"/>
    <w:rsid w:val="007E5C0A"/>
    <w:rsid w:val="007E5E41"/>
    <w:rsid w:val="007E5E73"/>
    <w:rsid w:val="007E62CE"/>
    <w:rsid w:val="007E62EB"/>
    <w:rsid w:val="007E6365"/>
    <w:rsid w:val="007E6385"/>
    <w:rsid w:val="007E68B5"/>
    <w:rsid w:val="007E70BC"/>
    <w:rsid w:val="007E7E04"/>
    <w:rsid w:val="007F010F"/>
    <w:rsid w:val="007F012A"/>
    <w:rsid w:val="007F054D"/>
    <w:rsid w:val="007F06E9"/>
    <w:rsid w:val="007F1012"/>
    <w:rsid w:val="007F19C2"/>
    <w:rsid w:val="007F1C70"/>
    <w:rsid w:val="007F2081"/>
    <w:rsid w:val="007F28AC"/>
    <w:rsid w:val="007F2A1B"/>
    <w:rsid w:val="007F2AFB"/>
    <w:rsid w:val="007F367A"/>
    <w:rsid w:val="007F39A7"/>
    <w:rsid w:val="007F4376"/>
    <w:rsid w:val="007F5018"/>
    <w:rsid w:val="007F58D3"/>
    <w:rsid w:val="007F5C20"/>
    <w:rsid w:val="007F5ECF"/>
    <w:rsid w:val="007F66C3"/>
    <w:rsid w:val="007F69A5"/>
    <w:rsid w:val="007F6D9B"/>
    <w:rsid w:val="007F7A86"/>
    <w:rsid w:val="007F7FCE"/>
    <w:rsid w:val="00800583"/>
    <w:rsid w:val="008008CA"/>
    <w:rsid w:val="00800D65"/>
    <w:rsid w:val="0080109D"/>
    <w:rsid w:val="00801636"/>
    <w:rsid w:val="008023EB"/>
    <w:rsid w:val="0080263C"/>
    <w:rsid w:val="0080289D"/>
    <w:rsid w:val="00802A33"/>
    <w:rsid w:val="0080368D"/>
    <w:rsid w:val="008037D9"/>
    <w:rsid w:val="00803C6C"/>
    <w:rsid w:val="0080434C"/>
    <w:rsid w:val="0080526B"/>
    <w:rsid w:val="008058D0"/>
    <w:rsid w:val="008058D2"/>
    <w:rsid w:val="00805AE5"/>
    <w:rsid w:val="00805BBE"/>
    <w:rsid w:val="00806C56"/>
    <w:rsid w:val="00807216"/>
    <w:rsid w:val="00807543"/>
    <w:rsid w:val="0080774F"/>
    <w:rsid w:val="0080786A"/>
    <w:rsid w:val="008079B2"/>
    <w:rsid w:val="00807A25"/>
    <w:rsid w:val="00807CDE"/>
    <w:rsid w:val="008101D8"/>
    <w:rsid w:val="00810567"/>
    <w:rsid w:val="00811CEC"/>
    <w:rsid w:val="00812206"/>
    <w:rsid w:val="008127A1"/>
    <w:rsid w:val="00812A2F"/>
    <w:rsid w:val="00812FF9"/>
    <w:rsid w:val="008135EC"/>
    <w:rsid w:val="008135FF"/>
    <w:rsid w:val="00813D42"/>
    <w:rsid w:val="00813FE5"/>
    <w:rsid w:val="00813FFF"/>
    <w:rsid w:val="008141F6"/>
    <w:rsid w:val="00814918"/>
    <w:rsid w:val="00814A50"/>
    <w:rsid w:val="00814B6D"/>
    <w:rsid w:val="00814D9B"/>
    <w:rsid w:val="00814E42"/>
    <w:rsid w:val="00815043"/>
    <w:rsid w:val="00815848"/>
    <w:rsid w:val="008158E7"/>
    <w:rsid w:val="00815FBE"/>
    <w:rsid w:val="00816333"/>
    <w:rsid w:val="00816440"/>
    <w:rsid w:val="008168E0"/>
    <w:rsid w:val="00816EAE"/>
    <w:rsid w:val="00817115"/>
    <w:rsid w:val="00817723"/>
    <w:rsid w:val="008177B7"/>
    <w:rsid w:val="008200AC"/>
    <w:rsid w:val="00820661"/>
    <w:rsid w:val="00820E1A"/>
    <w:rsid w:val="00821091"/>
    <w:rsid w:val="00821542"/>
    <w:rsid w:val="0082163D"/>
    <w:rsid w:val="008221CD"/>
    <w:rsid w:val="0082249D"/>
    <w:rsid w:val="00822565"/>
    <w:rsid w:val="00822620"/>
    <w:rsid w:val="008227AF"/>
    <w:rsid w:val="0082301A"/>
    <w:rsid w:val="008230B7"/>
    <w:rsid w:val="00823159"/>
    <w:rsid w:val="00823631"/>
    <w:rsid w:val="008237EB"/>
    <w:rsid w:val="008238A7"/>
    <w:rsid w:val="00823AD8"/>
    <w:rsid w:val="00823E83"/>
    <w:rsid w:val="008245BF"/>
    <w:rsid w:val="008249C1"/>
    <w:rsid w:val="00824C2B"/>
    <w:rsid w:val="00825009"/>
    <w:rsid w:val="008251CF"/>
    <w:rsid w:val="00825649"/>
    <w:rsid w:val="00825897"/>
    <w:rsid w:val="00826E92"/>
    <w:rsid w:val="00826FF3"/>
    <w:rsid w:val="00827079"/>
    <w:rsid w:val="0082742F"/>
    <w:rsid w:val="00827C4B"/>
    <w:rsid w:val="00827C5F"/>
    <w:rsid w:val="00827E56"/>
    <w:rsid w:val="00830808"/>
    <w:rsid w:val="008309A8"/>
    <w:rsid w:val="00830A39"/>
    <w:rsid w:val="00831034"/>
    <w:rsid w:val="008312E4"/>
    <w:rsid w:val="00831FA5"/>
    <w:rsid w:val="0083220E"/>
    <w:rsid w:val="0083237C"/>
    <w:rsid w:val="0083271A"/>
    <w:rsid w:val="00832A94"/>
    <w:rsid w:val="00833267"/>
    <w:rsid w:val="0083392C"/>
    <w:rsid w:val="00833FF4"/>
    <w:rsid w:val="008343C3"/>
    <w:rsid w:val="00834475"/>
    <w:rsid w:val="00834D87"/>
    <w:rsid w:val="00834F71"/>
    <w:rsid w:val="008353ED"/>
    <w:rsid w:val="008354CD"/>
    <w:rsid w:val="00835502"/>
    <w:rsid w:val="008355FD"/>
    <w:rsid w:val="00835B4D"/>
    <w:rsid w:val="00835EE9"/>
    <w:rsid w:val="008361FC"/>
    <w:rsid w:val="00836602"/>
    <w:rsid w:val="0083743B"/>
    <w:rsid w:val="0083764D"/>
    <w:rsid w:val="00837D67"/>
    <w:rsid w:val="00837E4D"/>
    <w:rsid w:val="00837E79"/>
    <w:rsid w:val="00837ECD"/>
    <w:rsid w:val="00840085"/>
    <w:rsid w:val="00840485"/>
    <w:rsid w:val="00840648"/>
    <w:rsid w:val="00840A1E"/>
    <w:rsid w:val="00840CF3"/>
    <w:rsid w:val="00840D4D"/>
    <w:rsid w:val="008412ED"/>
    <w:rsid w:val="00842415"/>
    <w:rsid w:val="0084245B"/>
    <w:rsid w:val="00842BAF"/>
    <w:rsid w:val="00842C34"/>
    <w:rsid w:val="00842CB0"/>
    <w:rsid w:val="00843026"/>
    <w:rsid w:val="0084345D"/>
    <w:rsid w:val="00843554"/>
    <w:rsid w:val="00843CB1"/>
    <w:rsid w:val="0084454E"/>
    <w:rsid w:val="008446A6"/>
    <w:rsid w:val="0084482A"/>
    <w:rsid w:val="00844DBA"/>
    <w:rsid w:val="008457A7"/>
    <w:rsid w:val="008458E5"/>
    <w:rsid w:val="00846AFB"/>
    <w:rsid w:val="00846BFA"/>
    <w:rsid w:val="00846E9B"/>
    <w:rsid w:val="008471FF"/>
    <w:rsid w:val="008474CB"/>
    <w:rsid w:val="0084783C"/>
    <w:rsid w:val="0085002D"/>
    <w:rsid w:val="00851B30"/>
    <w:rsid w:val="00851B8E"/>
    <w:rsid w:val="00852C0A"/>
    <w:rsid w:val="00852CDB"/>
    <w:rsid w:val="00853316"/>
    <w:rsid w:val="0085336E"/>
    <w:rsid w:val="008533C0"/>
    <w:rsid w:val="00853BFC"/>
    <w:rsid w:val="008545A5"/>
    <w:rsid w:val="008548B6"/>
    <w:rsid w:val="008549AE"/>
    <w:rsid w:val="00854C48"/>
    <w:rsid w:val="00854D05"/>
    <w:rsid w:val="008554E2"/>
    <w:rsid w:val="008556C2"/>
    <w:rsid w:val="00855794"/>
    <w:rsid w:val="00856328"/>
    <w:rsid w:val="0085640F"/>
    <w:rsid w:val="0085658F"/>
    <w:rsid w:val="00856D0E"/>
    <w:rsid w:val="0085737D"/>
    <w:rsid w:val="00861B55"/>
    <w:rsid w:val="00861D67"/>
    <w:rsid w:val="00861FDC"/>
    <w:rsid w:val="008625B4"/>
    <w:rsid w:val="00862C3F"/>
    <w:rsid w:val="00863365"/>
    <w:rsid w:val="00863DB7"/>
    <w:rsid w:val="00863E28"/>
    <w:rsid w:val="00864543"/>
    <w:rsid w:val="00864C7A"/>
    <w:rsid w:val="00865A24"/>
    <w:rsid w:val="00865DB7"/>
    <w:rsid w:val="00865ECE"/>
    <w:rsid w:val="008660C6"/>
    <w:rsid w:val="008666C7"/>
    <w:rsid w:val="00867894"/>
    <w:rsid w:val="00867D83"/>
    <w:rsid w:val="00867F24"/>
    <w:rsid w:val="00870212"/>
    <w:rsid w:val="00870648"/>
    <w:rsid w:val="00870BC2"/>
    <w:rsid w:val="00870E9F"/>
    <w:rsid w:val="00870ED8"/>
    <w:rsid w:val="008714ED"/>
    <w:rsid w:val="00871615"/>
    <w:rsid w:val="00871A00"/>
    <w:rsid w:val="00871E51"/>
    <w:rsid w:val="00872372"/>
    <w:rsid w:val="008725A7"/>
    <w:rsid w:val="008732FD"/>
    <w:rsid w:val="00873401"/>
    <w:rsid w:val="008742FB"/>
    <w:rsid w:val="00874982"/>
    <w:rsid w:val="00875149"/>
    <w:rsid w:val="00875267"/>
    <w:rsid w:val="0087542E"/>
    <w:rsid w:val="0087572C"/>
    <w:rsid w:val="00876769"/>
    <w:rsid w:val="00876A9C"/>
    <w:rsid w:val="00876AB4"/>
    <w:rsid w:val="00876E59"/>
    <w:rsid w:val="008775B8"/>
    <w:rsid w:val="00877882"/>
    <w:rsid w:val="00877A8A"/>
    <w:rsid w:val="00877E73"/>
    <w:rsid w:val="008802F4"/>
    <w:rsid w:val="00880426"/>
    <w:rsid w:val="008805C8"/>
    <w:rsid w:val="00880881"/>
    <w:rsid w:val="00880AFE"/>
    <w:rsid w:val="00881305"/>
    <w:rsid w:val="008813C7"/>
    <w:rsid w:val="00881D9E"/>
    <w:rsid w:val="00881EE3"/>
    <w:rsid w:val="008820AA"/>
    <w:rsid w:val="00882E7C"/>
    <w:rsid w:val="00883143"/>
    <w:rsid w:val="0088388B"/>
    <w:rsid w:val="00883DB1"/>
    <w:rsid w:val="00884072"/>
    <w:rsid w:val="00884567"/>
    <w:rsid w:val="00884689"/>
    <w:rsid w:val="00884DB7"/>
    <w:rsid w:val="00884E38"/>
    <w:rsid w:val="00884EFE"/>
    <w:rsid w:val="008853A0"/>
    <w:rsid w:val="008859C7"/>
    <w:rsid w:val="00885B6A"/>
    <w:rsid w:val="00885DFD"/>
    <w:rsid w:val="00886217"/>
    <w:rsid w:val="008863E2"/>
    <w:rsid w:val="00886661"/>
    <w:rsid w:val="00886BBB"/>
    <w:rsid w:val="008871C0"/>
    <w:rsid w:val="008873E4"/>
    <w:rsid w:val="00887958"/>
    <w:rsid w:val="008906AD"/>
    <w:rsid w:val="00890B37"/>
    <w:rsid w:val="00890C2E"/>
    <w:rsid w:val="00891CC2"/>
    <w:rsid w:val="008929F5"/>
    <w:rsid w:val="00892A24"/>
    <w:rsid w:val="00893082"/>
    <w:rsid w:val="00893280"/>
    <w:rsid w:val="00893285"/>
    <w:rsid w:val="00893D0E"/>
    <w:rsid w:val="00893ED0"/>
    <w:rsid w:val="0089402A"/>
    <w:rsid w:val="0089411E"/>
    <w:rsid w:val="008943FB"/>
    <w:rsid w:val="0089461C"/>
    <w:rsid w:val="00894DF3"/>
    <w:rsid w:val="0089541F"/>
    <w:rsid w:val="0089576F"/>
    <w:rsid w:val="00895831"/>
    <w:rsid w:val="008959E7"/>
    <w:rsid w:val="00896734"/>
    <w:rsid w:val="008975FF"/>
    <w:rsid w:val="00897AC0"/>
    <w:rsid w:val="008A0063"/>
    <w:rsid w:val="008A054C"/>
    <w:rsid w:val="008A055D"/>
    <w:rsid w:val="008A0707"/>
    <w:rsid w:val="008A0870"/>
    <w:rsid w:val="008A162A"/>
    <w:rsid w:val="008A2A91"/>
    <w:rsid w:val="008A2F1B"/>
    <w:rsid w:val="008A3192"/>
    <w:rsid w:val="008A3367"/>
    <w:rsid w:val="008A3596"/>
    <w:rsid w:val="008A4189"/>
    <w:rsid w:val="008A4516"/>
    <w:rsid w:val="008A4803"/>
    <w:rsid w:val="008A4A3A"/>
    <w:rsid w:val="008A50C1"/>
    <w:rsid w:val="008A55B0"/>
    <w:rsid w:val="008A5F72"/>
    <w:rsid w:val="008A61B6"/>
    <w:rsid w:val="008A6C3B"/>
    <w:rsid w:val="008A72E6"/>
    <w:rsid w:val="008A78F5"/>
    <w:rsid w:val="008A7EA1"/>
    <w:rsid w:val="008B0698"/>
    <w:rsid w:val="008B06DF"/>
    <w:rsid w:val="008B0876"/>
    <w:rsid w:val="008B0AEA"/>
    <w:rsid w:val="008B1A9B"/>
    <w:rsid w:val="008B1EBE"/>
    <w:rsid w:val="008B24E4"/>
    <w:rsid w:val="008B2716"/>
    <w:rsid w:val="008B28AE"/>
    <w:rsid w:val="008B2A0F"/>
    <w:rsid w:val="008B2ED3"/>
    <w:rsid w:val="008B31A2"/>
    <w:rsid w:val="008B39E5"/>
    <w:rsid w:val="008B42D3"/>
    <w:rsid w:val="008B4A57"/>
    <w:rsid w:val="008B4CBE"/>
    <w:rsid w:val="008B4EAC"/>
    <w:rsid w:val="008B5711"/>
    <w:rsid w:val="008B5781"/>
    <w:rsid w:val="008B5C72"/>
    <w:rsid w:val="008B65ED"/>
    <w:rsid w:val="008B6A3A"/>
    <w:rsid w:val="008B7089"/>
    <w:rsid w:val="008B70A6"/>
    <w:rsid w:val="008B7128"/>
    <w:rsid w:val="008C01E1"/>
    <w:rsid w:val="008C0321"/>
    <w:rsid w:val="008C043D"/>
    <w:rsid w:val="008C0878"/>
    <w:rsid w:val="008C0A38"/>
    <w:rsid w:val="008C0FCE"/>
    <w:rsid w:val="008C133E"/>
    <w:rsid w:val="008C148B"/>
    <w:rsid w:val="008C1678"/>
    <w:rsid w:val="008C1999"/>
    <w:rsid w:val="008C2446"/>
    <w:rsid w:val="008C266D"/>
    <w:rsid w:val="008C2C90"/>
    <w:rsid w:val="008C31FD"/>
    <w:rsid w:val="008C3582"/>
    <w:rsid w:val="008C36DA"/>
    <w:rsid w:val="008C3A7E"/>
    <w:rsid w:val="008C3FAD"/>
    <w:rsid w:val="008C4116"/>
    <w:rsid w:val="008C4531"/>
    <w:rsid w:val="008C45D4"/>
    <w:rsid w:val="008C4CE2"/>
    <w:rsid w:val="008C4DBC"/>
    <w:rsid w:val="008C4DBF"/>
    <w:rsid w:val="008C5933"/>
    <w:rsid w:val="008C5A41"/>
    <w:rsid w:val="008C5B92"/>
    <w:rsid w:val="008C5EE7"/>
    <w:rsid w:val="008C6519"/>
    <w:rsid w:val="008C6802"/>
    <w:rsid w:val="008C69D2"/>
    <w:rsid w:val="008C701D"/>
    <w:rsid w:val="008C7211"/>
    <w:rsid w:val="008C73A8"/>
    <w:rsid w:val="008C75DE"/>
    <w:rsid w:val="008C7AC8"/>
    <w:rsid w:val="008C7B5C"/>
    <w:rsid w:val="008D03AE"/>
    <w:rsid w:val="008D0740"/>
    <w:rsid w:val="008D07EA"/>
    <w:rsid w:val="008D089A"/>
    <w:rsid w:val="008D0C85"/>
    <w:rsid w:val="008D0CE8"/>
    <w:rsid w:val="008D0D44"/>
    <w:rsid w:val="008D1510"/>
    <w:rsid w:val="008D1D19"/>
    <w:rsid w:val="008D1E6F"/>
    <w:rsid w:val="008D278D"/>
    <w:rsid w:val="008D28FC"/>
    <w:rsid w:val="008D3200"/>
    <w:rsid w:val="008D32E2"/>
    <w:rsid w:val="008D33E2"/>
    <w:rsid w:val="008D53C0"/>
    <w:rsid w:val="008D5474"/>
    <w:rsid w:val="008D555D"/>
    <w:rsid w:val="008D5626"/>
    <w:rsid w:val="008D5B9D"/>
    <w:rsid w:val="008D66DB"/>
    <w:rsid w:val="008D680D"/>
    <w:rsid w:val="008D77BD"/>
    <w:rsid w:val="008D7E89"/>
    <w:rsid w:val="008D7F1D"/>
    <w:rsid w:val="008E027E"/>
    <w:rsid w:val="008E07CC"/>
    <w:rsid w:val="008E0BCA"/>
    <w:rsid w:val="008E1C7C"/>
    <w:rsid w:val="008E2250"/>
    <w:rsid w:val="008E3081"/>
    <w:rsid w:val="008E32C0"/>
    <w:rsid w:val="008E33B3"/>
    <w:rsid w:val="008E3D66"/>
    <w:rsid w:val="008E40AD"/>
    <w:rsid w:val="008E44F7"/>
    <w:rsid w:val="008E4F84"/>
    <w:rsid w:val="008E5564"/>
    <w:rsid w:val="008E5648"/>
    <w:rsid w:val="008E57CC"/>
    <w:rsid w:val="008E57CF"/>
    <w:rsid w:val="008E644A"/>
    <w:rsid w:val="008E65EB"/>
    <w:rsid w:val="008E7056"/>
    <w:rsid w:val="008E7931"/>
    <w:rsid w:val="008E7B37"/>
    <w:rsid w:val="008F029A"/>
    <w:rsid w:val="008F0D7A"/>
    <w:rsid w:val="008F1005"/>
    <w:rsid w:val="008F1081"/>
    <w:rsid w:val="008F12A9"/>
    <w:rsid w:val="008F1434"/>
    <w:rsid w:val="008F20B9"/>
    <w:rsid w:val="008F2A3E"/>
    <w:rsid w:val="008F2EE0"/>
    <w:rsid w:val="008F2FBA"/>
    <w:rsid w:val="008F30AB"/>
    <w:rsid w:val="008F3212"/>
    <w:rsid w:val="008F34A7"/>
    <w:rsid w:val="008F3AF1"/>
    <w:rsid w:val="008F4EB7"/>
    <w:rsid w:val="008F5351"/>
    <w:rsid w:val="008F5911"/>
    <w:rsid w:val="008F59FF"/>
    <w:rsid w:val="008F5F90"/>
    <w:rsid w:val="008F6374"/>
    <w:rsid w:val="008F72ED"/>
    <w:rsid w:val="008F74CF"/>
    <w:rsid w:val="008F76C5"/>
    <w:rsid w:val="008F798F"/>
    <w:rsid w:val="008F7BDB"/>
    <w:rsid w:val="008F7BDD"/>
    <w:rsid w:val="00900018"/>
    <w:rsid w:val="00900543"/>
    <w:rsid w:val="009007A9"/>
    <w:rsid w:val="00900991"/>
    <w:rsid w:val="00900D0A"/>
    <w:rsid w:val="0090106F"/>
    <w:rsid w:val="0090134F"/>
    <w:rsid w:val="00901807"/>
    <w:rsid w:val="00901A5A"/>
    <w:rsid w:val="009022CC"/>
    <w:rsid w:val="00902457"/>
    <w:rsid w:val="0090358C"/>
    <w:rsid w:val="00903A30"/>
    <w:rsid w:val="00903B65"/>
    <w:rsid w:val="00903C6D"/>
    <w:rsid w:val="00903D9A"/>
    <w:rsid w:val="00903DCE"/>
    <w:rsid w:val="009045E6"/>
    <w:rsid w:val="009047CE"/>
    <w:rsid w:val="00905959"/>
    <w:rsid w:val="00905A68"/>
    <w:rsid w:val="00906AB2"/>
    <w:rsid w:val="00906E6A"/>
    <w:rsid w:val="009077C4"/>
    <w:rsid w:val="00907B43"/>
    <w:rsid w:val="00907C06"/>
    <w:rsid w:val="00910B9E"/>
    <w:rsid w:val="00910F4A"/>
    <w:rsid w:val="00911244"/>
    <w:rsid w:val="00911576"/>
    <w:rsid w:val="00912642"/>
    <w:rsid w:val="00912B05"/>
    <w:rsid w:val="00912DD1"/>
    <w:rsid w:val="00912E35"/>
    <w:rsid w:val="00912FD8"/>
    <w:rsid w:val="009135B3"/>
    <w:rsid w:val="0091387A"/>
    <w:rsid w:val="009139D1"/>
    <w:rsid w:val="00913A61"/>
    <w:rsid w:val="00913B4E"/>
    <w:rsid w:val="00913D40"/>
    <w:rsid w:val="00913DC8"/>
    <w:rsid w:val="00914735"/>
    <w:rsid w:val="00914B9E"/>
    <w:rsid w:val="00914FAA"/>
    <w:rsid w:val="00914FFC"/>
    <w:rsid w:val="00915414"/>
    <w:rsid w:val="00915752"/>
    <w:rsid w:val="009158EB"/>
    <w:rsid w:val="0091592A"/>
    <w:rsid w:val="009160BC"/>
    <w:rsid w:val="00916234"/>
    <w:rsid w:val="00916429"/>
    <w:rsid w:val="00917403"/>
    <w:rsid w:val="0091794A"/>
    <w:rsid w:val="00917A36"/>
    <w:rsid w:val="00917B4E"/>
    <w:rsid w:val="009203E2"/>
    <w:rsid w:val="00920429"/>
    <w:rsid w:val="009208BE"/>
    <w:rsid w:val="00920C65"/>
    <w:rsid w:val="00920DBE"/>
    <w:rsid w:val="00920F57"/>
    <w:rsid w:val="0092192C"/>
    <w:rsid w:val="00921C46"/>
    <w:rsid w:val="00921CEB"/>
    <w:rsid w:val="00922745"/>
    <w:rsid w:val="00922AA4"/>
    <w:rsid w:val="00923F43"/>
    <w:rsid w:val="00924A6D"/>
    <w:rsid w:val="00924CDF"/>
    <w:rsid w:val="00924DA6"/>
    <w:rsid w:val="00924E5D"/>
    <w:rsid w:val="00925000"/>
    <w:rsid w:val="0092555A"/>
    <w:rsid w:val="009255C6"/>
    <w:rsid w:val="009257C0"/>
    <w:rsid w:val="00925C45"/>
    <w:rsid w:val="00926E22"/>
    <w:rsid w:val="00927149"/>
    <w:rsid w:val="0092746A"/>
    <w:rsid w:val="00927B6A"/>
    <w:rsid w:val="00927E88"/>
    <w:rsid w:val="009300ED"/>
    <w:rsid w:val="00930280"/>
    <w:rsid w:val="009302DB"/>
    <w:rsid w:val="009303BB"/>
    <w:rsid w:val="00930E51"/>
    <w:rsid w:val="00930EBE"/>
    <w:rsid w:val="00930FDE"/>
    <w:rsid w:val="00931F4E"/>
    <w:rsid w:val="0093226E"/>
    <w:rsid w:val="00932958"/>
    <w:rsid w:val="00932ACD"/>
    <w:rsid w:val="00932C25"/>
    <w:rsid w:val="00933175"/>
    <w:rsid w:val="00933410"/>
    <w:rsid w:val="00934046"/>
    <w:rsid w:val="00935006"/>
    <w:rsid w:val="009356A0"/>
    <w:rsid w:val="009357C7"/>
    <w:rsid w:val="009358B2"/>
    <w:rsid w:val="00935956"/>
    <w:rsid w:val="00935ECE"/>
    <w:rsid w:val="009369AD"/>
    <w:rsid w:val="00936BB8"/>
    <w:rsid w:val="0093773C"/>
    <w:rsid w:val="00937BDA"/>
    <w:rsid w:val="00937E85"/>
    <w:rsid w:val="009409B5"/>
    <w:rsid w:val="00940E33"/>
    <w:rsid w:val="009410F5"/>
    <w:rsid w:val="0094198B"/>
    <w:rsid w:val="00942340"/>
    <w:rsid w:val="009425A4"/>
    <w:rsid w:val="009425E8"/>
    <w:rsid w:val="0094268B"/>
    <w:rsid w:val="00942C9C"/>
    <w:rsid w:val="00942EBB"/>
    <w:rsid w:val="009430E0"/>
    <w:rsid w:val="0094323F"/>
    <w:rsid w:val="009433BF"/>
    <w:rsid w:val="009437D0"/>
    <w:rsid w:val="009439DC"/>
    <w:rsid w:val="00943AA5"/>
    <w:rsid w:val="00943CDD"/>
    <w:rsid w:val="00943CF9"/>
    <w:rsid w:val="00943DD8"/>
    <w:rsid w:val="009447BF"/>
    <w:rsid w:val="00945516"/>
    <w:rsid w:val="009455D2"/>
    <w:rsid w:val="00946451"/>
    <w:rsid w:val="0094668E"/>
    <w:rsid w:val="00947188"/>
    <w:rsid w:val="0094730B"/>
    <w:rsid w:val="00950074"/>
    <w:rsid w:val="00951146"/>
    <w:rsid w:val="0095176A"/>
    <w:rsid w:val="00951D0D"/>
    <w:rsid w:val="00951D79"/>
    <w:rsid w:val="00951FF6"/>
    <w:rsid w:val="009521F8"/>
    <w:rsid w:val="00952533"/>
    <w:rsid w:val="009529E5"/>
    <w:rsid w:val="00952DC9"/>
    <w:rsid w:val="00952F38"/>
    <w:rsid w:val="00952FCD"/>
    <w:rsid w:val="00953316"/>
    <w:rsid w:val="00953509"/>
    <w:rsid w:val="009535FA"/>
    <w:rsid w:val="00953C55"/>
    <w:rsid w:val="00954BB7"/>
    <w:rsid w:val="009550CA"/>
    <w:rsid w:val="0095532A"/>
    <w:rsid w:val="00955909"/>
    <w:rsid w:val="009559E6"/>
    <w:rsid w:val="00956AAF"/>
    <w:rsid w:val="0095709B"/>
    <w:rsid w:val="00957496"/>
    <w:rsid w:val="00957643"/>
    <w:rsid w:val="00957886"/>
    <w:rsid w:val="009578EB"/>
    <w:rsid w:val="00960179"/>
    <w:rsid w:val="00961562"/>
    <w:rsid w:val="009615B3"/>
    <w:rsid w:val="00961918"/>
    <w:rsid w:val="00961AFC"/>
    <w:rsid w:val="00961B03"/>
    <w:rsid w:val="00961CF7"/>
    <w:rsid w:val="009620A2"/>
    <w:rsid w:val="009621F1"/>
    <w:rsid w:val="0096224C"/>
    <w:rsid w:val="009624E5"/>
    <w:rsid w:val="009631C9"/>
    <w:rsid w:val="009633D4"/>
    <w:rsid w:val="009633FB"/>
    <w:rsid w:val="009634CD"/>
    <w:rsid w:val="00963A8E"/>
    <w:rsid w:val="00963BBB"/>
    <w:rsid w:val="009642BC"/>
    <w:rsid w:val="0096475D"/>
    <w:rsid w:val="00964A14"/>
    <w:rsid w:val="00964A98"/>
    <w:rsid w:val="0096524A"/>
    <w:rsid w:val="00965548"/>
    <w:rsid w:val="009655A1"/>
    <w:rsid w:val="009661B9"/>
    <w:rsid w:val="009665DB"/>
    <w:rsid w:val="00966718"/>
    <w:rsid w:val="0096671E"/>
    <w:rsid w:val="009668F4"/>
    <w:rsid w:val="00966931"/>
    <w:rsid w:val="00966C55"/>
    <w:rsid w:val="00966EF0"/>
    <w:rsid w:val="00967B85"/>
    <w:rsid w:val="00970A0E"/>
    <w:rsid w:val="00970F0E"/>
    <w:rsid w:val="00970F6C"/>
    <w:rsid w:val="00970FCE"/>
    <w:rsid w:val="0097112C"/>
    <w:rsid w:val="00971231"/>
    <w:rsid w:val="009714B8"/>
    <w:rsid w:val="00971663"/>
    <w:rsid w:val="00971735"/>
    <w:rsid w:val="009720C0"/>
    <w:rsid w:val="0097295D"/>
    <w:rsid w:val="00972A07"/>
    <w:rsid w:val="00972FCD"/>
    <w:rsid w:val="00973C69"/>
    <w:rsid w:val="00973E5F"/>
    <w:rsid w:val="00974064"/>
    <w:rsid w:val="009740E8"/>
    <w:rsid w:val="00974751"/>
    <w:rsid w:val="00974C81"/>
    <w:rsid w:val="00974FAA"/>
    <w:rsid w:val="00975BAE"/>
    <w:rsid w:val="00975D16"/>
    <w:rsid w:val="00976027"/>
    <w:rsid w:val="00976134"/>
    <w:rsid w:val="0097645B"/>
    <w:rsid w:val="009764EE"/>
    <w:rsid w:val="00976748"/>
    <w:rsid w:val="00976754"/>
    <w:rsid w:val="00976CE4"/>
    <w:rsid w:val="0097745C"/>
    <w:rsid w:val="009778D3"/>
    <w:rsid w:val="00980633"/>
    <w:rsid w:val="00980B62"/>
    <w:rsid w:val="00980F68"/>
    <w:rsid w:val="00981B25"/>
    <w:rsid w:val="00982163"/>
    <w:rsid w:val="009821B6"/>
    <w:rsid w:val="0098230B"/>
    <w:rsid w:val="00982C16"/>
    <w:rsid w:val="00982D5F"/>
    <w:rsid w:val="00983A41"/>
    <w:rsid w:val="00983D9F"/>
    <w:rsid w:val="009840CA"/>
    <w:rsid w:val="00984789"/>
    <w:rsid w:val="00986214"/>
    <w:rsid w:val="009862F8"/>
    <w:rsid w:val="00986FD6"/>
    <w:rsid w:val="0098726E"/>
    <w:rsid w:val="00987C8A"/>
    <w:rsid w:val="009908C2"/>
    <w:rsid w:val="00990E39"/>
    <w:rsid w:val="00991142"/>
    <w:rsid w:val="0099118C"/>
    <w:rsid w:val="0099133F"/>
    <w:rsid w:val="00991E52"/>
    <w:rsid w:val="009921FE"/>
    <w:rsid w:val="009925B6"/>
    <w:rsid w:val="00992F36"/>
    <w:rsid w:val="00993040"/>
    <w:rsid w:val="009930AD"/>
    <w:rsid w:val="009930D8"/>
    <w:rsid w:val="00993142"/>
    <w:rsid w:val="009934BE"/>
    <w:rsid w:val="0099392B"/>
    <w:rsid w:val="00993B39"/>
    <w:rsid w:val="00993BA0"/>
    <w:rsid w:val="00993D7F"/>
    <w:rsid w:val="00993E99"/>
    <w:rsid w:val="00994275"/>
    <w:rsid w:val="0099448B"/>
    <w:rsid w:val="00994A3D"/>
    <w:rsid w:val="00995105"/>
    <w:rsid w:val="00995340"/>
    <w:rsid w:val="009953E6"/>
    <w:rsid w:val="009957A3"/>
    <w:rsid w:val="00996316"/>
    <w:rsid w:val="009966F5"/>
    <w:rsid w:val="00996996"/>
    <w:rsid w:val="009A006C"/>
    <w:rsid w:val="009A02B0"/>
    <w:rsid w:val="009A07A6"/>
    <w:rsid w:val="009A0A08"/>
    <w:rsid w:val="009A0A65"/>
    <w:rsid w:val="009A0EFF"/>
    <w:rsid w:val="009A1268"/>
    <w:rsid w:val="009A1616"/>
    <w:rsid w:val="009A1B16"/>
    <w:rsid w:val="009A1E17"/>
    <w:rsid w:val="009A1ECE"/>
    <w:rsid w:val="009A21A2"/>
    <w:rsid w:val="009A286B"/>
    <w:rsid w:val="009A2C41"/>
    <w:rsid w:val="009A3872"/>
    <w:rsid w:val="009A3B30"/>
    <w:rsid w:val="009A3FCE"/>
    <w:rsid w:val="009A415B"/>
    <w:rsid w:val="009A4369"/>
    <w:rsid w:val="009A4B61"/>
    <w:rsid w:val="009A4DBA"/>
    <w:rsid w:val="009A5142"/>
    <w:rsid w:val="009A5530"/>
    <w:rsid w:val="009A56D0"/>
    <w:rsid w:val="009A5B14"/>
    <w:rsid w:val="009A5C2A"/>
    <w:rsid w:val="009A5DD4"/>
    <w:rsid w:val="009A6477"/>
    <w:rsid w:val="009A659D"/>
    <w:rsid w:val="009A6658"/>
    <w:rsid w:val="009A67F0"/>
    <w:rsid w:val="009A6975"/>
    <w:rsid w:val="009A70B6"/>
    <w:rsid w:val="009A7F37"/>
    <w:rsid w:val="009B03A2"/>
    <w:rsid w:val="009B0548"/>
    <w:rsid w:val="009B05C5"/>
    <w:rsid w:val="009B0DFD"/>
    <w:rsid w:val="009B1314"/>
    <w:rsid w:val="009B1B5E"/>
    <w:rsid w:val="009B20C0"/>
    <w:rsid w:val="009B21BB"/>
    <w:rsid w:val="009B21FE"/>
    <w:rsid w:val="009B2279"/>
    <w:rsid w:val="009B23CC"/>
    <w:rsid w:val="009B29BA"/>
    <w:rsid w:val="009B315A"/>
    <w:rsid w:val="009B3863"/>
    <w:rsid w:val="009B42E6"/>
    <w:rsid w:val="009B4471"/>
    <w:rsid w:val="009B52DD"/>
    <w:rsid w:val="009B5717"/>
    <w:rsid w:val="009B5A85"/>
    <w:rsid w:val="009B5ADA"/>
    <w:rsid w:val="009B5C5C"/>
    <w:rsid w:val="009B605E"/>
    <w:rsid w:val="009B63BB"/>
    <w:rsid w:val="009B6A95"/>
    <w:rsid w:val="009B6AE4"/>
    <w:rsid w:val="009B7551"/>
    <w:rsid w:val="009B78ED"/>
    <w:rsid w:val="009B7A4D"/>
    <w:rsid w:val="009B7E2D"/>
    <w:rsid w:val="009C04C3"/>
    <w:rsid w:val="009C04CD"/>
    <w:rsid w:val="009C0ABD"/>
    <w:rsid w:val="009C0BFE"/>
    <w:rsid w:val="009C0F2C"/>
    <w:rsid w:val="009C159A"/>
    <w:rsid w:val="009C16D0"/>
    <w:rsid w:val="009C1AD7"/>
    <w:rsid w:val="009C1DDF"/>
    <w:rsid w:val="009C1E2D"/>
    <w:rsid w:val="009C205E"/>
    <w:rsid w:val="009C2875"/>
    <w:rsid w:val="009C2968"/>
    <w:rsid w:val="009C2E19"/>
    <w:rsid w:val="009C302B"/>
    <w:rsid w:val="009C316E"/>
    <w:rsid w:val="009C3687"/>
    <w:rsid w:val="009C4019"/>
    <w:rsid w:val="009C409C"/>
    <w:rsid w:val="009C468D"/>
    <w:rsid w:val="009C4AD9"/>
    <w:rsid w:val="009C4B80"/>
    <w:rsid w:val="009C53FA"/>
    <w:rsid w:val="009C585B"/>
    <w:rsid w:val="009C5F24"/>
    <w:rsid w:val="009C5F7B"/>
    <w:rsid w:val="009C62CD"/>
    <w:rsid w:val="009C648D"/>
    <w:rsid w:val="009C78FB"/>
    <w:rsid w:val="009D028D"/>
    <w:rsid w:val="009D04B5"/>
    <w:rsid w:val="009D0CAA"/>
    <w:rsid w:val="009D1092"/>
    <w:rsid w:val="009D11EE"/>
    <w:rsid w:val="009D177B"/>
    <w:rsid w:val="009D1843"/>
    <w:rsid w:val="009D18C1"/>
    <w:rsid w:val="009D1A4E"/>
    <w:rsid w:val="009D1E59"/>
    <w:rsid w:val="009D204F"/>
    <w:rsid w:val="009D27F6"/>
    <w:rsid w:val="009D41DB"/>
    <w:rsid w:val="009D49A8"/>
    <w:rsid w:val="009D4A5E"/>
    <w:rsid w:val="009D53B6"/>
    <w:rsid w:val="009D58CF"/>
    <w:rsid w:val="009D63CE"/>
    <w:rsid w:val="009D6422"/>
    <w:rsid w:val="009D7126"/>
    <w:rsid w:val="009D7A16"/>
    <w:rsid w:val="009E02BD"/>
    <w:rsid w:val="009E03EB"/>
    <w:rsid w:val="009E05ED"/>
    <w:rsid w:val="009E0D64"/>
    <w:rsid w:val="009E1378"/>
    <w:rsid w:val="009E1DC0"/>
    <w:rsid w:val="009E1ED6"/>
    <w:rsid w:val="009E1F76"/>
    <w:rsid w:val="009E1FB0"/>
    <w:rsid w:val="009E2711"/>
    <w:rsid w:val="009E3060"/>
    <w:rsid w:val="009E331B"/>
    <w:rsid w:val="009E3371"/>
    <w:rsid w:val="009E3494"/>
    <w:rsid w:val="009E3670"/>
    <w:rsid w:val="009E3DD7"/>
    <w:rsid w:val="009E4C98"/>
    <w:rsid w:val="009E4E50"/>
    <w:rsid w:val="009E510E"/>
    <w:rsid w:val="009E5A41"/>
    <w:rsid w:val="009E5D9C"/>
    <w:rsid w:val="009E66EC"/>
    <w:rsid w:val="009E6AB7"/>
    <w:rsid w:val="009E6CF7"/>
    <w:rsid w:val="009E7154"/>
    <w:rsid w:val="009E7228"/>
    <w:rsid w:val="009E785A"/>
    <w:rsid w:val="009F080F"/>
    <w:rsid w:val="009F0AFA"/>
    <w:rsid w:val="009F1768"/>
    <w:rsid w:val="009F1B55"/>
    <w:rsid w:val="009F1EEA"/>
    <w:rsid w:val="009F27B5"/>
    <w:rsid w:val="009F289D"/>
    <w:rsid w:val="009F2B45"/>
    <w:rsid w:val="009F312C"/>
    <w:rsid w:val="009F3262"/>
    <w:rsid w:val="009F3514"/>
    <w:rsid w:val="009F3738"/>
    <w:rsid w:val="009F39A5"/>
    <w:rsid w:val="009F4723"/>
    <w:rsid w:val="009F4E35"/>
    <w:rsid w:val="009F4F16"/>
    <w:rsid w:val="009F54B6"/>
    <w:rsid w:val="009F5652"/>
    <w:rsid w:val="009F5BE1"/>
    <w:rsid w:val="009F5E19"/>
    <w:rsid w:val="009F6001"/>
    <w:rsid w:val="009F6481"/>
    <w:rsid w:val="009F650C"/>
    <w:rsid w:val="009F660B"/>
    <w:rsid w:val="009F6658"/>
    <w:rsid w:val="009F6899"/>
    <w:rsid w:val="009F69EA"/>
    <w:rsid w:val="009F6C60"/>
    <w:rsid w:val="009F6CD7"/>
    <w:rsid w:val="009F6EE0"/>
    <w:rsid w:val="009F7A8B"/>
    <w:rsid w:val="009F7E58"/>
    <w:rsid w:val="009F7E99"/>
    <w:rsid w:val="00A000E1"/>
    <w:rsid w:val="00A00162"/>
    <w:rsid w:val="00A007B6"/>
    <w:rsid w:val="00A00B8D"/>
    <w:rsid w:val="00A00C00"/>
    <w:rsid w:val="00A00F00"/>
    <w:rsid w:val="00A02732"/>
    <w:rsid w:val="00A02938"/>
    <w:rsid w:val="00A02E7C"/>
    <w:rsid w:val="00A02F6E"/>
    <w:rsid w:val="00A02F90"/>
    <w:rsid w:val="00A03461"/>
    <w:rsid w:val="00A0356A"/>
    <w:rsid w:val="00A039A2"/>
    <w:rsid w:val="00A039E6"/>
    <w:rsid w:val="00A03E7D"/>
    <w:rsid w:val="00A042AB"/>
    <w:rsid w:val="00A046F5"/>
    <w:rsid w:val="00A048AD"/>
    <w:rsid w:val="00A04AB1"/>
    <w:rsid w:val="00A055E4"/>
    <w:rsid w:val="00A05832"/>
    <w:rsid w:val="00A05A18"/>
    <w:rsid w:val="00A05A95"/>
    <w:rsid w:val="00A060C9"/>
    <w:rsid w:val="00A06370"/>
    <w:rsid w:val="00A06452"/>
    <w:rsid w:val="00A06C1B"/>
    <w:rsid w:val="00A06D5F"/>
    <w:rsid w:val="00A06E09"/>
    <w:rsid w:val="00A07049"/>
    <w:rsid w:val="00A0727F"/>
    <w:rsid w:val="00A075FD"/>
    <w:rsid w:val="00A07B75"/>
    <w:rsid w:val="00A07F4A"/>
    <w:rsid w:val="00A10062"/>
    <w:rsid w:val="00A10244"/>
    <w:rsid w:val="00A10DA9"/>
    <w:rsid w:val="00A11933"/>
    <w:rsid w:val="00A1233C"/>
    <w:rsid w:val="00A12726"/>
    <w:rsid w:val="00A127B8"/>
    <w:rsid w:val="00A1289F"/>
    <w:rsid w:val="00A12DB9"/>
    <w:rsid w:val="00A12EF2"/>
    <w:rsid w:val="00A13024"/>
    <w:rsid w:val="00A1320D"/>
    <w:rsid w:val="00A13284"/>
    <w:rsid w:val="00A13531"/>
    <w:rsid w:val="00A137A4"/>
    <w:rsid w:val="00A13C77"/>
    <w:rsid w:val="00A13D30"/>
    <w:rsid w:val="00A142B4"/>
    <w:rsid w:val="00A1484A"/>
    <w:rsid w:val="00A14CCF"/>
    <w:rsid w:val="00A14CFC"/>
    <w:rsid w:val="00A1593C"/>
    <w:rsid w:val="00A15D17"/>
    <w:rsid w:val="00A1621A"/>
    <w:rsid w:val="00A172CD"/>
    <w:rsid w:val="00A17C1F"/>
    <w:rsid w:val="00A17F30"/>
    <w:rsid w:val="00A204CD"/>
    <w:rsid w:val="00A20C66"/>
    <w:rsid w:val="00A20DDA"/>
    <w:rsid w:val="00A2102D"/>
    <w:rsid w:val="00A211FB"/>
    <w:rsid w:val="00A21B4C"/>
    <w:rsid w:val="00A221C9"/>
    <w:rsid w:val="00A23065"/>
    <w:rsid w:val="00A23645"/>
    <w:rsid w:val="00A23F00"/>
    <w:rsid w:val="00A2426A"/>
    <w:rsid w:val="00A2433F"/>
    <w:rsid w:val="00A25549"/>
    <w:rsid w:val="00A2593D"/>
    <w:rsid w:val="00A259F9"/>
    <w:rsid w:val="00A25CD7"/>
    <w:rsid w:val="00A26E58"/>
    <w:rsid w:val="00A271C6"/>
    <w:rsid w:val="00A27A60"/>
    <w:rsid w:val="00A27B59"/>
    <w:rsid w:val="00A27B9A"/>
    <w:rsid w:val="00A30411"/>
    <w:rsid w:val="00A306AA"/>
    <w:rsid w:val="00A307C9"/>
    <w:rsid w:val="00A30ED0"/>
    <w:rsid w:val="00A31074"/>
    <w:rsid w:val="00A318E3"/>
    <w:rsid w:val="00A31A09"/>
    <w:rsid w:val="00A31C73"/>
    <w:rsid w:val="00A325E3"/>
    <w:rsid w:val="00A325F6"/>
    <w:rsid w:val="00A32781"/>
    <w:rsid w:val="00A32808"/>
    <w:rsid w:val="00A328AB"/>
    <w:rsid w:val="00A32B4A"/>
    <w:rsid w:val="00A32B68"/>
    <w:rsid w:val="00A33157"/>
    <w:rsid w:val="00A33AE6"/>
    <w:rsid w:val="00A33D02"/>
    <w:rsid w:val="00A33F51"/>
    <w:rsid w:val="00A3430F"/>
    <w:rsid w:val="00A34395"/>
    <w:rsid w:val="00A34553"/>
    <w:rsid w:val="00A3504E"/>
    <w:rsid w:val="00A35AC8"/>
    <w:rsid w:val="00A360E1"/>
    <w:rsid w:val="00A36EC3"/>
    <w:rsid w:val="00A374B4"/>
    <w:rsid w:val="00A374D7"/>
    <w:rsid w:val="00A37921"/>
    <w:rsid w:val="00A41435"/>
    <w:rsid w:val="00A41699"/>
    <w:rsid w:val="00A41816"/>
    <w:rsid w:val="00A41C29"/>
    <w:rsid w:val="00A429AF"/>
    <w:rsid w:val="00A42CB0"/>
    <w:rsid w:val="00A42FDD"/>
    <w:rsid w:val="00A43517"/>
    <w:rsid w:val="00A43979"/>
    <w:rsid w:val="00A43C7B"/>
    <w:rsid w:val="00A43D5A"/>
    <w:rsid w:val="00A43F1D"/>
    <w:rsid w:val="00A43F66"/>
    <w:rsid w:val="00A43F92"/>
    <w:rsid w:val="00A43FE9"/>
    <w:rsid w:val="00A4443E"/>
    <w:rsid w:val="00A4449D"/>
    <w:rsid w:val="00A44688"/>
    <w:rsid w:val="00A448E6"/>
    <w:rsid w:val="00A44D10"/>
    <w:rsid w:val="00A45023"/>
    <w:rsid w:val="00A451D7"/>
    <w:rsid w:val="00A45D34"/>
    <w:rsid w:val="00A4634F"/>
    <w:rsid w:val="00A46722"/>
    <w:rsid w:val="00A468AD"/>
    <w:rsid w:val="00A469CE"/>
    <w:rsid w:val="00A46A6C"/>
    <w:rsid w:val="00A46BB4"/>
    <w:rsid w:val="00A471A9"/>
    <w:rsid w:val="00A47848"/>
    <w:rsid w:val="00A47D10"/>
    <w:rsid w:val="00A5009C"/>
    <w:rsid w:val="00A501C4"/>
    <w:rsid w:val="00A50360"/>
    <w:rsid w:val="00A50688"/>
    <w:rsid w:val="00A50A06"/>
    <w:rsid w:val="00A50E4E"/>
    <w:rsid w:val="00A50FA7"/>
    <w:rsid w:val="00A5243B"/>
    <w:rsid w:val="00A52F89"/>
    <w:rsid w:val="00A535F4"/>
    <w:rsid w:val="00A539D1"/>
    <w:rsid w:val="00A53A67"/>
    <w:rsid w:val="00A53F86"/>
    <w:rsid w:val="00A540D2"/>
    <w:rsid w:val="00A543A0"/>
    <w:rsid w:val="00A5463A"/>
    <w:rsid w:val="00A54957"/>
    <w:rsid w:val="00A54A6D"/>
    <w:rsid w:val="00A54CB1"/>
    <w:rsid w:val="00A5505A"/>
    <w:rsid w:val="00A55612"/>
    <w:rsid w:val="00A5598A"/>
    <w:rsid w:val="00A55B6A"/>
    <w:rsid w:val="00A5615A"/>
    <w:rsid w:val="00A563F8"/>
    <w:rsid w:val="00A565CD"/>
    <w:rsid w:val="00A566B5"/>
    <w:rsid w:val="00A56942"/>
    <w:rsid w:val="00A57179"/>
    <w:rsid w:val="00A57441"/>
    <w:rsid w:val="00A57714"/>
    <w:rsid w:val="00A57E2A"/>
    <w:rsid w:val="00A600BD"/>
    <w:rsid w:val="00A6070E"/>
    <w:rsid w:val="00A60A53"/>
    <w:rsid w:val="00A60FCB"/>
    <w:rsid w:val="00A610BA"/>
    <w:rsid w:val="00A612C9"/>
    <w:rsid w:val="00A61568"/>
    <w:rsid w:val="00A61681"/>
    <w:rsid w:val="00A61D43"/>
    <w:rsid w:val="00A6207A"/>
    <w:rsid w:val="00A628DE"/>
    <w:rsid w:val="00A62AC6"/>
    <w:rsid w:val="00A62B0D"/>
    <w:rsid w:val="00A62DEF"/>
    <w:rsid w:val="00A63251"/>
    <w:rsid w:val="00A63309"/>
    <w:rsid w:val="00A6357C"/>
    <w:rsid w:val="00A63F7B"/>
    <w:rsid w:val="00A64332"/>
    <w:rsid w:val="00A643A9"/>
    <w:rsid w:val="00A644EB"/>
    <w:rsid w:val="00A64BBD"/>
    <w:rsid w:val="00A64D9E"/>
    <w:rsid w:val="00A65625"/>
    <w:rsid w:val="00A6576D"/>
    <w:rsid w:val="00A65AFD"/>
    <w:rsid w:val="00A65C04"/>
    <w:rsid w:val="00A65C29"/>
    <w:rsid w:val="00A661B8"/>
    <w:rsid w:val="00A6631F"/>
    <w:rsid w:val="00A66706"/>
    <w:rsid w:val="00A6688A"/>
    <w:rsid w:val="00A67041"/>
    <w:rsid w:val="00A67257"/>
    <w:rsid w:val="00A673CD"/>
    <w:rsid w:val="00A678E6"/>
    <w:rsid w:val="00A70462"/>
    <w:rsid w:val="00A70F2F"/>
    <w:rsid w:val="00A7112C"/>
    <w:rsid w:val="00A71C7D"/>
    <w:rsid w:val="00A71CAE"/>
    <w:rsid w:val="00A71CD9"/>
    <w:rsid w:val="00A726B9"/>
    <w:rsid w:val="00A7279D"/>
    <w:rsid w:val="00A72EB3"/>
    <w:rsid w:val="00A7376D"/>
    <w:rsid w:val="00A737E9"/>
    <w:rsid w:val="00A73C91"/>
    <w:rsid w:val="00A74486"/>
    <w:rsid w:val="00A75CAD"/>
    <w:rsid w:val="00A75CD8"/>
    <w:rsid w:val="00A760BA"/>
    <w:rsid w:val="00A7619A"/>
    <w:rsid w:val="00A765D0"/>
    <w:rsid w:val="00A7678D"/>
    <w:rsid w:val="00A76994"/>
    <w:rsid w:val="00A76BD7"/>
    <w:rsid w:val="00A770A4"/>
    <w:rsid w:val="00A777AB"/>
    <w:rsid w:val="00A77D8F"/>
    <w:rsid w:val="00A8019D"/>
    <w:rsid w:val="00A8019F"/>
    <w:rsid w:val="00A806A9"/>
    <w:rsid w:val="00A808D6"/>
    <w:rsid w:val="00A80AAA"/>
    <w:rsid w:val="00A81881"/>
    <w:rsid w:val="00A81A35"/>
    <w:rsid w:val="00A81BF8"/>
    <w:rsid w:val="00A81C0C"/>
    <w:rsid w:val="00A82355"/>
    <w:rsid w:val="00A8241B"/>
    <w:rsid w:val="00A82650"/>
    <w:rsid w:val="00A83231"/>
    <w:rsid w:val="00A835DB"/>
    <w:rsid w:val="00A83692"/>
    <w:rsid w:val="00A83906"/>
    <w:rsid w:val="00A83A0A"/>
    <w:rsid w:val="00A84A56"/>
    <w:rsid w:val="00A84BD0"/>
    <w:rsid w:val="00A84F73"/>
    <w:rsid w:val="00A85358"/>
    <w:rsid w:val="00A8587F"/>
    <w:rsid w:val="00A85B3E"/>
    <w:rsid w:val="00A85DE5"/>
    <w:rsid w:val="00A869F7"/>
    <w:rsid w:val="00A86A57"/>
    <w:rsid w:val="00A86B24"/>
    <w:rsid w:val="00A8724C"/>
    <w:rsid w:val="00A8759D"/>
    <w:rsid w:val="00A87C72"/>
    <w:rsid w:val="00A87ED9"/>
    <w:rsid w:val="00A9015A"/>
    <w:rsid w:val="00A9036F"/>
    <w:rsid w:val="00A916DC"/>
    <w:rsid w:val="00A92078"/>
    <w:rsid w:val="00A92515"/>
    <w:rsid w:val="00A9273F"/>
    <w:rsid w:val="00A9309F"/>
    <w:rsid w:val="00A938D2"/>
    <w:rsid w:val="00A93930"/>
    <w:rsid w:val="00A93C39"/>
    <w:rsid w:val="00A93C76"/>
    <w:rsid w:val="00A93ECD"/>
    <w:rsid w:val="00A946EB"/>
    <w:rsid w:val="00A9534C"/>
    <w:rsid w:val="00A95B4F"/>
    <w:rsid w:val="00A95C95"/>
    <w:rsid w:val="00A95DD4"/>
    <w:rsid w:val="00A96B30"/>
    <w:rsid w:val="00A97164"/>
    <w:rsid w:val="00A9745A"/>
    <w:rsid w:val="00A97517"/>
    <w:rsid w:val="00A977DB"/>
    <w:rsid w:val="00A97828"/>
    <w:rsid w:val="00A97983"/>
    <w:rsid w:val="00A97C47"/>
    <w:rsid w:val="00AA03AD"/>
    <w:rsid w:val="00AA103C"/>
    <w:rsid w:val="00AA16AB"/>
    <w:rsid w:val="00AA1854"/>
    <w:rsid w:val="00AA1B34"/>
    <w:rsid w:val="00AA2DCA"/>
    <w:rsid w:val="00AA3259"/>
    <w:rsid w:val="00AA3350"/>
    <w:rsid w:val="00AA350F"/>
    <w:rsid w:val="00AA38B3"/>
    <w:rsid w:val="00AA4058"/>
    <w:rsid w:val="00AA479F"/>
    <w:rsid w:val="00AA47D4"/>
    <w:rsid w:val="00AA4F34"/>
    <w:rsid w:val="00AA507F"/>
    <w:rsid w:val="00AA6832"/>
    <w:rsid w:val="00AA6966"/>
    <w:rsid w:val="00AA6ADB"/>
    <w:rsid w:val="00AA6DDE"/>
    <w:rsid w:val="00AA700E"/>
    <w:rsid w:val="00AA715C"/>
    <w:rsid w:val="00AA7255"/>
    <w:rsid w:val="00AA72B8"/>
    <w:rsid w:val="00AA73F0"/>
    <w:rsid w:val="00AA7EB6"/>
    <w:rsid w:val="00AB002A"/>
    <w:rsid w:val="00AB0340"/>
    <w:rsid w:val="00AB097B"/>
    <w:rsid w:val="00AB13BE"/>
    <w:rsid w:val="00AB163F"/>
    <w:rsid w:val="00AB1A12"/>
    <w:rsid w:val="00AB27A1"/>
    <w:rsid w:val="00AB27B0"/>
    <w:rsid w:val="00AB2C57"/>
    <w:rsid w:val="00AB2F0E"/>
    <w:rsid w:val="00AB39EB"/>
    <w:rsid w:val="00AB3BCB"/>
    <w:rsid w:val="00AB3EDE"/>
    <w:rsid w:val="00AB4C76"/>
    <w:rsid w:val="00AB4DEF"/>
    <w:rsid w:val="00AB5EBA"/>
    <w:rsid w:val="00AB6C91"/>
    <w:rsid w:val="00AB7D42"/>
    <w:rsid w:val="00AC0462"/>
    <w:rsid w:val="00AC09D8"/>
    <w:rsid w:val="00AC10C3"/>
    <w:rsid w:val="00AC1399"/>
    <w:rsid w:val="00AC1575"/>
    <w:rsid w:val="00AC15F7"/>
    <w:rsid w:val="00AC1B42"/>
    <w:rsid w:val="00AC1DD4"/>
    <w:rsid w:val="00AC1E13"/>
    <w:rsid w:val="00AC1E36"/>
    <w:rsid w:val="00AC2702"/>
    <w:rsid w:val="00AC2A24"/>
    <w:rsid w:val="00AC2AB9"/>
    <w:rsid w:val="00AC2B3C"/>
    <w:rsid w:val="00AC2E5A"/>
    <w:rsid w:val="00AC2FCD"/>
    <w:rsid w:val="00AC3475"/>
    <w:rsid w:val="00AC36BB"/>
    <w:rsid w:val="00AC3F48"/>
    <w:rsid w:val="00AC4816"/>
    <w:rsid w:val="00AC500A"/>
    <w:rsid w:val="00AC564D"/>
    <w:rsid w:val="00AC5DD6"/>
    <w:rsid w:val="00AC6662"/>
    <w:rsid w:val="00AC7241"/>
    <w:rsid w:val="00AD016E"/>
    <w:rsid w:val="00AD0612"/>
    <w:rsid w:val="00AD0B96"/>
    <w:rsid w:val="00AD104A"/>
    <w:rsid w:val="00AD112C"/>
    <w:rsid w:val="00AD1280"/>
    <w:rsid w:val="00AD1E86"/>
    <w:rsid w:val="00AD2A29"/>
    <w:rsid w:val="00AD34A9"/>
    <w:rsid w:val="00AD3579"/>
    <w:rsid w:val="00AD3951"/>
    <w:rsid w:val="00AD3BBB"/>
    <w:rsid w:val="00AD437C"/>
    <w:rsid w:val="00AD4ACD"/>
    <w:rsid w:val="00AD5A57"/>
    <w:rsid w:val="00AD5B26"/>
    <w:rsid w:val="00AD5D13"/>
    <w:rsid w:val="00AD5EA8"/>
    <w:rsid w:val="00AD63CA"/>
    <w:rsid w:val="00AD7389"/>
    <w:rsid w:val="00AD7798"/>
    <w:rsid w:val="00AD7BB5"/>
    <w:rsid w:val="00AE0548"/>
    <w:rsid w:val="00AE0D31"/>
    <w:rsid w:val="00AE0E28"/>
    <w:rsid w:val="00AE205A"/>
    <w:rsid w:val="00AE222C"/>
    <w:rsid w:val="00AE26C6"/>
    <w:rsid w:val="00AE2AB4"/>
    <w:rsid w:val="00AE3580"/>
    <w:rsid w:val="00AE35AB"/>
    <w:rsid w:val="00AE3672"/>
    <w:rsid w:val="00AE397D"/>
    <w:rsid w:val="00AE3AFE"/>
    <w:rsid w:val="00AE42E0"/>
    <w:rsid w:val="00AE4483"/>
    <w:rsid w:val="00AE4E6A"/>
    <w:rsid w:val="00AE545B"/>
    <w:rsid w:val="00AE6480"/>
    <w:rsid w:val="00AE6613"/>
    <w:rsid w:val="00AE6DF8"/>
    <w:rsid w:val="00AE6F0C"/>
    <w:rsid w:val="00AE6FB5"/>
    <w:rsid w:val="00AE7B63"/>
    <w:rsid w:val="00AE7FA2"/>
    <w:rsid w:val="00AE7FF0"/>
    <w:rsid w:val="00AF004D"/>
    <w:rsid w:val="00AF09B4"/>
    <w:rsid w:val="00AF13C0"/>
    <w:rsid w:val="00AF1C4E"/>
    <w:rsid w:val="00AF271E"/>
    <w:rsid w:val="00AF28F5"/>
    <w:rsid w:val="00AF2F96"/>
    <w:rsid w:val="00AF30A6"/>
    <w:rsid w:val="00AF3197"/>
    <w:rsid w:val="00AF32D1"/>
    <w:rsid w:val="00AF35A6"/>
    <w:rsid w:val="00AF40C7"/>
    <w:rsid w:val="00AF42C5"/>
    <w:rsid w:val="00AF43F0"/>
    <w:rsid w:val="00AF4E36"/>
    <w:rsid w:val="00AF505F"/>
    <w:rsid w:val="00AF5094"/>
    <w:rsid w:val="00AF5D66"/>
    <w:rsid w:val="00AF5EEA"/>
    <w:rsid w:val="00AF721E"/>
    <w:rsid w:val="00AF77C4"/>
    <w:rsid w:val="00AF780A"/>
    <w:rsid w:val="00AF7A11"/>
    <w:rsid w:val="00B0032C"/>
    <w:rsid w:val="00B00607"/>
    <w:rsid w:val="00B00825"/>
    <w:rsid w:val="00B00C4C"/>
    <w:rsid w:val="00B01639"/>
    <w:rsid w:val="00B017F8"/>
    <w:rsid w:val="00B01E83"/>
    <w:rsid w:val="00B02262"/>
    <w:rsid w:val="00B03DCE"/>
    <w:rsid w:val="00B03F47"/>
    <w:rsid w:val="00B0467F"/>
    <w:rsid w:val="00B0493E"/>
    <w:rsid w:val="00B04EFE"/>
    <w:rsid w:val="00B05579"/>
    <w:rsid w:val="00B05789"/>
    <w:rsid w:val="00B06033"/>
    <w:rsid w:val="00B060F4"/>
    <w:rsid w:val="00B06746"/>
    <w:rsid w:val="00B068A3"/>
    <w:rsid w:val="00B06998"/>
    <w:rsid w:val="00B06D5F"/>
    <w:rsid w:val="00B06EB4"/>
    <w:rsid w:val="00B0701A"/>
    <w:rsid w:val="00B07086"/>
    <w:rsid w:val="00B072E1"/>
    <w:rsid w:val="00B07B43"/>
    <w:rsid w:val="00B10BAA"/>
    <w:rsid w:val="00B11D89"/>
    <w:rsid w:val="00B120E8"/>
    <w:rsid w:val="00B123BF"/>
    <w:rsid w:val="00B124BB"/>
    <w:rsid w:val="00B12606"/>
    <w:rsid w:val="00B127FC"/>
    <w:rsid w:val="00B12874"/>
    <w:rsid w:val="00B12ADA"/>
    <w:rsid w:val="00B134AD"/>
    <w:rsid w:val="00B13704"/>
    <w:rsid w:val="00B137F1"/>
    <w:rsid w:val="00B137F5"/>
    <w:rsid w:val="00B13B84"/>
    <w:rsid w:val="00B13DC1"/>
    <w:rsid w:val="00B13DC4"/>
    <w:rsid w:val="00B13E8F"/>
    <w:rsid w:val="00B13ED0"/>
    <w:rsid w:val="00B14133"/>
    <w:rsid w:val="00B1424E"/>
    <w:rsid w:val="00B15190"/>
    <w:rsid w:val="00B156BA"/>
    <w:rsid w:val="00B159EE"/>
    <w:rsid w:val="00B16071"/>
    <w:rsid w:val="00B1682E"/>
    <w:rsid w:val="00B17061"/>
    <w:rsid w:val="00B17E5C"/>
    <w:rsid w:val="00B20916"/>
    <w:rsid w:val="00B20A69"/>
    <w:rsid w:val="00B20BBE"/>
    <w:rsid w:val="00B20D5B"/>
    <w:rsid w:val="00B20F3E"/>
    <w:rsid w:val="00B21432"/>
    <w:rsid w:val="00B21A84"/>
    <w:rsid w:val="00B221A1"/>
    <w:rsid w:val="00B22404"/>
    <w:rsid w:val="00B22428"/>
    <w:rsid w:val="00B2244A"/>
    <w:rsid w:val="00B224F8"/>
    <w:rsid w:val="00B226FD"/>
    <w:rsid w:val="00B22DB7"/>
    <w:rsid w:val="00B23384"/>
    <w:rsid w:val="00B23666"/>
    <w:rsid w:val="00B23A05"/>
    <w:rsid w:val="00B242AA"/>
    <w:rsid w:val="00B24383"/>
    <w:rsid w:val="00B245A9"/>
    <w:rsid w:val="00B24FAD"/>
    <w:rsid w:val="00B250BC"/>
    <w:rsid w:val="00B2516B"/>
    <w:rsid w:val="00B2570C"/>
    <w:rsid w:val="00B25842"/>
    <w:rsid w:val="00B258E6"/>
    <w:rsid w:val="00B25F66"/>
    <w:rsid w:val="00B260F0"/>
    <w:rsid w:val="00B26502"/>
    <w:rsid w:val="00B26561"/>
    <w:rsid w:val="00B265F1"/>
    <w:rsid w:val="00B26762"/>
    <w:rsid w:val="00B26C5B"/>
    <w:rsid w:val="00B2777C"/>
    <w:rsid w:val="00B27858"/>
    <w:rsid w:val="00B27B88"/>
    <w:rsid w:val="00B27C5C"/>
    <w:rsid w:val="00B27F9C"/>
    <w:rsid w:val="00B3035A"/>
    <w:rsid w:val="00B30C5A"/>
    <w:rsid w:val="00B30DB7"/>
    <w:rsid w:val="00B312BA"/>
    <w:rsid w:val="00B319FB"/>
    <w:rsid w:val="00B31A1B"/>
    <w:rsid w:val="00B31E91"/>
    <w:rsid w:val="00B32159"/>
    <w:rsid w:val="00B32321"/>
    <w:rsid w:val="00B3246E"/>
    <w:rsid w:val="00B329A3"/>
    <w:rsid w:val="00B331F5"/>
    <w:rsid w:val="00B333D8"/>
    <w:rsid w:val="00B33F12"/>
    <w:rsid w:val="00B340CD"/>
    <w:rsid w:val="00B34B6E"/>
    <w:rsid w:val="00B35838"/>
    <w:rsid w:val="00B36077"/>
    <w:rsid w:val="00B36129"/>
    <w:rsid w:val="00B36744"/>
    <w:rsid w:val="00B37077"/>
    <w:rsid w:val="00B37081"/>
    <w:rsid w:val="00B37828"/>
    <w:rsid w:val="00B3797E"/>
    <w:rsid w:val="00B37D72"/>
    <w:rsid w:val="00B37E69"/>
    <w:rsid w:val="00B4000F"/>
    <w:rsid w:val="00B40DD9"/>
    <w:rsid w:val="00B40E53"/>
    <w:rsid w:val="00B41433"/>
    <w:rsid w:val="00B417CD"/>
    <w:rsid w:val="00B41BA8"/>
    <w:rsid w:val="00B42D62"/>
    <w:rsid w:val="00B43277"/>
    <w:rsid w:val="00B436CD"/>
    <w:rsid w:val="00B43C5E"/>
    <w:rsid w:val="00B43CA6"/>
    <w:rsid w:val="00B44392"/>
    <w:rsid w:val="00B44D69"/>
    <w:rsid w:val="00B44F01"/>
    <w:rsid w:val="00B45452"/>
    <w:rsid w:val="00B45B53"/>
    <w:rsid w:val="00B464D8"/>
    <w:rsid w:val="00B46CCF"/>
    <w:rsid w:val="00B46D9E"/>
    <w:rsid w:val="00B470BF"/>
    <w:rsid w:val="00B47153"/>
    <w:rsid w:val="00B476AB"/>
    <w:rsid w:val="00B47FD4"/>
    <w:rsid w:val="00B5140F"/>
    <w:rsid w:val="00B5161D"/>
    <w:rsid w:val="00B519D2"/>
    <w:rsid w:val="00B519ED"/>
    <w:rsid w:val="00B51B7C"/>
    <w:rsid w:val="00B52034"/>
    <w:rsid w:val="00B5244C"/>
    <w:rsid w:val="00B5295E"/>
    <w:rsid w:val="00B5310E"/>
    <w:rsid w:val="00B532D4"/>
    <w:rsid w:val="00B534B0"/>
    <w:rsid w:val="00B53A2A"/>
    <w:rsid w:val="00B53CF5"/>
    <w:rsid w:val="00B53FFB"/>
    <w:rsid w:val="00B54A3C"/>
    <w:rsid w:val="00B54CCC"/>
    <w:rsid w:val="00B54CFA"/>
    <w:rsid w:val="00B5528B"/>
    <w:rsid w:val="00B55527"/>
    <w:rsid w:val="00B55735"/>
    <w:rsid w:val="00B55AC9"/>
    <w:rsid w:val="00B55D0B"/>
    <w:rsid w:val="00B55E9D"/>
    <w:rsid w:val="00B56520"/>
    <w:rsid w:val="00B572D0"/>
    <w:rsid w:val="00B6031E"/>
    <w:rsid w:val="00B60B8C"/>
    <w:rsid w:val="00B61093"/>
    <w:rsid w:val="00B616A7"/>
    <w:rsid w:val="00B61AB8"/>
    <w:rsid w:val="00B61FF3"/>
    <w:rsid w:val="00B6361A"/>
    <w:rsid w:val="00B63B25"/>
    <w:rsid w:val="00B63E92"/>
    <w:rsid w:val="00B6442F"/>
    <w:rsid w:val="00B657D1"/>
    <w:rsid w:val="00B66321"/>
    <w:rsid w:val="00B663A1"/>
    <w:rsid w:val="00B6657A"/>
    <w:rsid w:val="00B66879"/>
    <w:rsid w:val="00B668CE"/>
    <w:rsid w:val="00B66DDF"/>
    <w:rsid w:val="00B67BE3"/>
    <w:rsid w:val="00B67EBF"/>
    <w:rsid w:val="00B7090F"/>
    <w:rsid w:val="00B70FA7"/>
    <w:rsid w:val="00B715E7"/>
    <w:rsid w:val="00B71B6C"/>
    <w:rsid w:val="00B7270C"/>
    <w:rsid w:val="00B72C9E"/>
    <w:rsid w:val="00B72D63"/>
    <w:rsid w:val="00B73039"/>
    <w:rsid w:val="00B73265"/>
    <w:rsid w:val="00B733C5"/>
    <w:rsid w:val="00B73A99"/>
    <w:rsid w:val="00B741B3"/>
    <w:rsid w:val="00B745CF"/>
    <w:rsid w:val="00B7490D"/>
    <w:rsid w:val="00B74B85"/>
    <w:rsid w:val="00B75334"/>
    <w:rsid w:val="00B755D4"/>
    <w:rsid w:val="00B75A75"/>
    <w:rsid w:val="00B76221"/>
    <w:rsid w:val="00B764B3"/>
    <w:rsid w:val="00B76802"/>
    <w:rsid w:val="00B76E73"/>
    <w:rsid w:val="00B770A5"/>
    <w:rsid w:val="00B775A5"/>
    <w:rsid w:val="00B777A6"/>
    <w:rsid w:val="00B77DF6"/>
    <w:rsid w:val="00B77F51"/>
    <w:rsid w:val="00B8002A"/>
    <w:rsid w:val="00B80253"/>
    <w:rsid w:val="00B80455"/>
    <w:rsid w:val="00B80E6E"/>
    <w:rsid w:val="00B80F60"/>
    <w:rsid w:val="00B8102A"/>
    <w:rsid w:val="00B81793"/>
    <w:rsid w:val="00B81E99"/>
    <w:rsid w:val="00B82263"/>
    <w:rsid w:val="00B82B29"/>
    <w:rsid w:val="00B82D1B"/>
    <w:rsid w:val="00B82E87"/>
    <w:rsid w:val="00B830C2"/>
    <w:rsid w:val="00B8364C"/>
    <w:rsid w:val="00B8381A"/>
    <w:rsid w:val="00B8402F"/>
    <w:rsid w:val="00B84030"/>
    <w:rsid w:val="00B847AC"/>
    <w:rsid w:val="00B84A49"/>
    <w:rsid w:val="00B84A85"/>
    <w:rsid w:val="00B859F6"/>
    <w:rsid w:val="00B85D22"/>
    <w:rsid w:val="00B85DAC"/>
    <w:rsid w:val="00B85F09"/>
    <w:rsid w:val="00B86513"/>
    <w:rsid w:val="00B86921"/>
    <w:rsid w:val="00B8692C"/>
    <w:rsid w:val="00B86C00"/>
    <w:rsid w:val="00B879BA"/>
    <w:rsid w:val="00B907BE"/>
    <w:rsid w:val="00B910DE"/>
    <w:rsid w:val="00B91127"/>
    <w:rsid w:val="00B911F8"/>
    <w:rsid w:val="00B915DC"/>
    <w:rsid w:val="00B91744"/>
    <w:rsid w:val="00B92679"/>
    <w:rsid w:val="00B92F1B"/>
    <w:rsid w:val="00B930AF"/>
    <w:rsid w:val="00B94276"/>
    <w:rsid w:val="00B9435C"/>
    <w:rsid w:val="00B94606"/>
    <w:rsid w:val="00B951A9"/>
    <w:rsid w:val="00B9544F"/>
    <w:rsid w:val="00B95E40"/>
    <w:rsid w:val="00B960F4"/>
    <w:rsid w:val="00B9677C"/>
    <w:rsid w:val="00B96A83"/>
    <w:rsid w:val="00B96D38"/>
    <w:rsid w:val="00B96D9C"/>
    <w:rsid w:val="00B96FFE"/>
    <w:rsid w:val="00B972CC"/>
    <w:rsid w:val="00B974C1"/>
    <w:rsid w:val="00B9763D"/>
    <w:rsid w:val="00B976DF"/>
    <w:rsid w:val="00BA0427"/>
    <w:rsid w:val="00BA0732"/>
    <w:rsid w:val="00BA0BF0"/>
    <w:rsid w:val="00BA0FC6"/>
    <w:rsid w:val="00BA17EA"/>
    <w:rsid w:val="00BA1995"/>
    <w:rsid w:val="00BA23A4"/>
    <w:rsid w:val="00BA2CA9"/>
    <w:rsid w:val="00BA2EC7"/>
    <w:rsid w:val="00BA2F27"/>
    <w:rsid w:val="00BA31B1"/>
    <w:rsid w:val="00BA33B9"/>
    <w:rsid w:val="00BA39B3"/>
    <w:rsid w:val="00BA3E65"/>
    <w:rsid w:val="00BA3F93"/>
    <w:rsid w:val="00BA41E4"/>
    <w:rsid w:val="00BA42D5"/>
    <w:rsid w:val="00BA4D64"/>
    <w:rsid w:val="00BA5097"/>
    <w:rsid w:val="00BA5540"/>
    <w:rsid w:val="00BA565C"/>
    <w:rsid w:val="00BA5693"/>
    <w:rsid w:val="00BA5FB9"/>
    <w:rsid w:val="00BA696B"/>
    <w:rsid w:val="00BA6A50"/>
    <w:rsid w:val="00BA6B22"/>
    <w:rsid w:val="00BA7508"/>
    <w:rsid w:val="00BA75CB"/>
    <w:rsid w:val="00BA7A67"/>
    <w:rsid w:val="00BA7A8D"/>
    <w:rsid w:val="00BA7AF8"/>
    <w:rsid w:val="00BA7C02"/>
    <w:rsid w:val="00BB008D"/>
    <w:rsid w:val="00BB00C5"/>
    <w:rsid w:val="00BB0B4D"/>
    <w:rsid w:val="00BB1294"/>
    <w:rsid w:val="00BB130A"/>
    <w:rsid w:val="00BB133F"/>
    <w:rsid w:val="00BB18D0"/>
    <w:rsid w:val="00BB1E2F"/>
    <w:rsid w:val="00BB276A"/>
    <w:rsid w:val="00BB2784"/>
    <w:rsid w:val="00BB288C"/>
    <w:rsid w:val="00BB28B6"/>
    <w:rsid w:val="00BB28FF"/>
    <w:rsid w:val="00BB2D5B"/>
    <w:rsid w:val="00BB2D66"/>
    <w:rsid w:val="00BB2E9C"/>
    <w:rsid w:val="00BB31AE"/>
    <w:rsid w:val="00BB440C"/>
    <w:rsid w:val="00BB50E1"/>
    <w:rsid w:val="00BB57AB"/>
    <w:rsid w:val="00BB6EDF"/>
    <w:rsid w:val="00BC0256"/>
    <w:rsid w:val="00BC069A"/>
    <w:rsid w:val="00BC0873"/>
    <w:rsid w:val="00BC09B9"/>
    <w:rsid w:val="00BC0AD6"/>
    <w:rsid w:val="00BC0B3C"/>
    <w:rsid w:val="00BC0CCD"/>
    <w:rsid w:val="00BC0D37"/>
    <w:rsid w:val="00BC12FD"/>
    <w:rsid w:val="00BC19CF"/>
    <w:rsid w:val="00BC1C24"/>
    <w:rsid w:val="00BC1D9A"/>
    <w:rsid w:val="00BC245B"/>
    <w:rsid w:val="00BC299F"/>
    <w:rsid w:val="00BC2B08"/>
    <w:rsid w:val="00BC2B91"/>
    <w:rsid w:val="00BC2D9C"/>
    <w:rsid w:val="00BC370B"/>
    <w:rsid w:val="00BC3F75"/>
    <w:rsid w:val="00BC3FEA"/>
    <w:rsid w:val="00BC40CF"/>
    <w:rsid w:val="00BC49C3"/>
    <w:rsid w:val="00BC52A9"/>
    <w:rsid w:val="00BC5390"/>
    <w:rsid w:val="00BC56A6"/>
    <w:rsid w:val="00BC56EC"/>
    <w:rsid w:val="00BC596C"/>
    <w:rsid w:val="00BC68A2"/>
    <w:rsid w:val="00BC6B00"/>
    <w:rsid w:val="00BC6D3D"/>
    <w:rsid w:val="00BC7028"/>
    <w:rsid w:val="00BC7029"/>
    <w:rsid w:val="00BC77FC"/>
    <w:rsid w:val="00BD0068"/>
    <w:rsid w:val="00BD0645"/>
    <w:rsid w:val="00BD0F63"/>
    <w:rsid w:val="00BD1DFC"/>
    <w:rsid w:val="00BD22AC"/>
    <w:rsid w:val="00BD25F0"/>
    <w:rsid w:val="00BD286C"/>
    <w:rsid w:val="00BD2B88"/>
    <w:rsid w:val="00BD2BAA"/>
    <w:rsid w:val="00BD2D89"/>
    <w:rsid w:val="00BD2E04"/>
    <w:rsid w:val="00BD2E20"/>
    <w:rsid w:val="00BD30E1"/>
    <w:rsid w:val="00BD361C"/>
    <w:rsid w:val="00BD372E"/>
    <w:rsid w:val="00BD3BB1"/>
    <w:rsid w:val="00BD4446"/>
    <w:rsid w:val="00BD46FD"/>
    <w:rsid w:val="00BD5304"/>
    <w:rsid w:val="00BD549F"/>
    <w:rsid w:val="00BD55D8"/>
    <w:rsid w:val="00BD55E9"/>
    <w:rsid w:val="00BD5927"/>
    <w:rsid w:val="00BD68B0"/>
    <w:rsid w:val="00BD6C78"/>
    <w:rsid w:val="00BD6CF9"/>
    <w:rsid w:val="00BD6D4A"/>
    <w:rsid w:val="00BD736D"/>
    <w:rsid w:val="00BD762D"/>
    <w:rsid w:val="00BD76FF"/>
    <w:rsid w:val="00BD7C07"/>
    <w:rsid w:val="00BD7FE5"/>
    <w:rsid w:val="00BE04ED"/>
    <w:rsid w:val="00BE1A73"/>
    <w:rsid w:val="00BE1C0D"/>
    <w:rsid w:val="00BE1C36"/>
    <w:rsid w:val="00BE2220"/>
    <w:rsid w:val="00BE23C9"/>
    <w:rsid w:val="00BE2511"/>
    <w:rsid w:val="00BE2567"/>
    <w:rsid w:val="00BE265D"/>
    <w:rsid w:val="00BE27D5"/>
    <w:rsid w:val="00BE2852"/>
    <w:rsid w:val="00BE3438"/>
    <w:rsid w:val="00BE3925"/>
    <w:rsid w:val="00BE3F75"/>
    <w:rsid w:val="00BE41D7"/>
    <w:rsid w:val="00BE44B8"/>
    <w:rsid w:val="00BE55FC"/>
    <w:rsid w:val="00BE5F98"/>
    <w:rsid w:val="00BE69C6"/>
    <w:rsid w:val="00BE792E"/>
    <w:rsid w:val="00BE7D7C"/>
    <w:rsid w:val="00BE7F23"/>
    <w:rsid w:val="00BF0887"/>
    <w:rsid w:val="00BF0AB0"/>
    <w:rsid w:val="00BF0ADC"/>
    <w:rsid w:val="00BF0CB0"/>
    <w:rsid w:val="00BF0E61"/>
    <w:rsid w:val="00BF0EF9"/>
    <w:rsid w:val="00BF1003"/>
    <w:rsid w:val="00BF1F24"/>
    <w:rsid w:val="00BF1F45"/>
    <w:rsid w:val="00BF24B5"/>
    <w:rsid w:val="00BF2503"/>
    <w:rsid w:val="00BF2A17"/>
    <w:rsid w:val="00BF3012"/>
    <w:rsid w:val="00BF30EA"/>
    <w:rsid w:val="00BF341C"/>
    <w:rsid w:val="00BF3550"/>
    <w:rsid w:val="00BF39C5"/>
    <w:rsid w:val="00BF3AE3"/>
    <w:rsid w:val="00BF462E"/>
    <w:rsid w:val="00BF46E6"/>
    <w:rsid w:val="00BF4C5A"/>
    <w:rsid w:val="00BF4E10"/>
    <w:rsid w:val="00BF4F0C"/>
    <w:rsid w:val="00BF52E4"/>
    <w:rsid w:val="00BF54C4"/>
    <w:rsid w:val="00BF553C"/>
    <w:rsid w:val="00BF56C8"/>
    <w:rsid w:val="00BF5BCD"/>
    <w:rsid w:val="00BF615F"/>
    <w:rsid w:val="00BF75E5"/>
    <w:rsid w:val="00BF7807"/>
    <w:rsid w:val="00BF7F30"/>
    <w:rsid w:val="00C000C8"/>
    <w:rsid w:val="00C00117"/>
    <w:rsid w:val="00C00618"/>
    <w:rsid w:val="00C006AF"/>
    <w:rsid w:val="00C00DC6"/>
    <w:rsid w:val="00C00F44"/>
    <w:rsid w:val="00C012CD"/>
    <w:rsid w:val="00C01633"/>
    <w:rsid w:val="00C0180B"/>
    <w:rsid w:val="00C02205"/>
    <w:rsid w:val="00C02C20"/>
    <w:rsid w:val="00C031E7"/>
    <w:rsid w:val="00C03483"/>
    <w:rsid w:val="00C03531"/>
    <w:rsid w:val="00C036F4"/>
    <w:rsid w:val="00C038A3"/>
    <w:rsid w:val="00C03908"/>
    <w:rsid w:val="00C04FC8"/>
    <w:rsid w:val="00C05102"/>
    <w:rsid w:val="00C06DE0"/>
    <w:rsid w:val="00C072A1"/>
    <w:rsid w:val="00C079DE"/>
    <w:rsid w:val="00C102E9"/>
    <w:rsid w:val="00C10D02"/>
    <w:rsid w:val="00C111B2"/>
    <w:rsid w:val="00C11827"/>
    <w:rsid w:val="00C11BEE"/>
    <w:rsid w:val="00C11E92"/>
    <w:rsid w:val="00C12469"/>
    <w:rsid w:val="00C125EB"/>
    <w:rsid w:val="00C1289D"/>
    <w:rsid w:val="00C137FD"/>
    <w:rsid w:val="00C13896"/>
    <w:rsid w:val="00C13B94"/>
    <w:rsid w:val="00C14F3F"/>
    <w:rsid w:val="00C15203"/>
    <w:rsid w:val="00C15498"/>
    <w:rsid w:val="00C15546"/>
    <w:rsid w:val="00C15D1E"/>
    <w:rsid w:val="00C16295"/>
    <w:rsid w:val="00C16676"/>
    <w:rsid w:val="00C172EC"/>
    <w:rsid w:val="00C174C3"/>
    <w:rsid w:val="00C17C39"/>
    <w:rsid w:val="00C17DDE"/>
    <w:rsid w:val="00C17E4E"/>
    <w:rsid w:val="00C17F60"/>
    <w:rsid w:val="00C20B24"/>
    <w:rsid w:val="00C20C2E"/>
    <w:rsid w:val="00C20C42"/>
    <w:rsid w:val="00C20ECA"/>
    <w:rsid w:val="00C21247"/>
    <w:rsid w:val="00C218CD"/>
    <w:rsid w:val="00C21F1C"/>
    <w:rsid w:val="00C22AC7"/>
    <w:rsid w:val="00C22D0E"/>
    <w:rsid w:val="00C22F65"/>
    <w:rsid w:val="00C2338D"/>
    <w:rsid w:val="00C23B42"/>
    <w:rsid w:val="00C23BFB"/>
    <w:rsid w:val="00C23EB2"/>
    <w:rsid w:val="00C243C8"/>
    <w:rsid w:val="00C244F4"/>
    <w:rsid w:val="00C24566"/>
    <w:rsid w:val="00C25855"/>
    <w:rsid w:val="00C25C5A"/>
    <w:rsid w:val="00C262D7"/>
    <w:rsid w:val="00C26363"/>
    <w:rsid w:val="00C263AB"/>
    <w:rsid w:val="00C26A0C"/>
    <w:rsid w:val="00C26DAF"/>
    <w:rsid w:val="00C2702B"/>
    <w:rsid w:val="00C270B0"/>
    <w:rsid w:val="00C27199"/>
    <w:rsid w:val="00C2732F"/>
    <w:rsid w:val="00C278AC"/>
    <w:rsid w:val="00C30040"/>
    <w:rsid w:val="00C30753"/>
    <w:rsid w:val="00C308E6"/>
    <w:rsid w:val="00C30C33"/>
    <w:rsid w:val="00C30E6B"/>
    <w:rsid w:val="00C31320"/>
    <w:rsid w:val="00C31791"/>
    <w:rsid w:val="00C319AA"/>
    <w:rsid w:val="00C319C6"/>
    <w:rsid w:val="00C31C9F"/>
    <w:rsid w:val="00C3254D"/>
    <w:rsid w:val="00C330F0"/>
    <w:rsid w:val="00C33222"/>
    <w:rsid w:val="00C33457"/>
    <w:rsid w:val="00C334A0"/>
    <w:rsid w:val="00C3380F"/>
    <w:rsid w:val="00C33970"/>
    <w:rsid w:val="00C33D9B"/>
    <w:rsid w:val="00C3406D"/>
    <w:rsid w:val="00C341B4"/>
    <w:rsid w:val="00C34A17"/>
    <w:rsid w:val="00C34A6F"/>
    <w:rsid w:val="00C34C18"/>
    <w:rsid w:val="00C35127"/>
    <w:rsid w:val="00C351C0"/>
    <w:rsid w:val="00C354BB"/>
    <w:rsid w:val="00C3564F"/>
    <w:rsid w:val="00C361A4"/>
    <w:rsid w:val="00C363B4"/>
    <w:rsid w:val="00C3717B"/>
    <w:rsid w:val="00C3725B"/>
    <w:rsid w:val="00C37314"/>
    <w:rsid w:val="00C378DD"/>
    <w:rsid w:val="00C37F79"/>
    <w:rsid w:val="00C408DC"/>
    <w:rsid w:val="00C410AE"/>
    <w:rsid w:val="00C4121F"/>
    <w:rsid w:val="00C41260"/>
    <w:rsid w:val="00C41D80"/>
    <w:rsid w:val="00C4223F"/>
    <w:rsid w:val="00C42C69"/>
    <w:rsid w:val="00C42D5E"/>
    <w:rsid w:val="00C4307A"/>
    <w:rsid w:val="00C438B1"/>
    <w:rsid w:val="00C438BA"/>
    <w:rsid w:val="00C451D5"/>
    <w:rsid w:val="00C45A85"/>
    <w:rsid w:val="00C4669A"/>
    <w:rsid w:val="00C502B7"/>
    <w:rsid w:val="00C5030A"/>
    <w:rsid w:val="00C50A77"/>
    <w:rsid w:val="00C50BC0"/>
    <w:rsid w:val="00C50CD4"/>
    <w:rsid w:val="00C51AB6"/>
    <w:rsid w:val="00C51ADF"/>
    <w:rsid w:val="00C51BD1"/>
    <w:rsid w:val="00C527EC"/>
    <w:rsid w:val="00C52BB7"/>
    <w:rsid w:val="00C52C63"/>
    <w:rsid w:val="00C52D62"/>
    <w:rsid w:val="00C53293"/>
    <w:rsid w:val="00C534CF"/>
    <w:rsid w:val="00C53640"/>
    <w:rsid w:val="00C5373F"/>
    <w:rsid w:val="00C540CC"/>
    <w:rsid w:val="00C54530"/>
    <w:rsid w:val="00C5458B"/>
    <w:rsid w:val="00C5484C"/>
    <w:rsid w:val="00C54EAA"/>
    <w:rsid w:val="00C5696A"/>
    <w:rsid w:val="00C56DD4"/>
    <w:rsid w:val="00C572B0"/>
    <w:rsid w:val="00C574C4"/>
    <w:rsid w:val="00C57724"/>
    <w:rsid w:val="00C57A1D"/>
    <w:rsid w:val="00C57EBD"/>
    <w:rsid w:val="00C605E0"/>
    <w:rsid w:val="00C60BE8"/>
    <w:rsid w:val="00C60DF6"/>
    <w:rsid w:val="00C6140F"/>
    <w:rsid w:val="00C61D0B"/>
    <w:rsid w:val="00C62163"/>
    <w:rsid w:val="00C62812"/>
    <w:rsid w:val="00C62AB9"/>
    <w:rsid w:val="00C630F4"/>
    <w:rsid w:val="00C63480"/>
    <w:rsid w:val="00C63604"/>
    <w:rsid w:val="00C63838"/>
    <w:rsid w:val="00C63A56"/>
    <w:rsid w:val="00C64775"/>
    <w:rsid w:val="00C653D9"/>
    <w:rsid w:val="00C656D3"/>
    <w:rsid w:val="00C6572B"/>
    <w:rsid w:val="00C65B4C"/>
    <w:rsid w:val="00C65C1A"/>
    <w:rsid w:val="00C65DD3"/>
    <w:rsid w:val="00C6631E"/>
    <w:rsid w:val="00C6633A"/>
    <w:rsid w:val="00C66389"/>
    <w:rsid w:val="00C667BB"/>
    <w:rsid w:val="00C66CED"/>
    <w:rsid w:val="00C6715A"/>
    <w:rsid w:val="00C672FA"/>
    <w:rsid w:val="00C677E7"/>
    <w:rsid w:val="00C70362"/>
    <w:rsid w:val="00C71510"/>
    <w:rsid w:val="00C71691"/>
    <w:rsid w:val="00C72125"/>
    <w:rsid w:val="00C722B0"/>
    <w:rsid w:val="00C72659"/>
    <w:rsid w:val="00C733B9"/>
    <w:rsid w:val="00C73515"/>
    <w:rsid w:val="00C742F8"/>
    <w:rsid w:val="00C74352"/>
    <w:rsid w:val="00C7465C"/>
    <w:rsid w:val="00C753AE"/>
    <w:rsid w:val="00C75767"/>
    <w:rsid w:val="00C75F06"/>
    <w:rsid w:val="00C76540"/>
    <w:rsid w:val="00C7672B"/>
    <w:rsid w:val="00C76763"/>
    <w:rsid w:val="00C76816"/>
    <w:rsid w:val="00C7694B"/>
    <w:rsid w:val="00C76ADC"/>
    <w:rsid w:val="00C76DDF"/>
    <w:rsid w:val="00C77677"/>
    <w:rsid w:val="00C77858"/>
    <w:rsid w:val="00C77C85"/>
    <w:rsid w:val="00C77F9C"/>
    <w:rsid w:val="00C8026B"/>
    <w:rsid w:val="00C802C4"/>
    <w:rsid w:val="00C8067D"/>
    <w:rsid w:val="00C8151C"/>
    <w:rsid w:val="00C81E27"/>
    <w:rsid w:val="00C81EB1"/>
    <w:rsid w:val="00C825F1"/>
    <w:rsid w:val="00C82D0D"/>
    <w:rsid w:val="00C8300C"/>
    <w:rsid w:val="00C83A69"/>
    <w:rsid w:val="00C842EF"/>
    <w:rsid w:val="00C8460C"/>
    <w:rsid w:val="00C84664"/>
    <w:rsid w:val="00C8475B"/>
    <w:rsid w:val="00C8481F"/>
    <w:rsid w:val="00C8492A"/>
    <w:rsid w:val="00C84DAA"/>
    <w:rsid w:val="00C84DF5"/>
    <w:rsid w:val="00C84EC3"/>
    <w:rsid w:val="00C853F2"/>
    <w:rsid w:val="00C85991"/>
    <w:rsid w:val="00C85D8E"/>
    <w:rsid w:val="00C866BC"/>
    <w:rsid w:val="00C872B6"/>
    <w:rsid w:val="00C87A2F"/>
    <w:rsid w:val="00C87F03"/>
    <w:rsid w:val="00C90807"/>
    <w:rsid w:val="00C90F36"/>
    <w:rsid w:val="00C912A2"/>
    <w:rsid w:val="00C9192D"/>
    <w:rsid w:val="00C91D4F"/>
    <w:rsid w:val="00C91EE1"/>
    <w:rsid w:val="00C92F89"/>
    <w:rsid w:val="00C931B6"/>
    <w:rsid w:val="00C931CD"/>
    <w:rsid w:val="00C93FFA"/>
    <w:rsid w:val="00C94356"/>
    <w:rsid w:val="00C94641"/>
    <w:rsid w:val="00C947B2"/>
    <w:rsid w:val="00C94B6B"/>
    <w:rsid w:val="00C94FA6"/>
    <w:rsid w:val="00C9512F"/>
    <w:rsid w:val="00C958D7"/>
    <w:rsid w:val="00C95C5B"/>
    <w:rsid w:val="00C95F9A"/>
    <w:rsid w:val="00C968F6"/>
    <w:rsid w:val="00C96965"/>
    <w:rsid w:val="00C96AC7"/>
    <w:rsid w:val="00C96B24"/>
    <w:rsid w:val="00CA07DC"/>
    <w:rsid w:val="00CA0EA4"/>
    <w:rsid w:val="00CA11CA"/>
    <w:rsid w:val="00CA136C"/>
    <w:rsid w:val="00CA13A8"/>
    <w:rsid w:val="00CA2593"/>
    <w:rsid w:val="00CA276B"/>
    <w:rsid w:val="00CA2B2D"/>
    <w:rsid w:val="00CA31E8"/>
    <w:rsid w:val="00CA32E5"/>
    <w:rsid w:val="00CA3851"/>
    <w:rsid w:val="00CA3B81"/>
    <w:rsid w:val="00CA3F32"/>
    <w:rsid w:val="00CA4231"/>
    <w:rsid w:val="00CA43A9"/>
    <w:rsid w:val="00CA46D3"/>
    <w:rsid w:val="00CA479C"/>
    <w:rsid w:val="00CA4841"/>
    <w:rsid w:val="00CA4D7A"/>
    <w:rsid w:val="00CA52F0"/>
    <w:rsid w:val="00CA56A2"/>
    <w:rsid w:val="00CA5787"/>
    <w:rsid w:val="00CA5A6C"/>
    <w:rsid w:val="00CA5D0C"/>
    <w:rsid w:val="00CA6192"/>
    <w:rsid w:val="00CA63B4"/>
    <w:rsid w:val="00CA64E9"/>
    <w:rsid w:val="00CA6837"/>
    <w:rsid w:val="00CA6B2B"/>
    <w:rsid w:val="00CA6BC3"/>
    <w:rsid w:val="00CA7145"/>
    <w:rsid w:val="00CA72A6"/>
    <w:rsid w:val="00CA76A6"/>
    <w:rsid w:val="00CA789C"/>
    <w:rsid w:val="00CB06AF"/>
    <w:rsid w:val="00CB1416"/>
    <w:rsid w:val="00CB15A1"/>
    <w:rsid w:val="00CB1D48"/>
    <w:rsid w:val="00CB1F01"/>
    <w:rsid w:val="00CB2107"/>
    <w:rsid w:val="00CB2881"/>
    <w:rsid w:val="00CB2D32"/>
    <w:rsid w:val="00CB2E47"/>
    <w:rsid w:val="00CB303C"/>
    <w:rsid w:val="00CB3366"/>
    <w:rsid w:val="00CB356D"/>
    <w:rsid w:val="00CB3658"/>
    <w:rsid w:val="00CB3B12"/>
    <w:rsid w:val="00CB4709"/>
    <w:rsid w:val="00CB4F4C"/>
    <w:rsid w:val="00CB57F8"/>
    <w:rsid w:val="00CB5B67"/>
    <w:rsid w:val="00CB66D8"/>
    <w:rsid w:val="00CB783C"/>
    <w:rsid w:val="00CC0B2F"/>
    <w:rsid w:val="00CC0C06"/>
    <w:rsid w:val="00CC1E00"/>
    <w:rsid w:val="00CC2F77"/>
    <w:rsid w:val="00CC33F0"/>
    <w:rsid w:val="00CC3AF5"/>
    <w:rsid w:val="00CC3B1A"/>
    <w:rsid w:val="00CC3D00"/>
    <w:rsid w:val="00CC3D03"/>
    <w:rsid w:val="00CC3D92"/>
    <w:rsid w:val="00CC52B2"/>
    <w:rsid w:val="00CC594B"/>
    <w:rsid w:val="00CC6064"/>
    <w:rsid w:val="00CC61AB"/>
    <w:rsid w:val="00CC64A6"/>
    <w:rsid w:val="00CC659F"/>
    <w:rsid w:val="00CC6D5B"/>
    <w:rsid w:val="00CC736C"/>
    <w:rsid w:val="00CC766C"/>
    <w:rsid w:val="00CC7C62"/>
    <w:rsid w:val="00CC7DA4"/>
    <w:rsid w:val="00CD02E2"/>
    <w:rsid w:val="00CD0497"/>
    <w:rsid w:val="00CD0D97"/>
    <w:rsid w:val="00CD0DDD"/>
    <w:rsid w:val="00CD13B7"/>
    <w:rsid w:val="00CD14CE"/>
    <w:rsid w:val="00CD1918"/>
    <w:rsid w:val="00CD199F"/>
    <w:rsid w:val="00CD19A7"/>
    <w:rsid w:val="00CD2016"/>
    <w:rsid w:val="00CD20BB"/>
    <w:rsid w:val="00CD297C"/>
    <w:rsid w:val="00CD2CC9"/>
    <w:rsid w:val="00CD2F86"/>
    <w:rsid w:val="00CD3D8D"/>
    <w:rsid w:val="00CD3E22"/>
    <w:rsid w:val="00CD3E60"/>
    <w:rsid w:val="00CD40F3"/>
    <w:rsid w:val="00CD471C"/>
    <w:rsid w:val="00CD4868"/>
    <w:rsid w:val="00CD4962"/>
    <w:rsid w:val="00CD4CA5"/>
    <w:rsid w:val="00CD4DC8"/>
    <w:rsid w:val="00CD531F"/>
    <w:rsid w:val="00CD5898"/>
    <w:rsid w:val="00CD62C0"/>
    <w:rsid w:val="00CD6D21"/>
    <w:rsid w:val="00CD77F8"/>
    <w:rsid w:val="00CD7954"/>
    <w:rsid w:val="00CD7FC5"/>
    <w:rsid w:val="00CE0409"/>
    <w:rsid w:val="00CE0619"/>
    <w:rsid w:val="00CE0905"/>
    <w:rsid w:val="00CE0B35"/>
    <w:rsid w:val="00CE0B9A"/>
    <w:rsid w:val="00CE0D42"/>
    <w:rsid w:val="00CE0E75"/>
    <w:rsid w:val="00CE0F6F"/>
    <w:rsid w:val="00CE1062"/>
    <w:rsid w:val="00CE1E49"/>
    <w:rsid w:val="00CE24FF"/>
    <w:rsid w:val="00CE2926"/>
    <w:rsid w:val="00CE2C92"/>
    <w:rsid w:val="00CE2D36"/>
    <w:rsid w:val="00CE40CB"/>
    <w:rsid w:val="00CE4DAD"/>
    <w:rsid w:val="00CE4DE0"/>
    <w:rsid w:val="00CE51D1"/>
    <w:rsid w:val="00CE59D3"/>
    <w:rsid w:val="00CE69DB"/>
    <w:rsid w:val="00CE6ADF"/>
    <w:rsid w:val="00CE6AFF"/>
    <w:rsid w:val="00CE6E2E"/>
    <w:rsid w:val="00CE7429"/>
    <w:rsid w:val="00CE7A03"/>
    <w:rsid w:val="00CE7DCB"/>
    <w:rsid w:val="00CE7E1D"/>
    <w:rsid w:val="00CF0830"/>
    <w:rsid w:val="00CF0C82"/>
    <w:rsid w:val="00CF0DC7"/>
    <w:rsid w:val="00CF1AE2"/>
    <w:rsid w:val="00CF3110"/>
    <w:rsid w:val="00CF3596"/>
    <w:rsid w:val="00CF38B1"/>
    <w:rsid w:val="00CF406A"/>
    <w:rsid w:val="00CF462B"/>
    <w:rsid w:val="00CF492B"/>
    <w:rsid w:val="00CF49F2"/>
    <w:rsid w:val="00CF5CAA"/>
    <w:rsid w:val="00CF659B"/>
    <w:rsid w:val="00CF66C0"/>
    <w:rsid w:val="00CF68AF"/>
    <w:rsid w:val="00CF6BD4"/>
    <w:rsid w:val="00CF6D77"/>
    <w:rsid w:val="00CF7013"/>
    <w:rsid w:val="00CF7E9C"/>
    <w:rsid w:val="00D00087"/>
    <w:rsid w:val="00D00391"/>
    <w:rsid w:val="00D00701"/>
    <w:rsid w:val="00D012D5"/>
    <w:rsid w:val="00D020A2"/>
    <w:rsid w:val="00D0245A"/>
    <w:rsid w:val="00D02511"/>
    <w:rsid w:val="00D026DF"/>
    <w:rsid w:val="00D02A05"/>
    <w:rsid w:val="00D031C5"/>
    <w:rsid w:val="00D031EF"/>
    <w:rsid w:val="00D032A0"/>
    <w:rsid w:val="00D033F3"/>
    <w:rsid w:val="00D03470"/>
    <w:rsid w:val="00D034F7"/>
    <w:rsid w:val="00D03A70"/>
    <w:rsid w:val="00D03C6C"/>
    <w:rsid w:val="00D042A9"/>
    <w:rsid w:val="00D0469C"/>
    <w:rsid w:val="00D0483F"/>
    <w:rsid w:val="00D04B9C"/>
    <w:rsid w:val="00D04F7A"/>
    <w:rsid w:val="00D0597D"/>
    <w:rsid w:val="00D05B5A"/>
    <w:rsid w:val="00D06504"/>
    <w:rsid w:val="00D068EA"/>
    <w:rsid w:val="00D06A8E"/>
    <w:rsid w:val="00D06BD1"/>
    <w:rsid w:val="00D06D41"/>
    <w:rsid w:val="00D06EDE"/>
    <w:rsid w:val="00D07BE3"/>
    <w:rsid w:val="00D102C8"/>
    <w:rsid w:val="00D10626"/>
    <w:rsid w:val="00D10E79"/>
    <w:rsid w:val="00D11222"/>
    <w:rsid w:val="00D114B3"/>
    <w:rsid w:val="00D118CA"/>
    <w:rsid w:val="00D11F80"/>
    <w:rsid w:val="00D12029"/>
    <w:rsid w:val="00D12971"/>
    <w:rsid w:val="00D13022"/>
    <w:rsid w:val="00D13A8E"/>
    <w:rsid w:val="00D13BF6"/>
    <w:rsid w:val="00D1445C"/>
    <w:rsid w:val="00D149B1"/>
    <w:rsid w:val="00D149B7"/>
    <w:rsid w:val="00D154CC"/>
    <w:rsid w:val="00D15768"/>
    <w:rsid w:val="00D158A3"/>
    <w:rsid w:val="00D15949"/>
    <w:rsid w:val="00D16110"/>
    <w:rsid w:val="00D16BD3"/>
    <w:rsid w:val="00D16D00"/>
    <w:rsid w:val="00D17173"/>
    <w:rsid w:val="00D17613"/>
    <w:rsid w:val="00D1768C"/>
    <w:rsid w:val="00D176A3"/>
    <w:rsid w:val="00D176BE"/>
    <w:rsid w:val="00D17CD1"/>
    <w:rsid w:val="00D20117"/>
    <w:rsid w:val="00D20324"/>
    <w:rsid w:val="00D205B6"/>
    <w:rsid w:val="00D20846"/>
    <w:rsid w:val="00D209A7"/>
    <w:rsid w:val="00D20E62"/>
    <w:rsid w:val="00D21357"/>
    <w:rsid w:val="00D2195B"/>
    <w:rsid w:val="00D21B44"/>
    <w:rsid w:val="00D21BB6"/>
    <w:rsid w:val="00D220CE"/>
    <w:rsid w:val="00D22500"/>
    <w:rsid w:val="00D226B6"/>
    <w:rsid w:val="00D22964"/>
    <w:rsid w:val="00D22A51"/>
    <w:rsid w:val="00D22D65"/>
    <w:rsid w:val="00D234D7"/>
    <w:rsid w:val="00D23AEE"/>
    <w:rsid w:val="00D23AEF"/>
    <w:rsid w:val="00D23CE5"/>
    <w:rsid w:val="00D2445C"/>
    <w:rsid w:val="00D2448A"/>
    <w:rsid w:val="00D24B18"/>
    <w:rsid w:val="00D24CEC"/>
    <w:rsid w:val="00D24DCF"/>
    <w:rsid w:val="00D25530"/>
    <w:rsid w:val="00D25613"/>
    <w:rsid w:val="00D25FB2"/>
    <w:rsid w:val="00D26479"/>
    <w:rsid w:val="00D26518"/>
    <w:rsid w:val="00D26B43"/>
    <w:rsid w:val="00D26C55"/>
    <w:rsid w:val="00D26D31"/>
    <w:rsid w:val="00D26D7F"/>
    <w:rsid w:val="00D26E98"/>
    <w:rsid w:val="00D27A34"/>
    <w:rsid w:val="00D30719"/>
    <w:rsid w:val="00D30984"/>
    <w:rsid w:val="00D30B62"/>
    <w:rsid w:val="00D30E39"/>
    <w:rsid w:val="00D3173F"/>
    <w:rsid w:val="00D31943"/>
    <w:rsid w:val="00D31B97"/>
    <w:rsid w:val="00D31DCE"/>
    <w:rsid w:val="00D31DF0"/>
    <w:rsid w:val="00D32683"/>
    <w:rsid w:val="00D32F93"/>
    <w:rsid w:val="00D32FD3"/>
    <w:rsid w:val="00D333EA"/>
    <w:rsid w:val="00D33A59"/>
    <w:rsid w:val="00D33F4A"/>
    <w:rsid w:val="00D344B5"/>
    <w:rsid w:val="00D3570C"/>
    <w:rsid w:val="00D35947"/>
    <w:rsid w:val="00D359C6"/>
    <w:rsid w:val="00D35A9D"/>
    <w:rsid w:val="00D3601D"/>
    <w:rsid w:val="00D36201"/>
    <w:rsid w:val="00D36AD2"/>
    <w:rsid w:val="00D36F7B"/>
    <w:rsid w:val="00D36FAC"/>
    <w:rsid w:val="00D36FB4"/>
    <w:rsid w:val="00D37078"/>
    <w:rsid w:val="00D370ED"/>
    <w:rsid w:val="00D37AA2"/>
    <w:rsid w:val="00D4090E"/>
    <w:rsid w:val="00D41AC1"/>
    <w:rsid w:val="00D41AF5"/>
    <w:rsid w:val="00D41EF5"/>
    <w:rsid w:val="00D424E8"/>
    <w:rsid w:val="00D425A3"/>
    <w:rsid w:val="00D4265B"/>
    <w:rsid w:val="00D4282C"/>
    <w:rsid w:val="00D42D54"/>
    <w:rsid w:val="00D42E4F"/>
    <w:rsid w:val="00D42EEC"/>
    <w:rsid w:val="00D434B7"/>
    <w:rsid w:val="00D43B73"/>
    <w:rsid w:val="00D43C6A"/>
    <w:rsid w:val="00D43CC5"/>
    <w:rsid w:val="00D44106"/>
    <w:rsid w:val="00D441D1"/>
    <w:rsid w:val="00D44503"/>
    <w:rsid w:val="00D44DAF"/>
    <w:rsid w:val="00D452F4"/>
    <w:rsid w:val="00D45475"/>
    <w:rsid w:val="00D45983"/>
    <w:rsid w:val="00D46071"/>
    <w:rsid w:val="00D460CD"/>
    <w:rsid w:val="00D46314"/>
    <w:rsid w:val="00D46396"/>
    <w:rsid w:val="00D474C0"/>
    <w:rsid w:val="00D47611"/>
    <w:rsid w:val="00D50352"/>
    <w:rsid w:val="00D503B4"/>
    <w:rsid w:val="00D505AB"/>
    <w:rsid w:val="00D5075A"/>
    <w:rsid w:val="00D5092A"/>
    <w:rsid w:val="00D50DBB"/>
    <w:rsid w:val="00D5117A"/>
    <w:rsid w:val="00D515F0"/>
    <w:rsid w:val="00D51780"/>
    <w:rsid w:val="00D51B17"/>
    <w:rsid w:val="00D51CD3"/>
    <w:rsid w:val="00D5279F"/>
    <w:rsid w:val="00D52EE2"/>
    <w:rsid w:val="00D52F05"/>
    <w:rsid w:val="00D534D1"/>
    <w:rsid w:val="00D53E7A"/>
    <w:rsid w:val="00D54790"/>
    <w:rsid w:val="00D54819"/>
    <w:rsid w:val="00D54D83"/>
    <w:rsid w:val="00D54EB2"/>
    <w:rsid w:val="00D55067"/>
    <w:rsid w:val="00D555A3"/>
    <w:rsid w:val="00D55677"/>
    <w:rsid w:val="00D55FB1"/>
    <w:rsid w:val="00D5653F"/>
    <w:rsid w:val="00D568A3"/>
    <w:rsid w:val="00D56953"/>
    <w:rsid w:val="00D56999"/>
    <w:rsid w:val="00D56EA9"/>
    <w:rsid w:val="00D56F3A"/>
    <w:rsid w:val="00D56F3F"/>
    <w:rsid w:val="00D56F83"/>
    <w:rsid w:val="00D571A1"/>
    <w:rsid w:val="00D574AD"/>
    <w:rsid w:val="00D57546"/>
    <w:rsid w:val="00D57CC7"/>
    <w:rsid w:val="00D57EFC"/>
    <w:rsid w:val="00D60B6A"/>
    <w:rsid w:val="00D61640"/>
    <w:rsid w:val="00D61682"/>
    <w:rsid w:val="00D61962"/>
    <w:rsid w:val="00D619BA"/>
    <w:rsid w:val="00D61D00"/>
    <w:rsid w:val="00D61D26"/>
    <w:rsid w:val="00D62127"/>
    <w:rsid w:val="00D6290B"/>
    <w:rsid w:val="00D63990"/>
    <w:rsid w:val="00D64623"/>
    <w:rsid w:val="00D64A78"/>
    <w:rsid w:val="00D64AA8"/>
    <w:rsid w:val="00D64AD7"/>
    <w:rsid w:val="00D64DA9"/>
    <w:rsid w:val="00D6529A"/>
    <w:rsid w:val="00D6535C"/>
    <w:rsid w:val="00D66278"/>
    <w:rsid w:val="00D66B45"/>
    <w:rsid w:val="00D66F49"/>
    <w:rsid w:val="00D671B5"/>
    <w:rsid w:val="00D678FD"/>
    <w:rsid w:val="00D67B18"/>
    <w:rsid w:val="00D70111"/>
    <w:rsid w:val="00D7059D"/>
    <w:rsid w:val="00D70CC3"/>
    <w:rsid w:val="00D70E23"/>
    <w:rsid w:val="00D7151F"/>
    <w:rsid w:val="00D71679"/>
    <w:rsid w:val="00D716B6"/>
    <w:rsid w:val="00D718E2"/>
    <w:rsid w:val="00D723B5"/>
    <w:rsid w:val="00D72507"/>
    <w:rsid w:val="00D729B6"/>
    <w:rsid w:val="00D7339D"/>
    <w:rsid w:val="00D73E37"/>
    <w:rsid w:val="00D74D47"/>
    <w:rsid w:val="00D74ED7"/>
    <w:rsid w:val="00D75345"/>
    <w:rsid w:val="00D75710"/>
    <w:rsid w:val="00D75854"/>
    <w:rsid w:val="00D75897"/>
    <w:rsid w:val="00D75BB8"/>
    <w:rsid w:val="00D76236"/>
    <w:rsid w:val="00D76311"/>
    <w:rsid w:val="00D76401"/>
    <w:rsid w:val="00D76917"/>
    <w:rsid w:val="00D76B7A"/>
    <w:rsid w:val="00D77465"/>
    <w:rsid w:val="00D778CE"/>
    <w:rsid w:val="00D801EE"/>
    <w:rsid w:val="00D80558"/>
    <w:rsid w:val="00D805A3"/>
    <w:rsid w:val="00D80B8B"/>
    <w:rsid w:val="00D80E9D"/>
    <w:rsid w:val="00D81B88"/>
    <w:rsid w:val="00D822CA"/>
    <w:rsid w:val="00D82312"/>
    <w:rsid w:val="00D82320"/>
    <w:rsid w:val="00D82678"/>
    <w:rsid w:val="00D8271C"/>
    <w:rsid w:val="00D82908"/>
    <w:rsid w:val="00D82938"/>
    <w:rsid w:val="00D8299F"/>
    <w:rsid w:val="00D82C80"/>
    <w:rsid w:val="00D82D98"/>
    <w:rsid w:val="00D82DC4"/>
    <w:rsid w:val="00D84274"/>
    <w:rsid w:val="00D84711"/>
    <w:rsid w:val="00D84821"/>
    <w:rsid w:val="00D84B1E"/>
    <w:rsid w:val="00D858B1"/>
    <w:rsid w:val="00D86184"/>
    <w:rsid w:val="00D8649C"/>
    <w:rsid w:val="00D8673F"/>
    <w:rsid w:val="00D86BAD"/>
    <w:rsid w:val="00D86D10"/>
    <w:rsid w:val="00D873F6"/>
    <w:rsid w:val="00D87AF8"/>
    <w:rsid w:val="00D87D86"/>
    <w:rsid w:val="00D87DC3"/>
    <w:rsid w:val="00D87E0C"/>
    <w:rsid w:val="00D90119"/>
    <w:rsid w:val="00D904C6"/>
    <w:rsid w:val="00D90575"/>
    <w:rsid w:val="00D90CDD"/>
    <w:rsid w:val="00D90EC8"/>
    <w:rsid w:val="00D9120C"/>
    <w:rsid w:val="00D915F8"/>
    <w:rsid w:val="00D91C23"/>
    <w:rsid w:val="00D9220C"/>
    <w:rsid w:val="00D9253B"/>
    <w:rsid w:val="00D92D12"/>
    <w:rsid w:val="00D937DA"/>
    <w:rsid w:val="00D93DF3"/>
    <w:rsid w:val="00D9451E"/>
    <w:rsid w:val="00D9470D"/>
    <w:rsid w:val="00D94D28"/>
    <w:rsid w:val="00D94F3C"/>
    <w:rsid w:val="00D956EE"/>
    <w:rsid w:val="00D95A47"/>
    <w:rsid w:val="00D960BD"/>
    <w:rsid w:val="00D962EC"/>
    <w:rsid w:val="00D96645"/>
    <w:rsid w:val="00D96937"/>
    <w:rsid w:val="00D96A76"/>
    <w:rsid w:val="00D96D66"/>
    <w:rsid w:val="00D96E50"/>
    <w:rsid w:val="00D971E0"/>
    <w:rsid w:val="00D97433"/>
    <w:rsid w:val="00D97C5D"/>
    <w:rsid w:val="00DA04D3"/>
    <w:rsid w:val="00DA04DF"/>
    <w:rsid w:val="00DA06A5"/>
    <w:rsid w:val="00DA0AC5"/>
    <w:rsid w:val="00DA0C1E"/>
    <w:rsid w:val="00DA11B7"/>
    <w:rsid w:val="00DA1BA1"/>
    <w:rsid w:val="00DA23AB"/>
    <w:rsid w:val="00DA2BBD"/>
    <w:rsid w:val="00DA37FF"/>
    <w:rsid w:val="00DA389F"/>
    <w:rsid w:val="00DA39BC"/>
    <w:rsid w:val="00DA3A59"/>
    <w:rsid w:val="00DA404B"/>
    <w:rsid w:val="00DA44CF"/>
    <w:rsid w:val="00DA44FB"/>
    <w:rsid w:val="00DA48C7"/>
    <w:rsid w:val="00DA4DED"/>
    <w:rsid w:val="00DA5F5F"/>
    <w:rsid w:val="00DA6024"/>
    <w:rsid w:val="00DA66F0"/>
    <w:rsid w:val="00DA6D9F"/>
    <w:rsid w:val="00DA7165"/>
    <w:rsid w:val="00DA7D41"/>
    <w:rsid w:val="00DA7F57"/>
    <w:rsid w:val="00DB00A0"/>
    <w:rsid w:val="00DB04C4"/>
    <w:rsid w:val="00DB0DB1"/>
    <w:rsid w:val="00DB0E08"/>
    <w:rsid w:val="00DB1E3F"/>
    <w:rsid w:val="00DB2382"/>
    <w:rsid w:val="00DB2F30"/>
    <w:rsid w:val="00DB3D7C"/>
    <w:rsid w:val="00DB3E08"/>
    <w:rsid w:val="00DB451E"/>
    <w:rsid w:val="00DB476E"/>
    <w:rsid w:val="00DB50E3"/>
    <w:rsid w:val="00DB56F5"/>
    <w:rsid w:val="00DB5D66"/>
    <w:rsid w:val="00DB62AF"/>
    <w:rsid w:val="00DB673A"/>
    <w:rsid w:val="00DB727E"/>
    <w:rsid w:val="00DB72EC"/>
    <w:rsid w:val="00DB73CF"/>
    <w:rsid w:val="00DB7D14"/>
    <w:rsid w:val="00DB7D44"/>
    <w:rsid w:val="00DB7E19"/>
    <w:rsid w:val="00DC0017"/>
    <w:rsid w:val="00DC0404"/>
    <w:rsid w:val="00DC0907"/>
    <w:rsid w:val="00DC1045"/>
    <w:rsid w:val="00DC133B"/>
    <w:rsid w:val="00DC1565"/>
    <w:rsid w:val="00DC165D"/>
    <w:rsid w:val="00DC1867"/>
    <w:rsid w:val="00DC19A3"/>
    <w:rsid w:val="00DC19B0"/>
    <w:rsid w:val="00DC2295"/>
    <w:rsid w:val="00DC2466"/>
    <w:rsid w:val="00DC24E8"/>
    <w:rsid w:val="00DC27D8"/>
    <w:rsid w:val="00DC36C9"/>
    <w:rsid w:val="00DC3D81"/>
    <w:rsid w:val="00DC491A"/>
    <w:rsid w:val="00DC4E47"/>
    <w:rsid w:val="00DC601E"/>
    <w:rsid w:val="00DC61F3"/>
    <w:rsid w:val="00DC6F85"/>
    <w:rsid w:val="00DC703C"/>
    <w:rsid w:val="00DC71F8"/>
    <w:rsid w:val="00DC72F8"/>
    <w:rsid w:val="00DC7421"/>
    <w:rsid w:val="00DC7BA3"/>
    <w:rsid w:val="00DC7D4C"/>
    <w:rsid w:val="00DC7DA5"/>
    <w:rsid w:val="00DD0B86"/>
    <w:rsid w:val="00DD1422"/>
    <w:rsid w:val="00DD1463"/>
    <w:rsid w:val="00DD18A6"/>
    <w:rsid w:val="00DD1949"/>
    <w:rsid w:val="00DD1EF8"/>
    <w:rsid w:val="00DD21E1"/>
    <w:rsid w:val="00DD261B"/>
    <w:rsid w:val="00DD261E"/>
    <w:rsid w:val="00DD2AC6"/>
    <w:rsid w:val="00DD2C8F"/>
    <w:rsid w:val="00DD3300"/>
    <w:rsid w:val="00DD348B"/>
    <w:rsid w:val="00DD362D"/>
    <w:rsid w:val="00DD3865"/>
    <w:rsid w:val="00DD3C54"/>
    <w:rsid w:val="00DD3C7D"/>
    <w:rsid w:val="00DD45D4"/>
    <w:rsid w:val="00DD489F"/>
    <w:rsid w:val="00DD4A21"/>
    <w:rsid w:val="00DD4A23"/>
    <w:rsid w:val="00DD5293"/>
    <w:rsid w:val="00DD5343"/>
    <w:rsid w:val="00DD5579"/>
    <w:rsid w:val="00DD5A7E"/>
    <w:rsid w:val="00DD6159"/>
    <w:rsid w:val="00DD6C14"/>
    <w:rsid w:val="00DD6CEB"/>
    <w:rsid w:val="00DD6DAB"/>
    <w:rsid w:val="00DD6FE9"/>
    <w:rsid w:val="00DD70FB"/>
    <w:rsid w:val="00DD71D0"/>
    <w:rsid w:val="00DD71D8"/>
    <w:rsid w:val="00DD724C"/>
    <w:rsid w:val="00DD733B"/>
    <w:rsid w:val="00DD7BA5"/>
    <w:rsid w:val="00DE02AF"/>
    <w:rsid w:val="00DE0CC4"/>
    <w:rsid w:val="00DE3461"/>
    <w:rsid w:val="00DE39AA"/>
    <w:rsid w:val="00DE42EA"/>
    <w:rsid w:val="00DE4BDF"/>
    <w:rsid w:val="00DE4F61"/>
    <w:rsid w:val="00DE66F5"/>
    <w:rsid w:val="00DE6874"/>
    <w:rsid w:val="00DE6B30"/>
    <w:rsid w:val="00DE7866"/>
    <w:rsid w:val="00DE7AA4"/>
    <w:rsid w:val="00DF006A"/>
    <w:rsid w:val="00DF0B87"/>
    <w:rsid w:val="00DF1466"/>
    <w:rsid w:val="00DF1556"/>
    <w:rsid w:val="00DF16C0"/>
    <w:rsid w:val="00DF1745"/>
    <w:rsid w:val="00DF1F60"/>
    <w:rsid w:val="00DF21D5"/>
    <w:rsid w:val="00DF2238"/>
    <w:rsid w:val="00DF2600"/>
    <w:rsid w:val="00DF2663"/>
    <w:rsid w:val="00DF26FF"/>
    <w:rsid w:val="00DF2780"/>
    <w:rsid w:val="00DF27C3"/>
    <w:rsid w:val="00DF301B"/>
    <w:rsid w:val="00DF375F"/>
    <w:rsid w:val="00DF3960"/>
    <w:rsid w:val="00DF3B40"/>
    <w:rsid w:val="00DF3D5A"/>
    <w:rsid w:val="00DF432A"/>
    <w:rsid w:val="00DF4468"/>
    <w:rsid w:val="00DF5412"/>
    <w:rsid w:val="00DF5984"/>
    <w:rsid w:val="00DF66CB"/>
    <w:rsid w:val="00DF6A35"/>
    <w:rsid w:val="00DF7020"/>
    <w:rsid w:val="00DF78AA"/>
    <w:rsid w:val="00DF7934"/>
    <w:rsid w:val="00DF7A2D"/>
    <w:rsid w:val="00DF7F8F"/>
    <w:rsid w:val="00E001CE"/>
    <w:rsid w:val="00E00C7E"/>
    <w:rsid w:val="00E01000"/>
    <w:rsid w:val="00E017DD"/>
    <w:rsid w:val="00E02056"/>
    <w:rsid w:val="00E026E1"/>
    <w:rsid w:val="00E02E82"/>
    <w:rsid w:val="00E03CA4"/>
    <w:rsid w:val="00E03D42"/>
    <w:rsid w:val="00E03E51"/>
    <w:rsid w:val="00E04195"/>
    <w:rsid w:val="00E04249"/>
    <w:rsid w:val="00E046C6"/>
    <w:rsid w:val="00E047A5"/>
    <w:rsid w:val="00E04845"/>
    <w:rsid w:val="00E04A1D"/>
    <w:rsid w:val="00E04F68"/>
    <w:rsid w:val="00E05036"/>
    <w:rsid w:val="00E051CE"/>
    <w:rsid w:val="00E052C2"/>
    <w:rsid w:val="00E05553"/>
    <w:rsid w:val="00E057F7"/>
    <w:rsid w:val="00E06167"/>
    <w:rsid w:val="00E06356"/>
    <w:rsid w:val="00E06619"/>
    <w:rsid w:val="00E066AD"/>
    <w:rsid w:val="00E0685E"/>
    <w:rsid w:val="00E06FCF"/>
    <w:rsid w:val="00E0711D"/>
    <w:rsid w:val="00E0730E"/>
    <w:rsid w:val="00E07C9D"/>
    <w:rsid w:val="00E07F9C"/>
    <w:rsid w:val="00E11316"/>
    <w:rsid w:val="00E11497"/>
    <w:rsid w:val="00E119CF"/>
    <w:rsid w:val="00E11F3E"/>
    <w:rsid w:val="00E11F6E"/>
    <w:rsid w:val="00E12306"/>
    <w:rsid w:val="00E12451"/>
    <w:rsid w:val="00E124BD"/>
    <w:rsid w:val="00E13A85"/>
    <w:rsid w:val="00E14106"/>
    <w:rsid w:val="00E141C1"/>
    <w:rsid w:val="00E1483C"/>
    <w:rsid w:val="00E14B39"/>
    <w:rsid w:val="00E14F90"/>
    <w:rsid w:val="00E1511F"/>
    <w:rsid w:val="00E1568A"/>
    <w:rsid w:val="00E161FE"/>
    <w:rsid w:val="00E165AD"/>
    <w:rsid w:val="00E165E3"/>
    <w:rsid w:val="00E171C7"/>
    <w:rsid w:val="00E178AD"/>
    <w:rsid w:val="00E17B0F"/>
    <w:rsid w:val="00E20003"/>
    <w:rsid w:val="00E200F5"/>
    <w:rsid w:val="00E2034D"/>
    <w:rsid w:val="00E20677"/>
    <w:rsid w:val="00E209D5"/>
    <w:rsid w:val="00E21B10"/>
    <w:rsid w:val="00E21CA5"/>
    <w:rsid w:val="00E21F30"/>
    <w:rsid w:val="00E21FD9"/>
    <w:rsid w:val="00E221C2"/>
    <w:rsid w:val="00E222D4"/>
    <w:rsid w:val="00E23321"/>
    <w:rsid w:val="00E2360F"/>
    <w:rsid w:val="00E23E55"/>
    <w:rsid w:val="00E23F14"/>
    <w:rsid w:val="00E241C3"/>
    <w:rsid w:val="00E243ED"/>
    <w:rsid w:val="00E24430"/>
    <w:rsid w:val="00E24969"/>
    <w:rsid w:val="00E24D63"/>
    <w:rsid w:val="00E25609"/>
    <w:rsid w:val="00E25E3F"/>
    <w:rsid w:val="00E26387"/>
    <w:rsid w:val="00E264C4"/>
    <w:rsid w:val="00E2683C"/>
    <w:rsid w:val="00E26896"/>
    <w:rsid w:val="00E26F06"/>
    <w:rsid w:val="00E27347"/>
    <w:rsid w:val="00E275BE"/>
    <w:rsid w:val="00E3048C"/>
    <w:rsid w:val="00E307FD"/>
    <w:rsid w:val="00E30899"/>
    <w:rsid w:val="00E30D8F"/>
    <w:rsid w:val="00E31FD0"/>
    <w:rsid w:val="00E330A5"/>
    <w:rsid w:val="00E33393"/>
    <w:rsid w:val="00E33930"/>
    <w:rsid w:val="00E33EDF"/>
    <w:rsid w:val="00E340C2"/>
    <w:rsid w:val="00E3494E"/>
    <w:rsid w:val="00E34A7D"/>
    <w:rsid w:val="00E34CD9"/>
    <w:rsid w:val="00E34CE3"/>
    <w:rsid w:val="00E34F24"/>
    <w:rsid w:val="00E3527A"/>
    <w:rsid w:val="00E35353"/>
    <w:rsid w:val="00E3576E"/>
    <w:rsid w:val="00E35BF4"/>
    <w:rsid w:val="00E35C09"/>
    <w:rsid w:val="00E36A47"/>
    <w:rsid w:val="00E36AF0"/>
    <w:rsid w:val="00E36B48"/>
    <w:rsid w:val="00E3792D"/>
    <w:rsid w:val="00E37C65"/>
    <w:rsid w:val="00E37EB0"/>
    <w:rsid w:val="00E40261"/>
    <w:rsid w:val="00E4032C"/>
    <w:rsid w:val="00E4036B"/>
    <w:rsid w:val="00E405AE"/>
    <w:rsid w:val="00E4078C"/>
    <w:rsid w:val="00E40967"/>
    <w:rsid w:val="00E40DE8"/>
    <w:rsid w:val="00E418A3"/>
    <w:rsid w:val="00E419D4"/>
    <w:rsid w:val="00E41B8C"/>
    <w:rsid w:val="00E422CB"/>
    <w:rsid w:val="00E4287B"/>
    <w:rsid w:val="00E4298E"/>
    <w:rsid w:val="00E42A34"/>
    <w:rsid w:val="00E42DC8"/>
    <w:rsid w:val="00E43460"/>
    <w:rsid w:val="00E43EC0"/>
    <w:rsid w:val="00E441A9"/>
    <w:rsid w:val="00E45090"/>
    <w:rsid w:val="00E4510E"/>
    <w:rsid w:val="00E4568A"/>
    <w:rsid w:val="00E457CD"/>
    <w:rsid w:val="00E45893"/>
    <w:rsid w:val="00E458DD"/>
    <w:rsid w:val="00E459F6"/>
    <w:rsid w:val="00E45AD5"/>
    <w:rsid w:val="00E45B75"/>
    <w:rsid w:val="00E45F16"/>
    <w:rsid w:val="00E460AC"/>
    <w:rsid w:val="00E469CD"/>
    <w:rsid w:val="00E4751E"/>
    <w:rsid w:val="00E47BB7"/>
    <w:rsid w:val="00E50200"/>
    <w:rsid w:val="00E5062C"/>
    <w:rsid w:val="00E50A61"/>
    <w:rsid w:val="00E50A6C"/>
    <w:rsid w:val="00E50C02"/>
    <w:rsid w:val="00E50F93"/>
    <w:rsid w:val="00E515B9"/>
    <w:rsid w:val="00E51A70"/>
    <w:rsid w:val="00E51CED"/>
    <w:rsid w:val="00E5228A"/>
    <w:rsid w:val="00E52410"/>
    <w:rsid w:val="00E526F3"/>
    <w:rsid w:val="00E530BF"/>
    <w:rsid w:val="00E5335A"/>
    <w:rsid w:val="00E54423"/>
    <w:rsid w:val="00E54760"/>
    <w:rsid w:val="00E5505D"/>
    <w:rsid w:val="00E5547D"/>
    <w:rsid w:val="00E55592"/>
    <w:rsid w:val="00E555B0"/>
    <w:rsid w:val="00E556AB"/>
    <w:rsid w:val="00E5596E"/>
    <w:rsid w:val="00E55A0B"/>
    <w:rsid w:val="00E55ADA"/>
    <w:rsid w:val="00E55C91"/>
    <w:rsid w:val="00E56017"/>
    <w:rsid w:val="00E56108"/>
    <w:rsid w:val="00E56722"/>
    <w:rsid w:val="00E568B4"/>
    <w:rsid w:val="00E56B9C"/>
    <w:rsid w:val="00E5733A"/>
    <w:rsid w:val="00E57482"/>
    <w:rsid w:val="00E574CA"/>
    <w:rsid w:val="00E5779E"/>
    <w:rsid w:val="00E57904"/>
    <w:rsid w:val="00E61552"/>
    <w:rsid w:val="00E6191E"/>
    <w:rsid w:val="00E61D8F"/>
    <w:rsid w:val="00E6225D"/>
    <w:rsid w:val="00E62683"/>
    <w:rsid w:val="00E62B4B"/>
    <w:rsid w:val="00E62C7D"/>
    <w:rsid w:val="00E631C9"/>
    <w:rsid w:val="00E63222"/>
    <w:rsid w:val="00E636EA"/>
    <w:rsid w:val="00E6387F"/>
    <w:rsid w:val="00E63954"/>
    <w:rsid w:val="00E63CFE"/>
    <w:rsid w:val="00E63E6B"/>
    <w:rsid w:val="00E63F03"/>
    <w:rsid w:val="00E640BD"/>
    <w:rsid w:val="00E6461C"/>
    <w:rsid w:val="00E64662"/>
    <w:rsid w:val="00E65070"/>
    <w:rsid w:val="00E652A2"/>
    <w:rsid w:val="00E65399"/>
    <w:rsid w:val="00E659E0"/>
    <w:rsid w:val="00E65F08"/>
    <w:rsid w:val="00E66418"/>
    <w:rsid w:val="00E66618"/>
    <w:rsid w:val="00E671F5"/>
    <w:rsid w:val="00E67247"/>
    <w:rsid w:val="00E67259"/>
    <w:rsid w:val="00E679B4"/>
    <w:rsid w:val="00E67BA9"/>
    <w:rsid w:val="00E70887"/>
    <w:rsid w:val="00E7089F"/>
    <w:rsid w:val="00E70B59"/>
    <w:rsid w:val="00E70CFB"/>
    <w:rsid w:val="00E713A5"/>
    <w:rsid w:val="00E718AF"/>
    <w:rsid w:val="00E718D6"/>
    <w:rsid w:val="00E71AE4"/>
    <w:rsid w:val="00E71CE9"/>
    <w:rsid w:val="00E72151"/>
    <w:rsid w:val="00E72432"/>
    <w:rsid w:val="00E72855"/>
    <w:rsid w:val="00E728E6"/>
    <w:rsid w:val="00E72A0C"/>
    <w:rsid w:val="00E73039"/>
    <w:rsid w:val="00E73365"/>
    <w:rsid w:val="00E73E95"/>
    <w:rsid w:val="00E740FB"/>
    <w:rsid w:val="00E74308"/>
    <w:rsid w:val="00E74590"/>
    <w:rsid w:val="00E7470C"/>
    <w:rsid w:val="00E74B38"/>
    <w:rsid w:val="00E74FE2"/>
    <w:rsid w:val="00E752E9"/>
    <w:rsid w:val="00E75435"/>
    <w:rsid w:val="00E75452"/>
    <w:rsid w:val="00E763AF"/>
    <w:rsid w:val="00E769C5"/>
    <w:rsid w:val="00E76BF2"/>
    <w:rsid w:val="00E76F68"/>
    <w:rsid w:val="00E771B4"/>
    <w:rsid w:val="00E77450"/>
    <w:rsid w:val="00E779F7"/>
    <w:rsid w:val="00E77D87"/>
    <w:rsid w:val="00E80D30"/>
    <w:rsid w:val="00E810C2"/>
    <w:rsid w:val="00E817CF"/>
    <w:rsid w:val="00E81BE1"/>
    <w:rsid w:val="00E81FB9"/>
    <w:rsid w:val="00E82841"/>
    <w:rsid w:val="00E82B95"/>
    <w:rsid w:val="00E82EA6"/>
    <w:rsid w:val="00E82F5F"/>
    <w:rsid w:val="00E83035"/>
    <w:rsid w:val="00E83FBF"/>
    <w:rsid w:val="00E847E4"/>
    <w:rsid w:val="00E84A6E"/>
    <w:rsid w:val="00E84FDC"/>
    <w:rsid w:val="00E855BD"/>
    <w:rsid w:val="00E860EE"/>
    <w:rsid w:val="00E86E60"/>
    <w:rsid w:val="00E9011B"/>
    <w:rsid w:val="00E908BE"/>
    <w:rsid w:val="00E90F5D"/>
    <w:rsid w:val="00E912AC"/>
    <w:rsid w:val="00E9137B"/>
    <w:rsid w:val="00E919F6"/>
    <w:rsid w:val="00E92E77"/>
    <w:rsid w:val="00E932BF"/>
    <w:rsid w:val="00E9333E"/>
    <w:rsid w:val="00E935EC"/>
    <w:rsid w:val="00E9366A"/>
    <w:rsid w:val="00E93AA4"/>
    <w:rsid w:val="00E93E8A"/>
    <w:rsid w:val="00E94C2E"/>
    <w:rsid w:val="00E9526D"/>
    <w:rsid w:val="00E95398"/>
    <w:rsid w:val="00E95552"/>
    <w:rsid w:val="00E95A2D"/>
    <w:rsid w:val="00E95FDE"/>
    <w:rsid w:val="00E9632E"/>
    <w:rsid w:val="00E96792"/>
    <w:rsid w:val="00E96F14"/>
    <w:rsid w:val="00E9719B"/>
    <w:rsid w:val="00E9734C"/>
    <w:rsid w:val="00E978F9"/>
    <w:rsid w:val="00E9794D"/>
    <w:rsid w:val="00E97A25"/>
    <w:rsid w:val="00E97AB9"/>
    <w:rsid w:val="00E97F2A"/>
    <w:rsid w:val="00EA0290"/>
    <w:rsid w:val="00EA052A"/>
    <w:rsid w:val="00EA0839"/>
    <w:rsid w:val="00EA0AC2"/>
    <w:rsid w:val="00EA0BD1"/>
    <w:rsid w:val="00EA0C25"/>
    <w:rsid w:val="00EA14F1"/>
    <w:rsid w:val="00EA1C97"/>
    <w:rsid w:val="00EA1D88"/>
    <w:rsid w:val="00EA1F38"/>
    <w:rsid w:val="00EA2A13"/>
    <w:rsid w:val="00EA2E5A"/>
    <w:rsid w:val="00EA45F4"/>
    <w:rsid w:val="00EA4692"/>
    <w:rsid w:val="00EA46CD"/>
    <w:rsid w:val="00EA4CA1"/>
    <w:rsid w:val="00EA4E35"/>
    <w:rsid w:val="00EA5344"/>
    <w:rsid w:val="00EA5838"/>
    <w:rsid w:val="00EA6447"/>
    <w:rsid w:val="00EA666F"/>
    <w:rsid w:val="00EA6840"/>
    <w:rsid w:val="00EA69C2"/>
    <w:rsid w:val="00EA6BD2"/>
    <w:rsid w:val="00EA6E4A"/>
    <w:rsid w:val="00EA7771"/>
    <w:rsid w:val="00EA7961"/>
    <w:rsid w:val="00EB0C8C"/>
    <w:rsid w:val="00EB10A1"/>
    <w:rsid w:val="00EB1252"/>
    <w:rsid w:val="00EB1600"/>
    <w:rsid w:val="00EB1D4F"/>
    <w:rsid w:val="00EB2766"/>
    <w:rsid w:val="00EB2D35"/>
    <w:rsid w:val="00EB3529"/>
    <w:rsid w:val="00EB357C"/>
    <w:rsid w:val="00EB37E9"/>
    <w:rsid w:val="00EB39A2"/>
    <w:rsid w:val="00EB39C2"/>
    <w:rsid w:val="00EB3A94"/>
    <w:rsid w:val="00EB3F10"/>
    <w:rsid w:val="00EB4727"/>
    <w:rsid w:val="00EB4C05"/>
    <w:rsid w:val="00EB4D29"/>
    <w:rsid w:val="00EB4DB7"/>
    <w:rsid w:val="00EB4E79"/>
    <w:rsid w:val="00EB54C5"/>
    <w:rsid w:val="00EB5BF1"/>
    <w:rsid w:val="00EB6183"/>
    <w:rsid w:val="00EB6616"/>
    <w:rsid w:val="00EB6994"/>
    <w:rsid w:val="00EB72E4"/>
    <w:rsid w:val="00EB7405"/>
    <w:rsid w:val="00EB769B"/>
    <w:rsid w:val="00EB7B39"/>
    <w:rsid w:val="00EB7BDB"/>
    <w:rsid w:val="00EB7DB8"/>
    <w:rsid w:val="00EC0D95"/>
    <w:rsid w:val="00EC0E85"/>
    <w:rsid w:val="00EC12A5"/>
    <w:rsid w:val="00EC132F"/>
    <w:rsid w:val="00EC14DB"/>
    <w:rsid w:val="00EC1D90"/>
    <w:rsid w:val="00EC1DFC"/>
    <w:rsid w:val="00EC238A"/>
    <w:rsid w:val="00EC2409"/>
    <w:rsid w:val="00EC26BC"/>
    <w:rsid w:val="00EC314F"/>
    <w:rsid w:val="00EC3383"/>
    <w:rsid w:val="00EC34FE"/>
    <w:rsid w:val="00EC39C2"/>
    <w:rsid w:val="00EC3F57"/>
    <w:rsid w:val="00EC4241"/>
    <w:rsid w:val="00EC4A95"/>
    <w:rsid w:val="00EC5289"/>
    <w:rsid w:val="00EC5643"/>
    <w:rsid w:val="00EC5BBF"/>
    <w:rsid w:val="00EC62F9"/>
    <w:rsid w:val="00EC68C1"/>
    <w:rsid w:val="00EC6ECE"/>
    <w:rsid w:val="00EC704B"/>
    <w:rsid w:val="00EC7135"/>
    <w:rsid w:val="00EC7839"/>
    <w:rsid w:val="00EC7B38"/>
    <w:rsid w:val="00EC7C96"/>
    <w:rsid w:val="00EC7DAA"/>
    <w:rsid w:val="00ED003E"/>
    <w:rsid w:val="00ED0760"/>
    <w:rsid w:val="00ED09F5"/>
    <w:rsid w:val="00ED0A59"/>
    <w:rsid w:val="00ED1367"/>
    <w:rsid w:val="00ED1377"/>
    <w:rsid w:val="00ED147B"/>
    <w:rsid w:val="00ED1643"/>
    <w:rsid w:val="00ED1802"/>
    <w:rsid w:val="00ED1D52"/>
    <w:rsid w:val="00ED217A"/>
    <w:rsid w:val="00ED229F"/>
    <w:rsid w:val="00ED29E7"/>
    <w:rsid w:val="00ED2D2A"/>
    <w:rsid w:val="00ED35BB"/>
    <w:rsid w:val="00ED3BD6"/>
    <w:rsid w:val="00ED42E3"/>
    <w:rsid w:val="00ED435D"/>
    <w:rsid w:val="00ED4AF5"/>
    <w:rsid w:val="00ED4C6A"/>
    <w:rsid w:val="00ED5061"/>
    <w:rsid w:val="00ED62C5"/>
    <w:rsid w:val="00ED62D3"/>
    <w:rsid w:val="00ED66D8"/>
    <w:rsid w:val="00ED69C8"/>
    <w:rsid w:val="00ED6B0B"/>
    <w:rsid w:val="00ED6C59"/>
    <w:rsid w:val="00ED7238"/>
    <w:rsid w:val="00ED730E"/>
    <w:rsid w:val="00ED7B69"/>
    <w:rsid w:val="00ED7FC0"/>
    <w:rsid w:val="00EE00FF"/>
    <w:rsid w:val="00EE0389"/>
    <w:rsid w:val="00EE05E5"/>
    <w:rsid w:val="00EE0902"/>
    <w:rsid w:val="00EE0A44"/>
    <w:rsid w:val="00EE0B81"/>
    <w:rsid w:val="00EE0CA9"/>
    <w:rsid w:val="00EE0DD4"/>
    <w:rsid w:val="00EE10F9"/>
    <w:rsid w:val="00EE1351"/>
    <w:rsid w:val="00EE14EC"/>
    <w:rsid w:val="00EE1AEF"/>
    <w:rsid w:val="00EE1E0F"/>
    <w:rsid w:val="00EE1E9A"/>
    <w:rsid w:val="00EE1F26"/>
    <w:rsid w:val="00EE20AD"/>
    <w:rsid w:val="00EE25C3"/>
    <w:rsid w:val="00EE2AB8"/>
    <w:rsid w:val="00EE33B8"/>
    <w:rsid w:val="00EE39E8"/>
    <w:rsid w:val="00EE46D8"/>
    <w:rsid w:val="00EE4B33"/>
    <w:rsid w:val="00EE502F"/>
    <w:rsid w:val="00EE505A"/>
    <w:rsid w:val="00EE54E9"/>
    <w:rsid w:val="00EE54F4"/>
    <w:rsid w:val="00EE5DA8"/>
    <w:rsid w:val="00EE6892"/>
    <w:rsid w:val="00EE7155"/>
    <w:rsid w:val="00EE7AA5"/>
    <w:rsid w:val="00EE7E7F"/>
    <w:rsid w:val="00EF0081"/>
    <w:rsid w:val="00EF01CD"/>
    <w:rsid w:val="00EF0753"/>
    <w:rsid w:val="00EF08B6"/>
    <w:rsid w:val="00EF0969"/>
    <w:rsid w:val="00EF09A9"/>
    <w:rsid w:val="00EF14CF"/>
    <w:rsid w:val="00EF1D90"/>
    <w:rsid w:val="00EF3754"/>
    <w:rsid w:val="00EF3B78"/>
    <w:rsid w:val="00EF3C0A"/>
    <w:rsid w:val="00EF4AEA"/>
    <w:rsid w:val="00EF53B8"/>
    <w:rsid w:val="00EF58DA"/>
    <w:rsid w:val="00EF5996"/>
    <w:rsid w:val="00EF5B66"/>
    <w:rsid w:val="00EF6052"/>
    <w:rsid w:val="00EF6B17"/>
    <w:rsid w:val="00EF6F8D"/>
    <w:rsid w:val="00EF7A98"/>
    <w:rsid w:val="00EF7E6B"/>
    <w:rsid w:val="00F004F9"/>
    <w:rsid w:val="00F005CB"/>
    <w:rsid w:val="00F007B5"/>
    <w:rsid w:val="00F00D22"/>
    <w:rsid w:val="00F00D62"/>
    <w:rsid w:val="00F00F7A"/>
    <w:rsid w:val="00F0121A"/>
    <w:rsid w:val="00F012ED"/>
    <w:rsid w:val="00F01447"/>
    <w:rsid w:val="00F01874"/>
    <w:rsid w:val="00F01CB5"/>
    <w:rsid w:val="00F020EE"/>
    <w:rsid w:val="00F0228C"/>
    <w:rsid w:val="00F02307"/>
    <w:rsid w:val="00F0243F"/>
    <w:rsid w:val="00F02823"/>
    <w:rsid w:val="00F02877"/>
    <w:rsid w:val="00F02DED"/>
    <w:rsid w:val="00F0381F"/>
    <w:rsid w:val="00F03CD6"/>
    <w:rsid w:val="00F03E1F"/>
    <w:rsid w:val="00F04B3D"/>
    <w:rsid w:val="00F055F8"/>
    <w:rsid w:val="00F05778"/>
    <w:rsid w:val="00F05792"/>
    <w:rsid w:val="00F057E7"/>
    <w:rsid w:val="00F05873"/>
    <w:rsid w:val="00F06038"/>
    <w:rsid w:val="00F0633C"/>
    <w:rsid w:val="00F0780D"/>
    <w:rsid w:val="00F078BC"/>
    <w:rsid w:val="00F07D68"/>
    <w:rsid w:val="00F1002D"/>
    <w:rsid w:val="00F10B5C"/>
    <w:rsid w:val="00F110F3"/>
    <w:rsid w:val="00F12582"/>
    <w:rsid w:val="00F12945"/>
    <w:rsid w:val="00F12E02"/>
    <w:rsid w:val="00F1304D"/>
    <w:rsid w:val="00F13217"/>
    <w:rsid w:val="00F1325A"/>
    <w:rsid w:val="00F135D3"/>
    <w:rsid w:val="00F1395E"/>
    <w:rsid w:val="00F14DD6"/>
    <w:rsid w:val="00F15882"/>
    <w:rsid w:val="00F1589E"/>
    <w:rsid w:val="00F15A8D"/>
    <w:rsid w:val="00F15E38"/>
    <w:rsid w:val="00F16953"/>
    <w:rsid w:val="00F16B9A"/>
    <w:rsid w:val="00F17042"/>
    <w:rsid w:val="00F170D0"/>
    <w:rsid w:val="00F1719A"/>
    <w:rsid w:val="00F17260"/>
    <w:rsid w:val="00F176C7"/>
    <w:rsid w:val="00F17BAD"/>
    <w:rsid w:val="00F2019E"/>
    <w:rsid w:val="00F20FCF"/>
    <w:rsid w:val="00F21260"/>
    <w:rsid w:val="00F21475"/>
    <w:rsid w:val="00F215B6"/>
    <w:rsid w:val="00F224C1"/>
    <w:rsid w:val="00F2279E"/>
    <w:rsid w:val="00F22D99"/>
    <w:rsid w:val="00F22F8B"/>
    <w:rsid w:val="00F22F99"/>
    <w:rsid w:val="00F23109"/>
    <w:rsid w:val="00F23684"/>
    <w:rsid w:val="00F23D9A"/>
    <w:rsid w:val="00F23E05"/>
    <w:rsid w:val="00F24BEF"/>
    <w:rsid w:val="00F252A4"/>
    <w:rsid w:val="00F25571"/>
    <w:rsid w:val="00F26203"/>
    <w:rsid w:val="00F2633A"/>
    <w:rsid w:val="00F2656A"/>
    <w:rsid w:val="00F26744"/>
    <w:rsid w:val="00F272CD"/>
    <w:rsid w:val="00F2732F"/>
    <w:rsid w:val="00F279C6"/>
    <w:rsid w:val="00F27DDE"/>
    <w:rsid w:val="00F305C7"/>
    <w:rsid w:val="00F3096F"/>
    <w:rsid w:val="00F30EAC"/>
    <w:rsid w:val="00F31262"/>
    <w:rsid w:val="00F31B3B"/>
    <w:rsid w:val="00F31B60"/>
    <w:rsid w:val="00F32091"/>
    <w:rsid w:val="00F32394"/>
    <w:rsid w:val="00F32649"/>
    <w:rsid w:val="00F33026"/>
    <w:rsid w:val="00F332CE"/>
    <w:rsid w:val="00F3349D"/>
    <w:rsid w:val="00F335EF"/>
    <w:rsid w:val="00F33B9E"/>
    <w:rsid w:val="00F34218"/>
    <w:rsid w:val="00F34EA1"/>
    <w:rsid w:val="00F34FFA"/>
    <w:rsid w:val="00F350C9"/>
    <w:rsid w:val="00F35B3E"/>
    <w:rsid w:val="00F35D28"/>
    <w:rsid w:val="00F35DBB"/>
    <w:rsid w:val="00F3608D"/>
    <w:rsid w:val="00F364B5"/>
    <w:rsid w:val="00F368B3"/>
    <w:rsid w:val="00F375E5"/>
    <w:rsid w:val="00F37E1A"/>
    <w:rsid w:val="00F37EC4"/>
    <w:rsid w:val="00F40B70"/>
    <w:rsid w:val="00F40B97"/>
    <w:rsid w:val="00F4106A"/>
    <w:rsid w:val="00F41113"/>
    <w:rsid w:val="00F41288"/>
    <w:rsid w:val="00F415D8"/>
    <w:rsid w:val="00F41A24"/>
    <w:rsid w:val="00F41E73"/>
    <w:rsid w:val="00F41E79"/>
    <w:rsid w:val="00F42005"/>
    <w:rsid w:val="00F42226"/>
    <w:rsid w:val="00F42850"/>
    <w:rsid w:val="00F42DEA"/>
    <w:rsid w:val="00F42E51"/>
    <w:rsid w:val="00F42FBA"/>
    <w:rsid w:val="00F433EC"/>
    <w:rsid w:val="00F4376C"/>
    <w:rsid w:val="00F43DD4"/>
    <w:rsid w:val="00F43E24"/>
    <w:rsid w:val="00F4402D"/>
    <w:rsid w:val="00F44065"/>
    <w:rsid w:val="00F44833"/>
    <w:rsid w:val="00F44F55"/>
    <w:rsid w:val="00F45035"/>
    <w:rsid w:val="00F453B1"/>
    <w:rsid w:val="00F456DF"/>
    <w:rsid w:val="00F459E3"/>
    <w:rsid w:val="00F462EA"/>
    <w:rsid w:val="00F46442"/>
    <w:rsid w:val="00F4648B"/>
    <w:rsid w:val="00F47242"/>
    <w:rsid w:val="00F47244"/>
    <w:rsid w:val="00F47503"/>
    <w:rsid w:val="00F47CE5"/>
    <w:rsid w:val="00F5030E"/>
    <w:rsid w:val="00F506C6"/>
    <w:rsid w:val="00F50D14"/>
    <w:rsid w:val="00F5110D"/>
    <w:rsid w:val="00F51FE5"/>
    <w:rsid w:val="00F5275C"/>
    <w:rsid w:val="00F52AFA"/>
    <w:rsid w:val="00F52DCC"/>
    <w:rsid w:val="00F52E71"/>
    <w:rsid w:val="00F53B79"/>
    <w:rsid w:val="00F54597"/>
    <w:rsid w:val="00F54CF9"/>
    <w:rsid w:val="00F54D04"/>
    <w:rsid w:val="00F5513C"/>
    <w:rsid w:val="00F55327"/>
    <w:rsid w:val="00F5537C"/>
    <w:rsid w:val="00F5568F"/>
    <w:rsid w:val="00F55A30"/>
    <w:rsid w:val="00F56129"/>
    <w:rsid w:val="00F56183"/>
    <w:rsid w:val="00F5664A"/>
    <w:rsid w:val="00F57042"/>
    <w:rsid w:val="00F57224"/>
    <w:rsid w:val="00F57936"/>
    <w:rsid w:val="00F57C05"/>
    <w:rsid w:val="00F57EF4"/>
    <w:rsid w:val="00F57FEE"/>
    <w:rsid w:val="00F60582"/>
    <w:rsid w:val="00F61650"/>
    <w:rsid w:val="00F61B62"/>
    <w:rsid w:val="00F61E87"/>
    <w:rsid w:val="00F62102"/>
    <w:rsid w:val="00F6255B"/>
    <w:rsid w:val="00F6264A"/>
    <w:rsid w:val="00F6278B"/>
    <w:rsid w:val="00F62C13"/>
    <w:rsid w:val="00F630C2"/>
    <w:rsid w:val="00F630FC"/>
    <w:rsid w:val="00F6335D"/>
    <w:rsid w:val="00F6350B"/>
    <w:rsid w:val="00F63A37"/>
    <w:rsid w:val="00F63CC1"/>
    <w:rsid w:val="00F6407E"/>
    <w:rsid w:val="00F640E4"/>
    <w:rsid w:val="00F64367"/>
    <w:rsid w:val="00F65130"/>
    <w:rsid w:val="00F662F8"/>
    <w:rsid w:val="00F66300"/>
    <w:rsid w:val="00F670B8"/>
    <w:rsid w:val="00F6710B"/>
    <w:rsid w:val="00F6723B"/>
    <w:rsid w:val="00F67BFF"/>
    <w:rsid w:val="00F67CE0"/>
    <w:rsid w:val="00F67DF5"/>
    <w:rsid w:val="00F67ECD"/>
    <w:rsid w:val="00F7003F"/>
    <w:rsid w:val="00F701F0"/>
    <w:rsid w:val="00F7062F"/>
    <w:rsid w:val="00F710CE"/>
    <w:rsid w:val="00F7160D"/>
    <w:rsid w:val="00F7160E"/>
    <w:rsid w:val="00F71CD9"/>
    <w:rsid w:val="00F72543"/>
    <w:rsid w:val="00F7264B"/>
    <w:rsid w:val="00F72EF3"/>
    <w:rsid w:val="00F72F88"/>
    <w:rsid w:val="00F733EE"/>
    <w:rsid w:val="00F73C56"/>
    <w:rsid w:val="00F742C3"/>
    <w:rsid w:val="00F746E0"/>
    <w:rsid w:val="00F74A11"/>
    <w:rsid w:val="00F74E7F"/>
    <w:rsid w:val="00F750B7"/>
    <w:rsid w:val="00F7586D"/>
    <w:rsid w:val="00F75AF6"/>
    <w:rsid w:val="00F76394"/>
    <w:rsid w:val="00F76CB1"/>
    <w:rsid w:val="00F77294"/>
    <w:rsid w:val="00F7782D"/>
    <w:rsid w:val="00F77A75"/>
    <w:rsid w:val="00F77C94"/>
    <w:rsid w:val="00F77D2B"/>
    <w:rsid w:val="00F801AD"/>
    <w:rsid w:val="00F804E3"/>
    <w:rsid w:val="00F8055E"/>
    <w:rsid w:val="00F80683"/>
    <w:rsid w:val="00F80E84"/>
    <w:rsid w:val="00F810DC"/>
    <w:rsid w:val="00F82203"/>
    <w:rsid w:val="00F824D7"/>
    <w:rsid w:val="00F82B69"/>
    <w:rsid w:val="00F82DDE"/>
    <w:rsid w:val="00F82DEB"/>
    <w:rsid w:val="00F82DFE"/>
    <w:rsid w:val="00F83EE1"/>
    <w:rsid w:val="00F8427A"/>
    <w:rsid w:val="00F84558"/>
    <w:rsid w:val="00F847D9"/>
    <w:rsid w:val="00F84968"/>
    <w:rsid w:val="00F851A5"/>
    <w:rsid w:val="00F8577B"/>
    <w:rsid w:val="00F86713"/>
    <w:rsid w:val="00F86BA0"/>
    <w:rsid w:val="00F8708F"/>
    <w:rsid w:val="00F87173"/>
    <w:rsid w:val="00F87A5F"/>
    <w:rsid w:val="00F87FC0"/>
    <w:rsid w:val="00F90092"/>
    <w:rsid w:val="00F902B5"/>
    <w:rsid w:val="00F90471"/>
    <w:rsid w:val="00F908EE"/>
    <w:rsid w:val="00F90A59"/>
    <w:rsid w:val="00F90CE3"/>
    <w:rsid w:val="00F9136B"/>
    <w:rsid w:val="00F91506"/>
    <w:rsid w:val="00F9192E"/>
    <w:rsid w:val="00F9194A"/>
    <w:rsid w:val="00F9199D"/>
    <w:rsid w:val="00F91C2B"/>
    <w:rsid w:val="00F91D87"/>
    <w:rsid w:val="00F91E83"/>
    <w:rsid w:val="00F92846"/>
    <w:rsid w:val="00F92FC4"/>
    <w:rsid w:val="00F92FE1"/>
    <w:rsid w:val="00F93465"/>
    <w:rsid w:val="00F9347E"/>
    <w:rsid w:val="00F9362D"/>
    <w:rsid w:val="00F93664"/>
    <w:rsid w:val="00F93A28"/>
    <w:rsid w:val="00F944CA"/>
    <w:rsid w:val="00F95109"/>
    <w:rsid w:val="00F95179"/>
    <w:rsid w:val="00F96114"/>
    <w:rsid w:val="00F96C80"/>
    <w:rsid w:val="00F96D89"/>
    <w:rsid w:val="00F972A7"/>
    <w:rsid w:val="00F9732D"/>
    <w:rsid w:val="00F9776D"/>
    <w:rsid w:val="00F979C1"/>
    <w:rsid w:val="00F97DF4"/>
    <w:rsid w:val="00FA070E"/>
    <w:rsid w:val="00FA0AE3"/>
    <w:rsid w:val="00FA0C6B"/>
    <w:rsid w:val="00FA1925"/>
    <w:rsid w:val="00FA1C95"/>
    <w:rsid w:val="00FA2110"/>
    <w:rsid w:val="00FA25BD"/>
    <w:rsid w:val="00FA281A"/>
    <w:rsid w:val="00FA2DA2"/>
    <w:rsid w:val="00FA3ADA"/>
    <w:rsid w:val="00FA3CC2"/>
    <w:rsid w:val="00FA453E"/>
    <w:rsid w:val="00FA4C67"/>
    <w:rsid w:val="00FA4CB2"/>
    <w:rsid w:val="00FA4FB7"/>
    <w:rsid w:val="00FA5344"/>
    <w:rsid w:val="00FA55C0"/>
    <w:rsid w:val="00FA56E2"/>
    <w:rsid w:val="00FA5DBF"/>
    <w:rsid w:val="00FA5EA8"/>
    <w:rsid w:val="00FA689F"/>
    <w:rsid w:val="00FA6E92"/>
    <w:rsid w:val="00FA770C"/>
    <w:rsid w:val="00FA780A"/>
    <w:rsid w:val="00FA7B6F"/>
    <w:rsid w:val="00FB0A0F"/>
    <w:rsid w:val="00FB1AF8"/>
    <w:rsid w:val="00FB1BA0"/>
    <w:rsid w:val="00FB1C53"/>
    <w:rsid w:val="00FB1C95"/>
    <w:rsid w:val="00FB2DCE"/>
    <w:rsid w:val="00FB3543"/>
    <w:rsid w:val="00FB381E"/>
    <w:rsid w:val="00FB39E2"/>
    <w:rsid w:val="00FB3D41"/>
    <w:rsid w:val="00FB5858"/>
    <w:rsid w:val="00FB58BA"/>
    <w:rsid w:val="00FB5D49"/>
    <w:rsid w:val="00FB6390"/>
    <w:rsid w:val="00FB7630"/>
    <w:rsid w:val="00FB7C93"/>
    <w:rsid w:val="00FB7D53"/>
    <w:rsid w:val="00FC0035"/>
    <w:rsid w:val="00FC140B"/>
    <w:rsid w:val="00FC1E6C"/>
    <w:rsid w:val="00FC1EA6"/>
    <w:rsid w:val="00FC2C76"/>
    <w:rsid w:val="00FC2D99"/>
    <w:rsid w:val="00FC38D8"/>
    <w:rsid w:val="00FC3A6D"/>
    <w:rsid w:val="00FC3A79"/>
    <w:rsid w:val="00FC3C1C"/>
    <w:rsid w:val="00FC417C"/>
    <w:rsid w:val="00FC44C2"/>
    <w:rsid w:val="00FC50DC"/>
    <w:rsid w:val="00FC5552"/>
    <w:rsid w:val="00FC5B64"/>
    <w:rsid w:val="00FC5E56"/>
    <w:rsid w:val="00FC6108"/>
    <w:rsid w:val="00FC612F"/>
    <w:rsid w:val="00FC672E"/>
    <w:rsid w:val="00FC6811"/>
    <w:rsid w:val="00FC6A57"/>
    <w:rsid w:val="00FC6C07"/>
    <w:rsid w:val="00FC7027"/>
    <w:rsid w:val="00FC7529"/>
    <w:rsid w:val="00FC7C01"/>
    <w:rsid w:val="00FC7C11"/>
    <w:rsid w:val="00FD0715"/>
    <w:rsid w:val="00FD0A5E"/>
    <w:rsid w:val="00FD0B7D"/>
    <w:rsid w:val="00FD1639"/>
    <w:rsid w:val="00FD26F8"/>
    <w:rsid w:val="00FD291C"/>
    <w:rsid w:val="00FD294F"/>
    <w:rsid w:val="00FD2AB7"/>
    <w:rsid w:val="00FD2FAE"/>
    <w:rsid w:val="00FD2FF7"/>
    <w:rsid w:val="00FD372F"/>
    <w:rsid w:val="00FD3F63"/>
    <w:rsid w:val="00FD4E74"/>
    <w:rsid w:val="00FD6A3D"/>
    <w:rsid w:val="00FD6B98"/>
    <w:rsid w:val="00FD6D79"/>
    <w:rsid w:val="00FD707A"/>
    <w:rsid w:val="00FD72C4"/>
    <w:rsid w:val="00FD7324"/>
    <w:rsid w:val="00FD7662"/>
    <w:rsid w:val="00FD7B1B"/>
    <w:rsid w:val="00FD7CF5"/>
    <w:rsid w:val="00FD7E5C"/>
    <w:rsid w:val="00FE090C"/>
    <w:rsid w:val="00FE091E"/>
    <w:rsid w:val="00FE0FE0"/>
    <w:rsid w:val="00FE1046"/>
    <w:rsid w:val="00FE1D08"/>
    <w:rsid w:val="00FE1E2B"/>
    <w:rsid w:val="00FE24FE"/>
    <w:rsid w:val="00FE27F5"/>
    <w:rsid w:val="00FE3309"/>
    <w:rsid w:val="00FE34BE"/>
    <w:rsid w:val="00FE3EE0"/>
    <w:rsid w:val="00FE4798"/>
    <w:rsid w:val="00FE49FC"/>
    <w:rsid w:val="00FE4C48"/>
    <w:rsid w:val="00FE4E33"/>
    <w:rsid w:val="00FE5352"/>
    <w:rsid w:val="00FE5456"/>
    <w:rsid w:val="00FE55DC"/>
    <w:rsid w:val="00FE5601"/>
    <w:rsid w:val="00FE5E8A"/>
    <w:rsid w:val="00FE6ED9"/>
    <w:rsid w:val="00FE7492"/>
    <w:rsid w:val="00FE76D8"/>
    <w:rsid w:val="00FE78DF"/>
    <w:rsid w:val="00FE7B1D"/>
    <w:rsid w:val="00FE7D36"/>
    <w:rsid w:val="00FE7E1E"/>
    <w:rsid w:val="00FF079B"/>
    <w:rsid w:val="00FF0B85"/>
    <w:rsid w:val="00FF0BF6"/>
    <w:rsid w:val="00FF0C13"/>
    <w:rsid w:val="00FF1247"/>
    <w:rsid w:val="00FF1343"/>
    <w:rsid w:val="00FF1378"/>
    <w:rsid w:val="00FF1696"/>
    <w:rsid w:val="00FF1949"/>
    <w:rsid w:val="00FF1CAF"/>
    <w:rsid w:val="00FF1D47"/>
    <w:rsid w:val="00FF2072"/>
    <w:rsid w:val="00FF2985"/>
    <w:rsid w:val="00FF31F8"/>
    <w:rsid w:val="00FF3773"/>
    <w:rsid w:val="00FF397B"/>
    <w:rsid w:val="00FF3D69"/>
    <w:rsid w:val="00FF40A6"/>
    <w:rsid w:val="00FF416F"/>
    <w:rsid w:val="00FF43A7"/>
    <w:rsid w:val="00FF44AB"/>
    <w:rsid w:val="00FF464F"/>
    <w:rsid w:val="00FF48D2"/>
    <w:rsid w:val="00FF4B9C"/>
    <w:rsid w:val="00FF5209"/>
    <w:rsid w:val="00FF5615"/>
    <w:rsid w:val="00FF5A00"/>
    <w:rsid w:val="00FF5EF1"/>
    <w:rsid w:val="00FF66CD"/>
    <w:rsid w:val="00FF6738"/>
    <w:rsid w:val="00FF6D57"/>
    <w:rsid w:val="00FF6D82"/>
    <w:rsid w:val="00FF6F90"/>
    <w:rsid w:val="00FF7E50"/>
    <w:rsid w:val="0102607D"/>
    <w:rsid w:val="01283311"/>
    <w:rsid w:val="01680D46"/>
    <w:rsid w:val="016F1948"/>
    <w:rsid w:val="017A26CF"/>
    <w:rsid w:val="021B572A"/>
    <w:rsid w:val="042E0925"/>
    <w:rsid w:val="04332872"/>
    <w:rsid w:val="0508005B"/>
    <w:rsid w:val="051800EA"/>
    <w:rsid w:val="05647E0F"/>
    <w:rsid w:val="067E26F0"/>
    <w:rsid w:val="07551352"/>
    <w:rsid w:val="07986954"/>
    <w:rsid w:val="07F25310"/>
    <w:rsid w:val="08687A7A"/>
    <w:rsid w:val="089A2898"/>
    <w:rsid w:val="09047DCE"/>
    <w:rsid w:val="09971A08"/>
    <w:rsid w:val="09AE7E5C"/>
    <w:rsid w:val="0D075AA7"/>
    <w:rsid w:val="0D1878DA"/>
    <w:rsid w:val="0DAA2E70"/>
    <w:rsid w:val="0E3467D7"/>
    <w:rsid w:val="0EE526EA"/>
    <w:rsid w:val="0F2667AA"/>
    <w:rsid w:val="0F3613AA"/>
    <w:rsid w:val="10983675"/>
    <w:rsid w:val="11717DF4"/>
    <w:rsid w:val="11F7525E"/>
    <w:rsid w:val="120F1066"/>
    <w:rsid w:val="12FE5DB0"/>
    <w:rsid w:val="142C2F0D"/>
    <w:rsid w:val="14440E91"/>
    <w:rsid w:val="15197C49"/>
    <w:rsid w:val="156102B8"/>
    <w:rsid w:val="15CF5071"/>
    <w:rsid w:val="16CC07F8"/>
    <w:rsid w:val="175221DD"/>
    <w:rsid w:val="18C96255"/>
    <w:rsid w:val="18D42CAE"/>
    <w:rsid w:val="19D41013"/>
    <w:rsid w:val="19F80CA9"/>
    <w:rsid w:val="1A7972A3"/>
    <w:rsid w:val="1ABE6A10"/>
    <w:rsid w:val="1AF2328F"/>
    <w:rsid w:val="1B3F3D88"/>
    <w:rsid w:val="1BBC0115"/>
    <w:rsid w:val="1BC82D71"/>
    <w:rsid w:val="1BC96535"/>
    <w:rsid w:val="1C62060E"/>
    <w:rsid w:val="1C66682D"/>
    <w:rsid w:val="1D764463"/>
    <w:rsid w:val="1DFA1CBF"/>
    <w:rsid w:val="1F9779E1"/>
    <w:rsid w:val="20641BC6"/>
    <w:rsid w:val="20861BB9"/>
    <w:rsid w:val="21A74170"/>
    <w:rsid w:val="21D81153"/>
    <w:rsid w:val="226A6E08"/>
    <w:rsid w:val="238B3610"/>
    <w:rsid w:val="23A70DF7"/>
    <w:rsid w:val="23D83E1C"/>
    <w:rsid w:val="24305A06"/>
    <w:rsid w:val="24A75B2E"/>
    <w:rsid w:val="251E4331"/>
    <w:rsid w:val="252E1CC8"/>
    <w:rsid w:val="258612EE"/>
    <w:rsid w:val="259B2EDC"/>
    <w:rsid w:val="26B556D1"/>
    <w:rsid w:val="26C72899"/>
    <w:rsid w:val="28906386"/>
    <w:rsid w:val="29714DDA"/>
    <w:rsid w:val="29841235"/>
    <w:rsid w:val="29CD2852"/>
    <w:rsid w:val="2A355860"/>
    <w:rsid w:val="2ADE0CE4"/>
    <w:rsid w:val="2BF3557F"/>
    <w:rsid w:val="2C1B2A25"/>
    <w:rsid w:val="2D4570AA"/>
    <w:rsid w:val="2DF43EAD"/>
    <w:rsid w:val="2F7026E8"/>
    <w:rsid w:val="30BC036C"/>
    <w:rsid w:val="311E3D88"/>
    <w:rsid w:val="312405D1"/>
    <w:rsid w:val="3183186B"/>
    <w:rsid w:val="31935E04"/>
    <w:rsid w:val="32D1568D"/>
    <w:rsid w:val="33107D3E"/>
    <w:rsid w:val="339D1914"/>
    <w:rsid w:val="33CF519E"/>
    <w:rsid w:val="35665DD7"/>
    <w:rsid w:val="366820F7"/>
    <w:rsid w:val="368748B5"/>
    <w:rsid w:val="36D8596A"/>
    <w:rsid w:val="37740CB8"/>
    <w:rsid w:val="38731BB0"/>
    <w:rsid w:val="38812A72"/>
    <w:rsid w:val="388A7780"/>
    <w:rsid w:val="38D8300E"/>
    <w:rsid w:val="38E90D55"/>
    <w:rsid w:val="38F62B97"/>
    <w:rsid w:val="38FC4F5B"/>
    <w:rsid w:val="391400FE"/>
    <w:rsid w:val="392657C0"/>
    <w:rsid w:val="39741023"/>
    <w:rsid w:val="3B17751C"/>
    <w:rsid w:val="3BE576DE"/>
    <w:rsid w:val="3C277C7A"/>
    <w:rsid w:val="3C3351F1"/>
    <w:rsid w:val="3C8F3539"/>
    <w:rsid w:val="3E954E98"/>
    <w:rsid w:val="3EB70313"/>
    <w:rsid w:val="3EF639AF"/>
    <w:rsid w:val="3F1D6C0F"/>
    <w:rsid w:val="3F9006D6"/>
    <w:rsid w:val="3FA22569"/>
    <w:rsid w:val="3FCF21E8"/>
    <w:rsid w:val="4009200B"/>
    <w:rsid w:val="4017444F"/>
    <w:rsid w:val="40BC5960"/>
    <w:rsid w:val="40D543CD"/>
    <w:rsid w:val="40D93256"/>
    <w:rsid w:val="415976E5"/>
    <w:rsid w:val="41F6442F"/>
    <w:rsid w:val="423B35C2"/>
    <w:rsid w:val="426974D6"/>
    <w:rsid w:val="42EF0B70"/>
    <w:rsid w:val="434C46E4"/>
    <w:rsid w:val="43E91D8A"/>
    <w:rsid w:val="4453619F"/>
    <w:rsid w:val="44781ACB"/>
    <w:rsid w:val="44EE30AE"/>
    <w:rsid w:val="45A85740"/>
    <w:rsid w:val="45D87F80"/>
    <w:rsid w:val="46356ADF"/>
    <w:rsid w:val="47A912B6"/>
    <w:rsid w:val="47F0097B"/>
    <w:rsid w:val="48D6699E"/>
    <w:rsid w:val="494267D1"/>
    <w:rsid w:val="495F0554"/>
    <w:rsid w:val="49E35145"/>
    <w:rsid w:val="4B624B77"/>
    <w:rsid w:val="4B8E75ED"/>
    <w:rsid w:val="4BE4737B"/>
    <w:rsid w:val="4C2F2351"/>
    <w:rsid w:val="4C405A36"/>
    <w:rsid w:val="4CB97DDF"/>
    <w:rsid w:val="4E00304C"/>
    <w:rsid w:val="4E266826"/>
    <w:rsid w:val="4FBF5D61"/>
    <w:rsid w:val="50596486"/>
    <w:rsid w:val="50685BA8"/>
    <w:rsid w:val="508E031E"/>
    <w:rsid w:val="51A4139B"/>
    <w:rsid w:val="529F485A"/>
    <w:rsid w:val="5314246F"/>
    <w:rsid w:val="5382152B"/>
    <w:rsid w:val="53FF4E30"/>
    <w:rsid w:val="5422002B"/>
    <w:rsid w:val="5429608C"/>
    <w:rsid w:val="547D7732"/>
    <w:rsid w:val="550216B4"/>
    <w:rsid w:val="55157CD5"/>
    <w:rsid w:val="552F1791"/>
    <w:rsid w:val="559D089E"/>
    <w:rsid w:val="56065ED7"/>
    <w:rsid w:val="56A23A63"/>
    <w:rsid w:val="56B70D0D"/>
    <w:rsid w:val="57307288"/>
    <w:rsid w:val="579A2C8B"/>
    <w:rsid w:val="58D900A0"/>
    <w:rsid w:val="59783CA8"/>
    <w:rsid w:val="5A6E1669"/>
    <w:rsid w:val="5AB521E6"/>
    <w:rsid w:val="5AF667D2"/>
    <w:rsid w:val="5CD64696"/>
    <w:rsid w:val="5D4F446C"/>
    <w:rsid w:val="5D8E6CC9"/>
    <w:rsid w:val="5DD046C0"/>
    <w:rsid w:val="5E1B2B97"/>
    <w:rsid w:val="5EC81318"/>
    <w:rsid w:val="5F015F1E"/>
    <w:rsid w:val="5F467000"/>
    <w:rsid w:val="5F4B0EC8"/>
    <w:rsid w:val="6084794F"/>
    <w:rsid w:val="61426DC8"/>
    <w:rsid w:val="627B0893"/>
    <w:rsid w:val="63441C74"/>
    <w:rsid w:val="64B4350F"/>
    <w:rsid w:val="65A90B99"/>
    <w:rsid w:val="65C27D14"/>
    <w:rsid w:val="663912A5"/>
    <w:rsid w:val="669D4E4C"/>
    <w:rsid w:val="67125789"/>
    <w:rsid w:val="67255DE9"/>
    <w:rsid w:val="67600163"/>
    <w:rsid w:val="67954340"/>
    <w:rsid w:val="67F47B5A"/>
    <w:rsid w:val="681F547C"/>
    <w:rsid w:val="68341E95"/>
    <w:rsid w:val="684658E8"/>
    <w:rsid w:val="68E41A1C"/>
    <w:rsid w:val="69BE7AC4"/>
    <w:rsid w:val="6A511C6C"/>
    <w:rsid w:val="6BCD6B0A"/>
    <w:rsid w:val="6BE93458"/>
    <w:rsid w:val="6D6B578D"/>
    <w:rsid w:val="6F0D393F"/>
    <w:rsid w:val="6F220B23"/>
    <w:rsid w:val="6F645570"/>
    <w:rsid w:val="6FC7106A"/>
    <w:rsid w:val="70781F23"/>
    <w:rsid w:val="70A96B5C"/>
    <w:rsid w:val="70B8410C"/>
    <w:rsid w:val="712B01E9"/>
    <w:rsid w:val="71956476"/>
    <w:rsid w:val="71EB411C"/>
    <w:rsid w:val="71F840FA"/>
    <w:rsid w:val="73227DBF"/>
    <w:rsid w:val="73B37C68"/>
    <w:rsid w:val="74292334"/>
    <w:rsid w:val="7475275A"/>
    <w:rsid w:val="74B60416"/>
    <w:rsid w:val="75952947"/>
    <w:rsid w:val="759F0BA4"/>
    <w:rsid w:val="75F96FD3"/>
    <w:rsid w:val="76BF021D"/>
    <w:rsid w:val="77004391"/>
    <w:rsid w:val="7762065C"/>
    <w:rsid w:val="7861074E"/>
    <w:rsid w:val="78A22E86"/>
    <w:rsid w:val="78C8291A"/>
    <w:rsid w:val="79222CE5"/>
    <w:rsid w:val="795E6BF7"/>
    <w:rsid w:val="79A205CB"/>
    <w:rsid w:val="79AB5169"/>
    <w:rsid w:val="79C00452"/>
    <w:rsid w:val="7A5F003D"/>
    <w:rsid w:val="7AB940ED"/>
    <w:rsid w:val="7ABB7357"/>
    <w:rsid w:val="7BA42964"/>
    <w:rsid w:val="7C7F0EF9"/>
    <w:rsid w:val="7D833D43"/>
    <w:rsid w:val="7F1A647F"/>
    <w:rsid w:val="7FC37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iPriority="0" w:semiHidden="0" w:name="List 2"/>
    <w:lsdException w:qFormat="1" w:uiPriority="99" w:semiHidden="0" w:name="List 3"/>
    <w:lsdException w:qFormat="1" w:uiPriority="99" w:semiHidden="0" w:name="List 4"/>
    <w:lsdException w:qFormat="1" w:uiPriority="99"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99"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72"/>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1"/>
    <w:link w:val="73"/>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1"/>
    <w:link w:val="74"/>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5"/>
    <w:basedOn w:val="1"/>
    <w:next w:val="1"/>
    <w:link w:val="75"/>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7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77"/>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7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7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List 3"/>
    <w:basedOn w:val="1"/>
    <w:unhideWhenUsed/>
    <w:qFormat/>
    <w:uiPriority w:val="99"/>
    <w:pPr>
      <w:spacing w:before="260" w:after="260"/>
      <w:ind w:left="100" w:leftChars="400" w:hanging="200" w:hangingChars="200"/>
      <w:contextualSpacing/>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118"/>
    <w:qFormat/>
    <w:uiPriority w:val="0"/>
    <w:rPr>
      <w:rFonts w:ascii="宋体"/>
      <w:sz w:val="18"/>
      <w:szCs w:val="18"/>
    </w:rPr>
  </w:style>
  <w:style w:type="paragraph" w:styleId="16">
    <w:name w:val="annotation text"/>
    <w:basedOn w:val="1"/>
    <w:link w:val="86"/>
    <w:qFormat/>
    <w:uiPriority w:val="0"/>
    <w:pPr>
      <w:jc w:val="left"/>
    </w:pPr>
  </w:style>
  <w:style w:type="paragraph" w:styleId="17">
    <w:name w:val="Salutation"/>
    <w:basedOn w:val="1"/>
    <w:next w:val="1"/>
    <w:link w:val="220"/>
    <w:qFormat/>
    <w:uiPriority w:val="0"/>
    <w:rPr>
      <w:sz w:val="28"/>
      <w:szCs w:val="28"/>
    </w:rPr>
  </w:style>
  <w:style w:type="paragraph" w:styleId="18">
    <w:name w:val="Body Text 3"/>
    <w:basedOn w:val="1"/>
    <w:link w:val="80"/>
    <w:qFormat/>
    <w:uiPriority w:val="0"/>
    <w:rPr>
      <w:rFonts w:ascii="宋体"/>
      <w:sz w:val="24"/>
      <w:szCs w:val="20"/>
    </w:rPr>
  </w:style>
  <w:style w:type="paragraph" w:styleId="19">
    <w:name w:val="Body Text"/>
    <w:basedOn w:val="1"/>
    <w:next w:val="20"/>
    <w:link w:val="88"/>
    <w:qFormat/>
    <w:uiPriority w:val="0"/>
    <w:pPr>
      <w:spacing w:after="120"/>
    </w:pPr>
  </w:style>
  <w:style w:type="paragraph" w:customStyle="1" w:styleId="20">
    <w:name w:val="style4"/>
    <w:basedOn w:val="21"/>
    <w:next w:val="22"/>
    <w:qFormat/>
    <w:uiPriority w:val="0"/>
    <w:pPr>
      <w:widowControl/>
      <w:spacing w:before="100" w:beforeAutospacing="1" w:after="100" w:afterAutospacing="1"/>
      <w:jc w:val="left"/>
    </w:pPr>
    <w:rPr>
      <w:rFonts w:ascii="宋体" w:hAnsi="宋体" w:cs="宋体"/>
      <w:kern w:val="0"/>
      <w:sz w:val="18"/>
      <w:szCs w:val="18"/>
    </w:rPr>
  </w:style>
  <w:style w:type="paragraph" w:customStyle="1" w:styleId="2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2"/>
    <w:basedOn w:val="1"/>
    <w:next w:val="1"/>
    <w:qFormat/>
    <w:uiPriority w:val="0"/>
    <w:pPr>
      <w:adjustRightInd w:val="0"/>
      <w:spacing w:line="420" w:lineRule="atLeast"/>
      <w:ind w:left="1134" w:hanging="227"/>
      <w:textAlignment w:val="baseline"/>
    </w:pPr>
    <w:rPr>
      <w:kern w:val="0"/>
      <w:szCs w:val="20"/>
    </w:rPr>
  </w:style>
  <w:style w:type="paragraph" w:styleId="23">
    <w:name w:val="Body Text Indent"/>
    <w:basedOn w:val="1"/>
    <w:link w:val="81"/>
    <w:qFormat/>
    <w:uiPriority w:val="0"/>
    <w:pPr>
      <w:spacing w:after="120"/>
      <w:ind w:left="420" w:leftChars="200"/>
    </w:pPr>
  </w:style>
  <w:style w:type="paragraph" w:styleId="24">
    <w:name w:val="List 2"/>
    <w:basedOn w:val="1"/>
    <w:unhideWhenUsed/>
    <w:qFormat/>
    <w:uiPriority w:val="0"/>
    <w:pPr>
      <w:ind w:left="840" w:hanging="420"/>
    </w:pPr>
    <w:rPr>
      <w:szCs w:val="20"/>
    </w:rPr>
  </w:style>
  <w:style w:type="paragraph" w:styleId="25">
    <w:name w:val="List Continue"/>
    <w:basedOn w:val="1"/>
    <w:unhideWhenUsed/>
    <w:qFormat/>
    <w:uiPriority w:val="99"/>
    <w:pPr>
      <w:spacing w:before="260" w:after="120"/>
      <w:ind w:left="420" w:leftChars="200"/>
      <w:contextualSpacing/>
    </w:pPr>
    <w:rPr>
      <w:szCs w:val="20"/>
    </w:rPr>
  </w:style>
  <w:style w:type="paragraph" w:styleId="26">
    <w:name w:val="Block Text"/>
    <w:basedOn w:val="1"/>
    <w:unhideWhenUsed/>
    <w:qFormat/>
    <w:uiPriority w:val="0"/>
    <w:pPr>
      <w:spacing w:line="246" w:lineRule="exact"/>
      <w:ind w:left="-31" w:right="-90"/>
      <w:jc w:val="center"/>
    </w:pPr>
    <w:rPr>
      <w:szCs w:val="20"/>
    </w:rPr>
  </w:style>
  <w:style w:type="paragraph" w:styleId="27">
    <w:name w:val="toc 5"/>
    <w:basedOn w:val="1"/>
    <w:next w:val="1"/>
    <w:unhideWhenUsed/>
    <w:qFormat/>
    <w:uiPriority w:val="39"/>
    <w:pPr>
      <w:ind w:left="1680" w:leftChars="800"/>
    </w:pPr>
    <w:rPr>
      <w:rFonts w:ascii="Calibri" w:hAnsi="Calibri"/>
      <w:szCs w:val="22"/>
    </w:rPr>
  </w:style>
  <w:style w:type="paragraph" w:styleId="28">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29">
    <w:name w:val="Plain Text"/>
    <w:basedOn w:val="1"/>
    <w:link w:val="106"/>
    <w:qFormat/>
    <w:uiPriority w:val="0"/>
    <w:rPr>
      <w:rFonts w:ascii="宋体" w:hAnsi="Courier New"/>
      <w:szCs w:val="20"/>
    </w:rPr>
  </w:style>
  <w:style w:type="paragraph" w:styleId="30">
    <w:name w:val="toc 8"/>
    <w:basedOn w:val="1"/>
    <w:next w:val="1"/>
    <w:unhideWhenUsed/>
    <w:qFormat/>
    <w:uiPriority w:val="39"/>
    <w:pPr>
      <w:ind w:left="2940" w:leftChars="1400"/>
    </w:pPr>
    <w:rPr>
      <w:rFonts w:ascii="Calibri" w:hAnsi="Calibri"/>
      <w:szCs w:val="22"/>
    </w:rPr>
  </w:style>
  <w:style w:type="paragraph" w:styleId="31">
    <w:name w:val="Date"/>
    <w:basedOn w:val="1"/>
    <w:next w:val="1"/>
    <w:link w:val="91"/>
    <w:qFormat/>
    <w:uiPriority w:val="0"/>
    <w:rPr>
      <w:sz w:val="24"/>
      <w:szCs w:val="20"/>
    </w:rPr>
  </w:style>
  <w:style w:type="paragraph" w:styleId="32">
    <w:name w:val="Body Text Indent 2"/>
    <w:basedOn w:val="1"/>
    <w:link w:val="95"/>
    <w:qFormat/>
    <w:uiPriority w:val="0"/>
    <w:pPr>
      <w:spacing w:line="500" w:lineRule="exact"/>
      <w:ind w:firstLine="540" w:firstLineChars="200"/>
    </w:pPr>
    <w:rPr>
      <w:rFonts w:ascii="宋体" w:hAnsi="宋体"/>
      <w:sz w:val="27"/>
      <w:szCs w:val="27"/>
    </w:rPr>
  </w:style>
  <w:style w:type="paragraph" w:styleId="33">
    <w:name w:val="endnote text"/>
    <w:basedOn w:val="1"/>
    <w:link w:val="114"/>
    <w:qFormat/>
    <w:uiPriority w:val="0"/>
    <w:pPr>
      <w:snapToGrid w:val="0"/>
      <w:jc w:val="left"/>
    </w:pPr>
  </w:style>
  <w:style w:type="paragraph" w:styleId="34">
    <w:name w:val="Balloon Text"/>
    <w:basedOn w:val="1"/>
    <w:next w:val="1"/>
    <w:link w:val="96"/>
    <w:qFormat/>
    <w:uiPriority w:val="0"/>
    <w:rPr>
      <w:sz w:val="18"/>
      <w:szCs w:val="18"/>
    </w:rPr>
  </w:style>
  <w:style w:type="paragraph" w:styleId="35">
    <w:name w:val="footer"/>
    <w:basedOn w:val="1"/>
    <w:link w:val="84"/>
    <w:qFormat/>
    <w:uiPriority w:val="99"/>
    <w:pPr>
      <w:tabs>
        <w:tab w:val="center" w:pos="4153"/>
        <w:tab w:val="right" w:pos="8306"/>
      </w:tabs>
      <w:snapToGrid w:val="0"/>
      <w:jc w:val="left"/>
    </w:pPr>
    <w:rPr>
      <w:sz w:val="18"/>
      <w:szCs w:val="18"/>
    </w:rPr>
  </w:style>
  <w:style w:type="paragraph" w:styleId="36">
    <w:name w:val="header"/>
    <w:basedOn w:val="1"/>
    <w:link w:val="83"/>
    <w:qFormat/>
    <w:uiPriority w:val="0"/>
    <w:pP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805"/>
      </w:tabs>
      <w:spacing w:line="400" w:lineRule="atLeast"/>
    </w:pPr>
    <w:rPr>
      <w:sz w:val="20"/>
      <w:szCs w:val="20"/>
    </w:rPr>
  </w:style>
  <w:style w:type="paragraph" w:styleId="38">
    <w:name w:val="toc 4"/>
    <w:basedOn w:val="1"/>
    <w:next w:val="1"/>
    <w:unhideWhenUsed/>
    <w:qFormat/>
    <w:uiPriority w:val="39"/>
    <w:pPr>
      <w:ind w:left="1260" w:leftChars="600"/>
    </w:pPr>
    <w:rPr>
      <w:rFonts w:ascii="Calibri" w:hAnsi="Calibri"/>
      <w:szCs w:val="22"/>
    </w:rPr>
  </w:style>
  <w:style w:type="paragraph" w:styleId="39">
    <w:name w:val="Subtitle"/>
    <w:basedOn w:val="1"/>
    <w:link w:val="221"/>
    <w:qFormat/>
    <w:uiPriority w:val="0"/>
    <w:pPr>
      <w:spacing w:before="60" w:line="460" w:lineRule="exact"/>
      <w:jc w:val="center"/>
      <w:outlineLvl w:val="1"/>
    </w:pPr>
    <w:rPr>
      <w:rFonts w:ascii="黑体" w:eastAsia="黑体"/>
      <w:kern w:val="28"/>
      <w:sz w:val="24"/>
    </w:rPr>
  </w:style>
  <w:style w:type="paragraph" w:styleId="40">
    <w:name w:val="List"/>
    <w:basedOn w:val="19"/>
    <w:qFormat/>
    <w:uiPriority w:val="0"/>
    <w:pPr>
      <w:spacing w:after="220" w:line="220" w:lineRule="atLeast"/>
      <w:ind w:left="720" w:hanging="360"/>
    </w:pPr>
    <w:rPr>
      <w:szCs w:val="21"/>
    </w:rPr>
  </w:style>
  <w:style w:type="paragraph" w:styleId="41">
    <w:name w:val="footnote text"/>
    <w:basedOn w:val="1"/>
    <w:link w:val="107"/>
    <w:qFormat/>
    <w:uiPriority w:val="0"/>
    <w:pPr>
      <w:adjustRightInd w:val="0"/>
      <w:snapToGrid w:val="0"/>
      <w:spacing w:line="420" w:lineRule="atLeast"/>
      <w:ind w:firstLine="454"/>
      <w:jc w:val="left"/>
      <w:textAlignment w:val="baseline"/>
    </w:pPr>
    <w:rPr>
      <w:kern w:val="0"/>
      <w:sz w:val="18"/>
      <w:szCs w:val="20"/>
    </w:rPr>
  </w:style>
  <w:style w:type="paragraph" w:styleId="42">
    <w:name w:val="toc 6"/>
    <w:basedOn w:val="1"/>
    <w:next w:val="1"/>
    <w:unhideWhenUsed/>
    <w:qFormat/>
    <w:uiPriority w:val="39"/>
    <w:pPr>
      <w:ind w:left="2100" w:leftChars="1000"/>
    </w:pPr>
    <w:rPr>
      <w:rFonts w:ascii="Calibri" w:hAnsi="Calibri"/>
      <w:szCs w:val="22"/>
    </w:rPr>
  </w:style>
  <w:style w:type="paragraph" w:styleId="43">
    <w:name w:val="List 5"/>
    <w:basedOn w:val="1"/>
    <w:unhideWhenUsed/>
    <w:qFormat/>
    <w:uiPriority w:val="99"/>
    <w:pPr>
      <w:spacing w:before="260" w:after="260"/>
      <w:ind w:left="100" w:leftChars="800" w:hanging="200" w:hangingChars="200"/>
      <w:contextualSpacing/>
    </w:pPr>
    <w:rPr>
      <w:szCs w:val="20"/>
    </w:rPr>
  </w:style>
  <w:style w:type="paragraph" w:styleId="44">
    <w:name w:val="Body Text Indent 3"/>
    <w:basedOn w:val="1"/>
    <w:link w:val="82"/>
    <w:qFormat/>
    <w:uiPriority w:val="0"/>
    <w:pPr>
      <w:spacing w:after="120"/>
      <w:ind w:left="420" w:leftChars="200"/>
    </w:pPr>
    <w:rPr>
      <w:sz w:val="16"/>
      <w:szCs w:val="16"/>
    </w:rPr>
  </w:style>
  <w:style w:type="paragraph" w:styleId="45">
    <w:name w:val="toc 2"/>
    <w:basedOn w:val="1"/>
    <w:next w:val="1"/>
    <w:qFormat/>
    <w:uiPriority w:val="39"/>
    <w:pPr>
      <w:ind w:left="420" w:leftChars="200"/>
    </w:pPr>
  </w:style>
  <w:style w:type="paragraph" w:styleId="46">
    <w:name w:val="toc 9"/>
    <w:basedOn w:val="1"/>
    <w:next w:val="1"/>
    <w:unhideWhenUsed/>
    <w:qFormat/>
    <w:uiPriority w:val="39"/>
    <w:pPr>
      <w:ind w:left="3360" w:leftChars="1600"/>
    </w:pPr>
    <w:rPr>
      <w:rFonts w:ascii="Calibri" w:hAnsi="Calibri"/>
      <w:szCs w:val="22"/>
    </w:rPr>
  </w:style>
  <w:style w:type="paragraph" w:styleId="47">
    <w:name w:val="Body Text 2"/>
    <w:basedOn w:val="1"/>
    <w:link w:val="108"/>
    <w:qFormat/>
    <w:uiPriority w:val="0"/>
    <w:pPr>
      <w:spacing w:after="120" w:line="480" w:lineRule="auto"/>
    </w:pPr>
  </w:style>
  <w:style w:type="paragraph" w:styleId="48">
    <w:name w:val="List 4"/>
    <w:basedOn w:val="1"/>
    <w:unhideWhenUsed/>
    <w:qFormat/>
    <w:uiPriority w:val="99"/>
    <w:pPr>
      <w:spacing w:before="260" w:after="260"/>
      <w:ind w:left="100" w:leftChars="600" w:hanging="200" w:hangingChars="200"/>
      <w:contextualSpacing/>
    </w:pPr>
    <w:rPr>
      <w:szCs w:val="20"/>
    </w:rPr>
  </w:style>
  <w:style w:type="paragraph" w:styleId="49">
    <w:name w:val="Normal (Web)"/>
    <w:basedOn w:val="1"/>
    <w:unhideWhenUsed/>
    <w:qFormat/>
    <w:uiPriority w:val="99"/>
    <w:pPr>
      <w:widowControl/>
      <w:spacing w:before="100" w:beforeAutospacing="1" w:after="100" w:afterAutospacing="1"/>
      <w:jc w:val="left"/>
    </w:pPr>
    <w:rPr>
      <w:rFonts w:ascii="宋体" w:hAnsi="宋体" w:cs="Arial"/>
      <w:color w:val="0000FF"/>
      <w:kern w:val="0"/>
      <w:sz w:val="24"/>
    </w:rPr>
  </w:style>
  <w:style w:type="paragraph" w:styleId="50">
    <w:name w:val="index 1"/>
    <w:basedOn w:val="1"/>
    <w:next w:val="1"/>
    <w:qFormat/>
    <w:uiPriority w:val="0"/>
    <w:pPr>
      <w:spacing w:line="220" w:lineRule="exact"/>
      <w:jc w:val="center"/>
    </w:pPr>
    <w:rPr>
      <w:rFonts w:ascii="仿宋_GB2312" w:eastAsia="仿宋_GB2312"/>
      <w:szCs w:val="21"/>
    </w:rPr>
  </w:style>
  <w:style w:type="paragraph" w:styleId="51">
    <w:name w:val="Title"/>
    <w:basedOn w:val="1"/>
    <w:link w:val="8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2">
    <w:name w:val="annotation subject"/>
    <w:basedOn w:val="16"/>
    <w:next w:val="16"/>
    <w:link w:val="111"/>
    <w:qFormat/>
    <w:uiPriority w:val="0"/>
    <w:rPr>
      <w:b/>
      <w:bCs/>
    </w:rPr>
  </w:style>
  <w:style w:type="paragraph" w:styleId="53">
    <w:name w:val="Body Text First Indent"/>
    <w:basedOn w:val="19"/>
    <w:link w:val="125"/>
    <w:unhideWhenUsed/>
    <w:qFormat/>
    <w:uiPriority w:val="0"/>
    <w:pPr>
      <w:autoSpaceDE w:val="0"/>
      <w:autoSpaceDN w:val="0"/>
      <w:adjustRightInd w:val="0"/>
      <w:ind w:firstLine="420"/>
      <w:jc w:val="left"/>
    </w:pPr>
    <w:rPr>
      <w:rFonts w:ascii="宋体"/>
      <w:sz w:val="34"/>
    </w:rPr>
  </w:style>
  <w:style w:type="paragraph" w:styleId="54">
    <w:name w:val="Body Text First Indent 2"/>
    <w:basedOn w:val="23"/>
    <w:link w:val="319"/>
    <w:unhideWhenUsed/>
    <w:qFormat/>
    <w:uiPriority w:val="0"/>
    <w:pPr>
      <w:spacing w:before="260"/>
      <w:ind w:firstLine="420" w:firstLineChars="200"/>
    </w:pPr>
    <w:rPr>
      <w:szCs w:val="20"/>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0"/>
    <w:rPr>
      <w:b/>
      <w:bCs/>
    </w:rPr>
  </w:style>
  <w:style w:type="character" w:styleId="59">
    <w:name w:val="endnote reference"/>
    <w:qFormat/>
    <w:uiPriority w:val="0"/>
    <w:rPr>
      <w:vertAlign w:val="superscript"/>
    </w:rPr>
  </w:style>
  <w:style w:type="character" w:styleId="60">
    <w:name w:val="page number"/>
    <w:basedOn w:val="57"/>
    <w:qFormat/>
    <w:uiPriority w:val="0"/>
  </w:style>
  <w:style w:type="character" w:styleId="61">
    <w:name w:val="FollowedHyperlink"/>
    <w:qFormat/>
    <w:uiPriority w:val="0"/>
    <w:rPr>
      <w:color w:val="800080"/>
      <w:u w:val="single"/>
    </w:rPr>
  </w:style>
  <w:style w:type="character" w:styleId="62">
    <w:name w:val="Emphasis"/>
    <w:basedOn w:val="57"/>
    <w:qFormat/>
    <w:uiPriority w:val="0"/>
  </w:style>
  <w:style w:type="character" w:styleId="63">
    <w:name w:val="HTML Definition"/>
    <w:basedOn w:val="57"/>
    <w:semiHidden/>
    <w:unhideWhenUsed/>
    <w:qFormat/>
    <w:uiPriority w:val="0"/>
  </w:style>
  <w:style w:type="character" w:styleId="64">
    <w:name w:val="HTML Acronym"/>
    <w:basedOn w:val="57"/>
    <w:semiHidden/>
    <w:unhideWhenUsed/>
    <w:qFormat/>
    <w:uiPriority w:val="0"/>
  </w:style>
  <w:style w:type="character" w:styleId="65">
    <w:name w:val="HTML Variable"/>
    <w:basedOn w:val="57"/>
    <w:semiHidden/>
    <w:unhideWhenUsed/>
    <w:qFormat/>
    <w:uiPriority w:val="0"/>
  </w:style>
  <w:style w:type="character" w:styleId="66">
    <w:name w:val="Hyperlink"/>
    <w:basedOn w:val="57"/>
    <w:qFormat/>
    <w:uiPriority w:val="99"/>
    <w:rPr>
      <w:color w:val="0000FF"/>
      <w:u w:val="single"/>
    </w:rPr>
  </w:style>
  <w:style w:type="character" w:styleId="67">
    <w:name w:val="HTML Code"/>
    <w:basedOn w:val="57"/>
    <w:semiHidden/>
    <w:unhideWhenUsed/>
    <w:qFormat/>
    <w:uiPriority w:val="0"/>
    <w:rPr>
      <w:rFonts w:hint="eastAsia" w:ascii="微软雅黑" w:hAnsi="微软雅黑" w:eastAsia="微软雅黑" w:cs="微软雅黑"/>
      <w:color w:val="333333"/>
      <w:sz w:val="24"/>
      <w:szCs w:val="24"/>
    </w:rPr>
  </w:style>
  <w:style w:type="character" w:styleId="68">
    <w:name w:val="annotation reference"/>
    <w:qFormat/>
    <w:uiPriority w:val="0"/>
    <w:rPr>
      <w:sz w:val="21"/>
      <w:szCs w:val="21"/>
    </w:rPr>
  </w:style>
  <w:style w:type="character" w:styleId="69">
    <w:name w:val="HTML Cite"/>
    <w:basedOn w:val="57"/>
    <w:semiHidden/>
    <w:unhideWhenUsed/>
    <w:qFormat/>
    <w:uiPriority w:val="0"/>
  </w:style>
  <w:style w:type="character" w:styleId="70">
    <w:name w:val="footnote reference"/>
    <w:qFormat/>
    <w:uiPriority w:val="0"/>
    <w:rPr>
      <w:vertAlign w:val="superscript"/>
    </w:rPr>
  </w:style>
  <w:style w:type="character" w:customStyle="1" w:styleId="71">
    <w:name w:val="标题 1 字符"/>
    <w:link w:val="2"/>
    <w:qFormat/>
    <w:uiPriority w:val="0"/>
    <w:rPr>
      <w:b/>
      <w:bCs/>
      <w:kern w:val="44"/>
      <w:sz w:val="44"/>
      <w:szCs w:val="44"/>
    </w:rPr>
  </w:style>
  <w:style w:type="character" w:customStyle="1" w:styleId="72">
    <w:name w:val="标题 2 字符"/>
    <w:link w:val="3"/>
    <w:qFormat/>
    <w:uiPriority w:val="0"/>
    <w:rPr>
      <w:rFonts w:ascii="宋体" w:hAnsi="宋体" w:eastAsia="黑体"/>
      <w:bCs/>
      <w:i/>
      <w:iCs/>
      <w:kern w:val="2"/>
      <w:sz w:val="24"/>
    </w:rPr>
  </w:style>
  <w:style w:type="character" w:customStyle="1" w:styleId="73">
    <w:name w:val="标题 3 字符"/>
    <w:link w:val="5"/>
    <w:qFormat/>
    <w:uiPriority w:val="0"/>
    <w:rPr>
      <w:b/>
      <w:sz w:val="32"/>
    </w:rPr>
  </w:style>
  <w:style w:type="character" w:customStyle="1" w:styleId="74">
    <w:name w:val="标题 4 字符"/>
    <w:link w:val="6"/>
    <w:qFormat/>
    <w:uiPriority w:val="0"/>
    <w:rPr>
      <w:i/>
      <w:sz w:val="21"/>
    </w:rPr>
  </w:style>
  <w:style w:type="character" w:customStyle="1" w:styleId="75">
    <w:name w:val="标题 5 字符"/>
    <w:link w:val="7"/>
    <w:qFormat/>
    <w:uiPriority w:val="9"/>
    <w:rPr>
      <w:b/>
      <w:bCs/>
      <w:kern w:val="2"/>
      <w:sz w:val="28"/>
      <w:szCs w:val="28"/>
    </w:rPr>
  </w:style>
  <w:style w:type="character" w:customStyle="1" w:styleId="76">
    <w:name w:val="标题 6 字符"/>
    <w:link w:val="8"/>
    <w:qFormat/>
    <w:uiPriority w:val="0"/>
    <w:rPr>
      <w:rFonts w:ascii="Arial" w:hAnsi="Arial" w:eastAsia="黑体"/>
      <w:b/>
      <w:bCs/>
      <w:sz w:val="24"/>
      <w:szCs w:val="24"/>
    </w:rPr>
  </w:style>
  <w:style w:type="character" w:customStyle="1" w:styleId="77">
    <w:name w:val="标题 7 字符"/>
    <w:link w:val="9"/>
    <w:qFormat/>
    <w:uiPriority w:val="0"/>
    <w:rPr>
      <w:b/>
      <w:bCs/>
      <w:sz w:val="24"/>
      <w:szCs w:val="24"/>
    </w:rPr>
  </w:style>
  <w:style w:type="character" w:customStyle="1" w:styleId="78">
    <w:name w:val="标题 8 字符"/>
    <w:link w:val="10"/>
    <w:qFormat/>
    <w:uiPriority w:val="0"/>
    <w:rPr>
      <w:rFonts w:ascii="Arial" w:hAnsi="Arial" w:eastAsia="黑体"/>
      <w:sz w:val="24"/>
      <w:szCs w:val="24"/>
    </w:rPr>
  </w:style>
  <w:style w:type="character" w:customStyle="1" w:styleId="79">
    <w:name w:val="标题 9 字符"/>
    <w:link w:val="11"/>
    <w:qFormat/>
    <w:uiPriority w:val="0"/>
    <w:rPr>
      <w:rFonts w:ascii="Arial" w:hAnsi="Arial" w:eastAsia="黑体"/>
      <w:sz w:val="21"/>
      <w:szCs w:val="21"/>
    </w:rPr>
  </w:style>
  <w:style w:type="character" w:customStyle="1" w:styleId="80">
    <w:name w:val="正文文本 3 字符"/>
    <w:link w:val="18"/>
    <w:qFormat/>
    <w:uiPriority w:val="0"/>
    <w:rPr>
      <w:rFonts w:ascii="宋体"/>
      <w:kern w:val="2"/>
      <w:sz w:val="24"/>
    </w:rPr>
  </w:style>
  <w:style w:type="character" w:customStyle="1" w:styleId="81">
    <w:name w:val="正文文本缩进 字符"/>
    <w:link w:val="23"/>
    <w:qFormat/>
    <w:uiPriority w:val="0"/>
    <w:rPr>
      <w:kern w:val="2"/>
      <w:sz w:val="21"/>
      <w:szCs w:val="24"/>
    </w:rPr>
  </w:style>
  <w:style w:type="character" w:customStyle="1" w:styleId="82">
    <w:name w:val="正文文本缩进 3 字符"/>
    <w:link w:val="44"/>
    <w:qFormat/>
    <w:uiPriority w:val="0"/>
    <w:rPr>
      <w:kern w:val="2"/>
      <w:sz w:val="16"/>
      <w:szCs w:val="16"/>
    </w:rPr>
  </w:style>
  <w:style w:type="character" w:customStyle="1" w:styleId="83">
    <w:name w:val="页眉 字符1"/>
    <w:link w:val="36"/>
    <w:qFormat/>
    <w:uiPriority w:val="0"/>
    <w:rPr>
      <w:kern w:val="2"/>
      <w:sz w:val="18"/>
      <w:szCs w:val="18"/>
    </w:rPr>
  </w:style>
  <w:style w:type="character" w:customStyle="1" w:styleId="84">
    <w:name w:val="页脚 字符1"/>
    <w:link w:val="35"/>
    <w:qFormat/>
    <w:uiPriority w:val="99"/>
    <w:rPr>
      <w:rFonts w:eastAsia="宋体"/>
      <w:kern w:val="2"/>
      <w:sz w:val="18"/>
      <w:szCs w:val="18"/>
      <w:lang w:val="en-US" w:eastAsia="zh-CN" w:bidi="ar-SA"/>
    </w:rPr>
  </w:style>
  <w:style w:type="paragraph" w:customStyle="1" w:styleId="85">
    <w:name w:val="1"/>
    <w:basedOn w:val="1"/>
    <w:qFormat/>
    <w:uiPriority w:val="0"/>
  </w:style>
  <w:style w:type="character" w:customStyle="1" w:styleId="86">
    <w:name w:val="批注文字 字符1"/>
    <w:link w:val="16"/>
    <w:qFormat/>
    <w:uiPriority w:val="0"/>
    <w:rPr>
      <w:kern w:val="2"/>
      <w:sz w:val="21"/>
      <w:szCs w:val="24"/>
    </w:rPr>
  </w:style>
  <w:style w:type="character" w:customStyle="1" w:styleId="87">
    <w:name w:val="font161"/>
    <w:qFormat/>
    <w:uiPriority w:val="0"/>
    <w:rPr>
      <w:b/>
      <w:bCs/>
      <w:sz w:val="32"/>
      <w:szCs w:val="32"/>
    </w:rPr>
  </w:style>
  <w:style w:type="character" w:customStyle="1" w:styleId="88">
    <w:name w:val="正文文本 字符"/>
    <w:link w:val="19"/>
    <w:qFormat/>
    <w:uiPriority w:val="0"/>
    <w:rPr>
      <w:kern w:val="2"/>
      <w:sz w:val="21"/>
      <w:szCs w:val="24"/>
    </w:rPr>
  </w:style>
  <w:style w:type="character" w:customStyle="1" w:styleId="89">
    <w:name w:val="标题 字符"/>
    <w:link w:val="51"/>
    <w:qFormat/>
    <w:uiPriority w:val="0"/>
    <w:rPr>
      <w:rFonts w:ascii="Arial" w:hAnsi="Arial" w:eastAsia="宋体"/>
      <w:b/>
      <w:sz w:val="32"/>
      <w:lang w:val="en-US" w:eastAsia="zh-CN" w:bidi="ar-SA"/>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91">
    <w:name w:val="日期 字符"/>
    <w:link w:val="31"/>
    <w:qFormat/>
    <w:uiPriority w:val="0"/>
    <w:rPr>
      <w:kern w:val="2"/>
      <w:sz w:val="24"/>
    </w:rPr>
  </w:style>
  <w:style w:type="paragraph" w:customStyle="1" w:styleId="92">
    <w:name w:val="表格"/>
    <w:basedOn w:val="1"/>
    <w:link w:val="93"/>
    <w:qFormat/>
    <w:uiPriority w:val="0"/>
    <w:pPr>
      <w:jc w:val="center"/>
      <w:textAlignment w:val="center"/>
    </w:pPr>
    <w:rPr>
      <w:rFonts w:ascii="华文细黑" w:hAnsi="华文细黑"/>
      <w:kern w:val="0"/>
      <w:szCs w:val="20"/>
    </w:rPr>
  </w:style>
  <w:style w:type="character" w:customStyle="1" w:styleId="93">
    <w:name w:val="表格 Char"/>
    <w:link w:val="92"/>
    <w:qFormat/>
    <w:locked/>
    <w:uiPriority w:val="0"/>
    <w:rPr>
      <w:rFonts w:ascii="华文细黑" w:hAnsi="华文细黑"/>
      <w:sz w:val="21"/>
    </w:rPr>
  </w:style>
  <w:style w:type="paragraph" w:customStyle="1" w:styleId="94">
    <w:name w:val="表格文字"/>
    <w:basedOn w:val="1"/>
    <w:qFormat/>
    <w:uiPriority w:val="0"/>
    <w:pPr>
      <w:adjustRightInd w:val="0"/>
      <w:spacing w:line="420" w:lineRule="atLeast"/>
      <w:jc w:val="left"/>
      <w:textAlignment w:val="baseline"/>
    </w:pPr>
    <w:rPr>
      <w:kern w:val="0"/>
      <w:szCs w:val="20"/>
    </w:rPr>
  </w:style>
  <w:style w:type="character" w:customStyle="1" w:styleId="95">
    <w:name w:val="正文文本缩进 2 字符"/>
    <w:link w:val="32"/>
    <w:qFormat/>
    <w:locked/>
    <w:uiPriority w:val="0"/>
    <w:rPr>
      <w:rFonts w:ascii="宋体" w:hAnsi="宋体"/>
      <w:kern w:val="2"/>
      <w:sz w:val="27"/>
      <w:szCs w:val="27"/>
    </w:rPr>
  </w:style>
  <w:style w:type="character" w:customStyle="1" w:styleId="96">
    <w:name w:val="批注框文本 字符"/>
    <w:link w:val="34"/>
    <w:qFormat/>
    <w:uiPriority w:val="0"/>
    <w:rPr>
      <w:kern w:val="2"/>
      <w:sz w:val="18"/>
      <w:szCs w:val="18"/>
    </w:rPr>
  </w:style>
  <w:style w:type="paragraph" w:customStyle="1" w:styleId="97">
    <w:name w:val="表格方字"/>
    <w:basedOn w:val="1"/>
    <w:qFormat/>
    <w:uiPriority w:val="0"/>
    <w:pPr>
      <w:adjustRightInd w:val="0"/>
      <w:spacing w:before="60" w:after="60" w:line="420" w:lineRule="atLeast"/>
      <w:jc w:val="left"/>
      <w:textAlignment w:val="baseline"/>
    </w:pPr>
    <w:rPr>
      <w:kern w:val="0"/>
      <w:szCs w:val="20"/>
    </w:rPr>
  </w:style>
  <w:style w:type="paragraph" w:customStyle="1" w:styleId="98">
    <w:name w:val="表头"/>
    <w:basedOn w:val="97"/>
    <w:qFormat/>
    <w:uiPriority w:val="0"/>
    <w:rPr>
      <w:rFonts w:ascii="黑体" w:eastAsia="黑体"/>
      <w:b/>
    </w:rPr>
  </w:style>
  <w:style w:type="paragraph" w:customStyle="1" w:styleId="99">
    <w:name w:val="表格1"/>
    <w:basedOn w:val="1"/>
    <w:qFormat/>
    <w:uiPriority w:val="0"/>
    <w:pPr>
      <w:adjustRightInd w:val="0"/>
      <w:spacing w:line="420" w:lineRule="atLeast"/>
      <w:ind w:left="284"/>
      <w:textAlignment w:val="baseline"/>
    </w:pPr>
    <w:rPr>
      <w:kern w:val="0"/>
      <w:szCs w:val="20"/>
    </w:rPr>
  </w:style>
  <w:style w:type="paragraph" w:customStyle="1" w:styleId="100">
    <w:name w:val="表格3"/>
    <w:basedOn w:val="1"/>
    <w:qFormat/>
    <w:uiPriority w:val="0"/>
    <w:pPr>
      <w:adjustRightInd w:val="0"/>
      <w:spacing w:line="420" w:lineRule="atLeast"/>
      <w:textAlignment w:val="baseline"/>
    </w:pPr>
    <w:rPr>
      <w:rFonts w:eastAsia="楷体"/>
      <w:kern w:val="0"/>
      <w:szCs w:val="20"/>
    </w:rPr>
  </w:style>
  <w:style w:type="character" w:customStyle="1" w:styleId="101">
    <w:name w:val="数字"/>
    <w:qFormat/>
    <w:uiPriority w:val="0"/>
    <w:rPr>
      <w:rFonts w:eastAsia="黑体"/>
      <w:b/>
      <w:sz w:val="21"/>
    </w:rPr>
  </w:style>
  <w:style w:type="paragraph" w:customStyle="1" w:styleId="102">
    <w:name w:val="表格5"/>
    <w:basedOn w:val="103"/>
    <w:qFormat/>
    <w:uiPriority w:val="0"/>
    <w:pPr>
      <w:ind w:left="1021" w:hanging="284"/>
    </w:pPr>
    <w:rPr>
      <w:rFonts w:ascii="宋体"/>
    </w:rPr>
  </w:style>
  <w:style w:type="paragraph" w:customStyle="1" w:styleId="103">
    <w:name w:val="表格2"/>
    <w:basedOn w:val="1"/>
    <w:qFormat/>
    <w:uiPriority w:val="0"/>
    <w:pPr>
      <w:adjustRightInd w:val="0"/>
      <w:spacing w:line="420" w:lineRule="atLeast"/>
      <w:ind w:left="284" w:firstLine="454"/>
      <w:textAlignment w:val="baseline"/>
    </w:pPr>
    <w:rPr>
      <w:kern w:val="0"/>
      <w:szCs w:val="20"/>
    </w:rPr>
  </w:style>
  <w:style w:type="paragraph" w:customStyle="1" w:styleId="104">
    <w:name w:val="表格4"/>
    <w:basedOn w:val="1"/>
    <w:qFormat/>
    <w:uiPriority w:val="0"/>
    <w:pPr>
      <w:adjustRightInd w:val="0"/>
      <w:spacing w:line="420" w:lineRule="atLeast"/>
      <w:ind w:left="1021"/>
      <w:textAlignment w:val="baseline"/>
    </w:pPr>
    <w:rPr>
      <w:kern w:val="0"/>
      <w:szCs w:val="20"/>
    </w:rPr>
  </w:style>
  <w:style w:type="paragraph" w:customStyle="1" w:styleId="105">
    <w:name w:val="表格6"/>
    <w:basedOn w:val="102"/>
    <w:qFormat/>
    <w:uiPriority w:val="0"/>
    <w:pPr>
      <w:ind w:left="737" w:firstLine="0"/>
    </w:pPr>
  </w:style>
  <w:style w:type="character" w:customStyle="1" w:styleId="106">
    <w:name w:val="纯文本 字符"/>
    <w:link w:val="29"/>
    <w:qFormat/>
    <w:uiPriority w:val="0"/>
    <w:rPr>
      <w:rFonts w:ascii="宋体" w:hAnsi="Courier New" w:eastAsia="宋体"/>
      <w:kern w:val="2"/>
      <w:sz w:val="21"/>
      <w:lang w:val="en-US" w:eastAsia="zh-CN" w:bidi="ar-SA"/>
    </w:rPr>
  </w:style>
  <w:style w:type="character" w:customStyle="1" w:styleId="107">
    <w:name w:val="脚注文本 字符"/>
    <w:link w:val="41"/>
    <w:qFormat/>
    <w:uiPriority w:val="0"/>
    <w:rPr>
      <w:sz w:val="18"/>
    </w:rPr>
  </w:style>
  <w:style w:type="character" w:customStyle="1" w:styleId="108">
    <w:name w:val="正文文本 2 字符"/>
    <w:link w:val="47"/>
    <w:qFormat/>
    <w:uiPriority w:val="0"/>
    <w:rPr>
      <w:kern w:val="2"/>
      <w:sz w:val="21"/>
      <w:szCs w:val="24"/>
    </w:rPr>
  </w:style>
  <w:style w:type="paragraph" w:customStyle="1" w:styleId="109">
    <w:name w:val="表中"/>
    <w:basedOn w:val="1"/>
    <w:qFormat/>
    <w:uiPriority w:val="0"/>
    <w:pPr>
      <w:adjustRightInd w:val="0"/>
      <w:spacing w:line="360" w:lineRule="atLeast"/>
      <w:jc w:val="center"/>
      <w:textAlignment w:val="baseline"/>
    </w:pPr>
    <w:rPr>
      <w:kern w:val="0"/>
      <w:szCs w:val="20"/>
    </w:rPr>
  </w:style>
  <w:style w:type="paragraph" w:customStyle="1" w:styleId="110">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character" w:customStyle="1" w:styleId="111">
    <w:name w:val="批注主题 字符"/>
    <w:link w:val="52"/>
    <w:qFormat/>
    <w:uiPriority w:val="0"/>
    <w:rPr>
      <w:b/>
      <w:bCs/>
      <w:kern w:val="2"/>
      <w:sz w:val="21"/>
      <w:szCs w:val="24"/>
    </w:rPr>
  </w:style>
  <w:style w:type="paragraph" w:customStyle="1" w:styleId="112">
    <w:name w:val="Char Char Char Char Char Char"/>
    <w:basedOn w:val="1"/>
    <w:qFormat/>
    <w:uiPriority w:val="0"/>
  </w:style>
  <w:style w:type="paragraph" w:customStyle="1" w:styleId="113">
    <w:name w:val="Char"/>
    <w:basedOn w:val="1"/>
    <w:qFormat/>
    <w:uiPriority w:val="0"/>
  </w:style>
  <w:style w:type="character" w:customStyle="1" w:styleId="114">
    <w:name w:val="尾注文本 字符"/>
    <w:link w:val="33"/>
    <w:qFormat/>
    <w:uiPriority w:val="0"/>
    <w:rPr>
      <w:kern w:val="2"/>
      <w:sz w:val="21"/>
      <w:szCs w:val="24"/>
    </w:rPr>
  </w:style>
  <w:style w:type="paragraph" w:customStyle="1" w:styleId="115">
    <w:name w:val="Char1"/>
    <w:basedOn w:val="1"/>
    <w:qFormat/>
    <w:uiPriority w:val="0"/>
  </w:style>
  <w:style w:type="paragraph" w:customStyle="1" w:styleId="116">
    <w:name w:val="Char21"/>
    <w:basedOn w:val="1"/>
    <w:qFormat/>
    <w:uiPriority w:val="0"/>
  </w:style>
  <w:style w:type="paragraph" w:customStyle="1" w:styleId="117">
    <w:name w:val="Char Char Char Char Char Char Char Char Char Char Char Char Char Char Char Char Char Char1 Char Char Char Char"/>
    <w:basedOn w:val="1"/>
    <w:qFormat/>
    <w:uiPriority w:val="0"/>
  </w:style>
  <w:style w:type="character" w:customStyle="1" w:styleId="118">
    <w:name w:val="文档结构图 字符"/>
    <w:link w:val="15"/>
    <w:qFormat/>
    <w:uiPriority w:val="0"/>
    <w:rPr>
      <w:rFonts w:ascii="宋体"/>
      <w:kern w:val="2"/>
      <w:sz w:val="18"/>
      <w:szCs w:val="18"/>
    </w:rPr>
  </w:style>
  <w:style w:type="paragraph" w:customStyle="1" w:styleId="119">
    <w:name w:val="Revision"/>
    <w:hidden/>
    <w:qFormat/>
    <w:uiPriority w:val="0"/>
    <w:rPr>
      <w:rFonts w:ascii="Times New Roman" w:hAnsi="Times New Roman" w:eastAsia="宋体" w:cs="Times New Roman"/>
      <w:kern w:val="2"/>
      <w:sz w:val="21"/>
      <w:szCs w:val="24"/>
      <w:lang w:val="en-US" w:eastAsia="zh-CN" w:bidi="ar-SA"/>
    </w:rPr>
  </w:style>
  <w:style w:type="paragraph" w:customStyle="1" w:styleId="120">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1">
    <w:name w:val="Char Char Char"/>
    <w:basedOn w:val="1"/>
    <w:qFormat/>
    <w:uiPriority w:val="0"/>
    <w:rPr>
      <w:szCs w:val="20"/>
    </w:rPr>
  </w:style>
  <w:style w:type="paragraph" w:customStyle="1" w:styleId="122">
    <w:name w:val="Char Char Char1"/>
    <w:basedOn w:val="1"/>
    <w:qFormat/>
    <w:uiPriority w:val="0"/>
    <w:rPr>
      <w:szCs w:val="20"/>
    </w:rPr>
  </w:style>
  <w:style w:type="character" w:customStyle="1" w:styleId="123">
    <w:name w:val="H001 Char"/>
    <w:link w:val="124"/>
    <w:qFormat/>
    <w:uiPriority w:val="0"/>
    <w:rPr>
      <w:rFonts w:eastAsia="黑体"/>
      <w:bCs/>
      <w:kern w:val="44"/>
      <w:sz w:val="24"/>
      <w:szCs w:val="44"/>
    </w:rPr>
  </w:style>
  <w:style w:type="paragraph" w:customStyle="1" w:styleId="124">
    <w:name w:val="H001"/>
    <w:basedOn w:val="2"/>
    <w:link w:val="123"/>
    <w:qFormat/>
    <w:uiPriority w:val="0"/>
    <w:pPr>
      <w:spacing w:before="240" w:after="240" w:line="240" w:lineRule="exact"/>
    </w:pPr>
    <w:rPr>
      <w:rFonts w:eastAsia="黑体"/>
      <w:b w:val="0"/>
      <w:sz w:val="24"/>
    </w:rPr>
  </w:style>
  <w:style w:type="character" w:customStyle="1" w:styleId="125">
    <w:name w:val="正文文本首行缩进 字符"/>
    <w:link w:val="53"/>
    <w:qFormat/>
    <w:uiPriority w:val="0"/>
    <w:rPr>
      <w:rFonts w:ascii="宋体"/>
      <w:kern w:val="2"/>
      <w:sz w:val="34"/>
      <w:szCs w:val="24"/>
    </w:rPr>
  </w:style>
  <w:style w:type="character" w:customStyle="1" w:styleId="126">
    <w:name w:val="tpc_content1"/>
    <w:qFormat/>
    <w:uiPriority w:val="0"/>
    <w:rPr>
      <w:sz w:val="20"/>
      <w:szCs w:val="20"/>
    </w:rPr>
  </w:style>
  <w:style w:type="character" w:customStyle="1" w:styleId="127">
    <w:name w:val="标题 1 Char1"/>
    <w:qFormat/>
    <w:uiPriority w:val="0"/>
    <w:rPr>
      <w:b/>
      <w:bCs/>
      <w:kern w:val="44"/>
      <w:sz w:val="44"/>
      <w:szCs w:val="44"/>
    </w:rPr>
  </w:style>
  <w:style w:type="paragraph" w:customStyle="1" w:styleId="128">
    <w:name w:val="Char2"/>
    <w:basedOn w:val="1"/>
    <w:qFormat/>
    <w:uiPriority w:val="0"/>
  </w:style>
  <w:style w:type="paragraph" w:customStyle="1" w:styleId="129">
    <w:name w:val="正文1"/>
    <w:basedOn w:val="1"/>
    <w:qFormat/>
    <w:uiPriority w:val="0"/>
    <w:pPr>
      <w:spacing w:line="500" w:lineRule="atLeast"/>
      <w:ind w:firstLine="567"/>
    </w:pPr>
    <w:rPr>
      <w:rFonts w:ascii="宋体"/>
      <w:spacing w:val="14"/>
      <w:szCs w:val="20"/>
    </w:rPr>
  </w:style>
  <w:style w:type="paragraph" w:customStyle="1" w:styleId="130">
    <w:name w:val="正文2"/>
    <w:basedOn w:val="1"/>
    <w:qFormat/>
    <w:uiPriority w:val="0"/>
    <w:pPr>
      <w:adjustRightInd w:val="0"/>
      <w:spacing w:line="420" w:lineRule="atLeast"/>
    </w:pPr>
    <w:rPr>
      <w:kern w:val="0"/>
      <w:szCs w:val="20"/>
    </w:rPr>
  </w:style>
  <w:style w:type="paragraph" w:customStyle="1" w:styleId="131">
    <w:name w:val="注"/>
    <w:basedOn w:val="129"/>
    <w:qFormat/>
    <w:uiPriority w:val="0"/>
    <w:pPr>
      <w:adjustRightInd w:val="0"/>
      <w:spacing w:line="300" w:lineRule="atLeast"/>
      <w:ind w:left="510" w:hanging="510"/>
    </w:pPr>
    <w:rPr>
      <w:rFonts w:ascii="Times New Roman"/>
      <w:sz w:val="18"/>
    </w:rPr>
  </w:style>
  <w:style w:type="paragraph" w:customStyle="1" w:styleId="132">
    <w:name w:val="目录1"/>
    <w:basedOn w:val="1"/>
    <w:qFormat/>
    <w:uiPriority w:val="0"/>
    <w:pPr>
      <w:adjustRightInd w:val="0"/>
      <w:spacing w:line="420" w:lineRule="atLeast"/>
    </w:pPr>
    <w:rPr>
      <w:rFonts w:eastAsia="黑体"/>
      <w:b/>
      <w:kern w:val="0"/>
      <w:szCs w:val="20"/>
    </w:rPr>
  </w:style>
  <w:style w:type="paragraph" w:customStyle="1" w:styleId="133">
    <w:name w:val="目录2"/>
    <w:basedOn w:val="1"/>
    <w:qFormat/>
    <w:uiPriority w:val="0"/>
    <w:pPr>
      <w:adjustRightInd w:val="0"/>
      <w:spacing w:line="420" w:lineRule="atLeast"/>
      <w:ind w:left="227"/>
    </w:pPr>
    <w:rPr>
      <w:kern w:val="0"/>
      <w:szCs w:val="20"/>
    </w:rPr>
  </w:style>
  <w:style w:type="paragraph" w:customStyle="1" w:styleId="134">
    <w:name w:val="ZW"/>
    <w:basedOn w:val="1"/>
    <w:qFormat/>
    <w:uiPriority w:val="0"/>
    <w:pPr>
      <w:autoSpaceDE w:val="0"/>
      <w:autoSpaceDN w:val="0"/>
      <w:adjustRightInd w:val="0"/>
      <w:ind w:firstLine="397"/>
    </w:pPr>
    <w:rPr>
      <w:rFonts w:ascii="@宋体"/>
      <w:kern w:val="0"/>
      <w:sz w:val="13"/>
      <w:szCs w:val="20"/>
    </w:rPr>
  </w:style>
  <w:style w:type="paragraph" w:customStyle="1" w:styleId="135">
    <w:name w:val="目录3"/>
    <w:basedOn w:val="1"/>
    <w:qFormat/>
    <w:uiPriority w:val="0"/>
    <w:pPr>
      <w:adjustRightInd w:val="0"/>
      <w:spacing w:line="420" w:lineRule="atLeast"/>
      <w:ind w:left="454" w:firstLine="425"/>
      <w:jc w:val="left"/>
    </w:pPr>
    <w:rPr>
      <w:kern w:val="0"/>
      <w:szCs w:val="20"/>
    </w:rPr>
  </w:style>
  <w:style w:type="paragraph" w:customStyle="1" w:styleId="136">
    <w:name w:val="标题4"/>
    <w:basedOn w:val="1"/>
    <w:qFormat/>
    <w:uiPriority w:val="0"/>
    <w:pPr>
      <w:adjustRightInd w:val="0"/>
      <w:snapToGrid w:val="0"/>
      <w:spacing w:beforeLines="25" w:afterLines="25" w:line="460" w:lineRule="exact"/>
      <w:outlineLvl w:val="3"/>
    </w:pPr>
    <w:rPr>
      <w:rFonts w:ascii="黑体" w:hAnsi="宋体" w:eastAsia="黑体"/>
      <w:spacing w:val="8"/>
      <w:sz w:val="24"/>
      <w:szCs w:val="20"/>
    </w:rPr>
  </w:style>
  <w:style w:type="paragraph" w:customStyle="1" w:styleId="137">
    <w:name w:val="样式1"/>
    <w:basedOn w:val="1"/>
    <w:qFormat/>
    <w:uiPriority w:val="0"/>
    <w:pPr>
      <w:adjustRightInd w:val="0"/>
      <w:spacing w:line="440" w:lineRule="exact"/>
      <w:ind w:firstLine="200" w:firstLineChars="200"/>
    </w:pPr>
    <w:rPr>
      <w:rFonts w:ascii="Century Gothic"/>
      <w:kern w:val="0"/>
      <w:sz w:val="24"/>
      <w:szCs w:val="20"/>
    </w:rPr>
  </w:style>
  <w:style w:type="paragraph" w:customStyle="1" w:styleId="138">
    <w:name w:val="BG5"/>
    <w:basedOn w:val="1"/>
    <w:qFormat/>
    <w:uiPriority w:val="0"/>
    <w:pPr>
      <w:autoSpaceDE w:val="0"/>
      <w:autoSpaceDN w:val="0"/>
      <w:adjustRightInd w:val="0"/>
      <w:spacing w:line="200" w:lineRule="exact"/>
      <w:jc w:val="center"/>
    </w:pPr>
    <w:rPr>
      <w:rFonts w:ascii="@宋体"/>
      <w:kern w:val="0"/>
      <w:szCs w:val="20"/>
    </w:rPr>
  </w:style>
  <w:style w:type="paragraph" w:customStyle="1" w:styleId="139">
    <w:name w:val="SZW"/>
    <w:basedOn w:val="1"/>
    <w:qFormat/>
    <w:uiPriority w:val="0"/>
    <w:pPr>
      <w:adjustRightInd w:val="0"/>
      <w:spacing w:line="360" w:lineRule="exact"/>
      <w:ind w:firstLine="425"/>
      <w:jc w:val="left"/>
    </w:pPr>
    <w:rPr>
      <w:rFonts w:ascii="@宋体"/>
      <w:kern w:val="0"/>
      <w:sz w:val="24"/>
      <w:szCs w:val="20"/>
    </w:rPr>
  </w:style>
  <w:style w:type="paragraph" w:customStyle="1" w:styleId="140">
    <w:name w:val="样式2"/>
    <w:basedOn w:val="36"/>
    <w:next w:val="36"/>
    <w:qFormat/>
    <w:uiPriority w:val="0"/>
    <w:pPr>
      <w:pBdr>
        <w:bottom w:val="single" w:color="auto" w:sz="4" w:space="1"/>
      </w:pBdr>
      <w:tabs>
        <w:tab w:val="center" w:pos="4147"/>
        <w:tab w:val="right" w:pos="8309"/>
        <w:tab w:val="clear" w:pos="4153"/>
        <w:tab w:val="clear" w:pos="8306"/>
      </w:tabs>
      <w:adjustRightInd w:val="0"/>
      <w:snapToGrid/>
      <w:spacing w:before="60" w:after="60" w:line="420" w:lineRule="atLeast"/>
      <w:ind w:firstLine="454"/>
      <w:jc w:val="left"/>
    </w:pPr>
    <w:rPr>
      <w:rFonts w:eastAsia="黑体"/>
      <w:kern w:val="0"/>
      <w:sz w:val="21"/>
      <w:szCs w:val="20"/>
    </w:rPr>
  </w:style>
  <w:style w:type="paragraph" w:customStyle="1" w:styleId="141">
    <w:name w:val="样式 宋体 11.5 磅"/>
    <w:basedOn w:val="1"/>
    <w:qFormat/>
    <w:uiPriority w:val="0"/>
    <w:pPr>
      <w:snapToGrid w:val="0"/>
      <w:spacing w:line="480" w:lineRule="exact"/>
    </w:pPr>
    <w:rPr>
      <w:rFonts w:ascii="宋体" w:hAnsi="Courier New"/>
      <w:sz w:val="23"/>
      <w:szCs w:val="23"/>
    </w:rPr>
  </w:style>
  <w:style w:type="paragraph" w:customStyle="1" w:styleId="142">
    <w:name w:val="普通文字 Char Char Char Char Char Char Char Char Char Char Char Char Char Char Char Char Char"/>
    <w:basedOn w:val="1"/>
    <w:next w:val="19"/>
    <w:qFormat/>
    <w:uiPriority w:val="0"/>
    <w:pPr>
      <w:widowControl/>
      <w:jc w:val="center"/>
    </w:pPr>
    <w:rPr>
      <w:rFonts w:ascii="宋体" w:hAnsi="Courier New"/>
      <w:sz w:val="18"/>
      <w:szCs w:val="18"/>
    </w:rPr>
  </w:style>
  <w:style w:type="paragraph" w:customStyle="1" w:styleId="143">
    <w:name w:val="BG4-"/>
    <w:basedOn w:val="138"/>
    <w:qFormat/>
    <w:uiPriority w:val="0"/>
    <w:pPr>
      <w:spacing w:line="240" w:lineRule="exact"/>
    </w:pPr>
    <w:rPr>
      <w:sz w:val="24"/>
    </w:rPr>
  </w:style>
  <w:style w:type="paragraph" w:customStyle="1" w:styleId="144">
    <w:name w:val="正文文本 21"/>
    <w:basedOn w:val="1"/>
    <w:qFormat/>
    <w:uiPriority w:val="0"/>
    <w:pPr>
      <w:adjustRightInd w:val="0"/>
      <w:spacing w:line="360" w:lineRule="atLeast"/>
      <w:ind w:left="480"/>
    </w:pPr>
    <w:rPr>
      <w:rFonts w:ascii="宋体"/>
      <w:kern w:val="0"/>
      <w:sz w:val="24"/>
      <w:szCs w:val="20"/>
    </w:rPr>
  </w:style>
  <w:style w:type="paragraph" w:customStyle="1" w:styleId="145">
    <w:name w:val="正文文本缩进 21"/>
    <w:basedOn w:val="1"/>
    <w:qFormat/>
    <w:uiPriority w:val="0"/>
    <w:pPr>
      <w:adjustRightInd w:val="0"/>
      <w:spacing w:line="400" w:lineRule="atLeast"/>
      <w:ind w:firstLine="540"/>
    </w:pPr>
    <w:rPr>
      <w:rFonts w:ascii="宋体"/>
      <w:kern w:val="0"/>
      <w:sz w:val="24"/>
      <w:szCs w:val="20"/>
    </w:rPr>
  </w:style>
  <w:style w:type="paragraph" w:customStyle="1" w:styleId="146">
    <w:name w:val="表1"/>
    <w:basedOn w:val="1"/>
    <w:qFormat/>
    <w:uiPriority w:val="0"/>
    <w:pPr>
      <w:tabs>
        <w:tab w:val="left" w:pos="300"/>
      </w:tabs>
      <w:overflowPunct w:val="0"/>
      <w:autoSpaceDE w:val="0"/>
      <w:autoSpaceDN w:val="0"/>
      <w:adjustRightInd w:val="0"/>
      <w:spacing w:before="200" w:line="320" w:lineRule="atLeast"/>
    </w:pPr>
    <w:rPr>
      <w:kern w:val="0"/>
      <w:sz w:val="24"/>
      <w:szCs w:val="20"/>
    </w:rPr>
  </w:style>
  <w:style w:type="paragraph" w:customStyle="1" w:styleId="1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left"/>
    </w:pPr>
    <w:rPr>
      <w:rFonts w:ascii="黑体" w:hAnsi="Courier New" w:eastAsia="黑体"/>
      <w:kern w:val="0"/>
      <w:sz w:val="20"/>
      <w:szCs w:val="20"/>
    </w:rPr>
  </w:style>
  <w:style w:type="paragraph" w:customStyle="1" w:styleId="148">
    <w:name w:val="BZW"/>
    <w:basedOn w:val="1"/>
    <w:next w:val="139"/>
    <w:qFormat/>
    <w:uiPriority w:val="0"/>
    <w:pPr>
      <w:adjustRightInd w:val="0"/>
      <w:spacing w:line="360" w:lineRule="exact"/>
    </w:pPr>
    <w:rPr>
      <w:rFonts w:ascii="@宋体"/>
      <w:kern w:val="0"/>
      <w:sz w:val="24"/>
      <w:szCs w:val="20"/>
    </w:rPr>
  </w:style>
  <w:style w:type="paragraph" w:customStyle="1" w:styleId="149">
    <w:name w:val="BT"/>
    <w:basedOn w:val="1"/>
    <w:qFormat/>
    <w:uiPriority w:val="0"/>
    <w:pPr>
      <w:keepNext/>
      <w:pageBreakBefore/>
      <w:adjustRightInd w:val="0"/>
      <w:spacing w:after="240"/>
      <w:jc w:val="center"/>
    </w:pPr>
    <w:rPr>
      <w:rFonts w:ascii="@黑体" w:eastAsia="黑体"/>
      <w:b/>
      <w:color w:val="FF0000"/>
      <w:kern w:val="0"/>
      <w:sz w:val="36"/>
      <w:szCs w:val="20"/>
    </w:rPr>
  </w:style>
  <w:style w:type="paragraph" w:customStyle="1" w:styleId="150">
    <w:name w:val="ZBT"/>
    <w:basedOn w:val="1"/>
    <w:qFormat/>
    <w:uiPriority w:val="0"/>
    <w:pPr>
      <w:adjustRightInd w:val="0"/>
      <w:spacing w:before="240" w:after="240"/>
      <w:jc w:val="left"/>
    </w:pPr>
    <w:rPr>
      <w:rFonts w:ascii="@宋体" w:eastAsia="黑体"/>
      <w:color w:val="FF00FF"/>
      <w:kern w:val="0"/>
      <w:sz w:val="30"/>
      <w:szCs w:val="20"/>
    </w:rPr>
  </w:style>
  <w:style w:type="paragraph" w:customStyle="1" w:styleId="151">
    <w:name w:val="XBT"/>
    <w:basedOn w:val="1"/>
    <w:qFormat/>
    <w:uiPriority w:val="0"/>
    <w:pPr>
      <w:adjustRightInd w:val="0"/>
      <w:spacing w:before="240" w:after="240" w:line="312" w:lineRule="atLeast"/>
    </w:pPr>
    <w:rPr>
      <w:rFonts w:ascii="@宋体" w:eastAsia="黑体"/>
      <w:color w:val="0000FF"/>
      <w:kern w:val="0"/>
      <w:sz w:val="28"/>
      <w:szCs w:val="20"/>
    </w:rPr>
  </w:style>
  <w:style w:type="paragraph" w:customStyle="1" w:styleId="152">
    <w:name w:val="BG5-"/>
    <w:basedOn w:val="148"/>
    <w:qFormat/>
    <w:uiPriority w:val="0"/>
    <w:pPr>
      <w:autoSpaceDE w:val="0"/>
      <w:autoSpaceDN w:val="0"/>
      <w:spacing w:line="180" w:lineRule="exact"/>
      <w:jc w:val="center"/>
    </w:pPr>
    <w:rPr>
      <w:sz w:val="18"/>
    </w:rPr>
  </w:style>
  <w:style w:type="paragraph" w:customStyle="1" w:styleId="153">
    <w:name w:val="BBT"/>
    <w:basedOn w:val="152"/>
    <w:qFormat/>
    <w:uiPriority w:val="0"/>
    <w:pPr>
      <w:spacing w:before="360" w:after="120" w:line="240" w:lineRule="auto"/>
    </w:pPr>
    <w:rPr>
      <w:sz w:val="28"/>
    </w:rPr>
  </w:style>
  <w:style w:type="paragraph" w:customStyle="1" w:styleId="154">
    <w:name w:val="BG6"/>
    <w:basedOn w:val="152"/>
    <w:qFormat/>
    <w:uiPriority w:val="0"/>
    <w:pPr>
      <w:spacing w:line="140" w:lineRule="exact"/>
    </w:pPr>
    <w:rPr>
      <w:sz w:val="15"/>
    </w:rPr>
  </w:style>
  <w:style w:type="paragraph" w:customStyle="1" w:styleId="155">
    <w:name w:val="BG8"/>
    <w:basedOn w:val="154"/>
    <w:qFormat/>
    <w:uiPriority w:val="0"/>
    <w:pPr>
      <w:spacing w:line="100" w:lineRule="exact"/>
    </w:pPr>
    <w:rPr>
      <w:sz w:val="10"/>
    </w:rPr>
  </w:style>
  <w:style w:type="paragraph" w:customStyle="1" w:styleId="156">
    <w:name w:val="BG7"/>
    <w:basedOn w:val="153"/>
    <w:qFormat/>
    <w:uiPriority w:val="0"/>
    <w:pPr>
      <w:spacing w:before="0" w:after="0" w:line="80" w:lineRule="exact"/>
    </w:pPr>
    <w:rPr>
      <w:sz w:val="11"/>
    </w:rPr>
  </w:style>
  <w:style w:type="paragraph" w:customStyle="1" w:styleId="157">
    <w:name w:val="BG4"/>
    <w:basedOn w:val="138"/>
    <w:qFormat/>
    <w:uiPriority w:val="0"/>
    <w:pPr>
      <w:spacing w:line="240" w:lineRule="exact"/>
    </w:pPr>
    <w:rPr>
      <w:sz w:val="28"/>
    </w:rPr>
  </w:style>
  <w:style w:type="paragraph" w:customStyle="1" w:styleId="158">
    <w:name w:val="BG6-"/>
    <w:basedOn w:val="157"/>
    <w:qFormat/>
    <w:uiPriority w:val="0"/>
    <w:pPr>
      <w:spacing w:line="120" w:lineRule="exact"/>
    </w:pPr>
    <w:rPr>
      <w:rFonts w:ascii="@昆仑仿宋"/>
      <w:sz w:val="13"/>
    </w:rPr>
  </w:style>
  <w:style w:type="paragraph" w:customStyle="1" w:styleId="159">
    <w:name w:val="XBT_"/>
    <w:basedOn w:val="151"/>
    <w:qFormat/>
    <w:uiPriority w:val="0"/>
    <w:pPr>
      <w:shd w:val="pct30" w:color="auto" w:fill="auto"/>
    </w:pPr>
  </w:style>
  <w:style w:type="paragraph" w:customStyle="1" w:styleId="160">
    <w:name w:val="LBG4"/>
    <w:basedOn w:val="1"/>
    <w:qFormat/>
    <w:uiPriority w:val="0"/>
    <w:pPr>
      <w:autoSpaceDE w:val="0"/>
      <w:autoSpaceDN w:val="0"/>
      <w:adjustRightInd w:val="0"/>
      <w:spacing w:line="240" w:lineRule="exact"/>
      <w:jc w:val="left"/>
    </w:pPr>
    <w:rPr>
      <w:rFonts w:ascii="@宋体"/>
      <w:kern w:val="0"/>
      <w:sz w:val="28"/>
      <w:szCs w:val="20"/>
    </w:rPr>
  </w:style>
  <w:style w:type="paragraph" w:customStyle="1" w:styleId="161">
    <w:name w:val="LBG4-"/>
    <w:basedOn w:val="1"/>
    <w:qFormat/>
    <w:uiPriority w:val="0"/>
    <w:pPr>
      <w:autoSpaceDE w:val="0"/>
      <w:autoSpaceDN w:val="0"/>
      <w:adjustRightInd w:val="0"/>
      <w:spacing w:line="240" w:lineRule="exact"/>
      <w:jc w:val="left"/>
    </w:pPr>
    <w:rPr>
      <w:rFonts w:ascii="@宋体"/>
      <w:kern w:val="0"/>
      <w:sz w:val="24"/>
      <w:szCs w:val="20"/>
    </w:rPr>
  </w:style>
  <w:style w:type="paragraph" w:customStyle="1" w:styleId="162">
    <w:name w:val="LBG5"/>
    <w:basedOn w:val="1"/>
    <w:qFormat/>
    <w:uiPriority w:val="0"/>
    <w:pPr>
      <w:autoSpaceDE w:val="0"/>
      <w:autoSpaceDN w:val="0"/>
      <w:adjustRightInd w:val="0"/>
      <w:spacing w:line="200" w:lineRule="exact"/>
      <w:jc w:val="left"/>
    </w:pPr>
    <w:rPr>
      <w:rFonts w:ascii="@宋体"/>
      <w:kern w:val="0"/>
      <w:szCs w:val="20"/>
    </w:rPr>
  </w:style>
  <w:style w:type="paragraph" w:customStyle="1" w:styleId="163">
    <w:name w:val="LBG5-"/>
    <w:basedOn w:val="1"/>
    <w:qFormat/>
    <w:uiPriority w:val="0"/>
    <w:pPr>
      <w:autoSpaceDE w:val="0"/>
      <w:autoSpaceDN w:val="0"/>
      <w:adjustRightInd w:val="0"/>
      <w:spacing w:line="120" w:lineRule="exact"/>
      <w:jc w:val="left"/>
    </w:pPr>
    <w:rPr>
      <w:rFonts w:ascii="@宋体"/>
      <w:kern w:val="18"/>
      <w:sz w:val="18"/>
      <w:szCs w:val="20"/>
    </w:rPr>
  </w:style>
  <w:style w:type="paragraph" w:customStyle="1" w:styleId="164">
    <w:name w:val="LBG7"/>
    <w:basedOn w:val="1"/>
    <w:qFormat/>
    <w:uiPriority w:val="0"/>
    <w:pPr>
      <w:autoSpaceDE w:val="0"/>
      <w:autoSpaceDN w:val="0"/>
      <w:adjustRightInd w:val="0"/>
      <w:spacing w:line="120" w:lineRule="exact"/>
      <w:jc w:val="left"/>
    </w:pPr>
    <w:rPr>
      <w:rFonts w:ascii="@宋体"/>
      <w:kern w:val="0"/>
      <w:sz w:val="11"/>
      <w:szCs w:val="20"/>
    </w:rPr>
  </w:style>
  <w:style w:type="paragraph" w:customStyle="1" w:styleId="165">
    <w:name w:val="KEY"/>
    <w:basedOn w:val="1"/>
    <w:qFormat/>
    <w:uiPriority w:val="0"/>
    <w:pPr>
      <w:shd w:val="pct30" w:color="auto" w:fill="auto"/>
      <w:adjustRightInd w:val="0"/>
      <w:spacing w:before="120" w:after="120" w:line="312" w:lineRule="atLeast"/>
    </w:pPr>
    <w:rPr>
      <w:rFonts w:ascii="@宋体"/>
      <w:color w:val="808080"/>
      <w:kern w:val="0"/>
      <w:szCs w:val="20"/>
    </w:rPr>
  </w:style>
  <w:style w:type="paragraph" w:customStyle="1" w:styleId="166">
    <w:name w:val="LBG6"/>
    <w:basedOn w:val="1"/>
    <w:qFormat/>
    <w:uiPriority w:val="0"/>
    <w:pPr>
      <w:autoSpaceDE w:val="0"/>
      <w:autoSpaceDN w:val="0"/>
      <w:adjustRightInd w:val="0"/>
      <w:spacing w:line="140" w:lineRule="exact"/>
      <w:jc w:val="left"/>
    </w:pPr>
    <w:rPr>
      <w:rFonts w:ascii="@宋体"/>
      <w:kern w:val="0"/>
      <w:sz w:val="15"/>
      <w:szCs w:val="20"/>
    </w:rPr>
  </w:style>
  <w:style w:type="paragraph" w:customStyle="1" w:styleId="167">
    <w:name w:val="LBG6-"/>
    <w:basedOn w:val="1"/>
    <w:qFormat/>
    <w:uiPriority w:val="0"/>
    <w:pPr>
      <w:autoSpaceDE w:val="0"/>
      <w:autoSpaceDN w:val="0"/>
      <w:adjustRightInd w:val="0"/>
      <w:spacing w:line="120" w:lineRule="exact"/>
      <w:jc w:val="left"/>
    </w:pPr>
    <w:rPr>
      <w:rFonts w:ascii="@昆仑仿宋"/>
      <w:kern w:val="0"/>
      <w:sz w:val="13"/>
      <w:szCs w:val="20"/>
    </w:rPr>
  </w:style>
  <w:style w:type="paragraph" w:customStyle="1" w:styleId="168">
    <w:name w:val="标题5"/>
    <w:basedOn w:val="1"/>
    <w:qFormat/>
    <w:uiPriority w:val="0"/>
    <w:pPr>
      <w:adjustRightInd w:val="0"/>
      <w:spacing w:before="480" w:line="312" w:lineRule="atLeast"/>
      <w:jc w:val="center"/>
    </w:pPr>
    <w:rPr>
      <w:rFonts w:eastAsia="黑体"/>
      <w:kern w:val="0"/>
      <w:sz w:val="44"/>
      <w:szCs w:val="20"/>
    </w:rPr>
  </w:style>
  <w:style w:type="paragraph" w:customStyle="1" w:styleId="169">
    <w:name w:val="海盘说明"/>
    <w:basedOn w:val="1"/>
    <w:qFormat/>
    <w:uiPriority w:val="0"/>
    <w:pPr>
      <w:adjustRightInd w:val="0"/>
      <w:spacing w:line="360" w:lineRule="exact"/>
      <w:ind w:firstLine="199" w:firstLineChars="199"/>
    </w:pPr>
    <w:rPr>
      <w:b/>
      <w:kern w:val="0"/>
      <w:szCs w:val="20"/>
    </w:rPr>
  </w:style>
  <w:style w:type="paragraph" w:customStyle="1" w:styleId="170">
    <w:name w:val="表格表头"/>
    <w:basedOn w:val="1"/>
    <w:qFormat/>
    <w:uiPriority w:val="0"/>
    <w:pPr>
      <w:adjustRightInd w:val="0"/>
      <w:jc w:val="center"/>
    </w:pPr>
    <w:rPr>
      <w:b/>
      <w:kern w:val="0"/>
      <w:sz w:val="18"/>
      <w:szCs w:val="20"/>
    </w:rPr>
  </w:style>
  <w:style w:type="paragraph" w:customStyle="1" w:styleId="171">
    <w:name w:val="表左1"/>
    <w:basedOn w:val="1"/>
    <w:qFormat/>
    <w:uiPriority w:val="0"/>
    <w:pPr>
      <w:adjustRightInd w:val="0"/>
      <w:spacing w:line="360" w:lineRule="atLeast"/>
      <w:jc w:val="left"/>
    </w:pPr>
    <w:rPr>
      <w:kern w:val="0"/>
      <w:szCs w:val="20"/>
    </w:rPr>
  </w:style>
  <w:style w:type="paragraph" w:customStyle="1" w:styleId="172">
    <w:name w:val="表左2"/>
    <w:basedOn w:val="1"/>
    <w:qFormat/>
    <w:uiPriority w:val="0"/>
    <w:pPr>
      <w:adjustRightInd w:val="0"/>
      <w:spacing w:line="360" w:lineRule="atLeast"/>
      <w:ind w:left="227"/>
      <w:jc w:val="left"/>
    </w:pPr>
    <w:rPr>
      <w:kern w:val="0"/>
      <w:szCs w:val="20"/>
    </w:rPr>
  </w:style>
  <w:style w:type="paragraph" w:customStyle="1" w:styleId="173">
    <w:name w:val="正文3"/>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74">
    <w:name w:val="3"/>
    <w:basedOn w:val="1"/>
    <w:next w:val="32"/>
    <w:qFormat/>
    <w:uiPriority w:val="0"/>
    <w:pPr>
      <w:adjustRightInd w:val="0"/>
      <w:spacing w:line="400" w:lineRule="atLeast"/>
      <w:ind w:right="29" w:firstLine="540"/>
    </w:pPr>
    <w:rPr>
      <w:kern w:val="0"/>
      <w:sz w:val="24"/>
      <w:szCs w:val="20"/>
    </w:rPr>
  </w:style>
  <w:style w:type="paragraph" w:customStyle="1" w:styleId="175">
    <w:name w:val="基本要求"/>
    <w:basedOn w:val="1"/>
    <w:qFormat/>
    <w:uiPriority w:val="0"/>
    <w:pPr>
      <w:autoSpaceDE w:val="0"/>
      <w:autoSpaceDN w:val="0"/>
      <w:adjustRightInd w:val="0"/>
      <w:spacing w:line="360" w:lineRule="auto"/>
      <w:ind w:firstLine="680"/>
    </w:pPr>
    <w:rPr>
      <w:rFonts w:ascii="黑体" w:eastAsia="黑体"/>
      <w:szCs w:val="20"/>
    </w:rPr>
  </w:style>
  <w:style w:type="paragraph" w:customStyle="1" w:styleId="176">
    <w:name w:val="小标题"/>
    <w:basedOn w:val="1"/>
    <w:qFormat/>
    <w:uiPriority w:val="0"/>
    <w:pPr>
      <w:spacing w:before="240" w:after="240"/>
    </w:pPr>
    <w:rPr>
      <w:rFonts w:eastAsia="创艺简黑体"/>
      <w:b/>
      <w:w w:val="95"/>
      <w:szCs w:val="20"/>
    </w:rPr>
  </w:style>
  <w:style w:type="paragraph" w:customStyle="1" w:styleId="1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8">
    <w:name w:val="Char Char Char Char Char Char1"/>
    <w:basedOn w:val="1"/>
    <w:qFormat/>
    <w:uiPriority w:val="0"/>
  </w:style>
  <w:style w:type="paragraph" w:customStyle="1" w:styleId="179">
    <w:name w:val="正文段落"/>
    <w:basedOn w:val="1"/>
    <w:qFormat/>
    <w:uiPriority w:val="0"/>
    <w:pPr>
      <w:autoSpaceDE w:val="0"/>
      <w:autoSpaceDN w:val="0"/>
      <w:adjustRightInd w:val="0"/>
      <w:spacing w:line="480" w:lineRule="exact"/>
      <w:ind w:firstLine="200" w:firstLineChars="200"/>
    </w:pPr>
    <w:rPr>
      <w:rFonts w:ascii="@宋体" w:eastAsia="仿宋_GB2312"/>
      <w:kern w:val="0"/>
      <w:sz w:val="24"/>
      <w:szCs w:val="20"/>
    </w:rPr>
  </w:style>
  <w:style w:type="paragraph" w:customStyle="1" w:styleId="180">
    <w:name w:val="font5"/>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181">
    <w:name w:val="font6"/>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4"/>
    </w:rPr>
  </w:style>
  <w:style w:type="paragraph" w:customStyle="1" w:styleId="186">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xl29"/>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88">
    <w:name w:val="默认段落字体 Para Char"/>
    <w:basedOn w:val="1"/>
    <w:qFormat/>
    <w:uiPriority w:val="0"/>
    <w:pPr>
      <w:spacing w:line="360" w:lineRule="auto"/>
      <w:ind w:firstLine="200" w:firstLineChars="200"/>
    </w:pPr>
    <w:rPr>
      <w:rFonts w:ascii="宋体" w:hAnsi="宋体"/>
      <w:sz w:val="24"/>
    </w:rPr>
  </w:style>
  <w:style w:type="paragraph" w:customStyle="1" w:styleId="189">
    <w:name w:val="Char Char Char Char"/>
    <w:basedOn w:val="1"/>
    <w:qFormat/>
    <w:uiPriority w:val="0"/>
  </w:style>
  <w:style w:type="paragraph" w:customStyle="1" w:styleId="190">
    <w:name w:val="样式 普通文字 + 首行缩进:  2 字符"/>
    <w:basedOn w:val="29"/>
    <w:qFormat/>
    <w:uiPriority w:val="0"/>
    <w:pPr>
      <w:spacing w:line="480" w:lineRule="exact"/>
      <w:ind w:firstLine="512" w:firstLineChars="200"/>
    </w:pPr>
    <w:rPr>
      <w:rFonts w:ascii="Times New Roman" w:hAnsi="Times New Roman" w:cs="Courier New"/>
      <w:sz w:val="24"/>
    </w:rPr>
  </w:style>
  <w:style w:type="paragraph" w:customStyle="1" w:styleId="191">
    <w:name w:val="一、"/>
    <w:next w:val="53"/>
    <w:qFormat/>
    <w:uiPriority w:val="0"/>
    <w:pPr>
      <w:tabs>
        <w:tab w:val="left" w:pos="360"/>
        <w:tab w:val="left" w:pos="1393"/>
      </w:tabs>
      <w:spacing w:before="240" w:after="240"/>
    </w:pPr>
    <w:rPr>
      <w:rFonts w:ascii="Times New Roman" w:hAnsi="Times New Roman" w:eastAsia="黑体" w:cs="Times New Roman"/>
      <w:sz w:val="28"/>
      <w:lang w:val="en-US" w:eastAsia="zh-CN" w:bidi="ar-SA"/>
    </w:rPr>
  </w:style>
  <w:style w:type="paragraph" w:customStyle="1" w:styleId="192">
    <w:name w:val="1."/>
    <w:basedOn w:val="1"/>
    <w:qFormat/>
    <w:uiPriority w:val="0"/>
    <w:pPr>
      <w:tabs>
        <w:tab w:val="left" w:pos="480"/>
      </w:tabs>
      <w:spacing w:line="360" w:lineRule="auto"/>
      <w:ind w:firstLine="482"/>
    </w:pPr>
    <w:rPr>
      <w:sz w:val="28"/>
      <w:szCs w:val="20"/>
    </w:rPr>
  </w:style>
  <w:style w:type="paragraph" w:customStyle="1" w:styleId="193">
    <w:name w:val="Char Char Char Char Char Char Char Char Char Char Char Char Char"/>
    <w:basedOn w:val="1"/>
    <w:qFormat/>
    <w:uiPriority w:val="0"/>
    <w:rPr>
      <w:rFonts w:ascii="仿宋_GB2312" w:eastAsia="仿宋_GB2312"/>
      <w:b/>
      <w:sz w:val="32"/>
      <w:szCs w:val="32"/>
    </w:rPr>
  </w:style>
  <w:style w:type="paragraph" w:customStyle="1" w:styleId="194">
    <w:name w:val="aa"/>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paragraph" w:customStyle="1" w:styleId="196">
    <w:name w:val="Char Char Char Char Char Char1 Char Char Char Char"/>
    <w:basedOn w:val="1"/>
    <w:qFormat/>
    <w:uiPriority w:val="0"/>
    <w:rPr>
      <w:rFonts w:ascii="仿宋_GB2312" w:eastAsia="仿宋_GB2312"/>
      <w:b/>
      <w:sz w:val="32"/>
      <w:szCs w:val="32"/>
    </w:rPr>
  </w:style>
  <w:style w:type="paragraph" w:customStyle="1" w:styleId="197">
    <w:name w:val="Char1 Char Char Char"/>
    <w:basedOn w:val="1"/>
    <w:qFormat/>
    <w:uiPriority w:val="0"/>
    <w:rPr>
      <w:rFonts w:ascii="Tahoma" w:hAnsi="Tahoma" w:eastAsia="仿宋_GB2312"/>
      <w:b/>
      <w:sz w:val="24"/>
      <w:szCs w:val="20"/>
    </w:rPr>
  </w:style>
  <w:style w:type="paragraph" w:customStyle="1" w:styleId="198">
    <w:name w:val="Char11"/>
    <w:basedOn w:val="1"/>
    <w:qFormat/>
    <w:uiPriority w:val="0"/>
    <w:pPr>
      <w:spacing w:line="360" w:lineRule="auto"/>
      <w:ind w:firstLine="200" w:firstLineChars="200"/>
    </w:pPr>
    <w:rPr>
      <w:rFonts w:ascii="宋体" w:hAnsi="宋体" w:cs="宋体"/>
      <w:sz w:val="24"/>
    </w:rPr>
  </w:style>
  <w:style w:type="paragraph" w:customStyle="1" w:styleId="199">
    <w:name w:val="样式3"/>
    <w:basedOn w:val="36"/>
    <w:qFormat/>
    <w:uiPriority w:val="0"/>
    <w:pPr>
      <w:pBdr>
        <w:bottom w:val="single" w:color="auto" w:sz="6" w:space="1"/>
      </w:pBdr>
      <w:adjustRightInd w:val="0"/>
      <w:spacing w:line="240" w:lineRule="atLeast"/>
    </w:pPr>
    <w:rPr>
      <w:i/>
      <w:kern w:val="0"/>
    </w:rPr>
  </w:style>
  <w:style w:type="paragraph" w:customStyle="1" w:styleId="200">
    <w:name w:val="样式4"/>
    <w:basedOn w:val="36"/>
    <w:qFormat/>
    <w:uiPriority w:val="0"/>
    <w:pPr>
      <w:pBdr>
        <w:bottom w:val="single" w:color="auto" w:sz="6" w:space="1"/>
      </w:pBdr>
      <w:adjustRightInd w:val="0"/>
      <w:spacing w:line="240" w:lineRule="atLeast"/>
    </w:pPr>
    <w:rPr>
      <w:i/>
      <w:kern w:val="0"/>
      <w:szCs w:val="20"/>
    </w:rPr>
  </w:style>
  <w:style w:type="paragraph" w:customStyle="1" w:styleId="201">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character" w:customStyle="1" w:styleId="203">
    <w:name w:val="ZW正文1 Char"/>
    <w:link w:val="204"/>
    <w:qFormat/>
    <w:locked/>
    <w:uiPriority w:val="0"/>
    <w:rPr>
      <w:rFonts w:ascii="华文中宋" w:hAnsi="华文中宋" w:eastAsia="华文中宋"/>
      <w:spacing w:val="6"/>
      <w:sz w:val="24"/>
      <w:szCs w:val="24"/>
    </w:rPr>
  </w:style>
  <w:style w:type="paragraph" w:customStyle="1" w:styleId="204">
    <w:name w:val="ZW正文1"/>
    <w:basedOn w:val="1"/>
    <w:link w:val="203"/>
    <w:qFormat/>
    <w:uiPriority w:val="0"/>
    <w:pPr>
      <w:widowControl/>
      <w:adjustRightInd w:val="0"/>
      <w:snapToGrid w:val="0"/>
      <w:spacing w:line="500" w:lineRule="exact"/>
      <w:ind w:firstLine="510"/>
      <w:jc w:val="left"/>
    </w:pPr>
    <w:rPr>
      <w:rFonts w:ascii="华文中宋" w:hAnsi="华文中宋" w:eastAsia="华文中宋"/>
      <w:spacing w:val="6"/>
      <w:kern w:val="0"/>
      <w:sz w:val="24"/>
    </w:rPr>
  </w:style>
  <w:style w:type="paragraph" w:customStyle="1" w:styleId="20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标题 1 New"/>
    <w:basedOn w:val="205"/>
    <w:next w:val="205"/>
    <w:qFormat/>
    <w:uiPriority w:val="0"/>
    <w:pPr>
      <w:keepNext/>
      <w:keepLines/>
      <w:spacing w:before="340" w:after="330" w:line="576" w:lineRule="auto"/>
      <w:outlineLvl w:val="0"/>
    </w:pPr>
    <w:rPr>
      <w:b/>
      <w:bCs/>
      <w:kern w:val="44"/>
      <w:sz w:val="44"/>
      <w:szCs w:val="44"/>
    </w:rPr>
  </w:style>
  <w:style w:type="paragraph" w:customStyle="1" w:styleId="207">
    <w:name w:val="标题 3 New"/>
    <w:basedOn w:val="205"/>
    <w:next w:val="205"/>
    <w:qFormat/>
    <w:uiPriority w:val="0"/>
    <w:pPr>
      <w:keepNext/>
      <w:keepLines/>
      <w:spacing w:before="260" w:after="260" w:line="415" w:lineRule="auto"/>
      <w:outlineLvl w:val="2"/>
    </w:pPr>
    <w:rPr>
      <w:b/>
      <w:bCs/>
      <w:sz w:val="32"/>
      <w:szCs w:val="32"/>
    </w:rPr>
  </w:style>
  <w:style w:type="paragraph" w:customStyle="1" w:styleId="208">
    <w:name w:val="正文文本缩进 New"/>
    <w:basedOn w:val="205"/>
    <w:qFormat/>
    <w:uiPriority w:val="0"/>
    <w:pPr>
      <w:adjustRightInd w:val="0"/>
      <w:snapToGrid w:val="0"/>
      <w:spacing w:beforeLines="25" w:afterLines="25" w:line="360" w:lineRule="auto"/>
      <w:ind w:firstLine="480" w:firstLineChars="200"/>
    </w:pPr>
    <w:rPr>
      <w:rFonts w:ascii="宋体" w:hAnsi="宋体"/>
      <w:sz w:val="24"/>
    </w:rPr>
  </w:style>
  <w:style w:type="paragraph" w:customStyle="1" w:styleId="209">
    <w:name w:val="页眉 New"/>
    <w:basedOn w:val="205"/>
    <w:qFormat/>
    <w:uiPriority w:val="0"/>
    <w:pPr>
      <w:pBdr>
        <w:bottom w:val="single" w:color="auto" w:sz="6" w:space="1"/>
      </w:pBdr>
      <w:tabs>
        <w:tab w:val="center" w:pos="4153"/>
        <w:tab w:val="right" w:pos="8306"/>
      </w:tabs>
      <w:snapToGrid w:val="0"/>
      <w:jc w:val="center"/>
    </w:pPr>
    <w:rPr>
      <w:sz w:val="18"/>
      <w:szCs w:val="18"/>
    </w:rPr>
  </w:style>
  <w:style w:type="paragraph" w:customStyle="1" w:styleId="210">
    <w:name w:val="纯文本 New"/>
    <w:basedOn w:val="205"/>
    <w:qFormat/>
    <w:uiPriority w:val="0"/>
    <w:rPr>
      <w:rFonts w:ascii="宋体" w:hAnsi="Courier New"/>
    </w:rPr>
  </w:style>
  <w:style w:type="paragraph" w:customStyle="1" w:styleId="211">
    <w:name w:val="默认段落字体 Para Char Char Char Char Char Char Char Char Char Char Char Char Char"/>
    <w:basedOn w:val="1"/>
    <w:qFormat/>
    <w:uiPriority w:val="0"/>
    <w:rPr>
      <w:sz w:val="24"/>
      <w:szCs w:val="20"/>
    </w:rPr>
  </w:style>
  <w:style w:type="character" w:customStyle="1" w:styleId="212">
    <w:name w:val="纯文本1"/>
    <w:qFormat/>
    <w:uiPriority w:val="0"/>
    <w:rPr>
      <w:rFonts w:hint="eastAsia" w:ascii="宋体" w:hAnsi="Courier New" w:eastAsia="宋体"/>
      <w:kern w:val="2"/>
      <w:sz w:val="21"/>
      <w:lang w:val="en-US" w:eastAsia="zh-CN" w:bidi="ar-SA"/>
    </w:rPr>
  </w:style>
  <w:style w:type="character" w:customStyle="1" w:styleId="213">
    <w:name w:val="纯文本1 Char"/>
    <w:qFormat/>
    <w:uiPriority w:val="0"/>
    <w:rPr>
      <w:rFonts w:hint="eastAsia" w:ascii="宋体" w:hAnsi="Courier New" w:eastAsia="宋体"/>
      <w:kern w:val="2"/>
      <w:sz w:val="21"/>
      <w:lang w:val="en-US" w:eastAsia="zh-CN" w:bidi="ar-SA"/>
    </w:rPr>
  </w:style>
  <w:style w:type="character" w:customStyle="1" w:styleId="214">
    <w:name w:val="普通文字 Char2"/>
    <w:qFormat/>
    <w:uiPriority w:val="0"/>
    <w:rPr>
      <w:rFonts w:hint="eastAsia" w:ascii="宋体" w:hAnsi="Courier New" w:eastAsia="宋体"/>
      <w:kern w:val="2"/>
      <w:sz w:val="21"/>
      <w:lang w:val="en-US" w:eastAsia="zh-CN" w:bidi="ar-SA"/>
    </w:rPr>
  </w:style>
  <w:style w:type="character" w:customStyle="1" w:styleId="215">
    <w:name w:val="ft"/>
    <w:qFormat/>
    <w:uiPriority w:val="0"/>
  </w:style>
  <w:style w:type="character" w:customStyle="1" w:styleId="216">
    <w:name w:val="样式 宋体 11.5 磅 Char"/>
    <w:qFormat/>
    <w:uiPriority w:val="0"/>
    <w:rPr>
      <w:rFonts w:hint="eastAsia" w:ascii="宋体" w:hAnsi="Courier New" w:eastAsia="宋体"/>
      <w:kern w:val="2"/>
      <w:sz w:val="23"/>
      <w:szCs w:val="23"/>
      <w:lang w:val="en-US" w:eastAsia="zh-CN" w:bidi="ar-SA"/>
    </w:rPr>
  </w:style>
  <w:style w:type="character" w:customStyle="1" w:styleId="217">
    <w:name w:val="普通文字 Char Char Char Char Char Char Char Char Char Char Char Char Char Char Char Char Char Char Char Char Char Char Char Char1 Char"/>
    <w:qFormat/>
    <w:uiPriority w:val="0"/>
    <w:rPr>
      <w:rFonts w:hint="eastAsia" w:ascii="宋体" w:hAnsi="Courier New" w:eastAsia="宋体"/>
      <w:kern w:val="2"/>
      <w:sz w:val="21"/>
      <w:lang w:val="en-US" w:eastAsia="zh-CN" w:bidi="ar-SA"/>
    </w:rPr>
  </w:style>
  <w:style w:type="character" w:customStyle="1" w:styleId="218">
    <w:name w:val="普通文字 Char Char Char Char Char Char Char Char Char Char Char Char Char Char Char Char Char Char Char Char Char Char Char Char Char"/>
    <w:qFormat/>
    <w:uiPriority w:val="0"/>
    <w:rPr>
      <w:rFonts w:hint="eastAsia" w:ascii="宋体" w:hAnsi="Courier New" w:eastAsia="宋体"/>
      <w:kern w:val="2"/>
      <w:sz w:val="21"/>
      <w:lang w:val="en-US" w:eastAsia="zh-CN" w:bidi="ar-SA"/>
    </w:rPr>
  </w:style>
  <w:style w:type="character" w:customStyle="1" w:styleId="219">
    <w:name w:val="批注文字 字符"/>
    <w:qFormat/>
    <w:uiPriority w:val="0"/>
    <w:rPr>
      <w:kern w:val="2"/>
      <w:sz w:val="21"/>
      <w:szCs w:val="24"/>
    </w:rPr>
  </w:style>
  <w:style w:type="character" w:customStyle="1" w:styleId="220">
    <w:name w:val="称呼 字符"/>
    <w:link w:val="17"/>
    <w:qFormat/>
    <w:uiPriority w:val="0"/>
    <w:rPr>
      <w:kern w:val="2"/>
      <w:sz w:val="28"/>
      <w:szCs w:val="28"/>
    </w:rPr>
  </w:style>
  <w:style w:type="character" w:customStyle="1" w:styleId="221">
    <w:name w:val="副标题 字符"/>
    <w:link w:val="39"/>
    <w:qFormat/>
    <w:uiPriority w:val="0"/>
    <w:rPr>
      <w:rFonts w:ascii="黑体" w:eastAsia="黑体"/>
      <w:kern w:val="28"/>
      <w:sz w:val="24"/>
      <w:szCs w:val="24"/>
    </w:rPr>
  </w:style>
  <w:style w:type="paragraph" w:customStyle="1" w:styleId="222">
    <w:name w:val="Char Char Char Char Char Char Char Char Char Char Char Char Char Char Char Char Char Char1 Char Char Char Char1"/>
    <w:basedOn w:val="1"/>
    <w:qFormat/>
    <w:uiPriority w:val="0"/>
  </w:style>
  <w:style w:type="paragraph" w:customStyle="1" w:styleId="223">
    <w:name w:val="表"/>
    <w:basedOn w:val="1"/>
    <w:qFormat/>
    <w:uiPriority w:val="0"/>
    <w:pPr>
      <w:adjustRightInd w:val="0"/>
      <w:snapToGrid w:val="0"/>
      <w:spacing w:line="360" w:lineRule="exact"/>
    </w:pPr>
    <w:rPr>
      <w:szCs w:val="20"/>
    </w:rPr>
  </w:style>
  <w:style w:type="paragraph" w:customStyle="1" w:styleId="224">
    <w:name w:val="标准"/>
    <w:basedOn w:val="1"/>
    <w:qFormat/>
    <w:uiPriority w:val="0"/>
    <w:pPr>
      <w:adjustRightInd w:val="0"/>
      <w:spacing w:line="360" w:lineRule="auto"/>
      <w:jc w:val="center"/>
      <w:textAlignment w:val="baseline"/>
    </w:pPr>
    <w:rPr>
      <w:kern w:val="0"/>
      <w:sz w:val="24"/>
      <w:szCs w:val="20"/>
    </w:rPr>
  </w:style>
  <w:style w:type="paragraph" w:customStyle="1" w:styleId="225">
    <w:name w:val="font7"/>
    <w:basedOn w:val="1"/>
    <w:qFormat/>
    <w:uiPriority w:val="0"/>
    <w:pPr>
      <w:widowControl/>
      <w:spacing w:before="100" w:beforeAutospacing="1" w:after="100" w:afterAutospacing="1"/>
      <w:jc w:val="left"/>
    </w:pPr>
    <w:rPr>
      <w:kern w:val="0"/>
      <w:sz w:val="22"/>
      <w:szCs w:val="22"/>
    </w:rPr>
  </w:style>
  <w:style w:type="paragraph" w:customStyle="1" w:styleId="226">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27">
    <w:name w:val="xl32"/>
    <w:basedOn w:val="1"/>
    <w:qFormat/>
    <w:uiPriority w:val="0"/>
    <w:pPr>
      <w:widowControl/>
      <w:spacing w:before="100" w:beforeAutospacing="1" w:after="100" w:afterAutospacing="1"/>
      <w:jc w:val="center"/>
      <w:textAlignment w:val="center"/>
    </w:pPr>
    <w:rPr>
      <w:rFonts w:hint="eastAsia" w:ascii="黑体" w:hAnsi="宋体" w:eastAsia="黑体"/>
      <w:kern w:val="0"/>
      <w:sz w:val="32"/>
      <w:szCs w:val="32"/>
    </w:rPr>
  </w:style>
  <w:style w:type="paragraph" w:customStyle="1" w:styleId="2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29">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3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31">
    <w:name w:val="xl3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3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3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3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3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7">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3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3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4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4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43">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4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45">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46">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47">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48">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49">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2"/>
      <w:szCs w:val="22"/>
    </w:rPr>
  </w:style>
  <w:style w:type="paragraph" w:customStyle="1" w:styleId="250">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51">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52">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53">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54">
    <w:name w:val="xl6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5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5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57">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58">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60">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61">
    <w:name w:val="xl6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62">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63">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64">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65">
    <w:name w:val="xl7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66">
    <w:name w:val="font9"/>
    <w:basedOn w:val="1"/>
    <w:qFormat/>
    <w:uiPriority w:val="0"/>
    <w:pPr>
      <w:widowControl/>
      <w:spacing w:before="100" w:beforeAutospacing="1" w:after="100" w:afterAutospacing="1"/>
      <w:jc w:val="left"/>
    </w:pPr>
    <w:rPr>
      <w:kern w:val="0"/>
      <w:szCs w:val="21"/>
    </w:rPr>
  </w:style>
  <w:style w:type="paragraph" w:customStyle="1" w:styleId="267">
    <w:name w:val="font10"/>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68">
    <w:name w:val="样式 港珠澳正文 + 首行缩进:  2 字符 段前: 1 行 段后: 1 行"/>
    <w:basedOn w:val="1"/>
    <w:qFormat/>
    <w:uiPriority w:val="0"/>
    <w:pPr>
      <w:spacing w:line="360" w:lineRule="auto"/>
      <w:ind w:firstLine="200" w:firstLineChars="200"/>
      <w:jc w:val="left"/>
    </w:pPr>
    <w:rPr>
      <w:rFonts w:cs="宋体"/>
      <w:color w:val="000000"/>
      <w:sz w:val="24"/>
      <w:szCs w:val="20"/>
    </w:rPr>
  </w:style>
  <w:style w:type="paragraph" w:customStyle="1" w:styleId="269">
    <w:name w:val="正文A"/>
    <w:qFormat/>
    <w:uiPriority w:val="0"/>
    <w:pPr>
      <w:widowControl w:val="0"/>
      <w:tabs>
        <w:tab w:val="left" w:pos="0"/>
      </w:tabs>
      <w:adjustRightInd w:val="0"/>
      <w:spacing w:line="360" w:lineRule="auto"/>
      <w:ind w:firstLine="200" w:firstLineChars="200"/>
      <w:jc w:val="both"/>
      <w:textAlignment w:val="baseline"/>
    </w:pPr>
    <w:rPr>
      <w:rFonts w:ascii="Times New Roman" w:hAnsi="Times New Roman" w:eastAsia="宋体" w:cs="Times New Roman"/>
      <w:snapToGrid w:val="0"/>
      <w:sz w:val="24"/>
      <w:lang w:val="en-US" w:eastAsia="zh-CN" w:bidi="ar-SA"/>
    </w:rPr>
  </w:style>
  <w:style w:type="paragraph" w:customStyle="1" w:styleId="270">
    <w:name w:val="表名A"/>
    <w:basedOn w:val="1"/>
    <w:qFormat/>
    <w:uiPriority w:val="0"/>
    <w:pPr>
      <w:widowControl/>
      <w:tabs>
        <w:tab w:val="left" w:pos="0"/>
      </w:tabs>
      <w:adjustRightInd w:val="0"/>
      <w:snapToGrid w:val="0"/>
      <w:spacing w:beforeLines="80" w:afterLines="20"/>
      <w:jc w:val="center"/>
    </w:pPr>
    <w:rPr>
      <w:b/>
      <w:snapToGrid w:val="0"/>
      <w:kern w:val="0"/>
      <w:szCs w:val="20"/>
    </w:rPr>
  </w:style>
  <w:style w:type="paragraph" w:customStyle="1" w:styleId="271">
    <w:name w:val="表文C"/>
    <w:basedOn w:val="1"/>
    <w:qFormat/>
    <w:uiPriority w:val="0"/>
    <w:pPr>
      <w:widowControl/>
      <w:tabs>
        <w:tab w:val="left" w:pos="0"/>
      </w:tabs>
      <w:adjustRightInd w:val="0"/>
      <w:snapToGrid w:val="0"/>
      <w:jc w:val="center"/>
    </w:pPr>
    <w:rPr>
      <w:snapToGrid w:val="0"/>
      <w:kern w:val="0"/>
      <w:szCs w:val="20"/>
    </w:rPr>
  </w:style>
  <w:style w:type="paragraph" w:customStyle="1" w:styleId="272">
    <w:name w:val="港珠澳表格"/>
    <w:basedOn w:val="1"/>
    <w:qFormat/>
    <w:uiPriority w:val="0"/>
    <w:pPr>
      <w:spacing w:beforeLines="100" w:after="60"/>
      <w:jc w:val="center"/>
    </w:pPr>
    <w:rPr>
      <w:sz w:val="24"/>
    </w:rPr>
  </w:style>
  <w:style w:type="paragraph" w:customStyle="1" w:styleId="273">
    <w:name w:val="样式 标题 3 + 首行缩进:  2 字符1"/>
    <w:basedOn w:val="5"/>
    <w:qFormat/>
    <w:uiPriority w:val="0"/>
    <w:pPr>
      <w:widowControl w:val="0"/>
      <w:tabs>
        <w:tab w:val="left" w:pos="425"/>
        <w:tab w:val="left" w:pos="3229"/>
      </w:tabs>
      <w:spacing w:after="0" w:line="415" w:lineRule="auto"/>
      <w:ind w:firstLine="200" w:firstLineChars="200"/>
      <w:jc w:val="both"/>
    </w:pPr>
    <w:rPr>
      <w:rFonts w:cs="宋体"/>
      <w:bCs/>
      <w:kern w:val="2"/>
      <w:sz w:val="24"/>
    </w:rPr>
  </w:style>
  <w:style w:type="paragraph" w:customStyle="1" w:styleId="274">
    <w:name w:val="样式 标题 2 + Times New Roman 段前: 12 磅"/>
    <w:basedOn w:val="3"/>
    <w:qFormat/>
    <w:uiPriority w:val="0"/>
    <w:pPr>
      <w:snapToGrid w:val="0"/>
      <w:spacing w:before="120" w:after="120" w:line="240" w:lineRule="auto"/>
      <w:jc w:val="both"/>
    </w:pPr>
    <w:rPr>
      <w:rFonts w:ascii="黑体" w:hAnsi="Times New Roman" w:cs="宋体"/>
      <w:b/>
      <w:i w:val="0"/>
      <w:iCs w:val="0"/>
      <w:sz w:val="28"/>
      <w:szCs w:val="28"/>
    </w:rPr>
  </w:style>
  <w:style w:type="paragraph" w:customStyle="1" w:styleId="275">
    <w:name w:val="Char Char Char Char Char Char Char Char Char Char Char Char Char Char Char Char Char Char Char Char Char Char"/>
    <w:basedOn w:val="1"/>
    <w:qFormat/>
    <w:uiPriority w:val="0"/>
  </w:style>
  <w:style w:type="paragraph" w:customStyle="1" w:styleId="276">
    <w:name w:val="标题C"/>
    <w:qFormat/>
    <w:uiPriority w:val="0"/>
    <w:pPr>
      <w:tabs>
        <w:tab w:val="left" w:pos="0"/>
      </w:tabs>
      <w:adjustRightInd w:val="0"/>
      <w:spacing w:line="600" w:lineRule="auto"/>
      <w:outlineLvl w:val="2"/>
    </w:pPr>
    <w:rPr>
      <w:rFonts w:ascii="Times New Roman" w:hAnsi="Times New Roman" w:eastAsia="宋体" w:cs="Plotter"/>
      <w:b/>
      <w:snapToGrid w:val="0"/>
      <w:sz w:val="28"/>
      <w:lang w:val="en-US" w:eastAsia="zh-CN" w:bidi="ar-SA"/>
    </w:rPr>
  </w:style>
  <w:style w:type="paragraph" w:customStyle="1" w:styleId="277">
    <w:name w:val="标题B"/>
    <w:qFormat/>
    <w:uiPriority w:val="0"/>
    <w:pPr>
      <w:adjustRightInd w:val="0"/>
      <w:spacing w:line="720" w:lineRule="auto"/>
      <w:outlineLvl w:val="1"/>
    </w:pPr>
    <w:rPr>
      <w:rFonts w:ascii="Times New Roman" w:hAnsi="Times New Roman" w:eastAsia="宋体" w:cs="Times New Roman"/>
      <w:b/>
      <w:sz w:val="30"/>
      <w:lang w:val="en-US" w:eastAsia="zh-CN" w:bidi="ar-SA"/>
    </w:rPr>
  </w:style>
  <w:style w:type="paragraph" w:customStyle="1" w:styleId="278">
    <w:name w:val="文章"/>
    <w:link w:val="279"/>
    <w:qFormat/>
    <w:uiPriority w:val="0"/>
    <w:pPr>
      <w:adjustRightInd w:val="0"/>
      <w:snapToGrid w:val="0"/>
      <w:spacing w:line="360" w:lineRule="auto"/>
      <w:ind w:firstLine="520" w:firstLineChars="200"/>
    </w:pPr>
    <w:rPr>
      <w:rFonts w:ascii="Garamond" w:hAnsi="Garamond" w:eastAsia="宋体" w:cs="Times New Roman"/>
      <w:kern w:val="2"/>
      <w:sz w:val="24"/>
      <w:szCs w:val="24"/>
      <w:lang w:val="en-US" w:eastAsia="zh-CN" w:bidi="ar-SA"/>
    </w:rPr>
  </w:style>
  <w:style w:type="character" w:customStyle="1" w:styleId="279">
    <w:name w:val="文章 Char"/>
    <w:link w:val="278"/>
    <w:qFormat/>
    <w:uiPriority w:val="0"/>
    <w:rPr>
      <w:rFonts w:ascii="Garamond" w:hAnsi="Garamond"/>
      <w:kern w:val="2"/>
      <w:sz w:val="24"/>
      <w:szCs w:val="24"/>
      <w:lang w:bidi="ar-SA"/>
    </w:rPr>
  </w:style>
  <w:style w:type="character" w:customStyle="1" w:styleId="280">
    <w:name w:val="style_kwd"/>
    <w:basedOn w:val="57"/>
    <w:qFormat/>
    <w:uiPriority w:val="0"/>
  </w:style>
  <w:style w:type="character" w:customStyle="1" w:styleId="281">
    <w:name w:val="批注文字 Char1"/>
    <w:qFormat/>
    <w:uiPriority w:val="0"/>
    <w:rPr>
      <w:rFonts w:ascii="Times New Roman" w:hAnsi="Times New Roman" w:eastAsia="宋体" w:cs="Times New Roman"/>
      <w:sz w:val="20"/>
      <w:szCs w:val="20"/>
      <w:lang w:bidi="ar-SA"/>
    </w:rPr>
  </w:style>
  <w:style w:type="character" w:customStyle="1" w:styleId="282">
    <w:name w:val="Comment Text Char"/>
    <w:qFormat/>
    <w:uiPriority w:val="0"/>
  </w:style>
  <w:style w:type="paragraph" w:customStyle="1" w:styleId="283">
    <w:name w:val="_Style 23"/>
    <w:basedOn w:val="1"/>
    <w:qFormat/>
    <w:uiPriority w:val="0"/>
    <w:pPr>
      <w:widowControl/>
      <w:spacing w:after="160" w:line="240" w:lineRule="exact"/>
      <w:jc w:val="left"/>
    </w:pPr>
    <w:rPr>
      <w:rFonts w:ascii="Calibri" w:hAnsi="Calibri"/>
      <w:szCs w:val="22"/>
    </w:rPr>
  </w:style>
  <w:style w:type="character" w:customStyle="1" w:styleId="284">
    <w:name w:val="正文文本 Char"/>
    <w:qFormat/>
    <w:uiPriority w:val="0"/>
    <w:rPr>
      <w:rFonts w:eastAsia="宋体"/>
      <w:kern w:val="2"/>
      <w:sz w:val="21"/>
      <w:szCs w:val="24"/>
      <w:lang w:val="en-US" w:eastAsia="zh-CN" w:bidi="ar-SA"/>
    </w:rPr>
  </w:style>
  <w:style w:type="character" w:customStyle="1" w:styleId="285">
    <w:name w:val="正文首行缩进 字符1"/>
    <w:basedOn w:val="88"/>
    <w:qFormat/>
    <w:uiPriority w:val="0"/>
    <w:rPr>
      <w:kern w:val="2"/>
      <w:sz w:val="21"/>
      <w:szCs w:val="24"/>
    </w:rPr>
  </w:style>
  <w:style w:type="paragraph" w:styleId="286">
    <w:name w:val="List Paragraph"/>
    <w:basedOn w:val="1"/>
    <w:qFormat/>
    <w:uiPriority w:val="0"/>
    <w:pPr>
      <w:ind w:firstLine="420" w:firstLineChars="200"/>
    </w:pPr>
    <w:rPr>
      <w:rFonts w:ascii="Calibri" w:hAnsi="Calibri"/>
      <w:szCs w:val="22"/>
    </w:rPr>
  </w:style>
  <w:style w:type="character" w:customStyle="1" w:styleId="287">
    <w:name w:val="正文首行缩进 Char1"/>
    <w:qFormat/>
    <w:uiPriority w:val="99"/>
    <w:rPr>
      <w:rFonts w:eastAsia="宋体"/>
      <w:kern w:val="2"/>
      <w:sz w:val="21"/>
      <w:szCs w:val="24"/>
    </w:rPr>
  </w:style>
  <w:style w:type="paragraph" w:customStyle="1" w:styleId="288">
    <w:name w:val="我的正文"/>
    <w:basedOn w:val="1"/>
    <w:qFormat/>
    <w:uiPriority w:val="0"/>
    <w:rPr>
      <w:rFonts w:ascii="宋体" w:hAnsi="宋体"/>
      <w:sz w:val="24"/>
    </w:rPr>
  </w:style>
  <w:style w:type="paragraph" w:customStyle="1" w:styleId="289">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cs="宋体"/>
      <w:bCs w:val="0"/>
      <w:i w:val="0"/>
      <w:iCs w:val="0"/>
      <w:sz w:val="28"/>
    </w:rPr>
  </w:style>
  <w:style w:type="paragraph" w:customStyle="1" w:styleId="290">
    <w:name w:val="修订1"/>
    <w:qFormat/>
    <w:uiPriority w:val="0"/>
    <w:rPr>
      <w:rFonts w:ascii="Times New Roman" w:hAnsi="Times New Roman" w:eastAsia="宋体" w:cs="Times New Roman"/>
      <w:kern w:val="2"/>
      <w:sz w:val="21"/>
      <w:szCs w:val="24"/>
      <w:lang w:val="en-US" w:eastAsia="zh-CN" w:bidi="ar-SA"/>
    </w:rPr>
  </w:style>
  <w:style w:type="paragraph" w:customStyle="1" w:styleId="29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92">
    <w:name w:val="样式 标题 3 + (中文) 黑体 小四 非加粗 段前: 7.8 磅 段后: 0 磅 行距: 固定值 20 磅"/>
    <w:basedOn w:val="5"/>
    <w:qFormat/>
    <w:uiPriority w:val="0"/>
    <w:pPr>
      <w:widowControl w:val="0"/>
      <w:tabs>
        <w:tab w:val="left" w:pos="425"/>
      </w:tabs>
      <w:spacing w:before="0" w:after="0" w:line="400" w:lineRule="exact"/>
      <w:ind w:firstLine="137" w:firstLineChars="49"/>
      <w:jc w:val="both"/>
    </w:pPr>
    <w:rPr>
      <w:rFonts w:ascii="黑体" w:eastAsia="黑体" w:cs="宋体"/>
      <w:b w:val="0"/>
      <w:kern w:val="2"/>
      <w:sz w:val="24"/>
    </w:rPr>
  </w:style>
  <w:style w:type="paragraph" w:customStyle="1" w:styleId="293">
    <w:name w:val="修订2"/>
    <w:qFormat/>
    <w:uiPriority w:val="0"/>
    <w:rPr>
      <w:rFonts w:ascii="Times New Roman" w:hAnsi="Times New Roman" w:eastAsia="宋体" w:cs="Times New Roman"/>
      <w:kern w:val="2"/>
      <w:sz w:val="21"/>
      <w:szCs w:val="24"/>
      <w:lang w:val="en-US" w:eastAsia="zh-CN" w:bidi="ar-SA"/>
    </w:rPr>
  </w:style>
  <w:style w:type="character" w:customStyle="1" w:styleId="294">
    <w:name w:val="f121"/>
    <w:qFormat/>
    <w:uiPriority w:val="0"/>
    <w:rPr>
      <w:sz w:val="20"/>
      <w:u w:val="none"/>
    </w:rPr>
  </w:style>
  <w:style w:type="paragraph" w:customStyle="1" w:styleId="295">
    <w:name w:val="正文aaaaa--"/>
    <w:basedOn w:val="1"/>
    <w:qFormat/>
    <w:uiPriority w:val="0"/>
    <w:pPr>
      <w:spacing w:line="400" w:lineRule="exact"/>
      <w:ind w:firstLine="480" w:firstLineChars="200"/>
    </w:pPr>
    <w:rPr>
      <w:rFonts w:ascii="方正宋三简体" w:hAnsi="Calibri" w:eastAsia="方正宋三简体" w:cs="宋体"/>
      <w:b/>
      <w:sz w:val="24"/>
      <w:szCs w:val="32"/>
    </w:rPr>
  </w:style>
  <w:style w:type="character" w:customStyle="1" w:styleId="296">
    <w:name w:val="标题 2 Char1"/>
    <w:qFormat/>
    <w:uiPriority w:val="0"/>
    <w:rPr>
      <w:rFonts w:ascii="Arial" w:hAnsi="Arial" w:eastAsia="黑体"/>
      <w:b/>
      <w:bCs/>
      <w:sz w:val="32"/>
      <w:szCs w:val="32"/>
    </w:rPr>
  </w:style>
  <w:style w:type="character" w:customStyle="1" w:styleId="297">
    <w:name w:val="unnamed11"/>
    <w:qFormat/>
    <w:uiPriority w:val="0"/>
    <w:rPr>
      <w:u w:val="none"/>
    </w:rPr>
  </w:style>
  <w:style w:type="character" w:customStyle="1" w:styleId="298">
    <w:name w:val="专用功能1"/>
    <w:qFormat/>
    <w:uiPriority w:val="0"/>
    <w:rPr>
      <w:color w:val="666666"/>
      <w:sz w:val="20"/>
    </w:rPr>
  </w:style>
  <w:style w:type="paragraph" w:customStyle="1" w:styleId="299">
    <w:name w:val="缺省文本"/>
    <w:qFormat/>
    <w:uiPriority w:val="0"/>
    <w:pPr>
      <w:widowControl w:val="0"/>
      <w:autoSpaceDE w:val="0"/>
      <w:autoSpaceDN w:val="0"/>
      <w:adjustRightInd w:val="0"/>
      <w:spacing w:before="260" w:after="260"/>
      <w:jc w:val="both"/>
    </w:pPr>
    <w:rPr>
      <w:rFonts w:ascii="Times New Roman" w:hAnsi="Times New Roman" w:eastAsia="宋体" w:cs="Times New Roman"/>
      <w:color w:val="000000"/>
      <w:szCs w:val="24"/>
      <w:lang w:val="en-US" w:eastAsia="zh-CN" w:bidi="ar-SA"/>
    </w:rPr>
  </w:style>
  <w:style w:type="paragraph" w:customStyle="1" w:styleId="300">
    <w:name w:val="正文 New New New New New New New New New New New New New New New New New New New New New New New"/>
    <w:qFormat/>
    <w:uiPriority w:val="0"/>
    <w:pPr>
      <w:widowControl w:val="0"/>
      <w:spacing w:before="260" w:after="260"/>
      <w:jc w:val="both"/>
    </w:pPr>
    <w:rPr>
      <w:rFonts w:ascii="Times New Roman" w:hAnsi="Times New Roman" w:eastAsia="宋体" w:cs="Times New Roman"/>
      <w:kern w:val="2"/>
      <w:sz w:val="21"/>
      <w:lang w:val="en-US" w:eastAsia="zh-CN" w:bidi="ar-SA"/>
    </w:rPr>
  </w:style>
  <w:style w:type="paragraph" w:customStyle="1" w:styleId="301">
    <w:name w:val="55"/>
    <w:basedOn w:val="1"/>
    <w:qFormat/>
    <w:uiPriority w:val="0"/>
    <w:pPr>
      <w:adjustRightInd w:val="0"/>
      <w:spacing w:before="260" w:after="260" w:line="500" w:lineRule="exact"/>
      <w:ind w:firstLine="629"/>
    </w:pPr>
    <w:rPr>
      <w:rFonts w:ascii="仿宋_GB2312" w:eastAsia="仿宋_GB2312"/>
      <w:sz w:val="28"/>
      <w:szCs w:val="28"/>
    </w:rPr>
  </w:style>
  <w:style w:type="paragraph" w:customStyle="1" w:styleId="302">
    <w:name w:val="p0"/>
    <w:basedOn w:val="1"/>
    <w:qFormat/>
    <w:uiPriority w:val="0"/>
    <w:pPr>
      <w:widowControl/>
      <w:spacing w:before="260" w:after="260"/>
    </w:pPr>
    <w:rPr>
      <w:kern w:val="0"/>
      <w:szCs w:val="20"/>
    </w:rPr>
  </w:style>
  <w:style w:type="paragraph" w:customStyle="1" w:styleId="303">
    <w:name w:val="表格侧编号"/>
    <w:next w:val="1"/>
    <w:qFormat/>
    <w:uiPriority w:val="0"/>
    <w:pPr>
      <w:widowControl w:val="0"/>
      <w:spacing w:before="260" w:after="260"/>
      <w:jc w:val="center"/>
    </w:pPr>
    <w:rPr>
      <w:rFonts w:ascii="宋体" w:hAnsi="宋体" w:eastAsia="宋体" w:cs="Times New Roman"/>
      <w:kern w:val="2"/>
      <w:sz w:val="21"/>
      <w:lang w:val="en-US" w:eastAsia="zh-CN" w:bidi="ar-SA"/>
    </w:rPr>
  </w:style>
  <w:style w:type="paragraph" w:customStyle="1" w:styleId="304">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305">
    <w:name w:val="金正文1"/>
    <w:basedOn w:val="1"/>
    <w:qFormat/>
    <w:uiPriority w:val="0"/>
    <w:pPr>
      <w:spacing w:before="260" w:after="260" w:line="360" w:lineRule="auto"/>
      <w:jc w:val="left"/>
    </w:pPr>
    <w:rPr>
      <w:szCs w:val="20"/>
    </w:rPr>
  </w:style>
  <w:style w:type="paragraph" w:customStyle="1" w:styleId="306">
    <w:name w:val="默认段落字体 Para Char Char Char Char"/>
    <w:basedOn w:val="1"/>
    <w:qFormat/>
    <w:uiPriority w:val="0"/>
    <w:pPr>
      <w:snapToGrid w:val="0"/>
      <w:spacing w:before="260" w:after="260"/>
    </w:pPr>
    <w:rPr>
      <w:szCs w:val="20"/>
    </w:rPr>
  </w:style>
  <w:style w:type="paragraph" w:customStyle="1" w:styleId="307">
    <w:name w:val="正文文本 31"/>
    <w:basedOn w:val="1"/>
    <w:qFormat/>
    <w:uiPriority w:val="0"/>
    <w:pPr>
      <w:adjustRightInd w:val="0"/>
      <w:spacing w:before="260" w:after="260" w:line="360" w:lineRule="auto"/>
      <w:jc w:val="center"/>
      <w:textAlignment w:val="baseline"/>
    </w:pPr>
    <w:rPr>
      <w:rFonts w:ascii="宋体"/>
      <w:b/>
      <w:color w:val="FF0000"/>
      <w:kern w:val="0"/>
      <w:sz w:val="24"/>
      <w:szCs w:val="20"/>
      <w:u w:val="single"/>
    </w:rPr>
  </w:style>
  <w:style w:type="paragraph" w:customStyle="1" w:styleId="308">
    <w:name w:val="样式 55 + (西文) Times New Roman (中文) 宋体 五号 加粗 行距: 1.5 倍行距"/>
    <w:basedOn w:val="301"/>
    <w:qFormat/>
    <w:uiPriority w:val="0"/>
    <w:pPr>
      <w:snapToGrid w:val="0"/>
      <w:spacing w:line="360" w:lineRule="auto"/>
      <w:ind w:firstLine="0"/>
    </w:pPr>
    <w:rPr>
      <w:rFonts w:ascii="Times New Roman" w:eastAsia="黑体" w:cs="宋体"/>
      <w:bCs/>
      <w:szCs w:val="20"/>
    </w:rPr>
  </w:style>
  <w:style w:type="paragraph" w:customStyle="1" w:styleId="309">
    <w:name w:val="标题2（新）"/>
    <w:basedOn w:val="3"/>
    <w:qFormat/>
    <w:uiPriority w:val="0"/>
    <w:pPr>
      <w:widowControl/>
      <w:spacing w:before="0" w:after="0" w:line="440" w:lineRule="exact"/>
      <w:jc w:val="left"/>
    </w:pPr>
    <w:rPr>
      <w:rFonts w:hAnsi="Arial" w:eastAsia="宋体" w:cs="宋体"/>
      <w:b/>
      <w:i w:val="0"/>
      <w:iCs w:val="0"/>
      <w:snapToGrid w:val="0"/>
      <w:kern w:val="0"/>
      <w:sz w:val="28"/>
      <w:szCs w:val="28"/>
    </w:rPr>
  </w:style>
  <w:style w:type="paragraph" w:styleId="310">
    <w:name w:val="No Spacing"/>
    <w:link w:val="311"/>
    <w:qFormat/>
    <w:uiPriority w:val="1"/>
    <w:pPr>
      <w:spacing w:before="260" w:after="260"/>
      <w:jc w:val="both"/>
    </w:pPr>
    <w:rPr>
      <w:rFonts w:ascii="Calibri" w:hAnsi="Calibri" w:eastAsia="宋体" w:cs="Times New Roman"/>
      <w:sz w:val="22"/>
      <w:szCs w:val="22"/>
      <w:lang w:val="en-US" w:eastAsia="zh-CN" w:bidi="ar-SA"/>
    </w:rPr>
  </w:style>
  <w:style w:type="character" w:customStyle="1" w:styleId="311">
    <w:name w:val="无间隔 字符"/>
    <w:link w:val="310"/>
    <w:qFormat/>
    <w:uiPriority w:val="1"/>
    <w:rPr>
      <w:rFonts w:ascii="Calibri" w:hAnsi="Calibri"/>
      <w:sz w:val="22"/>
      <w:szCs w:val="22"/>
    </w:rPr>
  </w:style>
  <w:style w:type="paragraph" w:customStyle="1" w:styleId="312">
    <w:name w:val="正文文本缩进1"/>
    <w:basedOn w:val="1"/>
    <w:qFormat/>
    <w:uiPriority w:val="0"/>
    <w:pPr>
      <w:spacing w:before="260" w:after="120"/>
      <w:ind w:left="420" w:leftChars="200"/>
    </w:pPr>
    <w:rPr>
      <w:szCs w:val="21"/>
    </w:rPr>
  </w:style>
  <w:style w:type="paragraph" w:customStyle="1" w:styleId="313">
    <w:name w:val="索引 11"/>
    <w:basedOn w:val="1"/>
    <w:next w:val="1"/>
    <w:qFormat/>
    <w:uiPriority w:val="99"/>
    <w:pPr>
      <w:spacing w:before="260" w:after="260"/>
    </w:pPr>
    <w:rPr>
      <w:szCs w:val="21"/>
    </w:rPr>
  </w:style>
  <w:style w:type="paragraph" w:customStyle="1" w:styleId="314">
    <w:name w:val="文章正文"/>
    <w:basedOn w:val="1"/>
    <w:link w:val="315"/>
    <w:qFormat/>
    <w:uiPriority w:val="0"/>
    <w:pPr>
      <w:spacing w:before="260" w:after="260" w:line="360" w:lineRule="auto"/>
      <w:ind w:firstLine="200" w:firstLineChars="200"/>
    </w:pPr>
    <w:rPr>
      <w:rFonts w:ascii="Calibri" w:hAnsi="Calibri"/>
      <w:sz w:val="24"/>
    </w:rPr>
  </w:style>
  <w:style w:type="character" w:customStyle="1" w:styleId="315">
    <w:name w:val="文章正文 Char"/>
    <w:link w:val="314"/>
    <w:qFormat/>
    <w:uiPriority w:val="0"/>
    <w:rPr>
      <w:rFonts w:ascii="Calibri" w:hAnsi="Calibri"/>
      <w:kern w:val="2"/>
      <w:sz w:val="24"/>
      <w:szCs w:val="24"/>
    </w:rPr>
  </w:style>
  <w:style w:type="paragraph" w:customStyle="1" w:styleId="316">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317">
    <w:name w:val="Normal_3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18">
    <w:name w:val="Normal_11"/>
    <w:qFormat/>
    <w:uiPriority w:val="0"/>
    <w:pPr>
      <w:spacing w:before="120" w:after="240"/>
      <w:jc w:val="both"/>
    </w:pPr>
    <w:rPr>
      <w:rFonts w:ascii="Calibri" w:hAnsi="Calibri" w:eastAsia="Calibri" w:cs="Times New Roman"/>
      <w:sz w:val="22"/>
      <w:szCs w:val="22"/>
      <w:lang w:val="en-US" w:eastAsia="en-US" w:bidi="ar-SA"/>
    </w:rPr>
  </w:style>
  <w:style w:type="character" w:customStyle="1" w:styleId="319">
    <w:name w:val="正文文本首行缩进 2 字符"/>
    <w:basedOn w:val="81"/>
    <w:link w:val="54"/>
    <w:qFormat/>
    <w:uiPriority w:val="0"/>
    <w:rPr>
      <w:kern w:val="2"/>
      <w:sz w:val="21"/>
      <w:szCs w:val="24"/>
    </w:rPr>
  </w:style>
  <w:style w:type="paragraph" w:customStyle="1" w:styleId="320">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321">
    <w:name w:val="Normal_44"/>
    <w:qFormat/>
    <w:uiPriority w:val="0"/>
    <w:pPr>
      <w:spacing w:before="120" w:after="240"/>
      <w:jc w:val="both"/>
    </w:pPr>
    <w:rPr>
      <w:rFonts w:ascii="Calibri" w:hAnsi="Calibri" w:eastAsia="Calibri" w:cs="Times New Roman"/>
      <w:sz w:val="22"/>
      <w:szCs w:val="22"/>
      <w:lang w:val="en-US" w:eastAsia="en-US" w:bidi="ar-SA"/>
    </w:rPr>
  </w:style>
  <w:style w:type="paragraph" w:customStyle="1" w:styleId="322">
    <w:name w:val="Normal_45"/>
    <w:qFormat/>
    <w:uiPriority w:val="0"/>
    <w:pPr>
      <w:spacing w:before="120" w:after="240"/>
      <w:jc w:val="both"/>
    </w:pPr>
    <w:rPr>
      <w:rFonts w:ascii="Calibri" w:hAnsi="Calibri" w:eastAsia="Calibri" w:cs="Times New Roman"/>
      <w:sz w:val="22"/>
      <w:szCs w:val="22"/>
      <w:lang w:val="en-US" w:eastAsia="en-US" w:bidi="ar-SA"/>
    </w:rPr>
  </w:style>
  <w:style w:type="paragraph" w:customStyle="1" w:styleId="323">
    <w:name w:val="Normal_31"/>
    <w:qFormat/>
    <w:uiPriority w:val="0"/>
    <w:pPr>
      <w:spacing w:before="120" w:after="240"/>
      <w:jc w:val="both"/>
    </w:pPr>
    <w:rPr>
      <w:rFonts w:ascii="Calibri" w:hAnsi="Calibri" w:eastAsia="Calibri" w:cs="Times New Roman"/>
      <w:sz w:val="22"/>
      <w:szCs w:val="22"/>
      <w:lang w:val="en-US" w:eastAsia="en-US" w:bidi="ar-SA"/>
    </w:rPr>
  </w:style>
  <w:style w:type="paragraph" w:customStyle="1" w:styleId="324">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325">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326">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327">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28">
    <w:name w:val="Normal_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29">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30">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31">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32">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33">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34">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35">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36">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37">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38">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39">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40">
    <w:name w:val="Normal_1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41">
    <w:name w:val="Normal_1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42">
    <w:name w:val="Normal_1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43">
    <w:name w:val="Normal_1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44">
    <w:name w:val="Normal_1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45">
    <w:name w:val="Normal_1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46">
    <w:name w:val="Normal_1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47">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48">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49">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50">
    <w:name w:val="Normal_2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51">
    <w:name w:val="Normal_2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52">
    <w:name w:val="Normal_3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53">
    <w:name w:val="Normal_3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54">
    <w:name w:val="Normal_3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55">
    <w:name w:val="Normal_4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56">
    <w:name w:val="Normal_4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57">
    <w:name w:val="Normal_1_1"/>
    <w:qFormat/>
    <w:uiPriority w:val="0"/>
    <w:pPr>
      <w:spacing w:before="120" w:after="240"/>
      <w:jc w:val="both"/>
    </w:pPr>
    <w:rPr>
      <w:rFonts w:ascii="Calibri" w:hAnsi="Calibri" w:eastAsia="Calibri" w:cs="Times New Roman"/>
      <w:sz w:val="22"/>
      <w:szCs w:val="22"/>
      <w:lang w:val="en-US" w:eastAsia="en-US" w:bidi="ar-SA"/>
    </w:rPr>
  </w:style>
  <w:style w:type="paragraph" w:customStyle="1" w:styleId="358">
    <w:name w:val="Normal_2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359">
    <w:name w:val="Normal_21"/>
    <w:qFormat/>
    <w:uiPriority w:val="0"/>
    <w:pPr>
      <w:spacing w:before="120" w:after="240"/>
      <w:jc w:val="both"/>
    </w:pPr>
    <w:rPr>
      <w:rFonts w:ascii="Calibri" w:hAnsi="Calibri" w:eastAsia="Calibri" w:cs="Times New Roman"/>
      <w:sz w:val="22"/>
      <w:szCs w:val="22"/>
      <w:lang w:val="en-US" w:eastAsia="en-US" w:bidi="ar-SA"/>
    </w:rPr>
  </w:style>
  <w:style w:type="paragraph" w:customStyle="1" w:styleId="360">
    <w:name w:val="Normal_22"/>
    <w:qFormat/>
    <w:uiPriority w:val="0"/>
    <w:pPr>
      <w:spacing w:before="120" w:after="240"/>
      <w:jc w:val="both"/>
    </w:pPr>
    <w:rPr>
      <w:rFonts w:ascii="Calibri" w:hAnsi="Calibri" w:eastAsia="Calibri" w:cs="Times New Roman"/>
      <w:sz w:val="22"/>
      <w:szCs w:val="22"/>
      <w:lang w:val="en-US" w:eastAsia="en-US" w:bidi="ar-SA"/>
    </w:rPr>
  </w:style>
  <w:style w:type="paragraph" w:customStyle="1" w:styleId="361">
    <w:name w:val="Normal_23"/>
    <w:qFormat/>
    <w:uiPriority w:val="0"/>
    <w:pPr>
      <w:spacing w:before="120" w:after="240"/>
      <w:jc w:val="both"/>
    </w:pPr>
    <w:rPr>
      <w:rFonts w:ascii="Calibri" w:hAnsi="Calibri" w:eastAsia="Calibri" w:cs="Times New Roman"/>
      <w:sz w:val="22"/>
      <w:szCs w:val="22"/>
      <w:lang w:val="en-US" w:eastAsia="en-US" w:bidi="ar-SA"/>
    </w:rPr>
  </w:style>
  <w:style w:type="paragraph" w:customStyle="1" w:styleId="362">
    <w:name w:val="Normal_24"/>
    <w:qFormat/>
    <w:uiPriority w:val="0"/>
    <w:pPr>
      <w:spacing w:before="120" w:after="240"/>
      <w:jc w:val="both"/>
    </w:pPr>
    <w:rPr>
      <w:rFonts w:ascii="Calibri" w:hAnsi="Calibri" w:eastAsia="Calibri" w:cs="Times New Roman"/>
      <w:sz w:val="22"/>
      <w:szCs w:val="22"/>
      <w:lang w:val="en-US" w:eastAsia="en-US" w:bidi="ar-SA"/>
    </w:rPr>
  </w:style>
  <w:style w:type="paragraph" w:customStyle="1" w:styleId="363">
    <w:name w:val="Normal_25"/>
    <w:qFormat/>
    <w:uiPriority w:val="0"/>
    <w:pPr>
      <w:spacing w:before="120" w:after="240"/>
      <w:jc w:val="both"/>
    </w:pPr>
    <w:rPr>
      <w:rFonts w:ascii="Calibri" w:hAnsi="Calibri" w:eastAsia="Calibri" w:cs="Times New Roman"/>
      <w:sz w:val="22"/>
      <w:szCs w:val="22"/>
      <w:lang w:val="en-US" w:eastAsia="en-US" w:bidi="ar-SA"/>
    </w:rPr>
  </w:style>
  <w:style w:type="paragraph" w:customStyle="1" w:styleId="364">
    <w:name w:val="Normal_26"/>
    <w:qFormat/>
    <w:uiPriority w:val="0"/>
    <w:pPr>
      <w:spacing w:before="120" w:after="240"/>
      <w:jc w:val="both"/>
    </w:pPr>
    <w:rPr>
      <w:rFonts w:ascii="Calibri" w:hAnsi="Calibri" w:eastAsia="Calibri" w:cs="Times New Roman"/>
      <w:sz w:val="22"/>
      <w:szCs w:val="22"/>
      <w:lang w:val="en-US" w:eastAsia="en-US" w:bidi="ar-SA"/>
    </w:rPr>
  </w:style>
  <w:style w:type="paragraph" w:customStyle="1" w:styleId="365">
    <w:name w:val="Normal_27"/>
    <w:qFormat/>
    <w:uiPriority w:val="0"/>
    <w:pPr>
      <w:spacing w:before="120" w:after="240"/>
      <w:jc w:val="both"/>
    </w:pPr>
    <w:rPr>
      <w:rFonts w:ascii="Calibri" w:hAnsi="Calibri" w:eastAsia="Calibri" w:cs="Times New Roman"/>
      <w:sz w:val="22"/>
      <w:szCs w:val="22"/>
      <w:lang w:val="en-US" w:eastAsia="en-US" w:bidi="ar-SA"/>
    </w:rPr>
  </w:style>
  <w:style w:type="paragraph" w:customStyle="1" w:styleId="366">
    <w:name w:val="Normal_28"/>
    <w:qFormat/>
    <w:uiPriority w:val="0"/>
    <w:pPr>
      <w:spacing w:before="120" w:after="240"/>
      <w:jc w:val="both"/>
    </w:pPr>
    <w:rPr>
      <w:rFonts w:ascii="Calibri" w:hAnsi="Calibri" w:eastAsia="Calibri" w:cs="Times New Roman"/>
      <w:sz w:val="22"/>
      <w:szCs w:val="22"/>
      <w:lang w:val="en-US" w:eastAsia="en-US" w:bidi="ar-SA"/>
    </w:rPr>
  </w:style>
  <w:style w:type="paragraph" w:customStyle="1" w:styleId="367">
    <w:name w:val="Normal_29"/>
    <w:qFormat/>
    <w:uiPriority w:val="0"/>
    <w:pPr>
      <w:spacing w:before="120" w:after="240"/>
      <w:jc w:val="both"/>
    </w:pPr>
    <w:rPr>
      <w:rFonts w:ascii="Calibri" w:hAnsi="Calibri" w:eastAsia="Calibri" w:cs="Times New Roman"/>
      <w:sz w:val="22"/>
      <w:szCs w:val="22"/>
      <w:lang w:val="en-US" w:eastAsia="en-US" w:bidi="ar-SA"/>
    </w:rPr>
  </w:style>
  <w:style w:type="paragraph" w:customStyle="1" w:styleId="368">
    <w:name w:val="Normal_30"/>
    <w:qFormat/>
    <w:uiPriority w:val="0"/>
    <w:pPr>
      <w:spacing w:before="120" w:after="240"/>
      <w:jc w:val="both"/>
    </w:pPr>
    <w:rPr>
      <w:rFonts w:ascii="Calibri" w:hAnsi="Calibri" w:eastAsia="Calibri" w:cs="Times New Roman"/>
      <w:sz w:val="22"/>
      <w:szCs w:val="22"/>
      <w:lang w:val="en-US" w:eastAsia="en-US" w:bidi="ar-SA"/>
    </w:rPr>
  </w:style>
  <w:style w:type="paragraph" w:customStyle="1" w:styleId="369">
    <w:name w:val="Normal_32"/>
    <w:qFormat/>
    <w:uiPriority w:val="0"/>
    <w:pPr>
      <w:spacing w:before="120" w:after="240"/>
      <w:jc w:val="both"/>
    </w:pPr>
    <w:rPr>
      <w:rFonts w:ascii="Calibri" w:hAnsi="Calibri" w:eastAsia="Calibri" w:cs="Times New Roman"/>
      <w:sz w:val="22"/>
      <w:szCs w:val="22"/>
      <w:lang w:val="en-US" w:eastAsia="en-US" w:bidi="ar-SA"/>
    </w:rPr>
  </w:style>
  <w:style w:type="paragraph" w:customStyle="1" w:styleId="370">
    <w:name w:val="Normal_33"/>
    <w:qFormat/>
    <w:uiPriority w:val="0"/>
    <w:pPr>
      <w:spacing w:before="120" w:after="240"/>
      <w:jc w:val="both"/>
    </w:pPr>
    <w:rPr>
      <w:rFonts w:ascii="Calibri" w:hAnsi="Calibri" w:eastAsia="Calibri" w:cs="Times New Roman"/>
      <w:sz w:val="22"/>
      <w:szCs w:val="22"/>
      <w:lang w:val="en-US" w:eastAsia="en-US" w:bidi="ar-SA"/>
    </w:rPr>
  </w:style>
  <w:style w:type="paragraph" w:customStyle="1" w:styleId="371">
    <w:name w:val="Normal_34"/>
    <w:qFormat/>
    <w:uiPriority w:val="0"/>
    <w:pPr>
      <w:spacing w:before="120" w:after="240"/>
      <w:jc w:val="both"/>
    </w:pPr>
    <w:rPr>
      <w:rFonts w:ascii="Calibri" w:hAnsi="Calibri" w:eastAsia="Calibri" w:cs="Times New Roman"/>
      <w:sz w:val="22"/>
      <w:szCs w:val="22"/>
      <w:lang w:val="en-US" w:eastAsia="en-US" w:bidi="ar-SA"/>
    </w:rPr>
  </w:style>
  <w:style w:type="paragraph" w:customStyle="1" w:styleId="372">
    <w:name w:val="Normal_1"/>
    <w:qFormat/>
    <w:uiPriority w:val="0"/>
    <w:pPr>
      <w:spacing w:before="120" w:after="240"/>
      <w:jc w:val="both"/>
    </w:pPr>
    <w:rPr>
      <w:rFonts w:ascii="Calibri" w:hAnsi="Calibri" w:eastAsia="Calibri" w:cs="Times New Roman"/>
      <w:sz w:val="22"/>
      <w:szCs w:val="22"/>
      <w:lang w:val="en-US" w:eastAsia="en-US" w:bidi="ar-SA"/>
    </w:rPr>
  </w:style>
  <w:style w:type="character" w:customStyle="1" w:styleId="373">
    <w:name w:val="页眉 字符"/>
    <w:qFormat/>
    <w:uiPriority w:val="99"/>
  </w:style>
  <w:style w:type="character" w:customStyle="1" w:styleId="374">
    <w:name w:val="页脚 字符"/>
    <w:qFormat/>
    <w:uiPriority w:val="99"/>
  </w:style>
  <w:style w:type="paragraph" w:customStyle="1" w:styleId="375">
    <w:name w:val="Normal_20"/>
    <w:qFormat/>
    <w:uiPriority w:val="0"/>
    <w:pPr>
      <w:spacing w:before="120" w:after="240"/>
      <w:jc w:val="both"/>
    </w:pPr>
    <w:rPr>
      <w:rFonts w:ascii="Calibri" w:hAnsi="Calibri" w:eastAsia="Calibri" w:cs="Times New Roman"/>
      <w:sz w:val="22"/>
      <w:szCs w:val="22"/>
      <w:lang w:val="en-US" w:eastAsia="en-US" w:bidi="ar-SA"/>
    </w:rPr>
  </w:style>
  <w:style w:type="character" w:customStyle="1" w:styleId="376">
    <w:name w:val="标题 Char1"/>
    <w:qFormat/>
    <w:uiPriority w:val="10"/>
    <w:rPr>
      <w:rFonts w:ascii="Cambria" w:hAnsi="Cambria" w:eastAsia="宋体" w:cs="Times New Roman"/>
      <w:b/>
      <w:bCs/>
      <w:sz w:val="32"/>
      <w:szCs w:val="32"/>
    </w:rPr>
  </w:style>
  <w:style w:type="paragraph" w:customStyle="1" w:styleId="377">
    <w:name w:val="TOC 标题1"/>
    <w:basedOn w:val="2"/>
    <w:next w:val="1"/>
    <w:qFormat/>
    <w:uiPriority w:val="39"/>
    <w:pPr>
      <w:widowControl/>
      <w:spacing w:before="480" w:afterLines="50" w:line="276" w:lineRule="auto"/>
      <w:jc w:val="left"/>
      <w:outlineLvl w:val="9"/>
    </w:pPr>
    <w:rPr>
      <w:rFonts w:ascii="Cambria" w:hAnsi="Cambria"/>
      <w:color w:val="365F91"/>
      <w:kern w:val="0"/>
      <w:sz w:val="28"/>
      <w:szCs w:val="28"/>
    </w:rPr>
  </w:style>
  <w:style w:type="paragraph" w:customStyle="1" w:styleId="378">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0">
    <w:name w:val="Normal_0"/>
    <w:qFormat/>
    <w:uiPriority w:val="0"/>
    <w:rPr>
      <w:rFonts w:ascii="Times New Roman" w:hAnsi="Times New Roman" w:eastAsia="Times New Roman" w:cs="Times New Roman"/>
      <w:sz w:val="24"/>
      <w:szCs w:val="24"/>
    </w:rPr>
  </w:style>
  <w:style w:type="paragraph" w:customStyle="1" w:styleId="381">
    <w:name w:val="Normal_2"/>
    <w:qFormat/>
    <w:uiPriority w:val="0"/>
    <w:rPr>
      <w:rFonts w:ascii="Times New Roman" w:hAnsi="Times New Roman" w:eastAsia="Times New Roman" w:cs="Times New Roman"/>
      <w:sz w:val="24"/>
      <w:szCs w:val="24"/>
    </w:rPr>
  </w:style>
  <w:style w:type="paragraph" w:customStyle="1" w:styleId="382">
    <w:name w:val="Normal_1_0_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83">
    <w:name w:val="Normal_9_7"/>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84">
    <w:name w:val="Normal_9_13"/>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85">
    <w:name w:val="Normal_3_0_0"/>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86">
    <w:name w:val="Normal_9_14"/>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87">
    <w:name w:val="Normal_9_0_0"/>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88">
    <w:name w:val="正文_277_0"/>
    <w:next w:val="38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9">
    <w:name w:val="正文首行缩进 2_272"/>
    <w:basedOn w:val="390"/>
    <w:unhideWhenUsed/>
    <w:qFormat/>
    <w:uiPriority w:val="0"/>
    <w:pPr>
      <w:spacing w:before="260"/>
      <w:ind w:firstLine="420" w:firstLineChars="200"/>
    </w:pPr>
    <w:rPr>
      <w:szCs w:val="20"/>
    </w:rPr>
  </w:style>
  <w:style w:type="paragraph" w:customStyle="1" w:styleId="390">
    <w:name w:val="正文文本缩进_272"/>
    <w:basedOn w:val="391"/>
    <w:qFormat/>
    <w:uiPriority w:val="0"/>
    <w:pPr>
      <w:spacing w:after="120"/>
      <w:ind w:left="420" w:leftChars="200"/>
    </w:pPr>
    <w:rPr>
      <w:rFonts w:ascii="Times New Roman" w:hAnsi="Times New Roman" w:eastAsia="宋体" w:cs="Times New Roman"/>
      <w:szCs w:val="24"/>
    </w:rPr>
  </w:style>
  <w:style w:type="paragraph" w:customStyle="1" w:styleId="391">
    <w:name w:val="正文_277"/>
    <w:next w:val="38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2">
    <w:name w:val="Normal_8_0_0"/>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93">
    <w:name w:val="Normal_8_0_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94">
    <w:name w:val="Normal_8_0_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95">
    <w:name w:val="Normal_9_0_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96">
    <w:name w:val="Normal_9_0_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97">
    <w:name w:val="Normal_9_0_3"/>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98">
    <w:name w:val="Normal_9_0_4"/>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99">
    <w:name w:val="Normal_9_0_5"/>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0">
    <w:name w:val="Normal_9_3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1">
    <w:name w:val="Normal_9_0_6"/>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2">
    <w:name w:val="Normal_11_0_3"/>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3">
    <w:name w:val="Normal_9_34"/>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4">
    <w:name w:val="Normal_9_35"/>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5">
    <w:name w:val="Normal_9_36"/>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6">
    <w:name w:val="Normal_9_37"/>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7">
    <w:name w:val="Normal_10_0_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8">
    <w:name w:val="Normal_10_0_3"/>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9">
    <w:name w:val="Normal_10_0_4"/>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10">
    <w:name w:val="Normal_10_0_5"/>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11">
    <w:name w:val="Normal_9_4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12">
    <w:name w:val="Normal_9_4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13">
    <w:name w:val="Normal_9_43"/>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14">
    <w:name w:val="Normal_9_44"/>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15">
    <w:name w:val="Normal_12_0_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16">
    <w:name w:val="Normal_9_50"/>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17">
    <w:name w:val="Normal_9_5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18">
    <w:name w:val="正文_282_0"/>
    <w:next w:val="4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9">
    <w:name w:val="正文首行缩进 2_277"/>
    <w:basedOn w:val="420"/>
    <w:unhideWhenUsed/>
    <w:qFormat/>
    <w:uiPriority w:val="0"/>
    <w:pPr>
      <w:spacing w:before="260"/>
      <w:ind w:firstLine="420" w:firstLineChars="200"/>
    </w:pPr>
    <w:rPr>
      <w:szCs w:val="20"/>
    </w:rPr>
  </w:style>
  <w:style w:type="paragraph" w:customStyle="1" w:styleId="420">
    <w:name w:val="正文文本缩进_277"/>
    <w:basedOn w:val="421"/>
    <w:qFormat/>
    <w:uiPriority w:val="0"/>
    <w:pPr>
      <w:spacing w:after="120"/>
      <w:ind w:left="420" w:leftChars="200"/>
    </w:pPr>
    <w:rPr>
      <w:rFonts w:ascii="Times New Roman" w:hAnsi="Times New Roman" w:eastAsia="宋体" w:cs="Times New Roman"/>
      <w:szCs w:val="24"/>
    </w:rPr>
  </w:style>
  <w:style w:type="paragraph" w:customStyle="1" w:styleId="421">
    <w:name w:val="正文_282"/>
    <w:next w:val="4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2">
    <w:name w:val="正文_283_0"/>
    <w:next w:val="4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3">
    <w:name w:val="正文首行缩进 2_278"/>
    <w:basedOn w:val="424"/>
    <w:unhideWhenUsed/>
    <w:qFormat/>
    <w:uiPriority w:val="0"/>
    <w:pPr>
      <w:spacing w:before="260"/>
      <w:ind w:firstLine="420" w:firstLineChars="200"/>
    </w:pPr>
    <w:rPr>
      <w:szCs w:val="20"/>
    </w:rPr>
  </w:style>
  <w:style w:type="paragraph" w:customStyle="1" w:styleId="424">
    <w:name w:val="正文文本缩进_278"/>
    <w:basedOn w:val="425"/>
    <w:qFormat/>
    <w:uiPriority w:val="0"/>
    <w:pPr>
      <w:spacing w:after="120"/>
      <w:ind w:left="420" w:leftChars="200"/>
    </w:pPr>
    <w:rPr>
      <w:rFonts w:ascii="Times New Roman" w:hAnsi="Times New Roman" w:eastAsia="宋体" w:cs="Times New Roman"/>
      <w:szCs w:val="24"/>
    </w:rPr>
  </w:style>
  <w:style w:type="paragraph" w:customStyle="1" w:styleId="425">
    <w:name w:val="正文_283"/>
    <w:next w:val="4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6">
    <w:name w:val="正文_284_0"/>
    <w:next w:val="4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7">
    <w:name w:val="正文首行缩进 2_279"/>
    <w:basedOn w:val="428"/>
    <w:unhideWhenUsed/>
    <w:qFormat/>
    <w:uiPriority w:val="0"/>
    <w:pPr>
      <w:spacing w:before="260"/>
      <w:ind w:firstLine="420" w:firstLineChars="200"/>
    </w:pPr>
    <w:rPr>
      <w:szCs w:val="20"/>
    </w:rPr>
  </w:style>
  <w:style w:type="paragraph" w:customStyle="1" w:styleId="428">
    <w:name w:val="正文文本缩进_279"/>
    <w:basedOn w:val="429"/>
    <w:qFormat/>
    <w:uiPriority w:val="0"/>
    <w:pPr>
      <w:spacing w:after="120"/>
      <w:ind w:left="420" w:leftChars="200"/>
    </w:pPr>
    <w:rPr>
      <w:rFonts w:ascii="Times New Roman" w:hAnsi="Times New Roman" w:eastAsia="宋体" w:cs="Times New Roman"/>
      <w:szCs w:val="24"/>
    </w:rPr>
  </w:style>
  <w:style w:type="paragraph" w:customStyle="1" w:styleId="429">
    <w:name w:val="正文_284"/>
    <w:next w:val="4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0">
    <w:name w:val="正文_285_0"/>
    <w:next w:val="4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1">
    <w:name w:val="正文首行缩进 2_280"/>
    <w:basedOn w:val="432"/>
    <w:unhideWhenUsed/>
    <w:qFormat/>
    <w:uiPriority w:val="0"/>
    <w:pPr>
      <w:spacing w:before="260"/>
      <w:ind w:firstLine="420" w:firstLineChars="200"/>
    </w:pPr>
    <w:rPr>
      <w:szCs w:val="20"/>
    </w:rPr>
  </w:style>
  <w:style w:type="paragraph" w:customStyle="1" w:styleId="432">
    <w:name w:val="正文文本缩进_280"/>
    <w:basedOn w:val="433"/>
    <w:qFormat/>
    <w:uiPriority w:val="0"/>
    <w:pPr>
      <w:spacing w:after="120"/>
      <w:ind w:left="420" w:leftChars="200"/>
    </w:pPr>
    <w:rPr>
      <w:rFonts w:ascii="Times New Roman" w:hAnsi="Times New Roman" w:eastAsia="宋体" w:cs="Times New Roman"/>
      <w:szCs w:val="24"/>
    </w:rPr>
  </w:style>
  <w:style w:type="paragraph" w:customStyle="1" w:styleId="433">
    <w:name w:val="正文_285"/>
    <w:next w:val="4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4">
    <w:name w:val="正文_286_0"/>
    <w:next w:val="4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5">
    <w:name w:val="正文首行缩进 2_281"/>
    <w:basedOn w:val="436"/>
    <w:unhideWhenUsed/>
    <w:qFormat/>
    <w:uiPriority w:val="0"/>
    <w:pPr>
      <w:spacing w:before="260"/>
      <w:ind w:firstLine="420" w:firstLineChars="200"/>
    </w:pPr>
    <w:rPr>
      <w:szCs w:val="20"/>
    </w:rPr>
  </w:style>
  <w:style w:type="paragraph" w:customStyle="1" w:styleId="436">
    <w:name w:val="正文文本缩进_281"/>
    <w:basedOn w:val="437"/>
    <w:qFormat/>
    <w:uiPriority w:val="0"/>
    <w:pPr>
      <w:spacing w:after="120"/>
      <w:ind w:left="420" w:leftChars="200"/>
    </w:pPr>
    <w:rPr>
      <w:rFonts w:ascii="Times New Roman" w:hAnsi="Times New Roman" w:eastAsia="宋体" w:cs="Times New Roman"/>
      <w:szCs w:val="24"/>
    </w:rPr>
  </w:style>
  <w:style w:type="paragraph" w:customStyle="1" w:styleId="437">
    <w:name w:val="正文_286"/>
    <w:next w:val="4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8">
    <w:name w:val="正文_287_0"/>
    <w:next w:val="4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9">
    <w:name w:val="正文首行缩进 2_282"/>
    <w:basedOn w:val="440"/>
    <w:unhideWhenUsed/>
    <w:qFormat/>
    <w:uiPriority w:val="0"/>
    <w:pPr>
      <w:spacing w:before="260"/>
      <w:ind w:firstLine="420" w:firstLineChars="200"/>
    </w:pPr>
    <w:rPr>
      <w:szCs w:val="20"/>
    </w:rPr>
  </w:style>
  <w:style w:type="paragraph" w:customStyle="1" w:styleId="440">
    <w:name w:val="正文文本缩进_282"/>
    <w:basedOn w:val="441"/>
    <w:qFormat/>
    <w:uiPriority w:val="0"/>
    <w:pPr>
      <w:spacing w:after="120"/>
      <w:ind w:left="420" w:leftChars="200"/>
    </w:pPr>
    <w:rPr>
      <w:rFonts w:ascii="Times New Roman" w:hAnsi="Times New Roman" w:eastAsia="宋体" w:cs="Times New Roman"/>
      <w:szCs w:val="24"/>
    </w:rPr>
  </w:style>
  <w:style w:type="paragraph" w:customStyle="1" w:styleId="441">
    <w:name w:val="正文_287"/>
    <w:next w:val="4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2">
    <w:name w:val="正文_288_0"/>
    <w:next w:val="4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3">
    <w:name w:val="正文首行缩进 2_283"/>
    <w:basedOn w:val="444"/>
    <w:unhideWhenUsed/>
    <w:qFormat/>
    <w:uiPriority w:val="0"/>
    <w:pPr>
      <w:spacing w:before="260"/>
      <w:ind w:firstLine="420" w:firstLineChars="200"/>
    </w:pPr>
    <w:rPr>
      <w:szCs w:val="20"/>
    </w:rPr>
  </w:style>
  <w:style w:type="paragraph" w:customStyle="1" w:styleId="444">
    <w:name w:val="正文文本缩进_283"/>
    <w:basedOn w:val="445"/>
    <w:qFormat/>
    <w:uiPriority w:val="0"/>
    <w:pPr>
      <w:spacing w:after="120"/>
      <w:ind w:left="420" w:leftChars="200"/>
    </w:pPr>
    <w:rPr>
      <w:rFonts w:ascii="Times New Roman" w:hAnsi="Times New Roman" w:eastAsia="宋体" w:cs="Times New Roman"/>
      <w:szCs w:val="24"/>
    </w:rPr>
  </w:style>
  <w:style w:type="paragraph" w:customStyle="1" w:styleId="445">
    <w:name w:val="正文_288"/>
    <w:next w:val="4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6">
    <w:name w:val="正文_289_0"/>
    <w:next w:val="4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7">
    <w:name w:val="正文首行缩进 2_284"/>
    <w:basedOn w:val="448"/>
    <w:unhideWhenUsed/>
    <w:qFormat/>
    <w:uiPriority w:val="0"/>
    <w:pPr>
      <w:spacing w:before="260"/>
      <w:ind w:firstLine="420" w:firstLineChars="200"/>
    </w:pPr>
    <w:rPr>
      <w:szCs w:val="20"/>
    </w:rPr>
  </w:style>
  <w:style w:type="paragraph" w:customStyle="1" w:styleId="448">
    <w:name w:val="正文文本缩进_284"/>
    <w:basedOn w:val="449"/>
    <w:qFormat/>
    <w:uiPriority w:val="0"/>
    <w:pPr>
      <w:spacing w:after="120"/>
      <w:ind w:left="420" w:leftChars="200"/>
    </w:pPr>
    <w:rPr>
      <w:rFonts w:ascii="Times New Roman" w:hAnsi="Times New Roman" w:eastAsia="宋体" w:cs="Times New Roman"/>
      <w:szCs w:val="24"/>
    </w:rPr>
  </w:style>
  <w:style w:type="paragraph" w:customStyle="1" w:styleId="449">
    <w:name w:val="正文_289"/>
    <w:next w:val="4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0">
    <w:name w:val="正文_290_0"/>
    <w:next w:val="45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1">
    <w:name w:val="正文首行缩进 2_285"/>
    <w:basedOn w:val="452"/>
    <w:unhideWhenUsed/>
    <w:qFormat/>
    <w:uiPriority w:val="0"/>
    <w:pPr>
      <w:spacing w:before="260"/>
      <w:ind w:firstLine="420" w:firstLineChars="200"/>
    </w:pPr>
    <w:rPr>
      <w:szCs w:val="20"/>
    </w:rPr>
  </w:style>
  <w:style w:type="paragraph" w:customStyle="1" w:styleId="452">
    <w:name w:val="正文文本缩进_285"/>
    <w:basedOn w:val="453"/>
    <w:qFormat/>
    <w:uiPriority w:val="0"/>
    <w:pPr>
      <w:spacing w:after="120"/>
      <w:ind w:left="420" w:leftChars="200"/>
    </w:pPr>
    <w:rPr>
      <w:rFonts w:ascii="Times New Roman" w:hAnsi="Times New Roman" w:eastAsia="宋体" w:cs="Times New Roman"/>
      <w:szCs w:val="24"/>
    </w:rPr>
  </w:style>
  <w:style w:type="paragraph" w:customStyle="1" w:styleId="453">
    <w:name w:val="正文_290"/>
    <w:next w:val="45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4">
    <w:name w:val="正文_291_0"/>
    <w:next w:val="4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5">
    <w:name w:val="正文首行缩进 2_286"/>
    <w:basedOn w:val="456"/>
    <w:unhideWhenUsed/>
    <w:qFormat/>
    <w:uiPriority w:val="0"/>
    <w:pPr>
      <w:spacing w:before="260"/>
      <w:ind w:firstLine="420" w:firstLineChars="200"/>
    </w:pPr>
    <w:rPr>
      <w:szCs w:val="20"/>
    </w:rPr>
  </w:style>
  <w:style w:type="paragraph" w:customStyle="1" w:styleId="456">
    <w:name w:val="正文文本缩进_286"/>
    <w:basedOn w:val="457"/>
    <w:qFormat/>
    <w:uiPriority w:val="0"/>
    <w:pPr>
      <w:spacing w:after="120"/>
      <w:ind w:left="420" w:leftChars="200"/>
    </w:pPr>
    <w:rPr>
      <w:rFonts w:ascii="Times New Roman" w:hAnsi="Times New Roman" w:eastAsia="宋体" w:cs="Times New Roman"/>
      <w:szCs w:val="24"/>
    </w:rPr>
  </w:style>
  <w:style w:type="paragraph" w:customStyle="1" w:styleId="457">
    <w:name w:val="正文_291"/>
    <w:next w:val="4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8">
    <w:name w:val="正文_292_0"/>
    <w:next w:val="4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9">
    <w:name w:val="正文首行缩进 2_287"/>
    <w:basedOn w:val="460"/>
    <w:unhideWhenUsed/>
    <w:qFormat/>
    <w:uiPriority w:val="0"/>
    <w:pPr>
      <w:spacing w:before="260"/>
      <w:ind w:firstLine="420" w:firstLineChars="200"/>
    </w:pPr>
    <w:rPr>
      <w:szCs w:val="20"/>
    </w:rPr>
  </w:style>
  <w:style w:type="paragraph" w:customStyle="1" w:styleId="460">
    <w:name w:val="正文文本缩进_287"/>
    <w:basedOn w:val="461"/>
    <w:qFormat/>
    <w:uiPriority w:val="0"/>
    <w:pPr>
      <w:spacing w:after="120"/>
      <w:ind w:left="420" w:leftChars="200"/>
    </w:pPr>
    <w:rPr>
      <w:rFonts w:ascii="Times New Roman" w:hAnsi="Times New Roman" w:eastAsia="宋体" w:cs="Times New Roman"/>
      <w:szCs w:val="24"/>
    </w:rPr>
  </w:style>
  <w:style w:type="paragraph" w:customStyle="1" w:styleId="461">
    <w:name w:val="正文_292"/>
    <w:next w:val="4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2">
    <w:name w:val="正文_293_0"/>
    <w:next w:val="4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3">
    <w:name w:val="正文首行缩进 2_288"/>
    <w:basedOn w:val="464"/>
    <w:unhideWhenUsed/>
    <w:qFormat/>
    <w:uiPriority w:val="0"/>
    <w:pPr>
      <w:spacing w:before="260"/>
      <w:ind w:firstLine="420" w:firstLineChars="200"/>
    </w:pPr>
    <w:rPr>
      <w:szCs w:val="20"/>
    </w:rPr>
  </w:style>
  <w:style w:type="paragraph" w:customStyle="1" w:styleId="464">
    <w:name w:val="正文文本缩进_288"/>
    <w:basedOn w:val="465"/>
    <w:qFormat/>
    <w:uiPriority w:val="0"/>
    <w:pPr>
      <w:spacing w:after="120"/>
      <w:ind w:left="420" w:leftChars="200"/>
    </w:pPr>
    <w:rPr>
      <w:rFonts w:ascii="Times New Roman" w:hAnsi="Times New Roman" w:eastAsia="宋体" w:cs="Times New Roman"/>
      <w:szCs w:val="24"/>
    </w:rPr>
  </w:style>
  <w:style w:type="paragraph" w:customStyle="1" w:styleId="465">
    <w:name w:val="正文_293"/>
    <w:next w:val="4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6">
    <w:name w:val="正文_294_0"/>
    <w:next w:val="46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7">
    <w:name w:val="正文首行缩进 2_289"/>
    <w:basedOn w:val="468"/>
    <w:unhideWhenUsed/>
    <w:qFormat/>
    <w:uiPriority w:val="0"/>
    <w:pPr>
      <w:spacing w:before="260"/>
      <w:ind w:firstLine="420" w:firstLineChars="200"/>
    </w:pPr>
    <w:rPr>
      <w:szCs w:val="20"/>
    </w:rPr>
  </w:style>
  <w:style w:type="paragraph" w:customStyle="1" w:styleId="468">
    <w:name w:val="正文文本缩进_289"/>
    <w:basedOn w:val="469"/>
    <w:qFormat/>
    <w:uiPriority w:val="0"/>
    <w:pPr>
      <w:spacing w:after="120"/>
      <w:ind w:left="420" w:leftChars="200"/>
    </w:pPr>
    <w:rPr>
      <w:rFonts w:ascii="Times New Roman" w:hAnsi="Times New Roman" w:eastAsia="宋体" w:cs="Times New Roman"/>
      <w:szCs w:val="24"/>
    </w:rPr>
  </w:style>
  <w:style w:type="paragraph" w:customStyle="1" w:styleId="469">
    <w:name w:val="正文_294"/>
    <w:next w:val="46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0">
    <w:name w:val="正文_295_0"/>
    <w:next w:val="47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1">
    <w:name w:val="正文首行缩进 2_290"/>
    <w:basedOn w:val="472"/>
    <w:unhideWhenUsed/>
    <w:qFormat/>
    <w:uiPriority w:val="0"/>
    <w:pPr>
      <w:spacing w:before="260"/>
      <w:ind w:firstLine="420" w:firstLineChars="200"/>
    </w:pPr>
    <w:rPr>
      <w:szCs w:val="20"/>
    </w:rPr>
  </w:style>
  <w:style w:type="paragraph" w:customStyle="1" w:styleId="472">
    <w:name w:val="正文文本缩进_290"/>
    <w:basedOn w:val="473"/>
    <w:qFormat/>
    <w:uiPriority w:val="0"/>
    <w:pPr>
      <w:spacing w:after="120"/>
      <w:ind w:left="420" w:leftChars="200"/>
    </w:pPr>
    <w:rPr>
      <w:rFonts w:ascii="Times New Roman" w:hAnsi="Times New Roman" w:eastAsia="宋体" w:cs="Times New Roman"/>
      <w:szCs w:val="24"/>
    </w:rPr>
  </w:style>
  <w:style w:type="paragraph" w:customStyle="1" w:styleId="473">
    <w:name w:val="正文_295"/>
    <w:next w:val="47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4">
    <w:name w:val="Normal_9_59"/>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75">
    <w:name w:val="Normal_9_60"/>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76">
    <w:name w:val="正文_49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77">
    <w:name w:val="脚注引用_4_0"/>
    <w:qFormat/>
    <w:uiPriority w:val="0"/>
    <w:rPr>
      <w:rFonts w:ascii="Calibri" w:hAnsi="Calibri" w:eastAsia="宋体"/>
      <w:vertAlign w:val="superscript"/>
    </w:rPr>
  </w:style>
  <w:style w:type="paragraph" w:customStyle="1" w:styleId="478">
    <w:name w:val="Normal_16"/>
    <w:qFormat/>
    <w:uiPriority w:val="0"/>
    <w:rPr>
      <w:rFonts w:ascii="Times New Roman" w:hAnsi="Times New Roman" w:eastAsia="Times New Roman" w:cs="Times New Roman"/>
      <w:sz w:val="24"/>
      <w:szCs w:val="24"/>
    </w:rPr>
  </w:style>
  <w:style w:type="paragraph" w:customStyle="1" w:styleId="479">
    <w:name w:val="正文_1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0">
    <w:name w:val="脚注文本_3_0"/>
    <w:basedOn w:val="476"/>
    <w:qFormat/>
    <w:uiPriority w:val="0"/>
    <w:pPr>
      <w:adjustRightInd w:val="0"/>
      <w:snapToGrid w:val="0"/>
      <w:spacing w:line="420" w:lineRule="atLeast"/>
      <w:ind w:firstLine="454"/>
      <w:jc w:val="left"/>
      <w:textAlignment w:val="baseline"/>
    </w:pPr>
    <w:rPr>
      <w:kern w:val="0"/>
      <w:sz w:val="18"/>
      <w:szCs w:val="20"/>
      <w:lang w:val="zh-CN"/>
    </w:rPr>
  </w:style>
  <w:style w:type="paragraph" w:customStyle="1" w:styleId="481">
    <w:name w:val="正文_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2">
    <w:name w:val="17"/>
    <w:qFormat/>
    <w:uiPriority w:val="0"/>
    <w:rPr>
      <w:rFonts w:hint="default" w:ascii="Calibri" w:hAnsi="Calibri" w:cs="Calibri"/>
      <w:vertAlign w:val="superscript"/>
    </w:rPr>
  </w:style>
  <w:style w:type="paragraph" w:customStyle="1" w:styleId="483">
    <w:name w:val="正文_189_0"/>
    <w:basedOn w:val="1"/>
    <w:next w:val="484"/>
    <w:qFormat/>
    <w:uiPriority w:val="0"/>
    <w:rPr>
      <w:rFonts w:ascii="Times New Roman" w:hAnsi="Times New Roman"/>
      <w:szCs w:val="21"/>
    </w:rPr>
  </w:style>
  <w:style w:type="paragraph" w:customStyle="1" w:styleId="484">
    <w:name w:val="正文首行缩进 2_184"/>
    <w:basedOn w:val="1"/>
    <w:qFormat/>
    <w:uiPriority w:val="0"/>
    <w:rPr>
      <w:rFonts w:cs="Calibri"/>
      <w:szCs w:val="21"/>
    </w:rPr>
  </w:style>
  <w:style w:type="character" w:customStyle="1" w:styleId="485">
    <w:name w:val="16"/>
    <w:qFormat/>
    <w:uiPriority w:val="0"/>
    <w:rPr>
      <w:rFonts w:hint="default" w:ascii="Arial" w:hAnsi="Arial" w:eastAsia="宋体" w:cs="Arial"/>
      <w:b/>
      <w:bCs/>
      <w:sz w:val="32"/>
      <w:szCs w:val="32"/>
    </w:rPr>
  </w:style>
  <w:style w:type="paragraph" w:customStyle="1" w:styleId="486">
    <w:name w:val="正文_190_0"/>
    <w:basedOn w:val="1"/>
    <w:next w:val="487"/>
    <w:qFormat/>
    <w:uiPriority w:val="0"/>
    <w:rPr>
      <w:rFonts w:ascii="Times New Roman" w:hAnsi="Times New Roman"/>
      <w:szCs w:val="21"/>
    </w:rPr>
  </w:style>
  <w:style w:type="paragraph" w:customStyle="1" w:styleId="487">
    <w:name w:val="正文首行缩进 2_185"/>
    <w:basedOn w:val="1"/>
    <w:qFormat/>
    <w:uiPriority w:val="0"/>
    <w:rPr>
      <w:rFonts w:cs="Calibri"/>
      <w:szCs w:val="21"/>
    </w:rPr>
  </w:style>
  <w:style w:type="paragraph" w:customStyle="1" w:styleId="488">
    <w:name w:val="正文文本_2"/>
    <w:basedOn w:val="489"/>
    <w:qFormat/>
    <w:uiPriority w:val="0"/>
    <w:pPr>
      <w:spacing w:before="100" w:beforeAutospacing="1" w:after="120"/>
    </w:pPr>
  </w:style>
  <w:style w:type="paragraph" w:customStyle="1" w:styleId="489">
    <w:name w:val="正文_191"/>
    <w:basedOn w:val="1"/>
    <w:next w:val="490"/>
    <w:qFormat/>
    <w:uiPriority w:val="0"/>
    <w:rPr>
      <w:rFonts w:ascii="Times New Roman" w:hAnsi="Times New Roman"/>
      <w:szCs w:val="21"/>
    </w:rPr>
  </w:style>
  <w:style w:type="paragraph" w:customStyle="1" w:styleId="490">
    <w:name w:val="正文首行缩进 2_186"/>
    <w:basedOn w:val="1"/>
    <w:qFormat/>
    <w:uiPriority w:val="0"/>
    <w:rPr>
      <w:rFonts w:cs="Calibri"/>
      <w:szCs w:val="21"/>
    </w:rPr>
  </w:style>
  <w:style w:type="paragraph" w:customStyle="1" w:styleId="491">
    <w:name w:val="正文文本_3"/>
    <w:basedOn w:val="492"/>
    <w:qFormat/>
    <w:uiPriority w:val="0"/>
    <w:pPr>
      <w:spacing w:before="100" w:beforeAutospacing="1" w:after="120"/>
    </w:pPr>
  </w:style>
  <w:style w:type="paragraph" w:customStyle="1" w:styleId="492">
    <w:name w:val="正文_192"/>
    <w:basedOn w:val="1"/>
    <w:next w:val="493"/>
    <w:qFormat/>
    <w:uiPriority w:val="0"/>
    <w:rPr>
      <w:rFonts w:ascii="Times New Roman" w:hAnsi="Times New Roman"/>
      <w:szCs w:val="21"/>
    </w:rPr>
  </w:style>
  <w:style w:type="paragraph" w:customStyle="1" w:styleId="493">
    <w:name w:val="正文首行缩进 2_187"/>
    <w:basedOn w:val="1"/>
    <w:qFormat/>
    <w:uiPriority w:val="0"/>
    <w:rPr>
      <w:rFonts w:cs="Calibri"/>
      <w:szCs w:val="21"/>
    </w:rPr>
  </w:style>
  <w:style w:type="paragraph" w:customStyle="1" w:styleId="494">
    <w:name w:val="Normal_0_0_1"/>
    <w:basedOn w:val="1"/>
    <w:qFormat/>
    <w:uiPriority w:val="0"/>
    <w:pPr>
      <w:widowControl/>
      <w:spacing w:before="120" w:after="240"/>
    </w:pPr>
    <w:rPr>
      <w:rFonts w:ascii="Times New Roman" w:hAnsi="Times New Roman" w:eastAsia="Calibri"/>
      <w:kern w:val="0"/>
      <w:sz w:val="22"/>
    </w:rPr>
  </w:style>
  <w:style w:type="paragraph" w:customStyle="1" w:styleId="495">
    <w:name w:val="Normal_1_0_0"/>
    <w:basedOn w:val="1"/>
    <w:qFormat/>
    <w:uiPriority w:val="0"/>
    <w:pPr>
      <w:widowControl/>
      <w:spacing w:before="120" w:after="240"/>
    </w:pPr>
    <w:rPr>
      <w:rFonts w:ascii="Times New Roman" w:hAnsi="Times New Roman" w:eastAsia="Calibri"/>
      <w:kern w:val="0"/>
      <w:sz w:val="22"/>
    </w:rPr>
  </w:style>
  <w:style w:type="paragraph" w:customStyle="1" w:styleId="496">
    <w:name w:val="Normal_9_6"/>
    <w:basedOn w:val="1"/>
    <w:qFormat/>
    <w:uiPriority w:val="0"/>
    <w:pPr>
      <w:widowControl/>
      <w:spacing w:before="120" w:after="240"/>
    </w:pPr>
    <w:rPr>
      <w:rFonts w:ascii="Times New Roman" w:hAnsi="Times New Roman" w:eastAsia="Calibri"/>
      <w:kern w:val="0"/>
      <w:sz w:val="22"/>
    </w:rPr>
  </w:style>
  <w:style w:type="paragraph" w:customStyle="1" w:styleId="497">
    <w:name w:val="Normal_2_0_0"/>
    <w:basedOn w:val="1"/>
    <w:qFormat/>
    <w:uiPriority w:val="0"/>
    <w:pPr>
      <w:widowControl/>
      <w:spacing w:before="120" w:after="240"/>
    </w:pPr>
    <w:rPr>
      <w:rFonts w:ascii="Times New Roman" w:hAnsi="Times New Roman" w:eastAsia="Calibri"/>
      <w:kern w:val="0"/>
      <w:sz w:val="22"/>
    </w:rPr>
  </w:style>
  <w:style w:type="paragraph" w:customStyle="1" w:styleId="498">
    <w:name w:val="Normal_9_8"/>
    <w:basedOn w:val="1"/>
    <w:qFormat/>
    <w:uiPriority w:val="0"/>
    <w:pPr>
      <w:widowControl/>
      <w:spacing w:before="120" w:after="240"/>
    </w:pPr>
    <w:rPr>
      <w:rFonts w:ascii="Times New Roman" w:hAnsi="Times New Roman" w:eastAsia="Calibri"/>
      <w:kern w:val="0"/>
      <w:sz w:val="22"/>
    </w:rPr>
  </w:style>
  <w:style w:type="paragraph" w:customStyle="1" w:styleId="499">
    <w:name w:val="Normal_9_9"/>
    <w:basedOn w:val="1"/>
    <w:qFormat/>
    <w:uiPriority w:val="0"/>
    <w:pPr>
      <w:widowControl/>
      <w:spacing w:before="120" w:after="240"/>
    </w:pPr>
    <w:rPr>
      <w:rFonts w:ascii="Times New Roman" w:hAnsi="Times New Roman" w:eastAsia="Calibri"/>
      <w:kern w:val="0"/>
      <w:sz w:val="22"/>
    </w:rPr>
  </w:style>
  <w:style w:type="paragraph" w:customStyle="1" w:styleId="500">
    <w:name w:val="Normal_9_10"/>
    <w:basedOn w:val="1"/>
    <w:qFormat/>
    <w:uiPriority w:val="0"/>
    <w:pPr>
      <w:widowControl/>
      <w:spacing w:before="120" w:after="240"/>
    </w:pPr>
    <w:rPr>
      <w:rFonts w:ascii="Times New Roman" w:hAnsi="Times New Roman" w:eastAsia="Calibri"/>
      <w:kern w:val="0"/>
      <w:sz w:val="22"/>
    </w:rPr>
  </w:style>
  <w:style w:type="paragraph" w:customStyle="1" w:styleId="501">
    <w:name w:val="Normal_9_11"/>
    <w:basedOn w:val="1"/>
    <w:qFormat/>
    <w:uiPriority w:val="0"/>
    <w:pPr>
      <w:widowControl/>
      <w:spacing w:before="120" w:after="240"/>
    </w:pPr>
    <w:rPr>
      <w:rFonts w:ascii="Times New Roman" w:hAnsi="Times New Roman" w:eastAsia="Calibri"/>
      <w:kern w:val="0"/>
      <w:sz w:val="22"/>
    </w:rPr>
  </w:style>
  <w:style w:type="paragraph" w:customStyle="1" w:styleId="502">
    <w:name w:val="Normal_9_12"/>
    <w:basedOn w:val="1"/>
    <w:qFormat/>
    <w:uiPriority w:val="0"/>
    <w:pPr>
      <w:widowControl/>
      <w:spacing w:before="120" w:after="240"/>
    </w:pPr>
    <w:rPr>
      <w:rFonts w:ascii="Times New Roman" w:hAnsi="Times New Roman" w:eastAsia="Calibri"/>
      <w:kern w:val="0"/>
      <w:sz w:val="22"/>
    </w:rPr>
  </w:style>
  <w:style w:type="paragraph" w:customStyle="1" w:styleId="503">
    <w:name w:val="Normal_2_0_2"/>
    <w:basedOn w:val="1"/>
    <w:qFormat/>
    <w:uiPriority w:val="0"/>
    <w:pPr>
      <w:widowControl/>
      <w:spacing w:before="120" w:after="240"/>
    </w:pPr>
    <w:rPr>
      <w:rFonts w:ascii="Times New Roman" w:hAnsi="Times New Roman" w:eastAsia="Calibri"/>
      <w:kern w:val="0"/>
      <w:sz w:val="22"/>
    </w:rPr>
  </w:style>
  <w:style w:type="paragraph" w:customStyle="1" w:styleId="504">
    <w:name w:val="Normal_9_15"/>
    <w:basedOn w:val="1"/>
    <w:qFormat/>
    <w:uiPriority w:val="0"/>
    <w:pPr>
      <w:widowControl/>
      <w:spacing w:before="120" w:after="240"/>
    </w:pPr>
    <w:rPr>
      <w:rFonts w:ascii="Times New Roman" w:hAnsi="Times New Roman" w:eastAsia="Calibri"/>
      <w:kern w:val="0"/>
      <w:sz w:val="22"/>
    </w:rPr>
  </w:style>
  <w:style w:type="paragraph" w:customStyle="1" w:styleId="505">
    <w:name w:val="Normal_4_0_0"/>
    <w:basedOn w:val="1"/>
    <w:qFormat/>
    <w:uiPriority w:val="0"/>
    <w:pPr>
      <w:widowControl/>
      <w:spacing w:before="120" w:after="240"/>
    </w:pPr>
    <w:rPr>
      <w:rFonts w:ascii="Times New Roman" w:hAnsi="Times New Roman" w:eastAsia="Calibri"/>
      <w:kern w:val="0"/>
      <w:sz w:val="22"/>
    </w:rPr>
  </w:style>
  <w:style w:type="paragraph" w:customStyle="1" w:styleId="506">
    <w:name w:val="Normal_4_0_1"/>
    <w:basedOn w:val="1"/>
    <w:qFormat/>
    <w:uiPriority w:val="0"/>
    <w:pPr>
      <w:widowControl/>
      <w:spacing w:before="120" w:after="240"/>
    </w:pPr>
    <w:rPr>
      <w:rFonts w:ascii="Times New Roman" w:hAnsi="Times New Roman" w:eastAsia="Calibri"/>
      <w:kern w:val="0"/>
      <w:sz w:val="22"/>
    </w:rPr>
  </w:style>
  <w:style w:type="paragraph" w:customStyle="1" w:styleId="507">
    <w:name w:val="Normal_9_16"/>
    <w:basedOn w:val="1"/>
    <w:qFormat/>
    <w:uiPriority w:val="0"/>
    <w:pPr>
      <w:widowControl/>
      <w:spacing w:before="120" w:after="240"/>
    </w:pPr>
    <w:rPr>
      <w:rFonts w:ascii="Times New Roman" w:hAnsi="Times New Roman" w:eastAsia="Calibri"/>
      <w:kern w:val="0"/>
      <w:sz w:val="22"/>
    </w:rPr>
  </w:style>
  <w:style w:type="paragraph" w:customStyle="1" w:styleId="508">
    <w:name w:val="Normal_9_17"/>
    <w:basedOn w:val="1"/>
    <w:qFormat/>
    <w:uiPriority w:val="0"/>
    <w:pPr>
      <w:widowControl/>
      <w:spacing w:before="120" w:after="240"/>
    </w:pPr>
    <w:rPr>
      <w:rFonts w:ascii="Times New Roman" w:hAnsi="Times New Roman" w:eastAsia="Calibri"/>
      <w:kern w:val="0"/>
      <w:sz w:val="22"/>
    </w:rPr>
  </w:style>
  <w:style w:type="paragraph" w:customStyle="1" w:styleId="509">
    <w:name w:val="正文_199_0"/>
    <w:basedOn w:val="1"/>
    <w:next w:val="510"/>
    <w:qFormat/>
    <w:uiPriority w:val="0"/>
    <w:rPr>
      <w:rFonts w:ascii="Times New Roman" w:hAnsi="Times New Roman"/>
      <w:szCs w:val="21"/>
    </w:rPr>
  </w:style>
  <w:style w:type="paragraph" w:customStyle="1" w:styleId="510">
    <w:name w:val="正文首行缩进 2_194"/>
    <w:basedOn w:val="511"/>
    <w:qFormat/>
    <w:uiPriority w:val="0"/>
    <w:pPr>
      <w:spacing w:before="260" w:beforeAutospacing="0"/>
      <w:ind w:firstLine="420" w:firstLineChars="200"/>
    </w:pPr>
  </w:style>
  <w:style w:type="paragraph" w:customStyle="1" w:styleId="511">
    <w:name w:val="正文文本缩进_194"/>
    <w:basedOn w:val="512"/>
    <w:qFormat/>
    <w:uiPriority w:val="0"/>
    <w:pPr>
      <w:spacing w:before="100" w:beforeAutospacing="1" w:after="120"/>
      <w:ind w:left="420" w:leftChars="200"/>
    </w:pPr>
  </w:style>
  <w:style w:type="paragraph" w:customStyle="1" w:styleId="512">
    <w:name w:val="正文_199"/>
    <w:basedOn w:val="1"/>
    <w:next w:val="510"/>
    <w:qFormat/>
    <w:uiPriority w:val="0"/>
    <w:rPr>
      <w:rFonts w:ascii="Times New Roman" w:hAnsi="Times New Roman"/>
      <w:szCs w:val="21"/>
    </w:rPr>
  </w:style>
  <w:style w:type="paragraph" w:customStyle="1" w:styleId="513">
    <w:name w:val="Normal_9_18"/>
    <w:basedOn w:val="1"/>
    <w:qFormat/>
    <w:uiPriority w:val="0"/>
    <w:pPr>
      <w:widowControl/>
      <w:spacing w:before="120" w:after="240"/>
    </w:pPr>
    <w:rPr>
      <w:rFonts w:ascii="Times New Roman" w:hAnsi="Times New Roman" w:eastAsia="Calibri"/>
      <w:kern w:val="0"/>
      <w:sz w:val="22"/>
    </w:rPr>
  </w:style>
  <w:style w:type="paragraph" w:customStyle="1" w:styleId="514">
    <w:name w:val="正文_200_0"/>
    <w:basedOn w:val="1"/>
    <w:next w:val="515"/>
    <w:qFormat/>
    <w:uiPriority w:val="0"/>
    <w:rPr>
      <w:rFonts w:ascii="Times New Roman" w:hAnsi="Times New Roman"/>
      <w:szCs w:val="21"/>
    </w:rPr>
  </w:style>
  <w:style w:type="paragraph" w:customStyle="1" w:styleId="515">
    <w:name w:val="正文首行缩进 2_195"/>
    <w:basedOn w:val="1"/>
    <w:qFormat/>
    <w:uiPriority w:val="0"/>
    <w:rPr>
      <w:rFonts w:cs="Calibri"/>
      <w:szCs w:val="21"/>
    </w:rPr>
  </w:style>
  <w:style w:type="paragraph" w:customStyle="1" w:styleId="516">
    <w:name w:val="Normal_9_19"/>
    <w:basedOn w:val="1"/>
    <w:qFormat/>
    <w:uiPriority w:val="0"/>
    <w:pPr>
      <w:widowControl/>
      <w:spacing w:before="120" w:after="240"/>
    </w:pPr>
    <w:rPr>
      <w:rFonts w:ascii="Times New Roman" w:hAnsi="Times New Roman" w:eastAsia="Calibri"/>
      <w:kern w:val="0"/>
      <w:sz w:val="22"/>
    </w:rPr>
  </w:style>
  <w:style w:type="paragraph" w:customStyle="1" w:styleId="517">
    <w:name w:val="Normal_6_0_0"/>
    <w:basedOn w:val="1"/>
    <w:qFormat/>
    <w:uiPriority w:val="0"/>
    <w:pPr>
      <w:widowControl/>
      <w:spacing w:before="120" w:after="240"/>
    </w:pPr>
    <w:rPr>
      <w:rFonts w:ascii="Times New Roman" w:hAnsi="Times New Roman" w:eastAsia="Calibri"/>
      <w:kern w:val="0"/>
      <w:sz w:val="22"/>
    </w:rPr>
  </w:style>
  <w:style w:type="paragraph" w:customStyle="1" w:styleId="518">
    <w:name w:val="Normal_9_20"/>
    <w:basedOn w:val="1"/>
    <w:qFormat/>
    <w:uiPriority w:val="0"/>
    <w:pPr>
      <w:widowControl/>
      <w:spacing w:before="120" w:after="240"/>
    </w:pPr>
    <w:rPr>
      <w:rFonts w:ascii="Times New Roman" w:hAnsi="Times New Roman" w:eastAsia="Calibri"/>
      <w:kern w:val="0"/>
      <w:sz w:val="22"/>
    </w:rPr>
  </w:style>
  <w:style w:type="paragraph" w:customStyle="1" w:styleId="519">
    <w:name w:val="Normal_9_21"/>
    <w:basedOn w:val="1"/>
    <w:qFormat/>
    <w:uiPriority w:val="0"/>
    <w:pPr>
      <w:widowControl/>
      <w:spacing w:before="120" w:after="240"/>
    </w:pPr>
    <w:rPr>
      <w:rFonts w:ascii="Times New Roman" w:hAnsi="Times New Roman" w:eastAsia="Calibri"/>
      <w:kern w:val="0"/>
      <w:sz w:val="22"/>
    </w:rPr>
  </w:style>
  <w:style w:type="paragraph" w:customStyle="1" w:styleId="520">
    <w:name w:val="Normal_6_0_1"/>
    <w:basedOn w:val="1"/>
    <w:qFormat/>
    <w:uiPriority w:val="0"/>
    <w:pPr>
      <w:widowControl/>
      <w:spacing w:before="120" w:after="240"/>
    </w:pPr>
    <w:rPr>
      <w:rFonts w:ascii="Times New Roman" w:hAnsi="Times New Roman" w:eastAsia="Calibri"/>
      <w:kern w:val="0"/>
      <w:sz w:val="22"/>
    </w:rPr>
  </w:style>
  <w:style w:type="paragraph" w:customStyle="1" w:styleId="521">
    <w:name w:val="Normal_6_0_2"/>
    <w:basedOn w:val="1"/>
    <w:qFormat/>
    <w:uiPriority w:val="0"/>
    <w:pPr>
      <w:widowControl/>
      <w:spacing w:before="120" w:after="240"/>
    </w:pPr>
    <w:rPr>
      <w:rFonts w:ascii="Times New Roman" w:hAnsi="Times New Roman" w:eastAsia="Calibri"/>
      <w:kern w:val="0"/>
      <w:sz w:val="22"/>
    </w:rPr>
  </w:style>
  <w:style w:type="paragraph" w:customStyle="1" w:styleId="522">
    <w:name w:val="Normal_6_0_3"/>
    <w:basedOn w:val="1"/>
    <w:qFormat/>
    <w:uiPriority w:val="0"/>
    <w:pPr>
      <w:widowControl/>
      <w:spacing w:before="120" w:after="240"/>
    </w:pPr>
    <w:rPr>
      <w:rFonts w:ascii="Times New Roman" w:hAnsi="Times New Roman" w:eastAsia="Calibri"/>
      <w:kern w:val="0"/>
      <w:sz w:val="22"/>
    </w:rPr>
  </w:style>
  <w:style w:type="paragraph" w:customStyle="1" w:styleId="523">
    <w:name w:val="Normal_6_0_3_0"/>
    <w:basedOn w:val="1"/>
    <w:qFormat/>
    <w:uiPriority w:val="0"/>
    <w:pPr>
      <w:widowControl/>
      <w:spacing w:before="120" w:after="240"/>
    </w:pPr>
    <w:rPr>
      <w:rFonts w:ascii="Times New Roman" w:hAnsi="Times New Roman" w:eastAsia="Calibri"/>
      <w:kern w:val="0"/>
      <w:sz w:val="22"/>
    </w:rPr>
  </w:style>
  <w:style w:type="paragraph" w:customStyle="1" w:styleId="524">
    <w:name w:val="正文_202_0"/>
    <w:basedOn w:val="1"/>
    <w:next w:val="525"/>
    <w:qFormat/>
    <w:uiPriority w:val="0"/>
    <w:rPr>
      <w:rFonts w:ascii="Times New Roman" w:hAnsi="Times New Roman"/>
      <w:szCs w:val="21"/>
    </w:rPr>
  </w:style>
  <w:style w:type="paragraph" w:customStyle="1" w:styleId="525">
    <w:name w:val="正文首行缩进 2_197_0"/>
    <w:basedOn w:val="1"/>
    <w:qFormat/>
    <w:uiPriority w:val="0"/>
    <w:rPr>
      <w:rFonts w:cs="Calibri"/>
      <w:szCs w:val="21"/>
    </w:rPr>
  </w:style>
  <w:style w:type="paragraph" w:customStyle="1" w:styleId="526">
    <w:name w:val="正文_202_0_0"/>
    <w:basedOn w:val="1"/>
    <w:next w:val="527"/>
    <w:qFormat/>
    <w:uiPriority w:val="0"/>
    <w:rPr>
      <w:rFonts w:ascii="Times New Roman" w:hAnsi="Times New Roman"/>
      <w:szCs w:val="21"/>
    </w:rPr>
  </w:style>
  <w:style w:type="paragraph" w:customStyle="1" w:styleId="527">
    <w:name w:val="正文首行缩进 2_197_0_0"/>
    <w:basedOn w:val="1"/>
    <w:qFormat/>
    <w:uiPriority w:val="0"/>
    <w:rPr>
      <w:rFonts w:cs="Calibri"/>
      <w:szCs w:val="21"/>
    </w:rPr>
  </w:style>
  <w:style w:type="paragraph" w:customStyle="1" w:styleId="528">
    <w:name w:val="标题 5_0"/>
    <w:basedOn w:val="529"/>
    <w:next w:val="529"/>
    <w:semiHidden/>
    <w:qFormat/>
    <w:uiPriority w:val="0"/>
    <w:pPr>
      <w:keepNext/>
      <w:keepLines/>
      <w:spacing w:before="280" w:after="290" w:line="374" w:lineRule="auto"/>
      <w:outlineLvl w:val="4"/>
    </w:pPr>
    <w:rPr>
      <w:b/>
      <w:bCs/>
      <w:sz w:val="28"/>
      <w:szCs w:val="28"/>
    </w:rPr>
  </w:style>
  <w:style w:type="paragraph" w:customStyle="1" w:styleId="529">
    <w:name w:val="正文_203"/>
    <w:basedOn w:val="1"/>
    <w:next w:val="530"/>
    <w:qFormat/>
    <w:uiPriority w:val="0"/>
    <w:rPr>
      <w:rFonts w:ascii="Times New Roman" w:hAnsi="Times New Roman"/>
      <w:szCs w:val="21"/>
    </w:rPr>
  </w:style>
  <w:style w:type="paragraph" w:customStyle="1" w:styleId="530">
    <w:name w:val="正文首行缩进 2_198"/>
    <w:basedOn w:val="1"/>
    <w:qFormat/>
    <w:uiPriority w:val="0"/>
    <w:rPr>
      <w:rFonts w:cs="Calibri"/>
      <w:szCs w:val="21"/>
    </w:rPr>
  </w:style>
  <w:style w:type="paragraph" w:customStyle="1" w:styleId="531">
    <w:name w:val="Normal_6_0_4"/>
    <w:basedOn w:val="1"/>
    <w:qFormat/>
    <w:uiPriority w:val="0"/>
    <w:pPr>
      <w:widowControl/>
      <w:spacing w:before="120" w:after="240"/>
    </w:pPr>
    <w:rPr>
      <w:rFonts w:ascii="Times New Roman" w:hAnsi="Times New Roman" w:eastAsia="Calibri"/>
      <w:kern w:val="0"/>
      <w:sz w:val="22"/>
    </w:rPr>
  </w:style>
  <w:style w:type="paragraph" w:customStyle="1" w:styleId="532">
    <w:name w:val="Normal_9_22"/>
    <w:basedOn w:val="1"/>
    <w:qFormat/>
    <w:uiPriority w:val="0"/>
    <w:pPr>
      <w:widowControl/>
      <w:spacing w:before="120" w:after="240"/>
    </w:pPr>
    <w:rPr>
      <w:rFonts w:ascii="Times New Roman" w:hAnsi="Times New Roman" w:eastAsia="Calibri"/>
      <w:kern w:val="0"/>
      <w:sz w:val="22"/>
    </w:rPr>
  </w:style>
  <w:style w:type="paragraph" w:customStyle="1" w:styleId="533">
    <w:name w:val="正文_274_0"/>
    <w:basedOn w:val="1"/>
    <w:next w:val="534"/>
    <w:qFormat/>
    <w:uiPriority w:val="0"/>
    <w:rPr>
      <w:rFonts w:ascii="Times New Roman" w:hAnsi="Times New Roman"/>
      <w:szCs w:val="21"/>
    </w:rPr>
  </w:style>
  <w:style w:type="paragraph" w:customStyle="1" w:styleId="534">
    <w:name w:val="正文首行缩进 2_269"/>
    <w:basedOn w:val="1"/>
    <w:qFormat/>
    <w:uiPriority w:val="0"/>
    <w:rPr>
      <w:rFonts w:cs="Calibri"/>
      <w:szCs w:val="21"/>
    </w:rPr>
  </w:style>
  <w:style w:type="paragraph" w:customStyle="1" w:styleId="535">
    <w:name w:val="Normal_9_27"/>
    <w:basedOn w:val="1"/>
    <w:qFormat/>
    <w:uiPriority w:val="0"/>
    <w:pPr>
      <w:widowControl/>
      <w:spacing w:before="120" w:after="240"/>
    </w:pPr>
    <w:rPr>
      <w:rFonts w:ascii="Times New Roman" w:hAnsi="Times New Roman" w:eastAsia="Calibri"/>
      <w:kern w:val="0"/>
      <w:sz w:val="22"/>
    </w:rPr>
  </w:style>
  <w:style w:type="paragraph" w:customStyle="1" w:styleId="536">
    <w:name w:val="Normal_9_28"/>
    <w:basedOn w:val="1"/>
    <w:qFormat/>
    <w:uiPriority w:val="0"/>
    <w:pPr>
      <w:widowControl/>
      <w:spacing w:before="120" w:after="240"/>
    </w:pPr>
    <w:rPr>
      <w:rFonts w:ascii="Times New Roman" w:hAnsi="Times New Roman" w:eastAsia="Calibri"/>
      <w:kern w:val="0"/>
      <w:sz w:val="22"/>
    </w:rPr>
  </w:style>
  <w:style w:type="paragraph" w:customStyle="1" w:styleId="537">
    <w:name w:val="正文_275_0"/>
    <w:basedOn w:val="1"/>
    <w:next w:val="538"/>
    <w:qFormat/>
    <w:uiPriority w:val="0"/>
    <w:rPr>
      <w:rFonts w:ascii="Times New Roman" w:hAnsi="Times New Roman"/>
      <w:szCs w:val="21"/>
    </w:rPr>
  </w:style>
  <w:style w:type="paragraph" w:customStyle="1" w:styleId="538">
    <w:name w:val="正文首行缩进 2_270"/>
    <w:basedOn w:val="1"/>
    <w:qFormat/>
    <w:uiPriority w:val="0"/>
    <w:rPr>
      <w:rFonts w:cs="Calibri"/>
      <w:szCs w:val="21"/>
    </w:rPr>
  </w:style>
  <w:style w:type="paragraph" w:customStyle="1" w:styleId="539">
    <w:name w:val="正文_276_0"/>
    <w:basedOn w:val="1"/>
    <w:next w:val="540"/>
    <w:qFormat/>
    <w:uiPriority w:val="0"/>
    <w:rPr>
      <w:rFonts w:ascii="Times New Roman" w:hAnsi="Times New Roman"/>
      <w:szCs w:val="21"/>
    </w:rPr>
  </w:style>
  <w:style w:type="paragraph" w:customStyle="1" w:styleId="540">
    <w:name w:val="正文首行缩进 2_271"/>
    <w:basedOn w:val="1"/>
    <w:qFormat/>
    <w:uiPriority w:val="0"/>
    <w:rPr>
      <w:rFonts w:cs="Calibri"/>
      <w:szCs w:val="21"/>
    </w:rPr>
  </w:style>
  <w:style w:type="paragraph" w:customStyle="1" w:styleId="541">
    <w:name w:val="Normal_11_0_0"/>
    <w:basedOn w:val="1"/>
    <w:qFormat/>
    <w:uiPriority w:val="0"/>
    <w:pPr>
      <w:widowControl/>
      <w:spacing w:before="120" w:after="240"/>
    </w:pPr>
    <w:rPr>
      <w:rFonts w:ascii="Times New Roman" w:hAnsi="Times New Roman" w:eastAsia="Calibri"/>
      <w:kern w:val="0"/>
      <w:sz w:val="22"/>
    </w:rPr>
  </w:style>
  <w:style w:type="paragraph" w:customStyle="1" w:styleId="542">
    <w:name w:val="Normal_9_29"/>
    <w:basedOn w:val="1"/>
    <w:qFormat/>
    <w:uiPriority w:val="0"/>
    <w:pPr>
      <w:widowControl/>
      <w:spacing w:before="120" w:after="240"/>
    </w:pPr>
    <w:rPr>
      <w:rFonts w:ascii="Times New Roman" w:hAnsi="Times New Roman" w:eastAsia="Calibri"/>
      <w:kern w:val="0"/>
      <w:sz w:val="22"/>
    </w:rPr>
  </w:style>
  <w:style w:type="paragraph" w:customStyle="1" w:styleId="543">
    <w:name w:val="Normal_9_30"/>
    <w:basedOn w:val="1"/>
    <w:qFormat/>
    <w:uiPriority w:val="0"/>
    <w:pPr>
      <w:widowControl/>
      <w:spacing w:before="120" w:after="240"/>
    </w:pPr>
    <w:rPr>
      <w:rFonts w:ascii="Times New Roman" w:hAnsi="Times New Roman" w:eastAsia="Calibri"/>
      <w:kern w:val="0"/>
      <w:sz w:val="22"/>
    </w:rPr>
  </w:style>
  <w:style w:type="paragraph" w:customStyle="1" w:styleId="544">
    <w:name w:val="Normal_11_0_1"/>
    <w:basedOn w:val="1"/>
    <w:qFormat/>
    <w:uiPriority w:val="0"/>
    <w:pPr>
      <w:widowControl/>
      <w:spacing w:before="120" w:after="240"/>
    </w:pPr>
    <w:rPr>
      <w:rFonts w:ascii="Times New Roman" w:hAnsi="Times New Roman" w:eastAsia="Calibri"/>
      <w:kern w:val="0"/>
      <w:sz w:val="22"/>
    </w:rPr>
  </w:style>
  <w:style w:type="paragraph" w:customStyle="1" w:styleId="545">
    <w:name w:val="Normal_11_0_2"/>
    <w:basedOn w:val="1"/>
    <w:qFormat/>
    <w:uiPriority w:val="0"/>
    <w:pPr>
      <w:widowControl/>
      <w:spacing w:before="120" w:after="240"/>
    </w:pPr>
    <w:rPr>
      <w:rFonts w:ascii="Times New Roman" w:hAnsi="Times New Roman" w:eastAsia="Calibri"/>
      <w:kern w:val="0"/>
      <w:sz w:val="22"/>
    </w:rPr>
  </w:style>
  <w:style w:type="paragraph" w:customStyle="1" w:styleId="546">
    <w:name w:val="Normal_9_32"/>
    <w:basedOn w:val="1"/>
    <w:qFormat/>
    <w:uiPriority w:val="0"/>
    <w:pPr>
      <w:widowControl/>
      <w:spacing w:before="120" w:after="240"/>
    </w:pPr>
    <w:rPr>
      <w:rFonts w:ascii="Times New Roman" w:hAnsi="Times New Roman" w:eastAsia="Calibri"/>
      <w:kern w:val="0"/>
      <w:sz w:val="22"/>
    </w:rPr>
  </w:style>
  <w:style w:type="paragraph" w:customStyle="1" w:styleId="547">
    <w:name w:val="Normal_12_0_0"/>
    <w:basedOn w:val="1"/>
    <w:qFormat/>
    <w:uiPriority w:val="0"/>
    <w:pPr>
      <w:widowControl/>
      <w:spacing w:before="120" w:after="240"/>
    </w:pPr>
    <w:rPr>
      <w:rFonts w:ascii="Times New Roman" w:hAnsi="Times New Roman" w:eastAsia="Calibri"/>
      <w:kern w:val="0"/>
      <w:sz w:val="22"/>
    </w:rPr>
  </w:style>
  <w:style w:type="paragraph" w:customStyle="1" w:styleId="548">
    <w:name w:val="Normal_9_0_7"/>
    <w:basedOn w:val="1"/>
    <w:qFormat/>
    <w:uiPriority w:val="0"/>
    <w:pPr>
      <w:widowControl/>
      <w:spacing w:before="120" w:after="240"/>
    </w:pPr>
    <w:rPr>
      <w:rFonts w:ascii="Times New Roman" w:hAnsi="Times New Roman" w:eastAsia="Calibri"/>
      <w:kern w:val="0"/>
      <w:sz w:val="22"/>
    </w:rPr>
  </w:style>
  <w:style w:type="paragraph" w:customStyle="1" w:styleId="549">
    <w:name w:val="Normal_9_33"/>
    <w:basedOn w:val="1"/>
    <w:qFormat/>
    <w:uiPriority w:val="0"/>
    <w:pPr>
      <w:widowControl/>
      <w:spacing w:before="120" w:after="240"/>
    </w:pPr>
    <w:rPr>
      <w:rFonts w:ascii="Times New Roman" w:hAnsi="Times New Roman" w:eastAsia="Calibri"/>
      <w:kern w:val="0"/>
      <w:sz w:val="22"/>
    </w:rPr>
  </w:style>
  <w:style w:type="paragraph" w:customStyle="1" w:styleId="550">
    <w:name w:val="Normal_10_0_0"/>
    <w:basedOn w:val="1"/>
    <w:qFormat/>
    <w:uiPriority w:val="0"/>
    <w:pPr>
      <w:widowControl/>
      <w:spacing w:before="120" w:after="240"/>
    </w:pPr>
    <w:rPr>
      <w:rFonts w:ascii="Times New Roman" w:hAnsi="Times New Roman" w:eastAsia="Calibri"/>
      <w:kern w:val="0"/>
      <w:sz w:val="22"/>
    </w:rPr>
  </w:style>
  <w:style w:type="paragraph" w:customStyle="1" w:styleId="551">
    <w:name w:val="Normal_10_0_1"/>
    <w:basedOn w:val="1"/>
    <w:qFormat/>
    <w:uiPriority w:val="0"/>
    <w:pPr>
      <w:widowControl/>
      <w:spacing w:before="120" w:after="240"/>
    </w:pPr>
    <w:rPr>
      <w:rFonts w:ascii="Times New Roman" w:hAnsi="Times New Roman" w:eastAsia="Calibri"/>
      <w:kern w:val="0"/>
      <w:sz w:val="22"/>
    </w:rPr>
  </w:style>
  <w:style w:type="paragraph" w:customStyle="1" w:styleId="552">
    <w:name w:val="Normal_9_38"/>
    <w:basedOn w:val="1"/>
    <w:qFormat/>
    <w:uiPriority w:val="0"/>
    <w:pPr>
      <w:widowControl/>
      <w:spacing w:before="120" w:after="240"/>
    </w:pPr>
    <w:rPr>
      <w:rFonts w:ascii="Times New Roman" w:hAnsi="Times New Roman" w:eastAsia="Calibri"/>
      <w:kern w:val="0"/>
      <w:sz w:val="22"/>
    </w:rPr>
  </w:style>
  <w:style w:type="paragraph" w:customStyle="1" w:styleId="553">
    <w:name w:val="Normal_9_39"/>
    <w:basedOn w:val="1"/>
    <w:qFormat/>
    <w:uiPriority w:val="0"/>
    <w:pPr>
      <w:widowControl/>
      <w:spacing w:before="120" w:after="240"/>
    </w:pPr>
    <w:rPr>
      <w:rFonts w:ascii="Times New Roman" w:hAnsi="Times New Roman" w:eastAsia="Calibri"/>
      <w:kern w:val="0"/>
      <w:sz w:val="22"/>
    </w:rPr>
  </w:style>
  <w:style w:type="paragraph" w:customStyle="1" w:styleId="554">
    <w:name w:val="正文文本_12"/>
    <w:basedOn w:val="555"/>
    <w:qFormat/>
    <w:uiPriority w:val="0"/>
    <w:pPr>
      <w:spacing w:before="100" w:beforeAutospacing="1" w:after="120"/>
    </w:pPr>
  </w:style>
  <w:style w:type="paragraph" w:customStyle="1" w:styleId="555">
    <w:name w:val="正文_278"/>
    <w:basedOn w:val="1"/>
    <w:next w:val="556"/>
    <w:qFormat/>
    <w:uiPriority w:val="0"/>
    <w:rPr>
      <w:rFonts w:ascii="Times New Roman" w:hAnsi="Times New Roman"/>
      <w:szCs w:val="21"/>
    </w:rPr>
  </w:style>
  <w:style w:type="paragraph" w:customStyle="1" w:styleId="556">
    <w:name w:val="正文首行缩进 2_273"/>
    <w:basedOn w:val="1"/>
    <w:qFormat/>
    <w:uiPriority w:val="0"/>
    <w:rPr>
      <w:rFonts w:cs="Calibri"/>
      <w:szCs w:val="21"/>
    </w:rPr>
  </w:style>
  <w:style w:type="paragraph" w:customStyle="1" w:styleId="557">
    <w:name w:val="Normal_13_0_0"/>
    <w:basedOn w:val="1"/>
    <w:qFormat/>
    <w:uiPriority w:val="0"/>
    <w:pPr>
      <w:widowControl/>
      <w:spacing w:before="120" w:after="240"/>
    </w:pPr>
    <w:rPr>
      <w:rFonts w:ascii="Times New Roman" w:hAnsi="Times New Roman" w:eastAsia="Calibri"/>
      <w:kern w:val="0"/>
      <w:sz w:val="22"/>
    </w:rPr>
  </w:style>
  <w:style w:type="paragraph" w:customStyle="1" w:styleId="558">
    <w:name w:val="正文_279_0"/>
    <w:basedOn w:val="1"/>
    <w:next w:val="559"/>
    <w:qFormat/>
    <w:uiPriority w:val="0"/>
    <w:rPr>
      <w:rFonts w:ascii="Times New Roman" w:hAnsi="Times New Roman"/>
      <w:szCs w:val="21"/>
    </w:rPr>
  </w:style>
  <w:style w:type="paragraph" w:customStyle="1" w:styleId="559">
    <w:name w:val="正文首行缩进 2_274"/>
    <w:basedOn w:val="1"/>
    <w:qFormat/>
    <w:uiPriority w:val="0"/>
    <w:rPr>
      <w:rFonts w:cs="Calibri"/>
      <w:szCs w:val="21"/>
    </w:rPr>
  </w:style>
  <w:style w:type="paragraph" w:customStyle="1" w:styleId="560">
    <w:name w:val="Normal_13_0_1"/>
    <w:basedOn w:val="1"/>
    <w:qFormat/>
    <w:uiPriority w:val="0"/>
    <w:pPr>
      <w:widowControl/>
      <w:spacing w:before="120" w:after="240"/>
    </w:pPr>
    <w:rPr>
      <w:rFonts w:ascii="Times New Roman" w:hAnsi="Times New Roman" w:eastAsia="Calibri"/>
      <w:kern w:val="0"/>
      <w:sz w:val="22"/>
    </w:rPr>
  </w:style>
  <w:style w:type="paragraph" w:customStyle="1" w:styleId="561">
    <w:name w:val="Normal_13_0_2"/>
    <w:basedOn w:val="1"/>
    <w:qFormat/>
    <w:uiPriority w:val="0"/>
    <w:pPr>
      <w:widowControl/>
      <w:spacing w:before="120" w:after="240"/>
    </w:pPr>
    <w:rPr>
      <w:rFonts w:ascii="Times New Roman" w:hAnsi="Times New Roman" w:eastAsia="Calibri"/>
      <w:kern w:val="0"/>
      <w:sz w:val="22"/>
    </w:rPr>
  </w:style>
  <w:style w:type="paragraph" w:customStyle="1" w:styleId="562">
    <w:name w:val="正文_280_0"/>
    <w:basedOn w:val="1"/>
    <w:next w:val="563"/>
    <w:qFormat/>
    <w:uiPriority w:val="0"/>
    <w:rPr>
      <w:rFonts w:ascii="Times New Roman" w:hAnsi="Times New Roman"/>
      <w:szCs w:val="21"/>
    </w:rPr>
  </w:style>
  <w:style w:type="paragraph" w:customStyle="1" w:styleId="563">
    <w:name w:val="正文首行缩进 2_275"/>
    <w:basedOn w:val="1"/>
    <w:qFormat/>
    <w:uiPriority w:val="0"/>
    <w:rPr>
      <w:rFonts w:cs="Calibri"/>
      <w:szCs w:val="21"/>
    </w:rPr>
  </w:style>
  <w:style w:type="paragraph" w:customStyle="1" w:styleId="564">
    <w:name w:val="Normal_13_0_3"/>
    <w:basedOn w:val="1"/>
    <w:qFormat/>
    <w:uiPriority w:val="0"/>
    <w:pPr>
      <w:widowControl/>
      <w:spacing w:before="120" w:after="240"/>
    </w:pPr>
    <w:rPr>
      <w:rFonts w:ascii="Times New Roman" w:hAnsi="Times New Roman" w:eastAsia="Calibri"/>
      <w:kern w:val="0"/>
      <w:sz w:val="22"/>
    </w:rPr>
  </w:style>
  <w:style w:type="paragraph" w:customStyle="1" w:styleId="565">
    <w:name w:val="正文_281_0"/>
    <w:basedOn w:val="1"/>
    <w:next w:val="566"/>
    <w:qFormat/>
    <w:uiPriority w:val="0"/>
    <w:rPr>
      <w:rFonts w:ascii="Times New Roman" w:hAnsi="Times New Roman"/>
      <w:szCs w:val="21"/>
    </w:rPr>
  </w:style>
  <w:style w:type="paragraph" w:customStyle="1" w:styleId="566">
    <w:name w:val="正文首行缩进 2_276"/>
    <w:basedOn w:val="1"/>
    <w:qFormat/>
    <w:uiPriority w:val="0"/>
    <w:rPr>
      <w:rFonts w:cs="Calibri"/>
      <w:szCs w:val="21"/>
    </w:rPr>
  </w:style>
  <w:style w:type="paragraph" w:customStyle="1" w:styleId="567">
    <w:name w:val="Normal_13_0_4"/>
    <w:basedOn w:val="1"/>
    <w:qFormat/>
    <w:uiPriority w:val="0"/>
    <w:pPr>
      <w:widowControl/>
      <w:spacing w:before="120" w:after="240"/>
    </w:pPr>
    <w:rPr>
      <w:rFonts w:ascii="Times New Roman" w:hAnsi="Times New Roman" w:eastAsia="Calibri"/>
      <w:kern w:val="0"/>
      <w:sz w:val="22"/>
    </w:rPr>
  </w:style>
  <w:style w:type="paragraph" w:customStyle="1" w:styleId="568">
    <w:name w:val="Normal_9_40"/>
    <w:basedOn w:val="1"/>
    <w:qFormat/>
    <w:uiPriority w:val="0"/>
    <w:pPr>
      <w:widowControl/>
      <w:spacing w:before="120" w:after="240"/>
    </w:pPr>
    <w:rPr>
      <w:rFonts w:ascii="Times New Roman" w:hAnsi="Times New Roman" w:eastAsia="Calibri"/>
      <w:kern w:val="0"/>
      <w:sz w:val="22"/>
    </w:rPr>
  </w:style>
  <w:style w:type="paragraph" w:customStyle="1" w:styleId="569">
    <w:name w:val="Normal_13_0_5"/>
    <w:basedOn w:val="1"/>
    <w:qFormat/>
    <w:uiPriority w:val="0"/>
    <w:pPr>
      <w:widowControl/>
      <w:spacing w:before="120" w:after="240"/>
    </w:pPr>
    <w:rPr>
      <w:rFonts w:ascii="Times New Roman" w:hAnsi="Times New Roman" w:eastAsia="Calibri"/>
      <w:kern w:val="0"/>
      <w:sz w:val="22"/>
    </w:rPr>
  </w:style>
  <w:style w:type="paragraph" w:customStyle="1" w:styleId="570">
    <w:name w:val="Normal_11_0_5"/>
    <w:basedOn w:val="1"/>
    <w:qFormat/>
    <w:uiPriority w:val="0"/>
    <w:pPr>
      <w:widowControl/>
      <w:spacing w:before="120" w:after="240"/>
    </w:pPr>
    <w:rPr>
      <w:rFonts w:ascii="Times New Roman" w:hAnsi="Times New Roman" w:eastAsia="Calibri"/>
      <w:kern w:val="0"/>
      <w:sz w:val="22"/>
    </w:rPr>
  </w:style>
  <w:style w:type="paragraph" w:customStyle="1" w:styleId="571">
    <w:name w:val="Normal_9_45"/>
    <w:basedOn w:val="1"/>
    <w:qFormat/>
    <w:uiPriority w:val="0"/>
    <w:pPr>
      <w:widowControl/>
      <w:spacing w:before="120" w:after="240"/>
    </w:pPr>
    <w:rPr>
      <w:rFonts w:ascii="Times New Roman" w:hAnsi="Times New Roman" w:eastAsia="Calibri"/>
      <w:kern w:val="0"/>
      <w:sz w:val="22"/>
    </w:rPr>
  </w:style>
  <w:style w:type="paragraph" w:customStyle="1" w:styleId="572">
    <w:name w:val="Normal_12_0_2"/>
    <w:basedOn w:val="1"/>
    <w:qFormat/>
    <w:uiPriority w:val="0"/>
    <w:pPr>
      <w:widowControl/>
      <w:spacing w:before="120" w:after="240"/>
    </w:pPr>
    <w:rPr>
      <w:rFonts w:ascii="Times New Roman" w:hAnsi="Times New Roman" w:eastAsia="Calibri"/>
      <w:kern w:val="0"/>
      <w:sz w:val="22"/>
    </w:rPr>
  </w:style>
  <w:style w:type="paragraph" w:customStyle="1" w:styleId="573">
    <w:name w:val="Normal_9_47"/>
    <w:basedOn w:val="1"/>
    <w:qFormat/>
    <w:uiPriority w:val="0"/>
    <w:pPr>
      <w:widowControl/>
      <w:spacing w:before="120" w:after="240"/>
    </w:pPr>
    <w:rPr>
      <w:rFonts w:ascii="Times New Roman" w:hAnsi="Times New Roman" w:eastAsia="Calibri"/>
      <w:kern w:val="0"/>
      <w:sz w:val="22"/>
    </w:rPr>
  </w:style>
  <w:style w:type="paragraph" w:customStyle="1" w:styleId="574">
    <w:name w:val="Normal_12_0_3"/>
    <w:basedOn w:val="1"/>
    <w:qFormat/>
    <w:uiPriority w:val="0"/>
    <w:pPr>
      <w:widowControl/>
      <w:spacing w:before="120" w:after="240"/>
    </w:pPr>
    <w:rPr>
      <w:rFonts w:ascii="Times New Roman" w:hAnsi="Times New Roman" w:eastAsia="Calibri"/>
      <w:kern w:val="0"/>
      <w:sz w:val="22"/>
    </w:rPr>
  </w:style>
  <w:style w:type="paragraph" w:customStyle="1" w:styleId="575">
    <w:name w:val="Normal_12_0_4"/>
    <w:basedOn w:val="1"/>
    <w:qFormat/>
    <w:uiPriority w:val="0"/>
    <w:pPr>
      <w:widowControl/>
      <w:spacing w:before="120" w:after="240"/>
    </w:pPr>
    <w:rPr>
      <w:rFonts w:ascii="Times New Roman" w:hAnsi="Times New Roman" w:eastAsia="Calibri"/>
      <w:kern w:val="0"/>
      <w:sz w:val="22"/>
    </w:rPr>
  </w:style>
  <w:style w:type="paragraph" w:customStyle="1" w:styleId="576">
    <w:name w:val="Normal_12_0_4_0"/>
    <w:basedOn w:val="1"/>
    <w:qFormat/>
    <w:uiPriority w:val="0"/>
    <w:pPr>
      <w:widowControl/>
      <w:spacing w:before="120" w:after="240"/>
    </w:pPr>
    <w:rPr>
      <w:rFonts w:ascii="Times New Roman" w:hAnsi="Times New Roman" w:eastAsia="Calibri"/>
      <w:kern w:val="0"/>
      <w:sz w:val="22"/>
    </w:rPr>
  </w:style>
  <w:style w:type="paragraph" w:customStyle="1" w:styleId="577">
    <w:name w:val="Normal_9_48"/>
    <w:basedOn w:val="1"/>
    <w:qFormat/>
    <w:uiPriority w:val="0"/>
    <w:pPr>
      <w:widowControl/>
      <w:spacing w:before="120" w:after="240"/>
    </w:pPr>
    <w:rPr>
      <w:rFonts w:ascii="Times New Roman" w:hAnsi="Times New Roman" w:eastAsia="Calibri"/>
      <w:kern w:val="0"/>
      <w:sz w:val="22"/>
    </w:rPr>
  </w:style>
  <w:style w:type="paragraph" w:customStyle="1" w:styleId="578">
    <w:name w:val="Normal_9_52"/>
    <w:basedOn w:val="1"/>
    <w:qFormat/>
    <w:uiPriority w:val="0"/>
    <w:pPr>
      <w:widowControl/>
      <w:spacing w:before="120" w:after="240"/>
    </w:pPr>
    <w:rPr>
      <w:rFonts w:ascii="Times New Roman" w:hAnsi="Times New Roman" w:eastAsia="Calibri"/>
      <w:kern w:val="0"/>
      <w:sz w:val="22"/>
    </w:rPr>
  </w:style>
  <w:style w:type="paragraph" w:customStyle="1" w:styleId="579">
    <w:name w:val="Normal_14_0_0"/>
    <w:basedOn w:val="1"/>
    <w:qFormat/>
    <w:uiPriority w:val="0"/>
    <w:pPr>
      <w:widowControl/>
      <w:spacing w:before="120" w:after="240"/>
    </w:pPr>
    <w:rPr>
      <w:rFonts w:ascii="Times New Roman" w:hAnsi="Times New Roman" w:eastAsia="Calibri"/>
      <w:kern w:val="0"/>
      <w:sz w:val="22"/>
    </w:rPr>
  </w:style>
  <w:style w:type="paragraph" w:customStyle="1" w:styleId="580">
    <w:name w:val="Normal_9_53"/>
    <w:basedOn w:val="1"/>
    <w:qFormat/>
    <w:uiPriority w:val="0"/>
    <w:pPr>
      <w:widowControl/>
      <w:spacing w:before="120" w:after="240"/>
    </w:pPr>
    <w:rPr>
      <w:rFonts w:ascii="Times New Roman" w:hAnsi="Times New Roman" w:eastAsia="Calibri"/>
      <w:kern w:val="0"/>
      <w:sz w:val="22"/>
    </w:rPr>
  </w:style>
  <w:style w:type="paragraph" w:customStyle="1" w:styleId="581">
    <w:name w:val="Normal_9_54"/>
    <w:basedOn w:val="1"/>
    <w:qFormat/>
    <w:uiPriority w:val="0"/>
    <w:pPr>
      <w:widowControl/>
      <w:spacing w:before="120" w:after="240"/>
    </w:pPr>
    <w:rPr>
      <w:rFonts w:ascii="Times New Roman" w:hAnsi="Times New Roman" w:eastAsia="Calibri"/>
      <w:kern w:val="0"/>
      <w:sz w:val="22"/>
    </w:rPr>
  </w:style>
  <w:style w:type="paragraph" w:customStyle="1" w:styleId="582">
    <w:name w:val="正文文本_13"/>
    <w:basedOn w:val="583"/>
    <w:qFormat/>
    <w:uiPriority w:val="0"/>
    <w:pPr>
      <w:spacing w:before="100" w:beforeAutospacing="1" w:after="120"/>
    </w:pPr>
  </w:style>
  <w:style w:type="paragraph" w:customStyle="1" w:styleId="583">
    <w:name w:val="正文_296"/>
    <w:basedOn w:val="1"/>
    <w:next w:val="584"/>
    <w:qFormat/>
    <w:uiPriority w:val="0"/>
    <w:rPr>
      <w:rFonts w:ascii="Times New Roman" w:hAnsi="Times New Roman"/>
      <w:szCs w:val="21"/>
    </w:rPr>
  </w:style>
  <w:style w:type="paragraph" w:customStyle="1" w:styleId="584">
    <w:name w:val="正文首行缩进 2_291"/>
    <w:basedOn w:val="1"/>
    <w:qFormat/>
    <w:uiPriority w:val="0"/>
    <w:rPr>
      <w:rFonts w:cs="Calibri"/>
      <w:szCs w:val="21"/>
    </w:rPr>
  </w:style>
  <w:style w:type="paragraph" w:customStyle="1" w:styleId="585">
    <w:name w:val="正文文本_15"/>
    <w:basedOn w:val="586"/>
    <w:qFormat/>
    <w:uiPriority w:val="0"/>
    <w:pPr>
      <w:spacing w:before="100" w:beforeAutospacing="1" w:after="120"/>
    </w:pPr>
  </w:style>
  <w:style w:type="paragraph" w:customStyle="1" w:styleId="586">
    <w:name w:val="正文_298"/>
    <w:basedOn w:val="1"/>
    <w:next w:val="587"/>
    <w:qFormat/>
    <w:uiPriority w:val="0"/>
    <w:rPr>
      <w:rFonts w:ascii="Times New Roman" w:hAnsi="Times New Roman"/>
      <w:szCs w:val="21"/>
    </w:rPr>
  </w:style>
  <w:style w:type="paragraph" w:customStyle="1" w:styleId="587">
    <w:name w:val="正文首行缩进 2_293"/>
    <w:basedOn w:val="1"/>
    <w:qFormat/>
    <w:uiPriority w:val="0"/>
    <w:rPr>
      <w:rFonts w:cs="Calibri"/>
      <w:szCs w:val="21"/>
    </w:rPr>
  </w:style>
  <w:style w:type="character" w:customStyle="1" w:styleId="588">
    <w:name w:val="15"/>
    <w:qFormat/>
    <w:uiPriority w:val="0"/>
    <w:rPr>
      <w:rFonts w:hint="default" w:ascii="Calibri" w:hAnsi="Calibri" w:cs="Calibri"/>
      <w:b/>
      <w:bCs/>
      <w:sz w:val="36"/>
      <w:szCs w:val="36"/>
    </w:rPr>
  </w:style>
  <w:style w:type="paragraph" w:customStyle="1" w:styleId="589">
    <w:name w:val="Normal_9_55"/>
    <w:basedOn w:val="1"/>
    <w:qFormat/>
    <w:uiPriority w:val="0"/>
    <w:pPr>
      <w:widowControl/>
      <w:spacing w:before="120" w:after="240"/>
    </w:pPr>
    <w:rPr>
      <w:rFonts w:ascii="Times New Roman" w:hAnsi="Times New Roman" w:eastAsia="Calibri"/>
      <w:kern w:val="0"/>
      <w:sz w:val="22"/>
    </w:rPr>
  </w:style>
  <w:style w:type="paragraph" w:customStyle="1" w:styleId="590">
    <w:name w:val="Normal_9_56"/>
    <w:basedOn w:val="1"/>
    <w:qFormat/>
    <w:uiPriority w:val="0"/>
    <w:pPr>
      <w:widowControl/>
      <w:spacing w:before="120" w:after="240"/>
    </w:pPr>
    <w:rPr>
      <w:rFonts w:ascii="Times New Roman" w:hAnsi="Times New Roman" w:eastAsia="Calibri"/>
      <w:kern w:val="0"/>
      <w:sz w:val="22"/>
    </w:rPr>
  </w:style>
  <w:style w:type="paragraph" w:customStyle="1" w:styleId="591">
    <w:name w:val="正文_300_0"/>
    <w:basedOn w:val="1"/>
    <w:next w:val="592"/>
    <w:qFormat/>
    <w:uiPriority w:val="0"/>
    <w:rPr>
      <w:rFonts w:ascii="Times New Roman" w:hAnsi="Times New Roman"/>
      <w:szCs w:val="21"/>
    </w:rPr>
  </w:style>
  <w:style w:type="paragraph" w:customStyle="1" w:styleId="592">
    <w:name w:val="正文首行缩进 2_295"/>
    <w:basedOn w:val="1"/>
    <w:qFormat/>
    <w:uiPriority w:val="0"/>
    <w:rPr>
      <w:rFonts w:cs="Calibri"/>
      <w:szCs w:val="21"/>
    </w:rPr>
  </w:style>
  <w:style w:type="paragraph" w:customStyle="1" w:styleId="593">
    <w:name w:val="正文_301_0"/>
    <w:basedOn w:val="1"/>
    <w:next w:val="594"/>
    <w:qFormat/>
    <w:uiPriority w:val="0"/>
    <w:rPr>
      <w:rFonts w:ascii="Times New Roman" w:hAnsi="Times New Roman"/>
      <w:szCs w:val="21"/>
    </w:rPr>
  </w:style>
  <w:style w:type="paragraph" w:customStyle="1" w:styleId="594">
    <w:name w:val="正文首行缩进 2_296"/>
    <w:basedOn w:val="1"/>
    <w:qFormat/>
    <w:uiPriority w:val="0"/>
    <w:rPr>
      <w:rFonts w:cs="Calibri"/>
      <w:szCs w:val="21"/>
    </w:rPr>
  </w:style>
  <w:style w:type="paragraph" w:customStyle="1" w:styleId="595">
    <w:name w:val="正文_302_0"/>
    <w:basedOn w:val="1"/>
    <w:next w:val="596"/>
    <w:qFormat/>
    <w:uiPriority w:val="0"/>
    <w:rPr>
      <w:rFonts w:ascii="Times New Roman" w:hAnsi="Times New Roman"/>
      <w:szCs w:val="21"/>
    </w:rPr>
  </w:style>
  <w:style w:type="paragraph" w:customStyle="1" w:styleId="596">
    <w:name w:val="正文首行缩进 2_297"/>
    <w:basedOn w:val="1"/>
    <w:qFormat/>
    <w:uiPriority w:val="0"/>
    <w:rPr>
      <w:rFonts w:cs="Calibri"/>
      <w:szCs w:val="21"/>
    </w:rPr>
  </w:style>
  <w:style w:type="paragraph" w:customStyle="1" w:styleId="597">
    <w:name w:val="Normal_9_57"/>
    <w:basedOn w:val="1"/>
    <w:qFormat/>
    <w:uiPriority w:val="0"/>
    <w:pPr>
      <w:widowControl/>
      <w:spacing w:before="120" w:after="240"/>
    </w:pPr>
    <w:rPr>
      <w:rFonts w:ascii="Times New Roman" w:hAnsi="Times New Roman" w:eastAsia="Calibri"/>
      <w:kern w:val="0"/>
      <w:sz w:val="22"/>
    </w:rPr>
  </w:style>
  <w:style w:type="paragraph" w:customStyle="1" w:styleId="598">
    <w:name w:val="Normal_17_0_0"/>
    <w:basedOn w:val="1"/>
    <w:qFormat/>
    <w:uiPriority w:val="0"/>
    <w:pPr>
      <w:widowControl/>
      <w:spacing w:before="120" w:after="240"/>
    </w:pPr>
    <w:rPr>
      <w:rFonts w:ascii="Times New Roman" w:hAnsi="Times New Roman" w:eastAsia="Calibri"/>
      <w:kern w:val="0"/>
      <w:sz w:val="22"/>
    </w:rPr>
  </w:style>
  <w:style w:type="paragraph" w:customStyle="1" w:styleId="599">
    <w:name w:val="Normal_9_58"/>
    <w:basedOn w:val="1"/>
    <w:qFormat/>
    <w:uiPriority w:val="0"/>
    <w:pPr>
      <w:widowControl/>
      <w:spacing w:before="120" w:after="240"/>
    </w:pPr>
    <w:rPr>
      <w:rFonts w:ascii="Times New Roman" w:hAnsi="Times New Roman" w:eastAsia="Calibri"/>
      <w:kern w:val="0"/>
      <w:sz w:val="22"/>
    </w:rPr>
  </w:style>
  <w:style w:type="paragraph" w:customStyle="1" w:styleId="600">
    <w:name w:val="正文_324_0"/>
    <w:basedOn w:val="1"/>
    <w:next w:val="601"/>
    <w:qFormat/>
    <w:uiPriority w:val="0"/>
    <w:rPr>
      <w:rFonts w:ascii="Times New Roman" w:hAnsi="Times New Roman"/>
      <w:szCs w:val="21"/>
    </w:rPr>
  </w:style>
  <w:style w:type="paragraph" w:customStyle="1" w:styleId="601">
    <w:name w:val="正文首行缩进 2_319"/>
    <w:basedOn w:val="1"/>
    <w:qFormat/>
    <w:uiPriority w:val="0"/>
    <w:rPr>
      <w:rFonts w:cs="Calibri"/>
      <w:szCs w:val="21"/>
    </w:rPr>
  </w:style>
  <w:style w:type="paragraph" w:customStyle="1" w:styleId="602">
    <w:name w:val="正文_339_0"/>
    <w:basedOn w:val="1"/>
    <w:next w:val="603"/>
    <w:qFormat/>
    <w:uiPriority w:val="0"/>
    <w:rPr>
      <w:rFonts w:ascii="Times New Roman" w:hAnsi="Times New Roman"/>
      <w:szCs w:val="21"/>
    </w:rPr>
  </w:style>
  <w:style w:type="paragraph" w:customStyle="1" w:styleId="603">
    <w:name w:val="正文首行缩进 2_334"/>
    <w:basedOn w:val="1"/>
    <w:qFormat/>
    <w:uiPriority w:val="0"/>
    <w:rPr>
      <w:rFonts w:cs="Calibri"/>
      <w:szCs w:val="21"/>
    </w:rPr>
  </w:style>
  <w:style w:type="paragraph" w:customStyle="1" w:styleId="604">
    <w:name w:val="正文_340_0"/>
    <w:basedOn w:val="1"/>
    <w:next w:val="605"/>
    <w:qFormat/>
    <w:uiPriority w:val="0"/>
    <w:rPr>
      <w:rFonts w:ascii="Times New Roman" w:hAnsi="Times New Roman"/>
      <w:szCs w:val="21"/>
    </w:rPr>
  </w:style>
  <w:style w:type="paragraph" w:customStyle="1" w:styleId="605">
    <w:name w:val="正文首行缩进 2_335"/>
    <w:basedOn w:val="1"/>
    <w:qFormat/>
    <w:uiPriority w:val="0"/>
    <w:rPr>
      <w:rFonts w:cs="Calibri"/>
      <w:szCs w:val="21"/>
    </w:rPr>
  </w:style>
  <w:style w:type="paragraph" w:customStyle="1" w:styleId="606">
    <w:name w:val="正文_341_0"/>
    <w:basedOn w:val="1"/>
    <w:next w:val="607"/>
    <w:qFormat/>
    <w:uiPriority w:val="0"/>
    <w:rPr>
      <w:rFonts w:ascii="Times New Roman" w:hAnsi="Times New Roman"/>
      <w:szCs w:val="21"/>
    </w:rPr>
  </w:style>
  <w:style w:type="paragraph" w:customStyle="1" w:styleId="607">
    <w:name w:val="正文首行缩进 2_336"/>
    <w:basedOn w:val="1"/>
    <w:qFormat/>
    <w:uiPriority w:val="0"/>
    <w:rPr>
      <w:rFonts w:cs="Calibri"/>
      <w:szCs w:val="21"/>
    </w:rPr>
  </w:style>
  <w:style w:type="paragraph" w:customStyle="1" w:styleId="608">
    <w:name w:val="正文_342_0"/>
    <w:basedOn w:val="1"/>
    <w:next w:val="609"/>
    <w:qFormat/>
    <w:uiPriority w:val="0"/>
    <w:rPr>
      <w:rFonts w:ascii="Times New Roman" w:hAnsi="Times New Roman"/>
      <w:szCs w:val="21"/>
    </w:rPr>
  </w:style>
  <w:style w:type="paragraph" w:customStyle="1" w:styleId="609">
    <w:name w:val="正文首行缩进 2_337"/>
    <w:basedOn w:val="1"/>
    <w:qFormat/>
    <w:uiPriority w:val="0"/>
    <w:rPr>
      <w:rFonts w:cs="Calibri"/>
      <w:szCs w:val="21"/>
    </w:rPr>
  </w:style>
  <w:style w:type="paragraph" w:customStyle="1" w:styleId="610">
    <w:name w:val="正文_343_0"/>
    <w:basedOn w:val="1"/>
    <w:next w:val="611"/>
    <w:qFormat/>
    <w:uiPriority w:val="0"/>
    <w:rPr>
      <w:rFonts w:ascii="Times New Roman" w:hAnsi="Times New Roman"/>
      <w:szCs w:val="21"/>
    </w:rPr>
  </w:style>
  <w:style w:type="paragraph" w:customStyle="1" w:styleId="611">
    <w:name w:val="正文首行缩进 2_338"/>
    <w:basedOn w:val="1"/>
    <w:qFormat/>
    <w:uiPriority w:val="0"/>
    <w:rPr>
      <w:rFonts w:cs="Calibri"/>
      <w:szCs w:val="21"/>
    </w:rPr>
  </w:style>
  <w:style w:type="paragraph" w:customStyle="1" w:styleId="612">
    <w:name w:val="正文_344_0"/>
    <w:basedOn w:val="1"/>
    <w:next w:val="613"/>
    <w:qFormat/>
    <w:uiPriority w:val="0"/>
    <w:rPr>
      <w:rFonts w:ascii="Times New Roman" w:hAnsi="Times New Roman"/>
      <w:szCs w:val="21"/>
    </w:rPr>
  </w:style>
  <w:style w:type="paragraph" w:customStyle="1" w:styleId="613">
    <w:name w:val="正文首行缩进 2_339"/>
    <w:basedOn w:val="1"/>
    <w:qFormat/>
    <w:uiPriority w:val="0"/>
    <w:rPr>
      <w:rFonts w:cs="Calibri"/>
      <w:szCs w:val="21"/>
    </w:rPr>
  </w:style>
  <w:style w:type="paragraph" w:customStyle="1" w:styleId="614">
    <w:name w:val="正文_345_0"/>
    <w:basedOn w:val="1"/>
    <w:next w:val="615"/>
    <w:qFormat/>
    <w:uiPriority w:val="0"/>
    <w:rPr>
      <w:rFonts w:ascii="Times New Roman" w:hAnsi="Times New Roman"/>
      <w:szCs w:val="21"/>
    </w:rPr>
  </w:style>
  <w:style w:type="paragraph" w:customStyle="1" w:styleId="615">
    <w:name w:val="正文首行缩进 2_340"/>
    <w:basedOn w:val="1"/>
    <w:qFormat/>
    <w:uiPriority w:val="0"/>
    <w:rPr>
      <w:rFonts w:cs="Calibri"/>
      <w:szCs w:val="21"/>
    </w:rPr>
  </w:style>
  <w:style w:type="paragraph" w:customStyle="1" w:styleId="616">
    <w:name w:val="正文_346_0"/>
    <w:basedOn w:val="1"/>
    <w:next w:val="617"/>
    <w:qFormat/>
    <w:uiPriority w:val="0"/>
    <w:rPr>
      <w:rFonts w:ascii="Times New Roman" w:hAnsi="Times New Roman"/>
      <w:szCs w:val="21"/>
    </w:rPr>
  </w:style>
  <w:style w:type="paragraph" w:customStyle="1" w:styleId="617">
    <w:name w:val="正文首行缩进 2_341"/>
    <w:basedOn w:val="1"/>
    <w:qFormat/>
    <w:uiPriority w:val="0"/>
    <w:rPr>
      <w:rFonts w:cs="Calibri"/>
      <w:szCs w:val="21"/>
    </w:rPr>
  </w:style>
  <w:style w:type="paragraph" w:customStyle="1" w:styleId="618">
    <w:name w:val="正文_347_0"/>
    <w:basedOn w:val="1"/>
    <w:next w:val="619"/>
    <w:qFormat/>
    <w:uiPriority w:val="0"/>
    <w:rPr>
      <w:rFonts w:ascii="Times New Roman" w:hAnsi="Times New Roman"/>
      <w:szCs w:val="21"/>
    </w:rPr>
  </w:style>
  <w:style w:type="paragraph" w:customStyle="1" w:styleId="619">
    <w:name w:val="正文首行缩进 2_342"/>
    <w:basedOn w:val="1"/>
    <w:qFormat/>
    <w:uiPriority w:val="0"/>
    <w:rPr>
      <w:rFonts w:cs="Calibri"/>
      <w:szCs w:val="21"/>
    </w:rPr>
  </w:style>
  <w:style w:type="paragraph" w:customStyle="1" w:styleId="620">
    <w:name w:val="正文_348_0"/>
    <w:basedOn w:val="1"/>
    <w:next w:val="621"/>
    <w:qFormat/>
    <w:uiPriority w:val="0"/>
    <w:rPr>
      <w:rFonts w:ascii="Times New Roman" w:hAnsi="Times New Roman"/>
      <w:szCs w:val="21"/>
    </w:rPr>
  </w:style>
  <w:style w:type="paragraph" w:customStyle="1" w:styleId="621">
    <w:name w:val="正文首行缩进 2_343"/>
    <w:basedOn w:val="1"/>
    <w:qFormat/>
    <w:uiPriority w:val="0"/>
    <w:rPr>
      <w:rFonts w:cs="Calibri"/>
      <w:szCs w:val="21"/>
    </w:rPr>
  </w:style>
  <w:style w:type="paragraph" w:customStyle="1" w:styleId="622">
    <w:name w:val="Normal_9_47_0"/>
    <w:basedOn w:val="1"/>
    <w:qFormat/>
    <w:uiPriority w:val="0"/>
    <w:pPr>
      <w:widowControl/>
      <w:spacing w:before="120" w:after="240"/>
    </w:pPr>
    <w:rPr>
      <w:rFonts w:ascii="Times New Roman" w:hAnsi="Times New Roman" w:eastAsia="Calibri"/>
      <w:kern w:val="0"/>
      <w:sz w:val="22"/>
    </w:rPr>
  </w:style>
  <w:style w:type="paragraph" w:customStyle="1" w:styleId="623">
    <w:name w:val="正文_349_0"/>
    <w:basedOn w:val="1"/>
    <w:next w:val="624"/>
    <w:qFormat/>
    <w:uiPriority w:val="0"/>
    <w:rPr>
      <w:rFonts w:ascii="Times New Roman" w:hAnsi="Times New Roman"/>
      <w:szCs w:val="21"/>
    </w:rPr>
  </w:style>
  <w:style w:type="paragraph" w:customStyle="1" w:styleId="624">
    <w:name w:val="正文首行缩进 2_344"/>
    <w:basedOn w:val="1"/>
    <w:qFormat/>
    <w:uiPriority w:val="0"/>
    <w:rPr>
      <w:rFonts w:cs="Calibri"/>
      <w:szCs w:val="21"/>
    </w:rPr>
  </w:style>
  <w:style w:type="paragraph" w:customStyle="1" w:styleId="625">
    <w:name w:val="正文_350_0"/>
    <w:basedOn w:val="1"/>
    <w:next w:val="626"/>
    <w:qFormat/>
    <w:uiPriority w:val="0"/>
    <w:rPr>
      <w:rFonts w:ascii="Times New Roman" w:hAnsi="Times New Roman"/>
      <w:szCs w:val="21"/>
    </w:rPr>
  </w:style>
  <w:style w:type="paragraph" w:customStyle="1" w:styleId="626">
    <w:name w:val="正文首行缩进 2_345"/>
    <w:basedOn w:val="1"/>
    <w:qFormat/>
    <w:uiPriority w:val="0"/>
    <w:rPr>
      <w:rFonts w:cs="Calibri"/>
      <w:szCs w:val="21"/>
    </w:rPr>
  </w:style>
  <w:style w:type="paragraph" w:customStyle="1" w:styleId="627">
    <w:name w:val="正文_351_0"/>
    <w:basedOn w:val="1"/>
    <w:next w:val="628"/>
    <w:qFormat/>
    <w:uiPriority w:val="0"/>
    <w:rPr>
      <w:rFonts w:ascii="Times New Roman" w:hAnsi="Times New Roman"/>
      <w:szCs w:val="21"/>
    </w:rPr>
  </w:style>
  <w:style w:type="paragraph" w:customStyle="1" w:styleId="628">
    <w:name w:val="正文首行缩进 2_346"/>
    <w:basedOn w:val="1"/>
    <w:qFormat/>
    <w:uiPriority w:val="0"/>
    <w:rPr>
      <w:rFonts w:cs="Calibri"/>
      <w:szCs w:val="21"/>
    </w:rPr>
  </w:style>
  <w:style w:type="paragraph" w:customStyle="1" w:styleId="629">
    <w:name w:val="正文_352_0"/>
    <w:basedOn w:val="1"/>
    <w:next w:val="630"/>
    <w:qFormat/>
    <w:uiPriority w:val="0"/>
    <w:rPr>
      <w:rFonts w:ascii="Times New Roman" w:hAnsi="Times New Roman"/>
      <w:szCs w:val="21"/>
    </w:rPr>
  </w:style>
  <w:style w:type="paragraph" w:customStyle="1" w:styleId="630">
    <w:name w:val="正文首行缩进 2_347"/>
    <w:basedOn w:val="1"/>
    <w:qFormat/>
    <w:uiPriority w:val="0"/>
    <w:rPr>
      <w:rFonts w:cs="Calibri"/>
      <w:szCs w:val="21"/>
    </w:rPr>
  </w:style>
  <w:style w:type="paragraph" w:customStyle="1" w:styleId="631">
    <w:name w:val="Normal_9_47_1"/>
    <w:basedOn w:val="1"/>
    <w:qFormat/>
    <w:uiPriority w:val="0"/>
    <w:pPr>
      <w:widowControl/>
      <w:spacing w:before="120" w:after="240"/>
    </w:pPr>
    <w:rPr>
      <w:rFonts w:ascii="Times New Roman" w:hAnsi="Times New Roman" w:eastAsia="Calibri"/>
      <w:kern w:val="0"/>
      <w:sz w:val="22"/>
    </w:rPr>
  </w:style>
  <w:style w:type="paragraph" w:customStyle="1" w:styleId="632">
    <w:name w:val="正文_353_0"/>
    <w:basedOn w:val="1"/>
    <w:next w:val="633"/>
    <w:qFormat/>
    <w:uiPriority w:val="0"/>
    <w:rPr>
      <w:rFonts w:ascii="Times New Roman" w:hAnsi="Times New Roman"/>
      <w:szCs w:val="21"/>
    </w:rPr>
  </w:style>
  <w:style w:type="paragraph" w:customStyle="1" w:styleId="633">
    <w:name w:val="正文首行缩进 2_348"/>
    <w:basedOn w:val="1"/>
    <w:qFormat/>
    <w:uiPriority w:val="0"/>
    <w:rPr>
      <w:rFonts w:cs="Calibri"/>
      <w:szCs w:val="21"/>
    </w:rPr>
  </w:style>
  <w:style w:type="paragraph" w:customStyle="1" w:styleId="634">
    <w:name w:val="正文_354_0"/>
    <w:basedOn w:val="1"/>
    <w:next w:val="635"/>
    <w:qFormat/>
    <w:uiPriority w:val="0"/>
    <w:rPr>
      <w:rFonts w:ascii="Times New Roman" w:hAnsi="Times New Roman"/>
      <w:szCs w:val="21"/>
    </w:rPr>
  </w:style>
  <w:style w:type="paragraph" w:customStyle="1" w:styleId="635">
    <w:name w:val="正文首行缩进 2_349"/>
    <w:basedOn w:val="1"/>
    <w:qFormat/>
    <w:uiPriority w:val="0"/>
    <w:rPr>
      <w:rFonts w:cs="Calibri"/>
      <w:szCs w:val="21"/>
    </w:rPr>
  </w:style>
  <w:style w:type="paragraph" w:customStyle="1" w:styleId="636">
    <w:name w:val="正文_355_0"/>
    <w:basedOn w:val="1"/>
    <w:next w:val="637"/>
    <w:qFormat/>
    <w:uiPriority w:val="0"/>
    <w:rPr>
      <w:rFonts w:ascii="Times New Roman" w:hAnsi="Times New Roman"/>
      <w:szCs w:val="21"/>
    </w:rPr>
  </w:style>
  <w:style w:type="paragraph" w:customStyle="1" w:styleId="637">
    <w:name w:val="正文首行缩进 2_350"/>
    <w:basedOn w:val="1"/>
    <w:qFormat/>
    <w:uiPriority w:val="0"/>
    <w:rPr>
      <w:rFonts w:cs="Calibri"/>
      <w:szCs w:val="21"/>
    </w:rPr>
  </w:style>
  <w:style w:type="paragraph" w:customStyle="1" w:styleId="638">
    <w:name w:val="正文_356_0"/>
    <w:basedOn w:val="1"/>
    <w:next w:val="639"/>
    <w:qFormat/>
    <w:uiPriority w:val="0"/>
    <w:rPr>
      <w:rFonts w:ascii="Times New Roman" w:hAnsi="Times New Roman"/>
      <w:szCs w:val="21"/>
    </w:rPr>
  </w:style>
  <w:style w:type="paragraph" w:customStyle="1" w:styleId="639">
    <w:name w:val="正文首行缩进 2_351"/>
    <w:basedOn w:val="1"/>
    <w:qFormat/>
    <w:uiPriority w:val="0"/>
    <w:rPr>
      <w:rFonts w:cs="Calibri"/>
      <w:szCs w:val="21"/>
    </w:rPr>
  </w:style>
  <w:style w:type="paragraph" w:customStyle="1" w:styleId="640">
    <w:name w:val="正文_357_0"/>
    <w:basedOn w:val="1"/>
    <w:next w:val="641"/>
    <w:qFormat/>
    <w:uiPriority w:val="0"/>
    <w:rPr>
      <w:rFonts w:ascii="Times New Roman" w:hAnsi="Times New Roman"/>
      <w:szCs w:val="21"/>
    </w:rPr>
  </w:style>
  <w:style w:type="paragraph" w:customStyle="1" w:styleId="641">
    <w:name w:val="正文首行缩进 2_352"/>
    <w:basedOn w:val="1"/>
    <w:qFormat/>
    <w:uiPriority w:val="0"/>
    <w:rPr>
      <w:rFonts w:cs="Calibri"/>
      <w:szCs w:val="21"/>
    </w:rPr>
  </w:style>
  <w:style w:type="paragraph" w:customStyle="1" w:styleId="642">
    <w:name w:val="正文_358_0"/>
    <w:basedOn w:val="1"/>
    <w:next w:val="643"/>
    <w:qFormat/>
    <w:uiPriority w:val="0"/>
    <w:rPr>
      <w:rFonts w:ascii="Times New Roman" w:hAnsi="Times New Roman"/>
      <w:szCs w:val="21"/>
    </w:rPr>
  </w:style>
  <w:style w:type="paragraph" w:customStyle="1" w:styleId="643">
    <w:name w:val="正文首行缩进 2_353"/>
    <w:basedOn w:val="1"/>
    <w:qFormat/>
    <w:uiPriority w:val="0"/>
    <w:rPr>
      <w:rFonts w:cs="Calibri"/>
      <w:szCs w:val="21"/>
    </w:rPr>
  </w:style>
  <w:style w:type="paragraph" w:customStyle="1" w:styleId="644">
    <w:name w:val="正文_359_0"/>
    <w:basedOn w:val="1"/>
    <w:next w:val="645"/>
    <w:qFormat/>
    <w:uiPriority w:val="0"/>
    <w:rPr>
      <w:rFonts w:ascii="Times New Roman" w:hAnsi="Times New Roman"/>
      <w:szCs w:val="21"/>
    </w:rPr>
  </w:style>
  <w:style w:type="paragraph" w:customStyle="1" w:styleId="645">
    <w:name w:val="正文首行缩进 2_354"/>
    <w:basedOn w:val="1"/>
    <w:qFormat/>
    <w:uiPriority w:val="0"/>
    <w:rPr>
      <w:rFonts w:cs="Calibri"/>
      <w:szCs w:val="21"/>
    </w:rPr>
  </w:style>
  <w:style w:type="paragraph" w:customStyle="1" w:styleId="64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7">
    <w:name w:val="纯文本_0"/>
    <w:basedOn w:val="646"/>
    <w:unhideWhenUsed/>
    <w:qFormat/>
    <w:uiPriority w:val="99"/>
    <w:rPr>
      <w:rFonts w:ascii="宋体" w:hAnsi="Courier New"/>
      <w:szCs w:val="21"/>
    </w:rPr>
  </w:style>
  <w:style w:type="paragraph" w:customStyle="1" w:styleId="648">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9">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0">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1">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2">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3">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4">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5">
    <w:name w:val="正文_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6">
    <w:name w:val="Table Paragraph"/>
    <w:basedOn w:val="1"/>
    <w:qFormat/>
    <w:uiPriority w:val="1"/>
    <w:rPr>
      <w:rFonts w:ascii="宋体" w:hAnsi="宋体" w:eastAsia="宋体" w:cs="宋体"/>
      <w:lang w:val="en-US" w:eastAsia="zh-CN" w:bidi="ar-SA"/>
    </w:rPr>
  </w:style>
  <w:style w:type="table" w:customStyle="1" w:styleId="657">
    <w:name w:val="Table Normal"/>
    <w:unhideWhenUsed/>
    <w:qFormat/>
    <w:uiPriority w:val="0"/>
    <w:rPr>
      <w:lang w:eastAsia="en-US"/>
    </w:rPr>
    <w:tblPr>
      <w:tblCellMar>
        <w:top w:w="0" w:type="dxa"/>
        <w:left w:w="0" w:type="dxa"/>
        <w:bottom w:w="0" w:type="dxa"/>
        <w:right w:w="0" w:type="dxa"/>
      </w:tblCellMar>
    </w:tblPr>
  </w:style>
  <w:style w:type="paragraph" w:customStyle="1" w:styleId="658">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9">
    <w:name w:val="正文_2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60">
    <w:name w:val="a_p_3"/>
    <w:basedOn w:val="57"/>
    <w:qFormat/>
    <w:uiPriority w:val="0"/>
    <w:rPr>
      <w:sz w:val="27"/>
      <w:szCs w:val="27"/>
    </w:rPr>
  </w:style>
  <w:style w:type="character" w:customStyle="1" w:styleId="661">
    <w:name w:val="a_p_2"/>
    <w:basedOn w:val="57"/>
    <w:qFormat/>
    <w:uiPriority w:val="0"/>
    <w:rPr>
      <w:sz w:val="27"/>
      <w:szCs w:val="27"/>
    </w:rPr>
  </w:style>
  <w:style w:type="character" w:customStyle="1" w:styleId="662">
    <w:name w:val="a_p_21"/>
    <w:basedOn w:val="57"/>
    <w:qFormat/>
    <w:uiPriority w:val="0"/>
  </w:style>
  <w:style w:type="character" w:customStyle="1" w:styleId="663">
    <w:name w:val="a_p_1"/>
    <w:basedOn w:val="57"/>
    <w:qFormat/>
    <w:uiPriority w:val="0"/>
    <w:rPr>
      <w:sz w:val="27"/>
      <w:szCs w:val="27"/>
    </w:rPr>
  </w:style>
  <w:style w:type="character" w:customStyle="1" w:styleId="664">
    <w:name w:val="ul_li_a_1"/>
    <w:basedOn w:val="57"/>
    <w:qFormat/>
    <w:uiPriority w:val="0"/>
    <w:rPr>
      <w:b/>
      <w:bCs/>
      <w:color w:val="FFFFFF"/>
    </w:rPr>
  </w:style>
  <w:style w:type="character" w:customStyle="1" w:styleId="665">
    <w:name w:val="exap"/>
    <w:basedOn w:val="57"/>
    <w:qFormat/>
    <w:uiPriority w:val="0"/>
    <w:rPr>
      <w:sz w:val="27"/>
      <w:szCs w:val="27"/>
    </w:rPr>
  </w:style>
  <w:style w:type="character" w:customStyle="1" w:styleId="666">
    <w:name w:val="font61"/>
    <w:basedOn w:val="57"/>
    <w:qFormat/>
    <w:uiPriority w:val="0"/>
    <w:rPr>
      <w:rFonts w:hint="eastAsia" w:ascii="宋体" w:hAnsi="宋体" w:eastAsia="宋体" w:cs="宋体"/>
      <w:color w:val="000000"/>
      <w:sz w:val="21"/>
      <w:szCs w:val="21"/>
      <w:u w:val="none"/>
    </w:rPr>
  </w:style>
  <w:style w:type="character" w:customStyle="1" w:styleId="667">
    <w:name w:val="font71"/>
    <w:basedOn w:val="57"/>
    <w:qFormat/>
    <w:uiPriority w:val="0"/>
    <w:rPr>
      <w:rFonts w:hint="default" w:ascii="Times New Roman" w:hAnsi="Times New Roman" w:cs="Times New Roman"/>
      <w:color w:val="000000"/>
      <w:sz w:val="21"/>
      <w:szCs w:val="21"/>
      <w:u w:val="none"/>
    </w:rPr>
  </w:style>
  <w:style w:type="paragraph" w:customStyle="1" w:styleId="668">
    <w:name w:val="正文_1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18.xml"/><Relationship Id="rId33" Type="http://schemas.openxmlformats.org/officeDocument/2006/relationships/header" Target="header13.xml"/><Relationship Id="rId32" Type="http://schemas.openxmlformats.org/officeDocument/2006/relationships/footer" Target="footer17.xml"/><Relationship Id="rId31" Type="http://schemas.openxmlformats.org/officeDocument/2006/relationships/header" Target="header12.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1.xml"/><Relationship Id="rId27" Type="http://schemas.openxmlformats.org/officeDocument/2006/relationships/header" Target="header10.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9.xml"/><Relationship Id="rId23" Type="http://schemas.openxmlformats.org/officeDocument/2006/relationships/header" Target="header8.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7.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CE803-C8E7-44C4-A727-8A4713F42EA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144</Pages>
  <Words>57321</Words>
  <Characters>61243</Characters>
  <Lines>549</Lines>
  <Paragraphs>154</Paragraphs>
  <TotalTime>20</TotalTime>
  <ScaleCrop>false</ScaleCrop>
  <LinksUpToDate>false</LinksUpToDate>
  <CharactersWithSpaces>64348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2019-06-26T12:36:00Z</dcterms:created>
  <dc:creator>Administrator</dc:creator>
  <cp:lastModifiedBy>Administrator</cp:lastModifiedBy>
  <cp:lastPrinted>2019-06-13T01:35:00Z</cp:lastPrinted>
  <dcterms:modified xsi:type="dcterms:W3CDTF">2025-10-29T02:56:26Z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311789716C3D4FA2A59A05E868648A5D_13</vt:lpwstr>
  </property>
  <property fmtid="{D5CDD505-2E9C-101B-9397-08002B2CF9AE}" pid="4" name="KSOTemplateDocerSaveRecord">
    <vt:lpwstr>eyJoZGlkIjoiZGQyODJhMWVhYzkyMzg2ZmU1NWNiMTIxODkyNmE4YjUiLCJ1c2VySWQiOiI5NDY1ODMxMDkifQ==</vt:lpwstr>
  </property>
</Properties>
</file>