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54410">
      <w:pPr>
        <w:spacing w:line="800" w:lineRule="exact"/>
        <w:jc w:val="right"/>
        <w:rPr>
          <w:rFonts w:hint="eastAsia" w:ascii="楷体" w:hAnsi="楷体" w:eastAsia="楷体" w:cs="微软雅黑"/>
          <w:b/>
          <w:color w:val="auto"/>
          <w:sz w:val="56"/>
          <w:szCs w:val="72"/>
          <w:highlight w:val="none"/>
        </w:rPr>
      </w:pPr>
    </w:p>
    <w:p w14:paraId="42A18C81">
      <w:pPr>
        <w:spacing w:line="240" w:lineRule="auto"/>
        <w:jc w:val="center"/>
        <w:rPr>
          <w:rFonts w:hint="eastAsia" w:ascii="宋体" w:hAnsi="宋体" w:cs="微软雅黑"/>
          <w:b/>
          <w:color w:val="auto"/>
          <w:sz w:val="48"/>
          <w:szCs w:val="48"/>
          <w:highlight w:val="none"/>
        </w:rPr>
      </w:pPr>
      <w:bookmarkStart w:id="0" w:name="_Hlk107492878"/>
      <w:r>
        <w:rPr>
          <w:rFonts w:hint="eastAsia" w:ascii="宋体" w:hAnsi="宋体" w:cs="微软雅黑"/>
          <w:b/>
          <w:color w:val="auto"/>
          <w:sz w:val="48"/>
          <w:szCs w:val="48"/>
          <w:highlight w:val="none"/>
        </w:rPr>
        <w:t>湖南省新新张官高速公路建设开发有限公司</w:t>
      </w:r>
      <w:bookmarkEnd w:id="0"/>
      <w:r>
        <w:rPr>
          <w:rFonts w:hint="eastAsia" w:ascii="宋体" w:hAnsi="宋体" w:cs="微软雅黑"/>
          <w:b/>
          <w:color w:val="auto"/>
          <w:sz w:val="48"/>
          <w:szCs w:val="48"/>
          <w:highlight w:val="none"/>
          <w:lang w:val="en-US" w:eastAsia="zh-CN"/>
        </w:rPr>
        <w:t xml:space="preserve"> </w:t>
      </w:r>
    </w:p>
    <w:p w14:paraId="638D5103">
      <w:pPr>
        <w:jc w:val="center"/>
        <w:rPr>
          <w:rFonts w:hint="eastAsia" w:ascii="宋体" w:hAnsi="宋体" w:cs="微软雅黑"/>
          <w:b/>
          <w:color w:val="auto"/>
          <w:sz w:val="72"/>
          <w:szCs w:val="72"/>
          <w:highlight w:val="none"/>
        </w:rPr>
      </w:pPr>
    </w:p>
    <w:p w14:paraId="54B1027E">
      <w:pPr>
        <w:jc w:val="center"/>
        <w:rPr>
          <w:rFonts w:hint="eastAsia" w:ascii="宋体" w:hAnsi="宋体" w:cs="微软雅黑"/>
          <w:b/>
          <w:color w:val="auto"/>
          <w:sz w:val="72"/>
          <w:szCs w:val="72"/>
          <w:highlight w:val="none"/>
        </w:rPr>
      </w:pPr>
    </w:p>
    <w:p w14:paraId="20BA3EE9">
      <w:pPr>
        <w:jc w:val="center"/>
        <w:rPr>
          <w:rFonts w:hint="eastAsia" w:ascii="宋体" w:hAnsi="宋体" w:cs="微软雅黑"/>
          <w:b/>
          <w:color w:val="auto"/>
          <w:sz w:val="72"/>
          <w:szCs w:val="72"/>
          <w:highlight w:val="none"/>
        </w:rPr>
      </w:pPr>
    </w:p>
    <w:p w14:paraId="597BBDB7">
      <w:pPr>
        <w:jc w:val="center"/>
        <w:rPr>
          <w:rFonts w:hint="eastAsia" w:ascii="宋体" w:hAnsi="宋体" w:cs="微软雅黑"/>
          <w:b/>
          <w:color w:val="auto"/>
          <w:sz w:val="72"/>
          <w:szCs w:val="72"/>
          <w:highlight w:val="none"/>
        </w:rPr>
      </w:pPr>
    </w:p>
    <w:p w14:paraId="1BBE9994">
      <w:pPr>
        <w:spacing w:line="240" w:lineRule="auto"/>
        <w:jc w:val="center"/>
        <w:rPr>
          <w:rFonts w:hint="eastAsia" w:ascii="宋体" w:hAnsi="宋体"/>
          <w:b/>
          <w:color w:val="auto"/>
          <w:sz w:val="92"/>
          <w:szCs w:val="72"/>
          <w:highlight w:val="none"/>
        </w:rPr>
      </w:pPr>
      <w:r>
        <w:rPr>
          <w:rFonts w:hint="eastAsia" w:ascii="宋体" w:hAnsi="宋体" w:cs="微软雅黑"/>
          <w:b/>
          <w:color w:val="auto"/>
          <w:sz w:val="92"/>
          <w:szCs w:val="72"/>
          <w:highlight w:val="none"/>
        </w:rPr>
        <w:t>采购文件</w:t>
      </w:r>
    </w:p>
    <w:p w14:paraId="4EA06CF8">
      <w:pPr>
        <w:spacing w:line="240" w:lineRule="auto"/>
        <w:jc w:val="center"/>
        <w:rPr>
          <w:rFonts w:hint="eastAsia" w:ascii="宋体" w:hAnsi="宋体" w:cs="宋体"/>
          <w:b/>
          <w:color w:val="auto"/>
          <w:kern w:val="0"/>
          <w:sz w:val="40"/>
          <w:szCs w:val="40"/>
          <w:highlight w:val="none"/>
        </w:rPr>
      </w:pPr>
    </w:p>
    <w:p w14:paraId="30115B79">
      <w:pPr>
        <w:spacing w:line="240" w:lineRule="auto"/>
        <w:jc w:val="center"/>
        <w:rPr>
          <w:rFonts w:hint="eastAsia" w:ascii="宋体" w:hAnsi="宋体" w:cs="宋体"/>
          <w:b/>
          <w:color w:val="auto"/>
          <w:kern w:val="0"/>
          <w:sz w:val="40"/>
          <w:szCs w:val="40"/>
          <w:highlight w:val="none"/>
        </w:rPr>
      </w:pPr>
    </w:p>
    <w:p w14:paraId="1AE2EF64">
      <w:pPr>
        <w:spacing w:line="240" w:lineRule="auto"/>
        <w:jc w:val="center"/>
        <w:rPr>
          <w:color w:val="auto"/>
          <w:highlight w:val="none"/>
        </w:rPr>
      </w:pPr>
    </w:p>
    <w:p w14:paraId="48E61D66">
      <w:pPr>
        <w:spacing w:line="360" w:lineRule="auto"/>
        <w:ind w:firstLine="1077" w:firstLineChars="298"/>
        <w:rPr>
          <w:b/>
          <w:bCs/>
          <w:color w:val="auto"/>
          <w:sz w:val="36"/>
          <w:highlight w:val="none"/>
        </w:rPr>
      </w:pPr>
    </w:p>
    <w:p w14:paraId="23E935A1">
      <w:pPr>
        <w:spacing w:line="360" w:lineRule="auto"/>
        <w:ind w:firstLine="1077" w:firstLineChars="298"/>
        <w:rPr>
          <w:b/>
          <w:bCs/>
          <w:color w:val="auto"/>
          <w:sz w:val="36"/>
          <w:highlight w:val="none"/>
        </w:rPr>
      </w:pPr>
    </w:p>
    <w:p w14:paraId="38C7919D">
      <w:pPr>
        <w:spacing w:line="360" w:lineRule="auto"/>
        <w:ind w:firstLine="1077" w:firstLineChars="298"/>
        <w:rPr>
          <w:b/>
          <w:bCs/>
          <w:color w:val="auto"/>
          <w:sz w:val="36"/>
          <w:highlight w:val="none"/>
        </w:rPr>
      </w:pPr>
    </w:p>
    <w:p w14:paraId="720EC770">
      <w:pPr>
        <w:spacing w:line="360" w:lineRule="auto"/>
        <w:ind w:firstLine="1077" w:firstLineChars="298"/>
        <w:rPr>
          <w:b/>
          <w:bCs/>
          <w:color w:val="auto"/>
          <w:sz w:val="36"/>
          <w:highlight w:val="none"/>
        </w:rPr>
      </w:pPr>
    </w:p>
    <w:p w14:paraId="7DA7C84C">
      <w:pPr>
        <w:spacing w:line="360" w:lineRule="auto"/>
        <w:ind w:firstLine="1077" w:firstLineChars="298"/>
        <w:rPr>
          <w:b/>
          <w:bCs/>
          <w:color w:val="auto"/>
          <w:sz w:val="36"/>
          <w:highlight w:val="none"/>
        </w:rPr>
      </w:pPr>
    </w:p>
    <w:p w14:paraId="1085DF8A">
      <w:pPr>
        <w:spacing w:line="360" w:lineRule="auto"/>
        <w:ind w:firstLine="1124" w:firstLineChars="400"/>
        <w:rPr>
          <w:rFonts w:hint="eastAsia" w:ascii="宋体" w:hAnsi="宋体" w:cs="宋体"/>
          <w:b/>
          <w:color w:val="auto"/>
          <w:kern w:val="0"/>
          <w:sz w:val="28"/>
          <w:szCs w:val="28"/>
          <w:highlight w:val="none"/>
          <w:lang w:eastAsia="zh-CN"/>
        </w:rPr>
      </w:pPr>
      <w:r>
        <w:rPr>
          <w:rFonts w:hint="eastAsia" w:ascii="宋体" w:hAnsi="宋体" w:cs="宋体"/>
          <w:b/>
          <w:color w:val="auto"/>
          <w:kern w:val="0"/>
          <w:sz w:val="28"/>
          <w:szCs w:val="28"/>
          <w:highlight w:val="none"/>
        </w:rPr>
        <w:t>采购项目名称：</w:t>
      </w:r>
      <w:r>
        <w:rPr>
          <w:rFonts w:hint="eastAsia" w:ascii="宋体" w:hAnsi="宋体" w:cs="宋体"/>
          <w:b/>
          <w:color w:val="auto"/>
          <w:kern w:val="0"/>
          <w:sz w:val="28"/>
          <w:szCs w:val="28"/>
          <w:highlight w:val="none"/>
          <w:lang w:val="en-US" w:eastAsia="zh-CN"/>
        </w:rPr>
        <w:t>G59 呼北高速公路张家界至官庄段 PPP 项目第二标段沅古坪服务区加油站安评、环评、职业病评价“三同时”咨询服务项目</w:t>
      </w:r>
    </w:p>
    <w:p w14:paraId="67A1186A">
      <w:pPr>
        <w:spacing w:line="360" w:lineRule="auto"/>
        <w:ind w:firstLine="1124" w:firstLineChars="400"/>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rPr>
        <w:t>采购项目编号：</w:t>
      </w:r>
      <w:r>
        <w:rPr>
          <w:rFonts w:hint="eastAsia" w:ascii="宋体" w:hAnsi="宋体" w:cs="宋体"/>
          <w:b/>
          <w:color w:val="auto"/>
          <w:kern w:val="0"/>
          <w:sz w:val="28"/>
          <w:szCs w:val="28"/>
          <w:highlight w:val="none"/>
          <w:lang w:eastAsia="zh-CN"/>
        </w:rPr>
        <w:t>2025-张家界分公司-服务-00</w:t>
      </w:r>
      <w:r>
        <w:rPr>
          <w:rFonts w:hint="eastAsia" w:ascii="宋体" w:hAnsi="宋体" w:cs="宋体"/>
          <w:b/>
          <w:color w:val="auto"/>
          <w:kern w:val="0"/>
          <w:sz w:val="28"/>
          <w:szCs w:val="28"/>
          <w:highlight w:val="none"/>
          <w:lang w:val="en-US" w:eastAsia="zh-CN"/>
        </w:rPr>
        <w:t>7</w:t>
      </w:r>
    </w:p>
    <w:p w14:paraId="29D67AEC">
      <w:pPr>
        <w:spacing w:line="360" w:lineRule="auto"/>
        <w:ind w:firstLine="1124" w:firstLineChars="4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采购单位全称：湖南省新新张官高速公路建设开发有限公司</w:t>
      </w:r>
      <w:r>
        <w:rPr>
          <w:rFonts w:hint="eastAsia" w:ascii="宋体" w:hAnsi="宋体" w:cs="宋体"/>
          <w:b/>
          <w:color w:val="auto"/>
          <w:kern w:val="0"/>
          <w:sz w:val="28"/>
          <w:szCs w:val="28"/>
          <w:highlight w:val="none"/>
          <w:lang w:val="en-US" w:eastAsia="zh-CN"/>
        </w:rPr>
        <w:t>张家界</w:t>
      </w:r>
      <w:r>
        <w:rPr>
          <w:rFonts w:hint="eastAsia" w:ascii="宋体" w:hAnsi="宋体" w:cs="宋体"/>
          <w:b/>
          <w:color w:val="auto"/>
          <w:kern w:val="0"/>
          <w:sz w:val="28"/>
          <w:szCs w:val="28"/>
          <w:highlight w:val="none"/>
        </w:rPr>
        <w:t>分公司</w:t>
      </w:r>
    </w:p>
    <w:p w14:paraId="1EF0DCFF">
      <w:pPr>
        <w:spacing w:line="360" w:lineRule="auto"/>
        <w:ind w:firstLine="1124" w:firstLineChars="4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采购单位简称：新新张官</w:t>
      </w:r>
      <w:r>
        <w:rPr>
          <w:rFonts w:hint="eastAsia" w:ascii="宋体" w:hAnsi="宋体" w:cs="宋体"/>
          <w:b/>
          <w:color w:val="auto"/>
          <w:kern w:val="0"/>
          <w:sz w:val="28"/>
          <w:szCs w:val="28"/>
          <w:highlight w:val="none"/>
          <w:lang w:eastAsia="zh-CN"/>
        </w:rPr>
        <w:t>张家界</w:t>
      </w:r>
      <w:r>
        <w:rPr>
          <w:rFonts w:hint="eastAsia" w:ascii="宋体" w:hAnsi="宋体" w:cs="宋体"/>
          <w:b/>
          <w:color w:val="auto"/>
          <w:kern w:val="0"/>
          <w:sz w:val="28"/>
          <w:szCs w:val="28"/>
          <w:highlight w:val="none"/>
        </w:rPr>
        <w:t>分公司</w:t>
      </w:r>
    </w:p>
    <w:p w14:paraId="4A21F798">
      <w:pPr>
        <w:spacing w:line="360" w:lineRule="auto"/>
        <w:ind w:firstLine="1124" w:firstLineChars="40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采购代理机构：中科高盛咨询集团有限公司</w:t>
      </w:r>
    </w:p>
    <w:p w14:paraId="4EE0E15B">
      <w:pPr>
        <w:spacing w:line="360" w:lineRule="auto"/>
        <w:ind w:firstLine="422" w:firstLineChars="150"/>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202</w:t>
      </w:r>
      <w:r>
        <w:rPr>
          <w:rFonts w:hint="eastAsia" w:ascii="宋体" w:hAnsi="宋体" w:cs="宋体"/>
          <w:b/>
          <w:color w:val="auto"/>
          <w:kern w:val="0"/>
          <w:sz w:val="28"/>
          <w:szCs w:val="28"/>
          <w:highlight w:val="none"/>
          <w:lang w:val="en-US" w:eastAsia="zh-CN"/>
        </w:rPr>
        <w:t>5</w:t>
      </w:r>
      <w:r>
        <w:rPr>
          <w:rFonts w:hint="eastAsia" w:ascii="宋体" w:hAnsi="宋体" w:cs="宋体"/>
          <w:b/>
          <w:color w:val="auto"/>
          <w:kern w:val="0"/>
          <w:sz w:val="28"/>
          <w:szCs w:val="28"/>
          <w:highlight w:val="none"/>
        </w:rPr>
        <w:t>年</w:t>
      </w:r>
      <w:r>
        <w:rPr>
          <w:rFonts w:hint="eastAsia" w:ascii="宋体" w:hAnsi="宋体" w:cs="宋体"/>
          <w:b/>
          <w:color w:val="auto"/>
          <w:kern w:val="0"/>
          <w:sz w:val="28"/>
          <w:szCs w:val="28"/>
          <w:highlight w:val="none"/>
          <w:lang w:val="en-US" w:eastAsia="zh-CN"/>
        </w:rPr>
        <w:t>10</w:t>
      </w:r>
      <w:r>
        <w:rPr>
          <w:rFonts w:hint="eastAsia" w:ascii="宋体" w:hAnsi="宋体" w:cs="宋体"/>
          <w:b/>
          <w:color w:val="auto"/>
          <w:kern w:val="0"/>
          <w:sz w:val="28"/>
          <w:szCs w:val="28"/>
          <w:highlight w:val="none"/>
        </w:rPr>
        <w:t>月</w:t>
      </w:r>
    </w:p>
    <w:p w14:paraId="3DEC298A">
      <w:pPr>
        <w:pStyle w:val="149"/>
        <w:spacing w:line="320" w:lineRule="exact"/>
        <w:ind w:firstLine="0" w:firstLineChars="0"/>
        <w:jc w:val="center"/>
        <w:rPr>
          <w:rFonts w:hint="eastAsia" w:hAnsi="宋体"/>
          <w:b/>
          <w:color w:val="auto"/>
          <w:szCs w:val="21"/>
          <w:highlight w:val="none"/>
        </w:rPr>
      </w:pPr>
    </w:p>
    <w:p w14:paraId="00689CA7">
      <w:pPr>
        <w:pStyle w:val="149"/>
        <w:spacing w:line="320" w:lineRule="exact"/>
        <w:ind w:firstLine="0" w:firstLineChars="0"/>
        <w:jc w:val="center"/>
        <w:rPr>
          <w:rFonts w:hint="eastAsia" w:hAnsi="宋体"/>
          <w:b/>
          <w:color w:val="auto"/>
          <w:szCs w:val="21"/>
          <w:highlight w:val="none"/>
        </w:rPr>
      </w:pPr>
    </w:p>
    <w:p w14:paraId="77917CB1">
      <w:pPr>
        <w:pStyle w:val="149"/>
        <w:spacing w:line="320" w:lineRule="exact"/>
        <w:ind w:firstLine="0" w:firstLineChars="0"/>
        <w:jc w:val="center"/>
        <w:rPr>
          <w:rFonts w:hint="eastAsia" w:hAnsi="宋体"/>
          <w:b/>
          <w:color w:val="auto"/>
          <w:szCs w:val="21"/>
          <w:highlight w:val="none"/>
        </w:rPr>
        <w:sectPr>
          <w:pgSz w:w="11906" w:h="16838"/>
          <w:pgMar w:top="1134" w:right="1134" w:bottom="1134" w:left="1134" w:header="851" w:footer="1240" w:gutter="0"/>
          <w:cols w:space="720" w:num="1"/>
          <w:docGrid w:linePitch="312" w:charSpace="0"/>
        </w:sectPr>
      </w:pPr>
    </w:p>
    <w:p w14:paraId="2693B4A7">
      <w:pPr>
        <w:spacing w:line="520" w:lineRule="exact"/>
        <w:jc w:val="center"/>
        <w:rPr>
          <w:rFonts w:hint="eastAsia" w:ascii="宋体" w:hAnsi="宋体" w:cs="宋体"/>
          <w:color w:val="auto"/>
          <w:sz w:val="42"/>
          <w:szCs w:val="30"/>
          <w:highlight w:val="none"/>
        </w:rPr>
      </w:pPr>
      <w:r>
        <w:rPr>
          <w:rFonts w:hint="eastAsia" w:ascii="宋体" w:hAnsi="宋体" w:cs="宋体"/>
          <w:color w:val="auto"/>
          <w:sz w:val="42"/>
          <w:szCs w:val="30"/>
          <w:highlight w:val="none"/>
        </w:rPr>
        <w:t>编制说明</w:t>
      </w:r>
    </w:p>
    <w:p w14:paraId="356D056E">
      <w:pPr>
        <w:numPr>
          <w:ilvl w:val="0"/>
          <w:numId w:val="13"/>
        </w:num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《标准采购文件》运用</w:t>
      </w:r>
    </w:p>
    <w:p w14:paraId="3B836C5F">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了便于供应商高效阅览，《标准采购文件》第一章“采购公告”、第二章中“供应商须知前附表”和第三章中“评审办法前附表”的空格选择内容，采购人在编制采购文件时，应根据采购项目实际需要，采用画勾“√</w:t>
      </w:r>
      <w:r>
        <w:rPr>
          <w:rFonts w:hint="eastAsia" w:ascii="宋体" w:hAnsi="宋体" w:cs="宋体"/>
          <w:color w:val="auto"/>
          <w:sz w:val="24"/>
          <w:highlight w:val="none"/>
          <w:lang w:eastAsia="zh-CN"/>
        </w:rPr>
        <w:t>”</w:t>
      </w:r>
      <w:r>
        <w:rPr>
          <w:rFonts w:hint="eastAsia" w:ascii="宋体" w:hAnsi="宋体" w:cs="宋体"/>
          <w:color w:val="auto"/>
          <w:sz w:val="24"/>
          <w:highlight w:val="none"/>
        </w:rPr>
        <w:t>或涂黑的方式选择填写“□”。采购文件第二章“供应商须知”和第三章“评审办法”的正文内容编制时不应修改，所有需要修改和补充的内容都应在前附表中选择和补充列明。</w:t>
      </w:r>
    </w:p>
    <w:p w14:paraId="2106AFDF">
      <w:pPr>
        <w:numPr>
          <w:ilvl w:val="0"/>
          <w:numId w:val="13"/>
        </w:num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通用货物类采购文件简化结构</w:t>
      </w:r>
    </w:p>
    <w:p w14:paraId="79564D7B">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适应通用货物类采购简便、高效的特性，采购人根据项目需要，可以直接在供应商须知相应条款的空格中列出有关要求，采购人可不要求通用货物类供应商提供响应文件，但通用货物类一般采用单品报价最低原则确定成交供应商。</w:t>
      </w:r>
    </w:p>
    <w:p w14:paraId="038EDA7F">
      <w:pPr>
        <w:numPr>
          <w:ilvl w:val="0"/>
          <w:numId w:val="13"/>
        </w:num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工程、货物和服务三类项目</w:t>
      </w:r>
    </w:p>
    <w:p w14:paraId="312765F1">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《标准采购文件》中同一序号的条款后标记(A)、(B)、(C)的分别适用工程、货物和服务三类采购项目，采购文件可根据采购项目的类别，选择适用的分类条款。</w:t>
      </w:r>
    </w:p>
    <w:p w14:paraId="7B1FD0F2">
      <w:pPr>
        <w:numPr>
          <w:ilvl w:val="0"/>
          <w:numId w:val="13"/>
        </w:num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选择合适评审办法和评审程序</w:t>
      </w:r>
    </w:p>
    <w:p w14:paraId="13E88704">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文件第三章“评审办法”的同一序号条款分别标记了“适用询价”和“适用竞争性谈判”等程序。采购文件第三章“评审办法”的同一序号条款分别标记了“最低价法"“综合评分法”和“投票法”等评审方法，采购文件可根据采购项目的需求和特点，选择合适的评审办法。其中，“最低价法”属于“最低评审价方法”，适用需求和技术方案简单，技术标准单一的采购项目；“综合评分法”和“投票法”属于“综合评估方法”，适用需求和技术方案复杂，技术标准和价格需要通过综合比较，优化选择的采购项目。</w:t>
      </w:r>
    </w:p>
    <w:p w14:paraId="0790BE60">
      <w:pPr>
        <w:numPr>
          <w:ilvl w:val="0"/>
          <w:numId w:val="13"/>
        </w:num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《标准采购文件》提示条款</w:t>
      </w:r>
    </w:p>
    <w:p w14:paraId="74D8A25B">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《标准采购文件》标注的内容属于提示编制采购文件的注意事项，采购文件编制时，应删除标注的内容。采购文件第六章“响应文件格式”中的标注内容是提示响应供应商的，采购文件编制时不必删除。</w:t>
      </w:r>
    </w:p>
    <w:p w14:paraId="4265FD75">
      <w:pPr>
        <w:numPr>
          <w:ilvl w:val="0"/>
          <w:numId w:val="13"/>
        </w:numPr>
        <w:spacing w:line="520" w:lineRule="exact"/>
        <w:rPr>
          <w:rFonts w:hint="eastAsia" w:ascii="宋体" w:hAnsi="宋体" w:cs="宋体"/>
          <w:b/>
          <w:bCs/>
          <w:color w:val="auto"/>
          <w:sz w:val="24"/>
          <w:highlight w:val="none"/>
        </w:rPr>
      </w:pPr>
      <w:r>
        <w:rPr>
          <w:rFonts w:hint="eastAsia" w:ascii="宋体" w:hAnsi="宋体" w:cs="宋体"/>
          <w:b/>
          <w:bCs/>
          <w:color w:val="auto"/>
          <w:sz w:val="24"/>
          <w:highlight w:val="none"/>
        </w:rPr>
        <w:t>转换采购方式</w:t>
      </w:r>
    </w:p>
    <w:p w14:paraId="028843D6">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项目选择一家成交供应商，其响应供应商不足三家的，或者选择多家成交供应商，其响应供应商少于采购文件约定数量的(约定数量一般不少于成交供应商数量的2倍)，采购人可以按照以下情形分别处理：</w:t>
      </w:r>
    </w:p>
    <w:p w14:paraId="1F58D6E5">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a.终止询价重新组织采购。</w:t>
      </w:r>
    </w:p>
    <w:p w14:paraId="5BE857B7">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采购项目响应供应商没有达到规定数量，并存在以下影响公平竞争情形的，采购人应当及时在相应阶段终止询价采购， 并根据不同情形和原因，采取相应纠正措施，重新组织采购：</w:t>
      </w:r>
    </w:p>
    <w:p w14:paraId="40FFCB92">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1）未发布采购公告，或者限额以上的采购项目未在中国招标投标公共服务平台或省级招标投标公共服务平台发布采购公告的；</w:t>
      </w:r>
    </w:p>
    <w:p w14:paraId="0EE47D56">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2）采购文件发售时间过短，或者设置不合理限制条件，以致潜在供应商无法获取采购文件的；</w:t>
      </w:r>
    </w:p>
    <w:p w14:paraId="27A8D376">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3)采购文件发出到提交响应文件截止时间过短，潜在供应商编制响应文件时间不足的；</w:t>
      </w:r>
    </w:p>
    <w:p w14:paraId="4A571A15">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4)采购文件设置的项目需求技术标准要求或者供应商资格条件指向特定供应商，存在排斥歧视情形的；</w:t>
      </w:r>
    </w:p>
    <w:p w14:paraId="530F2CC6">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5)采购文件的评审办法和标准以及合同条件存在不公平或者不合理要求的；</w:t>
      </w:r>
    </w:p>
    <w:p w14:paraId="0842B530">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6)采购文件设置的最高限价过低，供应商无法完成履约的；</w:t>
      </w:r>
    </w:p>
    <w:p w14:paraId="2D991900">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7)采购人其他违规和失误情形导致响应供应商数量不满足规定要求的。</w:t>
      </w:r>
    </w:p>
    <w:p w14:paraId="01525382">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采购项目响应供应商没有达到规定数量，但是不存在上述影响公平竞争情形的，采购人也可以选择终止询价采购，采取相应完善措施，重新组织采购。</w:t>
      </w:r>
    </w:p>
    <w:p w14:paraId="69F8097C">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b.继续询价采购。</w:t>
      </w:r>
    </w:p>
    <w:p w14:paraId="06085EB9">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采购项目不存在应该终止询价</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情形，且采购人也没有自行选择终止询价采购的，采购人可以按照询价采购文件约定程序和规则，继续开启响应文件和组织评审，完成询价采购后续程序。</w:t>
      </w:r>
    </w:p>
    <w:p w14:paraId="0EADB2B8">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当询价评审小组判断所有响应文件无效，或者所有响应报价失去竞争性，且高于市场预期价格，评审小组应当终止评审。采购人可以按照原询价采购文件约定，直接选择转换其他采购方式，与原供应商共同完成后续采购程序：采购人也可以重新组织采购。</w:t>
      </w:r>
    </w:p>
    <w:p w14:paraId="4BFDBE7E">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选择直接转换采购方式，供应商实际数量超过采购文件约定成交供应商数量的，采购人应当转换选择谈判采购方式：供应商实际数量等于或少于采购文件约定成交供应商数量的，采购人应当转换选择直接采购方式。</w:t>
      </w:r>
    </w:p>
    <w:p w14:paraId="491EEF9D">
      <w:pPr>
        <w:spacing w:line="5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除了采购人与响应供应商双方同意修改补充并接受新的条件和要求外，原询价采购文件与原响应文件对采购人和供应商仍然具有相应约束力。</w:t>
      </w:r>
    </w:p>
    <w:p w14:paraId="7F7C1212">
      <w:pPr>
        <w:spacing w:line="520" w:lineRule="exact"/>
        <w:ind w:firstLine="600" w:firstLineChars="200"/>
        <w:rPr>
          <w:rFonts w:hint="eastAsia" w:ascii="仿宋" w:hAnsi="仿宋" w:eastAsia="仿宋"/>
          <w:color w:val="auto"/>
          <w:sz w:val="30"/>
          <w:szCs w:val="30"/>
          <w:highlight w:val="none"/>
        </w:rPr>
      </w:pPr>
    </w:p>
    <w:p w14:paraId="5F6138A7">
      <w:pPr>
        <w:spacing w:line="240" w:lineRule="auto"/>
        <w:rPr>
          <w:color w:val="auto"/>
          <w:highlight w:val="none"/>
        </w:rPr>
      </w:pPr>
      <w:r>
        <w:rPr>
          <w:color w:val="auto"/>
          <w:highlight w:val="none"/>
        </w:rPr>
        <w:br w:type="page"/>
      </w:r>
    </w:p>
    <w:p w14:paraId="2C489233">
      <w:pPr>
        <w:spacing w:line="600" w:lineRule="exact"/>
        <w:jc w:val="center"/>
        <w:rPr>
          <w:rFonts w:hint="eastAsia" w:hAnsi="宋体"/>
          <w:b/>
          <w:color w:val="auto"/>
          <w:sz w:val="24"/>
          <w:highlight w:val="none"/>
        </w:rPr>
      </w:pPr>
    </w:p>
    <w:p w14:paraId="67B0A530">
      <w:pPr>
        <w:spacing w:line="600" w:lineRule="exact"/>
        <w:jc w:val="center"/>
        <w:rPr>
          <w:rFonts w:hint="eastAsia" w:hAnsi="宋体"/>
          <w:b/>
          <w:color w:val="auto"/>
          <w:sz w:val="24"/>
          <w:highlight w:val="none"/>
        </w:rPr>
      </w:pPr>
    </w:p>
    <w:p w14:paraId="3E059C2C">
      <w:pPr>
        <w:spacing w:line="600" w:lineRule="exact"/>
        <w:jc w:val="center"/>
        <w:rPr>
          <w:rFonts w:hint="eastAsia" w:hAnsi="宋体"/>
          <w:b/>
          <w:color w:val="auto"/>
          <w:sz w:val="24"/>
          <w:highlight w:val="none"/>
        </w:rPr>
      </w:pPr>
    </w:p>
    <w:p w14:paraId="051D16DA">
      <w:pPr>
        <w:spacing w:line="600" w:lineRule="exact"/>
        <w:jc w:val="center"/>
        <w:rPr>
          <w:rFonts w:hint="eastAsia" w:hAnsi="宋体"/>
          <w:b/>
          <w:color w:val="auto"/>
          <w:sz w:val="24"/>
          <w:highlight w:val="none"/>
        </w:rPr>
      </w:pPr>
    </w:p>
    <w:p w14:paraId="351E03D5">
      <w:pPr>
        <w:spacing w:line="600" w:lineRule="exact"/>
        <w:jc w:val="center"/>
        <w:rPr>
          <w:rFonts w:hint="eastAsia" w:hAnsi="宋体"/>
          <w:b/>
          <w:color w:val="auto"/>
          <w:sz w:val="24"/>
          <w:highlight w:val="none"/>
        </w:rPr>
      </w:pPr>
    </w:p>
    <w:p w14:paraId="286AF3C0">
      <w:pPr>
        <w:spacing w:line="600" w:lineRule="exact"/>
        <w:jc w:val="center"/>
        <w:rPr>
          <w:rFonts w:hint="eastAsia" w:ascii="黑体" w:hAnsi="黑体" w:eastAsia="黑体" w:cs="仿宋"/>
          <w:b/>
          <w:color w:val="auto"/>
          <w:sz w:val="44"/>
          <w:szCs w:val="44"/>
          <w:highlight w:val="none"/>
        </w:rPr>
      </w:pPr>
    </w:p>
    <w:p w14:paraId="6F623A50">
      <w:pPr>
        <w:spacing w:line="600" w:lineRule="exact"/>
        <w:jc w:val="center"/>
        <w:rPr>
          <w:rFonts w:hint="eastAsia" w:ascii="黑体" w:hAnsi="黑体" w:eastAsia="黑体" w:cs="仿宋"/>
          <w:b/>
          <w:color w:val="auto"/>
          <w:sz w:val="44"/>
          <w:szCs w:val="44"/>
          <w:highlight w:val="none"/>
        </w:rPr>
      </w:pPr>
    </w:p>
    <w:p w14:paraId="254982B8">
      <w:pPr>
        <w:spacing w:line="600" w:lineRule="exact"/>
        <w:jc w:val="center"/>
        <w:rPr>
          <w:rFonts w:hint="eastAsia" w:ascii="黑体" w:hAnsi="黑体" w:eastAsia="黑体" w:cs="仿宋"/>
          <w:b/>
          <w:color w:val="auto"/>
          <w:sz w:val="44"/>
          <w:szCs w:val="44"/>
          <w:highlight w:val="none"/>
        </w:rPr>
      </w:pPr>
    </w:p>
    <w:p w14:paraId="50F57E3F">
      <w:pPr>
        <w:spacing w:line="600" w:lineRule="exact"/>
        <w:jc w:val="center"/>
        <w:rPr>
          <w:rFonts w:hint="eastAsia" w:ascii="黑体" w:hAnsi="黑体" w:eastAsia="黑体" w:cs="仿宋"/>
          <w:b/>
          <w:color w:val="auto"/>
          <w:sz w:val="44"/>
          <w:szCs w:val="44"/>
          <w:highlight w:val="none"/>
        </w:rPr>
      </w:pPr>
      <w:r>
        <w:rPr>
          <w:rFonts w:hint="eastAsia" w:ascii="黑体" w:hAnsi="黑体" w:eastAsia="黑体" w:cs="仿宋"/>
          <w:b/>
          <w:color w:val="auto"/>
          <w:sz w:val="44"/>
          <w:szCs w:val="44"/>
          <w:highlight w:val="none"/>
        </w:rPr>
        <w:t>第一章  采购公告</w:t>
      </w:r>
    </w:p>
    <w:p w14:paraId="7DFC9525">
      <w:pPr>
        <w:pStyle w:val="80"/>
        <w:spacing w:before="0" w:beforeAutospacing="0" w:after="0" w:afterAutospacing="0" w:line="360" w:lineRule="auto"/>
        <w:jc w:val="center"/>
        <w:rPr>
          <w:rFonts w:hint="eastAsia" w:ascii="黑体" w:hAnsi="黑体" w:eastAsia="黑体"/>
          <w:color w:val="auto"/>
          <w:sz w:val="32"/>
          <w:szCs w:val="32"/>
          <w:highlight w:val="none"/>
        </w:rPr>
        <w:sectPr>
          <w:headerReference r:id="rId5" w:type="default"/>
          <w:footerReference r:id="rId7" w:type="default"/>
          <w:headerReference r:id="rId6" w:type="even"/>
          <w:footerReference r:id="rId8" w:type="even"/>
          <w:pgSz w:w="11910" w:h="16840"/>
          <w:pgMar w:top="1440" w:right="1800" w:bottom="1440" w:left="1800" w:header="0" w:footer="1254" w:gutter="0"/>
          <w:cols w:space="720" w:num="1"/>
        </w:sectPr>
      </w:pPr>
    </w:p>
    <w:p w14:paraId="70EDAF37">
      <w:pPr>
        <w:pStyle w:val="80"/>
        <w:spacing w:before="0" w:beforeAutospacing="0" w:after="0" w:afterAutospacing="0" w:line="360" w:lineRule="auto"/>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lang w:eastAsia="zh-CN"/>
        </w:rPr>
        <w:t>G59 呼北高速公路张家界至官庄段 PPP 项目第二标段沅古坪服务区加油站安评、环评、职业病评价“三同时”咨询服务项目</w:t>
      </w:r>
      <w:r>
        <w:rPr>
          <w:rFonts w:hint="eastAsia" w:ascii="黑体" w:hAnsi="黑体" w:eastAsia="黑体"/>
          <w:color w:val="auto"/>
          <w:sz w:val="32"/>
          <w:szCs w:val="32"/>
          <w:highlight w:val="none"/>
        </w:rPr>
        <w:t>竞争性磋商采购公告</w:t>
      </w:r>
    </w:p>
    <w:p w14:paraId="52D8A8E8">
      <w:pPr>
        <w:pStyle w:val="80"/>
        <w:spacing w:before="0" w:beforeAutospacing="0" w:after="0" w:afterAutospacing="0" w:line="360" w:lineRule="auto"/>
        <w:ind w:firstLine="2880" w:firstLineChars="1200"/>
        <w:rPr>
          <w:rFonts w:hint="eastAsia"/>
          <w:color w:val="auto"/>
          <w:highlight w:val="none"/>
        </w:rPr>
      </w:pPr>
      <w:r>
        <w:rPr>
          <w:rFonts w:hint="eastAsia"/>
          <w:color w:val="auto"/>
          <w:highlight w:val="none"/>
        </w:rPr>
        <w:t xml:space="preserve"> </w:t>
      </w:r>
    </w:p>
    <w:p w14:paraId="07969C31">
      <w:pPr>
        <w:autoSpaceDE w:val="0"/>
        <w:spacing w:line="360" w:lineRule="auto"/>
        <w:rPr>
          <w:rFonts w:hint="eastAsia" w:ascii="宋体" w:hAnsi="宋体"/>
          <w:color w:val="auto"/>
          <w:sz w:val="24"/>
          <w:highlight w:val="none"/>
        </w:rPr>
      </w:pPr>
      <w:r>
        <w:rPr>
          <w:rFonts w:hint="eastAsia" w:ascii="宋体" w:hAnsi="宋体"/>
          <w:color w:val="auto"/>
          <w:highlight w:val="none"/>
        </w:rPr>
        <w:t xml:space="preserve">   </w:t>
      </w:r>
      <w:r>
        <w:rPr>
          <w:rFonts w:hint="eastAsia" w:ascii="宋体" w:hAnsi="宋体"/>
          <w:color w:val="auto"/>
          <w:sz w:val="24"/>
          <w:highlight w:val="none"/>
        </w:rPr>
        <w:t xml:space="preserve"> </w:t>
      </w:r>
      <w:r>
        <w:rPr>
          <w:rFonts w:hint="eastAsia" w:ascii="宋体" w:hAnsi="宋体"/>
          <w:color w:val="auto"/>
          <w:sz w:val="24"/>
          <w:highlight w:val="none"/>
          <w:lang w:eastAsia="zh-CN"/>
        </w:rPr>
        <w:t>G59 呼北高速公路张家界至官庄段 PPP 项目第二标段沅古坪服务区加油站安评、环评、职业病评价“三同时”咨询服务项目</w:t>
      </w:r>
      <w:r>
        <w:rPr>
          <w:rFonts w:hint="eastAsia" w:ascii="宋体" w:hAnsi="宋体"/>
          <w:color w:val="auto"/>
          <w:sz w:val="24"/>
          <w:highlight w:val="none"/>
        </w:rPr>
        <w:t xml:space="preserve">已具备采购条件，现公开邀请供应商参加采购活动。 </w:t>
      </w:r>
    </w:p>
    <w:p w14:paraId="453D5FA9">
      <w:pPr>
        <w:pStyle w:val="5"/>
        <w:rPr>
          <w:rFonts w:ascii="Arial" w:hAnsi="Arial"/>
          <w:color w:val="auto"/>
          <w:highlight w:val="none"/>
        </w:rPr>
      </w:pPr>
      <w:r>
        <w:rPr>
          <w:rFonts w:hint="eastAsia"/>
          <w:color w:val="auto"/>
          <w:highlight w:val="none"/>
        </w:rPr>
        <w:t xml:space="preserve">1 </w:t>
      </w:r>
      <w:r>
        <w:rPr>
          <w:rFonts w:hint="eastAsia" w:ascii="黑体" w:hAnsi="黑体"/>
          <w:color w:val="auto"/>
          <w:highlight w:val="none"/>
        </w:rPr>
        <w:t xml:space="preserve">采购项目简介 </w:t>
      </w:r>
    </w:p>
    <w:p w14:paraId="16F864CB">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1.1</w:t>
      </w:r>
      <w:r>
        <w:rPr>
          <w:rFonts w:hint="eastAsia" w:ascii="宋体" w:hAnsi="宋体"/>
          <w:color w:val="auto"/>
          <w:sz w:val="24"/>
          <w:highlight w:val="none"/>
        </w:rPr>
        <w:t xml:space="preserve"> 采购项目名称：</w:t>
      </w:r>
      <w:r>
        <w:rPr>
          <w:rFonts w:hint="eastAsia" w:ascii="宋体" w:hAnsi="宋体"/>
          <w:color w:val="auto"/>
          <w:sz w:val="24"/>
          <w:highlight w:val="none"/>
          <w:u w:val="single"/>
          <w:lang w:eastAsia="zh-CN"/>
        </w:rPr>
        <w:t>G59 呼北高速公路张家界至官庄段 PPP 项目第二标段沅古坪服务区加油站安评、环评、职业病评价“三同时”咨询服务项目</w:t>
      </w:r>
    </w:p>
    <w:p w14:paraId="344AEAA0">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1.2</w:t>
      </w:r>
      <w:r>
        <w:rPr>
          <w:rFonts w:hint="eastAsia" w:ascii="宋体" w:hAnsi="宋体"/>
          <w:color w:val="auto"/>
          <w:sz w:val="24"/>
          <w:highlight w:val="none"/>
        </w:rPr>
        <w:t xml:space="preserve"> 采购人：</w:t>
      </w:r>
      <w:r>
        <w:rPr>
          <w:rFonts w:hint="eastAsia" w:ascii="宋体" w:hAnsi="宋体"/>
          <w:color w:val="auto"/>
          <w:sz w:val="24"/>
          <w:highlight w:val="none"/>
          <w:u w:val="single"/>
        </w:rPr>
        <w:t>湖南省新新张官高速公路建设开发有限公司</w:t>
      </w:r>
      <w:r>
        <w:rPr>
          <w:rFonts w:hint="eastAsia" w:ascii="宋体" w:hAnsi="宋体"/>
          <w:color w:val="auto"/>
          <w:sz w:val="24"/>
          <w:highlight w:val="none"/>
          <w:u w:val="single"/>
          <w:lang w:eastAsia="zh-CN"/>
        </w:rPr>
        <w:t>张家界</w:t>
      </w:r>
      <w:r>
        <w:rPr>
          <w:rFonts w:hint="eastAsia" w:ascii="宋体" w:hAnsi="宋体"/>
          <w:color w:val="auto"/>
          <w:sz w:val="24"/>
          <w:highlight w:val="none"/>
          <w:u w:val="single"/>
        </w:rPr>
        <w:t>分公司</w:t>
      </w:r>
    </w:p>
    <w:p w14:paraId="7D6C1053">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1.3</w:t>
      </w:r>
      <w:r>
        <w:rPr>
          <w:rFonts w:hint="eastAsia" w:ascii="宋体" w:hAnsi="宋体"/>
          <w:color w:val="auto"/>
          <w:sz w:val="24"/>
          <w:highlight w:val="none"/>
        </w:rPr>
        <w:t xml:space="preserve"> 采购代理机构：</w:t>
      </w:r>
      <w:r>
        <w:rPr>
          <w:rFonts w:hint="eastAsia" w:ascii="宋体" w:hAnsi="宋体"/>
          <w:color w:val="auto"/>
          <w:sz w:val="24"/>
          <w:highlight w:val="none"/>
          <w:u w:val="single"/>
        </w:rPr>
        <w:t>中科高盛咨询集团有限公司</w:t>
      </w:r>
    </w:p>
    <w:p w14:paraId="393EF89D">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 xml:space="preserve">1.4 </w:t>
      </w:r>
      <w:r>
        <w:rPr>
          <w:rFonts w:hint="eastAsia" w:ascii="宋体" w:hAnsi="宋体"/>
          <w:color w:val="auto"/>
          <w:sz w:val="24"/>
          <w:highlight w:val="none"/>
        </w:rPr>
        <w:t>采购项目资金落实情况：</w:t>
      </w:r>
      <w:r>
        <w:rPr>
          <w:rFonts w:hint="eastAsia" w:ascii="宋体" w:hAnsi="宋体"/>
          <w:color w:val="auto"/>
          <w:sz w:val="24"/>
          <w:highlight w:val="none"/>
          <w:u w:val="single"/>
        </w:rPr>
        <w:t>自筹已落实</w:t>
      </w:r>
    </w:p>
    <w:p w14:paraId="03714063">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 xml:space="preserve">1.5 </w:t>
      </w:r>
      <w:r>
        <w:rPr>
          <w:rFonts w:hint="eastAsia" w:ascii="宋体" w:hAnsi="宋体"/>
          <w:color w:val="auto"/>
          <w:sz w:val="24"/>
          <w:highlight w:val="none"/>
        </w:rPr>
        <w:t>采购项目概况：</w:t>
      </w:r>
    </w:p>
    <w:p w14:paraId="291D7F31">
      <w:pPr>
        <w:widowControl/>
        <w:autoSpaceDE w:val="0"/>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G59呼北高速张家界至官庄段第二合同段路线全27.368km，起讫桩号为K22+290~K49+658.413，起点位于张家界市永定区沅古坪镇沅古坪互通顺接1标，终点位于怀化市沅陵县七甲坪镇杜泉坪村杜泉坪隧道(长度468m)。线路整体跨越两个市级行政单位，其中张家界市境内有主线长度12.488km，怀化市境内有主线长度14.880km、连接线长度2</w:t>
      </w:r>
      <w:r>
        <w:rPr>
          <w:rFonts w:hint="eastAsia" w:ascii="宋体" w:hAnsi="宋体"/>
          <w:color w:val="auto"/>
          <w:sz w:val="24"/>
          <w:highlight w:val="none"/>
          <w:lang w:val="en-US" w:eastAsia="zh-CN"/>
        </w:rPr>
        <w:t>1</w:t>
      </w:r>
      <w:r>
        <w:rPr>
          <w:rFonts w:hint="eastAsia" w:ascii="宋体" w:hAnsi="宋体"/>
          <w:color w:val="auto"/>
          <w:sz w:val="24"/>
          <w:highlight w:val="none"/>
        </w:rPr>
        <w:t>.02km，其中南滩岗连接线全长6.18km，清浪连接线</w:t>
      </w:r>
      <w:r>
        <w:rPr>
          <w:rFonts w:hint="eastAsia" w:ascii="宋体" w:hAnsi="宋体"/>
          <w:color w:val="auto"/>
          <w:sz w:val="24"/>
          <w:highlight w:val="none"/>
          <w:lang w:val="en-US" w:eastAsia="zh-CN"/>
        </w:rPr>
        <w:t>可施工</w:t>
      </w:r>
      <w:r>
        <w:rPr>
          <w:rFonts w:hint="eastAsia" w:ascii="宋体" w:hAnsi="宋体"/>
          <w:color w:val="auto"/>
          <w:sz w:val="24"/>
          <w:highlight w:val="none"/>
        </w:rPr>
        <w:t>长</w:t>
      </w:r>
      <w:r>
        <w:rPr>
          <w:rFonts w:hint="eastAsia" w:ascii="宋体" w:hAnsi="宋体"/>
          <w:color w:val="auto"/>
          <w:sz w:val="24"/>
          <w:highlight w:val="none"/>
          <w:lang w:val="en-US" w:eastAsia="zh-CN"/>
        </w:rPr>
        <w:t>度</w:t>
      </w: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.8</w:t>
      </w:r>
      <w:r>
        <w:rPr>
          <w:rFonts w:hint="eastAsia" w:ascii="宋体" w:hAnsi="宋体"/>
          <w:color w:val="auto"/>
          <w:sz w:val="24"/>
          <w:highlight w:val="none"/>
          <w:lang w:val="en-US" w:eastAsia="zh-CN"/>
        </w:rPr>
        <w:t>4</w:t>
      </w:r>
      <w:r>
        <w:rPr>
          <w:rFonts w:hint="eastAsia" w:ascii="宋体" w:hAnsi="宋体"/>
          <w:color w:val="auto"/>
          <w:sz w:val="24"/>
          <w:highlight w:val="none"/>
        </w:rPr>
        <w:t>km。</w:t>
      </w:r>
    </w:p>
    <w:p w14:paraId="72185C77">
      <w:pPr>
        <w:autoSpaceDE w:val="0"/>
        <w:spacing w:line="360" w:lineRule="auto"/>
        <w:rPr>
          <w:rFonts w:hint="eastAsia" w:ascii="宋体" w:hAnsi="宋体"/>
          <w:b/>
          <w:bCs/>
          <w:color w:val="auto"/>
          <w:sz w:val="24"/>
          <w:highlight w:val="none"/>
        </w:rPr>
      </w:pPr>
      <w:r>
        <w:rPr>
          <w:rFonts w:hint="eastAsia" w:ascii="宋体" w:hAnsi="宋体"/>
          <w:b/>
          <w:bCs/>
          <w:color w:val="auto"/>
          <w:sz w:val="24"/>
          <w:highlight w:val="none"/>
        </w:rPr>
        <w:t xml:space="preserve">1.6 </w:t>
      </w:r>
      <w:r>
        <w:rPr>
          <w:rFonts w:hint="eastAsia" w:ascii="宋体" w:hAnsi="宋体"/>
          <w:color w:val="auto"/>
          <w:sz w:val="24"/>
          <w:highlight w:val="none"/>
        </w:rPr>
        <w:t>成交供应商数量及成交份额：</w:t>
      </w:r>
    </w:p>
    <w:p w14:paraId="0A6FB256">
      <w:pPr>
        <w:autoSpaceDE w:val="0"/>
        <w:spacing w:line="400" w:lineRule="exact"/>
        <w:rPr>
          <w:rFonts w:hint="eastAsia" w:ascii="宋体" w:hAnsi="宋体"/>
          <w:b/>
          <w:bCs/>
          <w:color w:val="auto"/>
          <w:sz w:val="24"/>
          <w:highlight w:val="none"/>
        </w:rPr>
      </w:pPr>
      <w:r>
        <w:rPr>
          <w:rStyle w:val="129"/>
          <w:rFonts w:hint="eastAsia"/>
          <w:color w:val="auto"/>
          <w:highlight w:val="none"/>
        </w:rPr>
        <w:sym w:font="Wingdings 2" w:char="0052"/>
      </w:r>
      <w:r>
        <w:rPr>
          <w:rFonts w:hint="eastAsia" w:ascii="宋体" w:hAnsi="宋体"/>
          <w:b/>
          <w:bCs/>
          <w:color w:val="auto"/>
          <w:sz w:val="24"/>
          <w:highlight w:val="none"/>
        </w:rPr>
        <w:t>一家</w:t>
      </w:r>
    </w:p>
    <w:p w14:paraId="10FB0AD8">
      <w:pPr>
        <w:pStyle w:val="5"/>
        <w:rPr>
          <w:rFonts w:ascii="Arial" w:hAnsi="Arial"/>
          <w:color w:val="auto"/>
          <w:highlight w:val="none"/>
        </w:rPr>
      </w:pPr>
      <w:r>
        <w:rPr>
          <w:rFonts w:hint="eastAsia"/>
          <w:color w:val="auto"/>
          <w:highlight w:val="none"/>
        </w:rPr>
        <w:t xml:space="preserve">2 </w:t>
      </w:r>
      <w:r>
        <w:rPr>
          <w:rFonts w:hint="eastAsia" w:ascii="黑体" w:hAnsi="黑体"/>
          <w:color w:val="auto"/>
          <w:highlight w:val="none"/>
        </w:rPr>
        <w:t xml:space="preserve">采购范围及相关要求 </w:t>
      </w:r>
    </w:p>
    <w:p w14:paraId="12346AFE">
      <w:pPr>
        <w:autoSpaceDE w:val="0"/>
        <w:spacing w:line="400" w:lineRule="exact"/>
        <w:rPr>
          <w:rFonts w:hint="eastAsia" w:ascii="宋体" w:hAnsi="宋体"/>
          <w:color w:val="auto"/>
          <w:sz w:val="24"/>
          <w:highlight w:val="none"/>
        </w:rPr>
      </w:pPr>
      <w:r>
        <w:rPr>
          <w:rFonts w:hint="eastAsia" w:ascii="宋体" w:hAnsi="宋体"/>
          <w:b/>
          <w:bCs/>
          <w:color w:val="auto"/>
          <w:sz w:val="24"/>
          <w:highlight w:val="none"/>
        </w:rPr>
        <w:t xml:space="preserve">2.1 </w:t>
      </w:r>
      <w:r>
        <w:rPr>
          <w:rFonts w:hint="eastAsia" w:ascii="宋体" w:hAnsi="宋体"/>
          <w:color w:val="auto"/>
          <w:sz w:val="24"/>
          <w:highlight w:val="none"/>
        </w:rPr>
        <w:t>采购范围：本次采购分为1个标包。其标包划分及采购内容等见下表。</w:t>
      </w:r>
    </w:p>
    <w:tbl>
      <w:tblPr>
        <w:tblStyle w:val="87"/>
        <w:tblpPr w:leftFromText="180" w:rightFromText="180" w:vertAnchor="text" w:horzAnchor="page" w:tblpXSpec="center" w:tblpY="25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393"/>
        <w:gridCol w:w="1618"/>
        <w:gridCol w:w="3244"/>
        <w:gridCol w:w="1811"/>
      </w:tblGrid>
      <w:tr w14:paraId="48C6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98" w:type="pct"/>
            <w:vAlign w:val="center"/>
          </w:tcPr>
          <w:p w14:paraId="134D9285">
            <w:pPr>
              <w:widowControl w:val="0"/>
              <w:jc w:val="center"/>
              <w:rPr>
                <w:rFonts w:hint="eastAsia" w:ascii="宋体" w:hAnsi="宋体" w:cs="宋体"/>
                <w:bCs/>
                <w:color w:val="auto"/>
                <w:szCs w:val="21"/>
                <w:highlight w:val="none"/>
              </w:rPr>
            </w:pPr>
            <w:r>
              <w:rPr>
                <w:rFonts w:hint="eastAsia" w:ascii="宋体" w:hAnsi="宋体" w:cs="宋体"/>
                <w:bCs/>
                <w:color w:val="auto"/>
                <w:szCs w:val="21"/>
                <w:highlight w:val="none"/>
              </w:rPr>
              <w:t>标段</w:t>
            </w:r>
          </w:p>
        </w:tc>
        <w:tc>
          <w:tcPr>
            <w:tcW w:w="1214" w:type="pct"/>
            <w:vAlign w:val="center"/>
          </w:tcPr>
          <w:p w14:paraId="6D46796D">
            <w:pPr>
              <w:widowControl w:val="0"/>
              <w:jc w:val="center"/>
              <w:rPr>
                <w:color w:val="auto"/>
                <w:szCs w:val="21"/>
                <w:highlight w:val="none"/>
              </w:rPr>
            </w:pPr>
            <w:r>
              <w:rPr>
                <w:rFonts w:hint="eastAsia"/>
                <w:color w:val="auto"/>
                <w:szCs w:val="21"/>
                <w:highlight w:val="none"/>
              </w:rPr>
              <w:t>工作内容</w:t>
            </w:r>
          </w:p>
        </w:tc>
        <w:tc>
          <w:tcPr>
            <w:tcW w:w="821" w:type="pct"/>
            <w:vAlign w:val="center"/>
          </w:tcPr>
          <w:p w14:paraId="27B79DF0">
            <w:pPr>
              <w:widowControl w:val="0"/>
              <w:jc w:val="center"/>
              <w:rPr>
                <w:color w:val="auto"/>
                <w:szCs w:val="21"/>
                <w:highlight w:val="none"/>
              </w:rPr>
            </w:pPr>
            <w:r>
              <w:rPr>
                <w:rFonts w:hint="eastAsia"/>
                <w:color w:val="auto"/>
                <w:szCs w:val="21"/>
                <w:highlight w:val="none"/>
              </w:rPr>
              <w:t>数 量</w:t>
            </w:r>
          </w:p>
          <w:p w14:paraId="42FDFC74">
            <w:pPr>
              <w:widowControl w:val="0"/>
              <w:jc w:val="center"/>
              <w:rPr>
                <w:color w:val="auto"/>
                <w:szCs w:val="21"/>
                <w:highlight w:val="none"/>
              </w:rPr>
            </w:pPr>
            <w:r>
              <w:rPr>
                <w:rFonts w:hint="eastAsia"/>
                <w:color w:val="auto"/>
                <w:szCs w:val="21"/>
                <w:highlight w:val="none"/>
              </w:rPr>
              <w:t>（单位：项）</w:t>
            </w:r>
          </w:p>
        </w:tc>
        <w:tc>
          <w:tcPr>
            <w:tcW w:w="1646" w:type="pct"/>
            <w:vAlign w:val="center"/>
          </w:tcPr>
          <w:p w14:paraId="735B9F93">
            <w:pPr>
              <w:widowControl w:val="0"/>
              <w:jc w:val="center"/>
              <w:rPr>
                <w:color w:val="auto"/>
                <w:szCs w:val="21"/>
                <w:highlight w:val="none"/>
              </w:rPr>
            </w:pPr>
            <w:r>
              <w:rPr>
                <w:rFonts w:hint="eastAsia"/>
                <w:color w:val="auto"/>
                <w:szCs w:val="21"/>
                <w:highlight w:val="none"/>
              </w:rPr>
              <w:t>服务范围</w:t>
            </w:r>
          </w:p>
        </w:tc>
        <w:tc>
          <w:tcPr>
            <w:tcW w:w="919" w:type="pct"/>
            <w:vAlign w:val="center"/>
          </w:tcPr>
          <w:p w14:paraId="6D0CF289">
            <w:pPr>
              <w:widowControl w:val="0"/>
              <w:jc w:val="center"/>
              <w:rPr>
                <w:color w:val="auto"/>
                <w:szCs w:val="21"/>
                <w:highlight w:val="none"/>
              </w:rPr>
            </w:pPr>
            <w:r>
              <w:rPr>
                <w:rFonts w:hint="eastAsia"/>
                <w:color w:val="auto"/>
                <w:szCs w:val="21"/>
                <w:highlight w:val="none"/>
              </w:rPr>
              <w:t>上限价</w:t>
            </w:r>
          </w:p>
          <w:p w14:paraId="4C2F854F">
            <w:pPr>
              <w:widowControl w:val="0"/>
              <w:jc w:val="center"/>
              <w:rPr>
                <w:color w:val="auto"/>
                <w:szCs w:val="21"/>
                <w:highlight w:val="none"/>
              </w:rPr>
            </w:pPr>
            <w:r>
              <w:rPr>
                <w:rFonts w:hint="eastAsia"/>
                <w:color w:val="auto"/>
                <w:szCs w:val="21"/>
                <w:highlight w:val="none"/>
              </w:rPr>
              <w:t>（万元）</w:t>
            </w:r>
          </w:p>
        </w:tc>
      </w:tr>
      <w:tr w14:paraId="0463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98" w:type="pct"/>
            <w:vAlign w:val="center"/>
          </w:tcPr>
          <w:p w14:paraId="3FFABD12">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1个</w:t>
            </w:r>
          </w:p>
        </w:tc>
        <w:tc>
          <w:tcPr>
            <w:tcW w:w="1214" w:type="pct"/>
            <w:vAlign w:val="center"/>
          </w:tcPr>
          <w:p w14:paraId="7E64DBB7">
            <w:pPr>
              <w:widowControl w:val="0"/>
              <w:spacing w:line="360" w:lineRule="auto"/>
              <w:jc w:val="both"/>
              <w:rPr>
                <w:rFonts w:hint="eastAsia" w:ascii="宋体" w:hAnsi="宋体" w:cs="宋体"/>
                <w:bCs/>
                <w:color w:val="auto"/>
                <w:szCs w:val="21"/>
                <w:highlight w:val="none"/>
                <w:shd w:val="clear" w:color="auto" w:fill="FFFFFF"/>
              </w:rPr>
            </w:pPr>
            <w:r>
              <w:rPr>
                <w:rFonts w:hint="eastAsia" w:ascii="宋体" w:hAnsi="宋体" w:cs="宋体"/>
                <w:bCs/>
                <w:color w:val="auto"/>
                <w:szCs w:val="21"/>
                <w:highlight w:val="none"/>
                <w:shd w:val="clear" w:color="auto" w:fill="FFFFFF"/>
                <w:lang w:eastAsia="zh-CN"/>
              </w:rPr>
              <w:t>G59 呼北高速公路张家界至官庄段 PPP 项目第二标段沅古坪服务区加油站安评、环评、职业病评价“三同时”咨询服务项目</w:t>
            </w:r>
          </w:p>
        </w:tc>
        <w:tc>
          <w:tcPr>
            <w:tcW w:w="821" w:type="pct"/>
            <w:vAlign w:val="center"/>
          </w:tcPr>
          <w:p w14:paraId="4E02914D">
            <w:pPr>
              <w:widowControl w:val="0"/>
              <w:tabs>
                <w:tab w:val="left" w:pos="438"/>
              </w:tabs>
              <w:spacing w:line="360" w:lineRule="auto"/>
              <w:jc w:val="center"/>
              <w:rPr>
                <w:rFonts w:hint="eastAsia" w:ascii="宋体" w:hAnsi="宋体" w:cs="宋体"/>
                <w:bCs/>
                <w:color w:val="auto"/>
                <w:szCs w:val="21"/>
                <w:highlight w:val="none"/>
                <w:shd w:val="clear" w:color="auto" w:fill="FFFFFF"/>
              </w:rPr>
            </w:pPr>
            <w:r>
              <w:rPr>
                <w:rFonts w:hint="eastAsia" w:ascii="宋体" w:hAnsi="宋体" w:cs="宋体"/>
                <w:bCs/>
                <w:color w:val="auto"/>
                <w:szCs w:val="21"/>
                <w:highlight w:val="none"/>
                <w:shd w:val="clear" w:color="auto" w:fill="FFFFFF"/>
              </w:rPr>
              <w:t>1</w:t>
            </w:r>
          </w:p>
        </w:tc>
        <w:tc>
          <w:tcPr>
            <w:tcW w:w="1646" w:type="pct"/>
            <w:vAlign w:val="center"/>
          </w:tcPr>
          <w:p w14:paraId="65A98EBE">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包括但不限于以下服务内容：</w:t>
            </w:r>
          </w:p>
          <w:p w14:paraId="5CF7B000">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安评三同时：</w:t>
            </w:r>
          </w:p>
          <w:p w14:paraId="0E21C883">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1.完成加油站安全预评价报告编制，取得安全条件审查意见书；</w:t>
            </w:r>
          </w:p>
          <w:p w14:paraId="17C9B17F">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2.牵头完成安全设施设计专篇审查备案，取得加油站新建项目安全设施设计专篇审查意见书；</w:t>
            </w:r>
          </w:p>
          <w:p w14:paraId="6F335D05">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.组织安全验收</w:t>
            </w:r>
            <w:r>
              <w:rPr>
                <w:rFonts w:hint="eastAsia" w:ascii="宋体" w:hAnsi="宋体" w:cs="宋体"/>
                <w:color w:val="auto"/>
                <w:szCs w:val="21"/>
                <w:highlight w:val="none"/>
                <w:lang w:eastAsia="zh-CN"/>
              </w:rPr>
              <w:t>，</w:t>
            </w:r>
            <w:r>
              <w:rPr>
                <w:rFonts w:hint="eastAsia" w:ascii="宋体" w:hAnsi="宋体" w:cs="宋体"/>
                <w:color w:val="auto"/>
                <w:szCs w:val="21"/>
                <w:highlight w:val="none"/>
              </w:rPr>
              <w:t>出具加油站安全验收评价报告。</w:t>
            </w:r>
          </w:p>
          <w:p w14:paraId="7CDC7C79">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环评三同时：</w:t>
            </w:r>
          </w:p>
          <w:p w14:paraId="0C36ACE0">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环境影响评价报告、环境影响验收报告、环境影响应急预案、环保在线监测、排污许可证（参照《建设环境影响评价分类管理名录2021》，项目类别119条办理，该服务区加油站不属于城市建成区新建、扩建加油站；不涉及环境敏感区的，相关手续可简化办理，具体需以当地环保部门要求为准）；获得县级以上环保部门认可以及相关批复或认可的手续等。上述工作内容产生的一切相关费用均包含在响应人报价中。</w:t>
            </w:r>
          </w:p>
          <w:p w14:paraId="01F19C65">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职业病三同时：</w:t>
            </w:r>
          </w:p>
          <w:p w14:paraId="2A95B0C6">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1. 开展完成加油站职业危害防治与评价；</w:t>
            </w:r>
          </w:p>
          <w:p w14:paraId="0A9B9BF3">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2. 编制《职业危害防治设施专篇》、《职业危害控制效果评价报告》；</w:t>
            </w:r>
          </w:p>
          <w:p w14:paraId="0734CEA6">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3. 组织卫健部门完成加油站职业病“三同时”验收；</w:t>
            </w:r>
          </w:p>
          <w:p w14:paraId="2A626569">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4. 取得卫健局相关批复或认可的手续。</w:t>
            </w:r>
          </w:p>
        </w:tc>
        <w:tc>
          <w:tcPr>
            <w:tcW w:w="919" w:type="pct"/>
            <w:vAlign w:val="center"/>
          </w:tcPr>
          <w:p w14:paraId="67003239">
            <w:pPr>
              <w:widowControl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39.00</w:t>
            </w:r>
          </w:p>
        </w:tc>
      </w:tr>
    </w:tbl>
    <w:p w14:paraId="3F8D3225">
      <w:pPr>
        <w:autoSpaceDE w:val="0"/>
        <w:spacing w:line="400" w:lineRule="exact"/>
        <w:rPr>
          <w:rFonts w:hint="eastAsia" w:ascii="宋体" w:hAnsi="宋体"/>
          <w:color w:val="auto"/>
          <w:sz w:val="24"/>
          <w:highlight w:val="none"/>
        </w:rPr>
      </w:pPr>
    </w:p>
    <w:p w14:paraId="4DA7FDCE">
      <w:pPr>
        <w:pStyle w:val="72"/>
        <w:ind w:left="0" w:leftChars="0" w:firstLine="0" w:firstLineChars="0"/>
        <w:rPr>
          <w:color w:val="auto"/>
          <w:highlight w:val="none"/>
        </w:rPr>
      </w:pPr>
    </w:p>
    <w:p w14:paraId="3AC3DB5A">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 xml:space="preserve">2.2 </w:t>
      </w:r>
      <w:r>
        <w:rPr>
          <w:rFonts w:hint="eastAsia" w:ascii="宋体" w:hAnsi="宋体"/>
          <w:color w:val="auto"/>
          <w:sz w:val="24"/>
          <w:highlight w:val="none"/>
        </w:rPr>
        <w:t>服务期限：自合同签订之日起至项目交（竣）工之日止。</w:t>
      </w:r>
    </w:p>
    <w:p w14:paraId="65F1A61D">
      <w:pPr>
        <w:autoSpaceDE w:val="0"/>
        <w:spacing w:line="360" w:lineRule="auto"/>
        <w:rPr>
          <w:rFonts w:hint="eastAsia" w:ascii="宋体" w:hAnsi="宋体"/>
          <w:b w:val="0"/>
          <w:bCs w:val="0"/>
          <w:color w:val="auto"/>
          <w:sz w:val="24"/>
          <w:highlight w:val="none"/>
        </w:rPr>
      </w:pPr>
      <w:r>
        <w:rPr>
          <w:rFonts w:hint="eastAsia" w:ascii="宋体" w:hAnsi="宋体"/>
          <w:b w:val="0"/>
          <w:bCs w:val="0"/>
          <w:color w:val="auto"/>
          <w:sz w:val="24"/>
          <w:highlight w:val="none"/>
        </w:rPr>
        <w:t xml:space="preserve">2.2 </w:t>
      </w:r>
      <w:r>
        <w:rPr>
          <w:rFonts w:hint="eastAsia" w:ascii="宋体" w:hAnsi="宋体"/>
          <w:b w:val="0"/>
          <w:bCs w:val="0"/>
          <w:color w:val="auto"/>
          <w:sz w:val="24"/>
          <w:highlight w:val="none"/>
          <w:lang w:val="en-US" w:eastAsia="zh-CN"/>
        </w:rPr>
        <w:t>.1</w:t>
      </w:r>
      <w:r>
        <w:rPr>
          <w:rFonts w:hint="eastAsia" w:ascii="宋体" w:hAnsi="宋体"/>
          <w:b w:val="0"/>
          <w:bCs w:val="0"/>
          <w:color w:val="auto"/>
          <w:sz w:val="24"/>
          <w:highlight w:val="none"/>
        </w:rPr>
        <w:t>安评“三同时”：自合同签订之日起至项目交（竣）工之日止。其中，自采购人指令下达之日起，1个月内完成新建站点申报、安全预评价和设计专篇上会，并取得相关批复；加油站完成消防验收后，1个月内完成安全验收评价并完成危化证办理。</w:t>
      </w:r>
    </w:p>
    <w:p w14:paraId="1B3E23A3">
      <w:pPr>
        <w:autoSpaceDE w:val="0"/>
        <w:spacing w:line="360" w:lineRule="auto"/>
        <w:rPr>
          <w:rFonts w:hint="eastAsia" w:ascii="宋体" w:hAnsi="宋体"/>
          <w:b w:val="0"/>
          <w:bCs w:val="0"/>
          <w:color w:val="auto"/>
          <w:sz w:val="24"/>
          <w:highlight w:val="none"/>
        </w:rPr>
      </w:pPr>
      <w:r>
        <w:rPr>
          <w:rFonts w:hint="eastAsia" w:ascii="宋体" w:hAnsi="宋体"/>
          <w:b w:val="0"/>
          <w:bCs w:val="0"/>
          <w:color w:val="auto"/>
          <w:sz w:val="24"/>
          <w:highlight w:val="none"/>
        </w:rPr>
        <w:t xml:space="preserve">2.2 </w:t>
      </w:r>
      <w:r>
        <w:rPr>
          <w:rFonts w:hint="eastAsia" w:ascii="宋体" w:hAnsi="宋体"/>
          <w:b w:val="0"/>
          <w:bCs w:val="0"/>
          <w:color w:val="auto"/>
          <w:sz w:val="24"/>
          <w:highlight w:val="none"/>
          <w:lang w:val="en-US" w:eastAsia="zh-CN"/>
        </w:rPr>
        <w:t>.</w:t>
      </w:r>
      <w:r>
        <w:rPr>
          <w:rFonts w:hint="eastAsia" w:ascii="宋体" w:hAnsi="宋体"/>
          <w:b w:val="0"/>
          <w:bCs w:val="0"/>
          <w:color w:val="auto"/>
          <w:sz w:val="24"/>
          <w:highlight w:val="none"/>
        </w:rPr>
        <w:t>2环评“三同时”：自合同签订之日起至项目交（竣）工之日止。其中，自危化证办理完成后，1个月内完成环保验收和取得成品油零售许可证。</w:t>
      </w:r>
    </w:p>
    <w:p w14:paraId="08FDB58A">
      <w:pPr>
        <w:autoSpaceDE w:val="0"/>
        <w:spacing w:line="360" w:lineRule="auto"/>
        <w:rPr>
          <w:rFonts w:hint="eastAsia" w:ascii="宋体" w:hAnsi="宋体"/>
          <w:b w:val="0"/>
          <w:bCs w:val="0"/>
          <w:color w:val="auto"/>
          <w:sz w:val="24"/>
          <w:highlight w:val="none"/>
        </w:rPr>
      </w:pPr>
      <w:r>
        <w:rPr>
          <w:rFonts w:hint="eastAsia" w:ascii="宋体" w:hAnsi="宋体"/>
          <w:b w:val="0"/>
          <w:bCs w:val="0"/>
          <w:color w:val="auto"/>
          <w:sz w:val="24"/>
          <w:highlight w:val="none"/>
        </w:rPr>
        <w:t xml:space="preserve">2.2 </w:t>
      </w:r>
      <w:r>
        <w:rPr>
          <w:rFonts w:hint="eastAsia" w:ascii="宋体" w:hAnsi="宋体"/>
          <w:b w:val="0"/>
          <w:bCs w:val="0"/>
          <w:color w:val="auto"/>
          <w:sz w:val="24"/>
          <w:highlight w:val="none"/>
          <w:lang w:val="en-US" w:eastAsia="zh-CN"/>
        </w:rPr>
        <w:t>.</w:t>
      </w:r>
      <w:r>
        <w:rPr>
          <w:rFonts w:hint="eastAsia" w:ascii="宋体" w:hAnsi="宋体"/>
          <w:b w:val="0"/>
          <w:bCs w:val="0"/>
          <w:color w:val="auto"/>
          <w:sz w:val="24"/>
          <w:highlight w:val="none"/>
        </w:rPr>
        <w:t>3职业病“三同时”：自合同签订之日起至项目交（竣）工之日止。其中，自营业执照办理完成后，7天内完成加油机检定；加油站营业后1个月内完成职业危害控制效果评价报告。</w:t>
      </w:r>
    </w:p>
    <w:p w14:paraId="1BF44A24">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 xml:space="preserve">2.3 </w:t>
      </w:r>
      <w:r>
        <w:rPr>
          <w:rFonts w:hint="eastAsia" w:ascii="宋体" w:hAnsi="宋体"/>
          <w:color w:val="auto"/>
          <w:sz w:val="24"/>
          <w:highlight w:val="none"/>
        </w:rPr>
        <w:t>服务地点：采购人指定地点。</w:t>
      </w:r>
    </w:p>
    <w:p w14:paraId="0B8C3402">
      <w:pPr>
        <w:autoSpaceDE w:val="0"/>
        <w:spacing w:line="360" w:lineRule="auto"/>
        <w:rPr>
          <w:rFonts w:hint="eastAsia" w:ascii="宋体" w:hAnsi="宋体"/>
          <w:color w:val="auto"/>
          <w:sz w:val="24"/>
          <w:highlight w:val="none"/>
        </w:rPr>
      </w:pPr>
      <w:r>
        <w:rPr>
          <w:rFonts w:hint="eastAsia" w:ascii="宋体" w:hAnsi="宋体" w:cs="宋体"/>
          <w:b/>
          <w:bCs/>
          <w:color w:val="auto"/>
          <w:sz w:val="24"/>
          <w:highlight w:val="none"/>
        </w:rPr>
        <w:t xml:space="preserve">2.4 </w:t>
      </w:r>
      <w:r>
        <w:rPr>
          <w:rFonts w:hint="eastAsia" w:ascii="宋体" w:hAnsi="宋体"/>
          <w:color w:val="auto"/>
          <w:sz w:val="24"/>
          <w:highlight w:val="none"/>
        </w:rPr>
        <w:t>质量要求或服务标准：</w:t>
      </w:r>
    </w:p>
    <w:p w14:paraId="779BB8FE">
      <w:pPr>
        <w:autoSpaceDE w:val="0"/>
        <w:spacing w:line="360" w:lineRule="auto"/>
        <w:rPr>
          <w:rFonts w:hint="eastAsia" w:ascii="宋体" w:hAnsi="宋体"/>
          <w:color w:val="auto"/>
          <w:sz w:val="24"/>
          <w:highlight w:val="none"/>
        </w:rPr>
      </w:pPr>
      <w:r>
        <w:rPr>
          <w:rFonts w:hint="eastAsia" w:ascii="宋体" w:hAnsi="宋体"/>
          <w:color w:val="auto"/>
          <w:sz w:val="24"/>
          <w:highlight w:val="none"/>
        </w:rPr>
        <w:t>（1）供应商应按照相关法律法规、技术标准和规范要求，根据采购人需求，开展</w:t>
      </w:r>
      <w:r>
        <w:rPr>
          <w:rFonts w:hint="eastAsia" w:ascii="宋体" w:hAnsi="宋体"/>
          <w:color w:val="auto"/>
          <w:sz w:val="24"/>
          <w:highlight w:val="none"/>
          <w:lang w:eastAsia="zh-CN"/>
        </w:rPr>
        <w:t>服务</w:t>
      </w:r>
      <w:r>
        <w:rPr>
          <w:rFonts w:hint="eastAsia" w:ascii="宋体" w:hAnsi="宋体"/>
          <w:color w:val="auto"/>
          <w:sz w:val="24"/>
          <w:highlight w:val="none"/>
        </w:rPr>
        <w:t>工作。</w:t>
      </w:r>
    </w:p>
    <w:p w14:paraId="7C96C23E">
      <w:pPr>
        <w:autoSpaceDE w:val="0"/>
        <w:spacing w:line="360" w:lineRule="auto"/>
        <w:rPr>
          <w:rFonts w:hint="eastAsia" w:ascii="宋体" w:hAnsi="宋体"/>
          <w:color w:val="auto"/>
          <w:sz w:val="24"/>
          <w:highlight w:val="none"/>
        </w:rPr>
      </w:pPr>
      <w:r>
        <w:rPr>
          <w:rFonts w:hint="eastAsia" w:ascii="宋体" w:hAnsi="宋体"/>
          <w:color w:val="auto"/>
          <w:sz w:val="24"/>
          <w:highlight w:val="none"/>
        </w:rPr>
        <w:t>（2）供应商应按期、按质、按量地完成双方商定的各项工作内容，并对成果报告的质量负责。</w:t>
      </w:r>
    </w:p>
    <w:p w14:paraId="1EB42C0E">
      <w:pPr>
        <w:autoSpaceDE w:val="0"/>
        <w:spacing w:line="360" w:lineRule="auto"/>
        <w:rPr>
          <w:rFonts w:hint="eastAsia" w:ascii="宋体" w:hAnsi="宋体"/>
          <w:color w:val="auto"/>
          <w:sz w:val="24"/>
          <w:highlight w:val="none"/>
        </w:rPr>
      </w:pPr>
      <w:r>
        <w:rPr>
          <w:rFonts w:hint="eastAsia" w:ascii="宋体" w:hAnsi="宋体"/>
          <w:color w:val="auto"/>
          <w:sz w:val="24"/>
          <w:highlight w:val="none"/>
        </w:rPr>
        <w:t>（3）在编制过程中，供应商应主动和采购人保持密切联系。</w:t>
      </w:r>
    </w:p>
    <w:p w14:paraId="1250BB85">
      <w:pPr>
        <w:autoSpaceDE w:val="0"/>
        <w:spacing w:line="360" w:lineRule="auto"/>
        <w:rPr>
          <w:rFonts w:hint="eastAsia" w:ascii="宋体" w:hAnsi="宋体"/>
          <w:color w:val="auto"/>
          <w:sz w:val="24"/>
          <w:highlight w:val="none"/>
        </w:rPr>
      </w:pPr>
      <w:r>
        <w:rPr>
          <w:rFonts w:hint="eastAsia" w:ascii="宋体" w:hAnsi="宋体"/>
          <w:color w:val="auto"/>
          <w:sz w:val="24"/>
          <w:highlight w:val="none"/>
        </w:rPr>
        <w:t>（4）供应商的工作进度没有达到响应文件中承诺的进度计划时，采购人有权向供应商提出要求增加服务人员，供应商应无条件满足。</w:t>
      </w:r>
    </w:p>
    <w:p w14:paraId="0C7BD004">
      <w:pPr>
        <w:pStyle w:val="5"/>
        <w:rPr>
          <w:rFonts w:ascii="Arial" w:hAnsi="Arial"/>
          <w:color w:val="auto"/>
          <w:highlight w:val="none"/>
        </w:rPr>
      </w:pPr>
      <w:r>
        <w:rPr>
          <w:rFonts w:hint="eastAsia"/>
          <w:color w:val="auto"/>
          <w:highlight w:val="none"/>
        </w:rPr>
        <w:t xml:space="preserve">3 </w:t>
      </w:r>
      <w:r>
        <w:rPr>
          <w:rFonts w:hint="eastAsia" w:ascii="黑体" w:hAnsi="黑体"/>
          <w:color w:val="auto"/>
          <w:highlight w:val="none"/>
        </w:rPr>
        <w:t>供应商资格要求</w:t>
      </w:r>
    </w:p>
    <w:p w14:paraId="56657D6B">
      <w:pPr>
        <w:autoSpaceDE w:val="0"/>
        <w:spacing w:line="360" w:lineRule="auto"/>
        <w:ind w:firstLine="241" w:firstLineChars="100"/>
        <w:rPr>
          <w:rFonts w:hint="eastAsia" w:ascii="宋体" w:hAnsi="宋体"/>
          <w:color w:val="auto"/>
          <w:sz w:val="24"/>
          <w:highlight w:val="none"/>
        </w:rPr>
      </w:pPr>
      <w:r>
        <w:rPr>
          <w:rFonts w:hint="eastAsia" w:ascii="宋体" w:hAnsi="宋体"/>
          <w:b/>
          <w:bCs/>
          <w:color w:val="auto"/>
          <w:sz w:val="24"/>
          <w:highlight w:val="none"/>
        </w:rPr>
        <w:t>3.1</w:t>
      </w:r>
      <w:r>
        <w:rPr>
          <w:rFonts w:hint="eastAsia" w:ascii="宋体" w:hAnsi="宋体"/>
          <w:color w:val="auto"/>
          <w:sz w:val="24"/>
          <w:highlight w:val="none"/>
        </w:rPr>
        <w:t>供应商不得存在下列情形之一：</w:t>
      </w:r>
    </w:p>
    <w:p w14:paraId="5A89846F">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 xml:space="preserve">（（1）处于被责令停产停业、暂扣或者吊销执照、暂扣或者吊销许可证、吊销资质证书状态; </w:t>
      </w:r>
    </w:p>
    <w:p w14:paraId="19DC0C66">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 xml:space="preserve">（2）进入清算程序，或被宣告破产，或其他丧失履约能力的情形; </w:t>
      </w:r>
    </w:p>
    <w:p w14:paraId="767065E9">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 xml:space="preserve">（3）在国家企业信用信息公示系统（http://www.gsxt.gov.cn）中被列入严重违法失信企业名单的或在“信用中国网站”（http://www.creditchina.gov.cn）被列入失信被执行人名单的； </w:t>
      </w:r>
    </w:p>
    <w:p w14:paraId="07E60ACA">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 xml:space="preserve">（4）与采购人有利害关系且可能影响采购公正性； </w:t>
      </w:r>
    </w:p>
    <w:p w14:paraId="4910E359">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 xml:space="preserve">（5）被采购人或采购人上级单位纳入黑名单； </w:t>
      </w:r>
    </w:p>
    <w:p w14:paraId="5CFE01CB">
      <w:pPr>
        <w:autoSpaceDE w:val="0"/>
        <w:spacing w:line="360" w:lineRule="auto"/>
        <w:ind w:firstLine="240" w:firstLineChars="100"/>
        <w:rPr>
          <w:rFonts w:hint="eastAsia" w:ascii="宋体" w:hAnsi="宋体"/>
          <w:color w:val="auto"/>
          <w:sz w:val="24"/>
          <w:highlight w:val="none"/>
          <w:u w:val="single"/>
        </w:rPr>
      </w:pPr>
      <w:r>
        <w:rPr>
          <w:rFonts w:hint="eastAsia" w:ascii="宋体" w:hAnsi="宋体"/>
          <w:color w:val="auto"/>
          <w:sz w:val="24"/>
          <w:highlight w:val="none"/>
        </w:rPr>
        <w:t>（6）其他: 法定代表人或者负责人为同一人或者存在控股、管理关系的两个以上投标人，不得参加同一招标项目投标；参加本项目投标的投标供应商不得与被审查单位存在利害关系。投标供应商须对以上要求提供承诺与声明。</w:t>
      </w:r>
    </w:p>
    <w:p w14:paraId="42E12ABB">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3.2供应商应满足如下要求：</w:t>
      </w:r>
    </w:p>
    <w:tbl>
      <w:tblPr>
        <w:tblStyle w:val="87"/>
        <w:tblpPr w:leftFromText="180" w:rightFromText="180" w:vertAnchor="text" w:horzAnchor="page" w:tblpX="1121" w:tblpY="40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112"/>
        <w:gridCol w:w="3117"/>
      </w:tblGrid>
      <w:tr w14:paraId="5B8B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4DB402B1">
            <w:pPr>
              <w:widowControl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资格条件</w:t>
            </w:r>
          </w:p>
        </w:tc>
        <w:tc>
          <w:tcPr>
            <w:tcW w:w="4112" w:type="dxa"/>
          </w:tcPr>
          <w:p w14:paraId="6630173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 xml:space="preserve">对供应商要求 </w:t>
            </w:r>
          </w:p>
        </w:tc>
        <w:tc>
          <w:tcPr>
            <w:tcW w:w="3117" w:type="dxa"/>
          </w:tcPr>
          <w:p w14:paraId="1670D9ED">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证明材料要求</w:t>
            </w:r>
          </w:p>
        </w:tc>
      </w:tr>
      <w:tr w14:paraId="62B3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0DD038A1">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（1）依法设立</w:t>
            </w:r>
          </w:p>
        </w:tc>
        <w:tc>
          <w:tcPr>
            <w:tcW w:w="4112" w:type="dxa"/>
          </w:tcPr>
          <w:p w14:paraId="00E73568">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144DD3A1">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66604CFB">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具有独立法人资格，持有有效的营业执照（或事业单位法人证书或社会团体法人登；记证书） (供应商为企业的，还应具备组织机构代码证，按照“三证合一”或“五证合一”登记制度进行登记的，可仅提供营业执照副本)。 </w:t>
            </w:r>
          </w:p>
        </w:tc>
        <w:tc>
          <w:tcPr>
            <w:tcW w:w="3117" w:type="dxa"/>
          </w:tcPr>
          <w:p w14:paraId="06AD461B">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005168B2">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适用，见采购文件供应商须知前附表3.5（1）。</w:t>
            </w:r>
          </w:p>
        </w:tc>
      </w:tr>
      <w:tr w14:paraId="1185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025D2F9">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（2）资质要求</w:t>
            </w:r>
          </w:p>
        </w:tc>
        <w:tc>
          <w:tcPr>
            <w:tcW w:w="4112" w:type="dxa"/>
          </w:tcPr>
          <w:p w14:paraId="5EBB70D5">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5DE1C1A1">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1BA5E6EA">
            <w:pPr>
              <w:widowControl w:val="0"/>
              <w:numPr>
                <w:ilvl w:val="0"/>
                <w:numId w:val="0"/>
              </w:numPr>
              <w:spacing w:line="360" w:lineRule="auto"/>
              <w:jc w:val="both"/>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一、响应人应具备以下资质：</w:t>
            </w:r>
          </w:p>
          <w:p w14:paraId="6A478170">
            <w:pPr>
              <w:widowControl w:val="0"/>
              <w:numPr>
                <w:ilvl w:val="0"/>
                <w:numId w:val="0"/>
              </w:numPr>
              <w:spacing w:line="360" w:lineRule="auto"/>
              <w:jc w:val="both"/>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eastAsia="zh-CN"/>
              </w:rPr>
              <w:t>、具有省应急管理厅颁发的安评资质证书，资质在有效期限之内；</w:t>
            </w:r>
          </w:p>
          <w:p w14:paraId="3354B49A">
            <w:pPr>
              <w:widowControl w:val="0"/>
              <w:numPr>
                <w:ilvl w:val="0"/>
                <w:numId w:val="0"/>
              </w:numPr>
              <w:spacing w:line="360" w:lineRule="auto"/>
              <w:jc w:val="both"/>
              <w:rPr>
                <w:rFonts w:hint="eastAsia" w:ascii="宋体" w:hAnsi="宋体" w:cs="宋体"/>
                <w:bCs/>
                <w:color w:val="auto"/>
                <w:szCs w:val="21"/>
                <w:highlight w:val="none"/>
                <w:lang w:eastAsia="zh-CN"/>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eastAsia="zh-CN"/>
              </w:rPr>
              <w:t>、具有省卫生健康委员会颁发的职业卫生技术服务机构资质证书，资质在有效期限之内；</w:t>
            </w:r>
          </w:p>
          <w:p w14:paraId="76A4ADF7">
            <w:pPr>
              <w:widowControl w:val="0"/>
              <w:numPr>
                <w:ilvl w:val="0"/>
                <w:numId w:val="0"/>
              </w:numPr>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lang w:eastAsia="zh-CN"/>
              </w:rPr>
              <w:t>二、响应人在国家环境影响评价信用平台完成注册登记并提供截图。</w:t>
            </w:r>
          </w:p>
        </w:tc>
        <w:tc>
          <w:tcPr>
            <w:tcW w:w="3117" w:type="dxa"/>
          </w:tcPr>
          <w:p w14:paraId="7485AD0F">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6BDA4BC8">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适用，见采购文件供应商须知前附表3.5（2）。</w:t>
            </w:r>
          </w:p>
        </w:tc>
      </w:tr>
      <w:tr w14:paraId="6CE3A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660" w:type="dxa"/>
            <w:vAlign w:val="center"/>
          </w:tcPr>
          <w:p w14:paraId="69D58695">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（3）财务要求</w:t>
            </w:r>
          </w:p>
        </w:tc>
        <w:tc>
          <w:tcPr>
            <w:tcW w:w="4112" w:type="dxa"/>
          </w:tcPr>
          <w:p w14:paraId="4D2A426B">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1192B69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□适用</w:t>
            </w:r>
          </w:p>
        </w:tc>
        <w:tc>
          <w:tcPr>
            <w:tcW w:w="3117" w:type="dxa"/>
          </w:tcPr>
          <w:p w14:paraId="0A9396FF">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5C05AA41">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□适用，见采购文件供应商须知前附表3.5（3）。</w:t>
            </w:r>
          </w:p>
        </w:tc>
      </w:tr>
      <w:tr w14:paraId="2DA6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1BD2D97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（4）业绩要求</w:t>
            </w:r>
          </w:p>
        </w:tc>
        <w:tc>
          <w:tcPr>
            <w:tcW w:w="4112" w:type="dxa"/>
          </w:tcPr>
          <w:p w14:paraId="1751BAF4">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w:t>
            </w:r>
            <w:r>
              <w:rPr>
                <w:rFonts w:hint="eastAsia" w:ascii="宋体" w:hAnsi="宋体" w:cs="宋体"/>
                <w:bCs/>
                <w:color w:val="auto"/>
                <w:szCs w:val="21"/>
                <w:highlight w:val="none"/>
              </w:rPr>
              <w:t xml:space="preserve">不适用  </w:t>
            </w:r>
          </w:p>
          <w:p w14:paraId="0C36E8EF">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Fonts w:hint="eastAsia" w:ascii="宋体" w:hAnsi="宋体" w:cs="宋体"/>
                <w:bCs/>
                <w:color w:val="auto"/>
                <w:szCs w:val="21"/>
                <w:highlight w:val="none"/>
              </w:rPr>
              <w:t>适用</w:t>
            </w:r>
          </w:p>
          <w:p w14:paraId="61CB7337">
            <w:pPr>
              <w:widowControl w:val="0"/>
              <w:spacing w:line="360" w:lineRule="auto"/>
              <w:jc w:val="both"/>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rPr>
              <w:t>近5年（指递交响应文件截止之日前一日回溯 5年，以</w:t>
            </w:r>
            <w:r>
              <w:rPr>
                <w:rFonts w:hint="eastAsia" w:ascii="宋体" w:hAnsi="宋体" w:cs="宋体"/>
                <w:color w:val="auto"/>
                <w:szCs w:val="21"/>
                <w:highlight w:val="none"/>
                <w:u w:val="single"/>
                <w:lang w:eastAsia="zh-CN"/>
              </w:rPr>
              <w:t>签订合同</w:t>
            </w:r>
            <w:r>
              <w:rPr>
                <w:rFonts w:hint="eastAsia" w:ascii="宋体" w:hAnsi="宋体" w:cs="宋体"/>
                <w:color w:val="auto"/>
                <w:szCs w:val="21"/>
                <w:highlight w:val="none"/>
                <w:u w:val="single"/>
              </w:rPr>
              <w:t>时间为</w:t>
            </w:r>
            <w:r>
              <w:rPr>
                <w:rFonts w:hint="eastAsia" w:ascii="宋体" w:hAnsi="宋体" w:cs="宋体"/>
                <w:color w:val="auto"/>
                <w:szCs w:val="21"/>
                <w:highlight w:val="none"/>
                <w:u w:val="single"/>
                <w:lang w:val="zh-CN"/>
              </w:rPr>
              <w:t>准</w:t>
            </w:r>
            <w:r>
              <w:rPr>
                <w:rFonts w:hint="eastAsia" w:ascii="宋体" w:hAnsi="宋体" w:cs="宋体"/>
                <w:color w:val="auto"/>
                <w:szCs w:val="21"/>
                <w:highlight w:val="none"/>
                <w:u w:val="single"/>
              </w:rPr>
              <w:t>）至少</w:t>
            </w:r>
            <w:r>
              <w:rPr>
                <w:rFonts w:hint="eastAsia" w:ascii="宋体" w:hAnsi="宋体" w:cs="宋体"/>
                <w:color w:val="auto"/>
                <w:szCs w:val="21"/>
                <w:highlight w:val="none"/>
                <w:u w:val="single"/>
                <w:lang w:eastAsia="zh-CN"/>
              </w:rPr>
              <w:t>承担过</w:t>
            </w:r>
            <w:r>
              <w:rPr>
                <w:rFonts w:hint="eastAsia" w:ascii="宋体" w:hAnsi="宋体" w:cs="宋体"/>
                <w:color w:val="auto"/>
                <w:szCs w:val="21"/>
                <w:highlight w:val="none"/>
                <w:u w:val="single"/>
              </w:rPr>
              <w:t>1个加油站安全性评价项目和加油站环境评价项目和加油站职业病职业危害防治与评价项目业绩。</w:t>
            </w:r>
          </w:p>
        </w:tc>
        <w:tc>
          <w:tcPr>
            <w:tcW w:w="3117" w:type="dxa"/>
          </w:tcPr>
          <w:p w14:paraId="2A14430A">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4E1C317A">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适用，见采购文件供应商须知前附表3.5（4）。</w:t>
            </w:r>
          </w:p>
        </w:tc>
      </w:tr>
      <w:tr w14:paraId="03D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3FFBD58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（5）信誉要求</w:t>
            </w:r>
          </w:p>
        </w:tc>
        <w:tc>
          <w:tcPr>
            <w:tcW w:w="4112" w:type="dxa"/>
          </w:tcPr>
          <w:p w14:paraId="213554BC">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2D9BCE68">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588C3680">
            <w:pPr>
              <w:widowControl w:val="0"/>
              <w:numPr>
                <w:ilvl w:val="0"/>
                <w:numId w:val="14"/>
              </w:numPr>
              <w:spacing w:line="360" w:lineRule="auto"/>
              <w:ind w:left="105" w:leftChars="0" w:firstLine="0" w:firstLineChars="0"/>
              <w:jc w:val="both"/>
              <w:rPr>
                <w:rStyle w:val="129"/>
                <w:rFonts w:hint="eastAsia" w:ascii="宋体" w:hAnsi="宋体" w:cs="宋体"/>
                <w:b w:val="0"/>
                <w:color w:val="auto"/>
                <w:szCs w:val="21"/>
                <w:highlight w:val="none"/>
                <w:u w:val="single"/>
                <w:lang w:val="en-US" w:eastAsia="zh-CN"/>
              </w:rPr>
            </w:pPr>
            <w:r>
              <w:rPr>
                <w:rStyle w:val="129"/>
                <w:rFonts w:hint="eastAsia" w:ascii="宋体" w:hAnsi="宋体" w:cs="宋体"/>
                <w:b w:val="0"/>
                <w:color w:val="auto"/>
                <w:szCs w:val="21"/>
                <w:highlight w:val="none"/>
                <w:u w:val="single"/>
                <w:lang w:val="en-US" w:eastAsia="zh-CN"/>
              </w:rPr>
              <w:t>未在国家企业信用信息公示系统（http://www.gsxt.gov.cn）中被列入严重违法失信企业名单或未在“信用中国”网站（www.creditchina.gov.cn）中被列入失信被执行人名单。</w:t>
            </w:r>
          </w:p>
          <w:p w14:paraId="60433E78">
            <w:pPr>
              <w:widowControl w:val="0"/>
              <w:numPr>
                <w:ilvl w:val="0"/>
                <w:numId w:val="14"/>
              </w:numPr>
              <w:spacing w:line="360" w:lineRule="auto"/>
              <w:ind w:left="105" w:leftChars="0" w:firstLine="0" w:firstLineChars="0"/>
              <w:jc w:val="both"/>
              <w:rPr>
                <w:rStyle w:val="129"/>
                <w:rFonts w:hint="eastAsia" w:ascii="宋体" w:hAnsi="宋体" w:cs="宋体"/>
                <w:b w:val="0"/>
                <w:color w:val="auto"/>
                <w:szCs w:val="21"/>
                <w:highlight w:val="none"/>
                <w:u w:val="single"/>
                <w:lang w:val="en-US" w:eastAsia="zh-CN"/>
              </w:rPr>
            </w:pPr>
            <w:r>
              <w:rPr>
                <w:rStyle w:val="129"/>
                <w:rFonts w:hint="eastAsia" w:ascii="宋体" w:hAnsi="宋体" w:cs="宋体"/>
                <w:b w:val="0"/>
                <w:color w:val="auto"/>
                <w:szCs w:val="21"/>
                <w:highlight w:val="none"/>
                <w:u w:val="single"/>
                <w:lang w:val="en-US" w:eastAsia="zh-CN"/>
              </w:rPr>
              <w:t>近三年履约情况良好，无不良记录。</w:t>
            </w:r>
          </w:p>
          <w:p w14:paraId="60193553">
            <w:pPr>
              <w:widowControl w:val="0"/>
              <w:numPr>
                <w:ilvl w:val="0"/>
                <w:numId w:val="14"/>
              </w:numPr>
              <w:spacing w:line="360" w:lineRule="auto"/>
              <w:ind w:left="105" w:leftChars="0" w:firstLine="0" w:firstLineChars="0"/>
              <w:jc w:val="both"/>
              <w:rPr>
                <w:rStyle w:val="129"/>
                <w:rFonts w:hint="eastAsia" w:ascii="宋体" w:hAnsi="宋体" w:cs="宋体"/>
                <w:b w:val="0"/>
                <w:color w:val="auto"/>
                <w:szCs w:val="21"/>
                <w:highlight w:val="none"/>
                <w:u w:val="single"/>
                <w:lang w:val="en-US" w:eastAsia="zh-CN"/>
              </w:rPr>
            </w:pPr>
            <w:r>
              <w:rPr>
                <w:rStyle w:val="129"/>
                <w:rFonts w:hint="eastAsia" w:ascii="宋体" w:hAnsi="宋体" w:cs="宋体"/>
                <w:b w:val="0"/>
                <w:color w:val="auto"/>
                <w:szCs w:val="21"/>
                <w:highlight w:val="none"/>
                <w:u w:val="single"/>
                <w:lang w:val="en-US" w:eastAsia="zh-CN"/>
              </w:rPr>
              <w:t>没有处于被责令停业、财产被接管、冻结。</w:t>
            </w:r>
          </w:p>
        </w:tc>
        <w:tc>
          <w:tcPr>
            <w:tcW w:w="3117" w:type="dxa"/>
          </w:tcPr>
          <w:p w14:paraId="39680B14">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3949CF9E">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适用，见采购文件供应商须知前附表3.5（5）。</w:t>
            </w:r>
          </w:p>
        </w:tc>
      </w:tr>
      <w:tr w14:paraId="669A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62B8D6E">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（6）承担本项目的主要人员要求</w:t>
            </w:r>
          </w:p>
        </w:tc>
        <w:tc>
          <w:tcPr>
            <w:tcW w:w="4112" w:type="dxa"/>
          </w:tcPr>
          <w:p w14:paraId="060C132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w:t>
            </w:r>
            <w:r>
              <w:rPr>
                <w:rFonts w:hint="eastAsia" w:ascii="宋体" w:hAnsi="宋体" w:cs="宋体"/>
                <w:bCs/>
                <w:color w:val="auto"/>
                <w:szCs w:val="21"/>
                <w:highlight w:val="none"/>
              </w:rPr>
              <w:t xml:space="preserve">不适用  </w:t>
            </w:r>
          </w:p>
          <w:p w14:paraId="13000FE0">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Fonts w:hint="eastAsia" w:ascii="宋体" w:hAnsi="宋体" w:cs="宋体"/>
                <w:bCs/>
                <w:color w:val="auto"/>
                <w:szCs w:val="21"/>
                <w:highlight w:val="none"/>
              </w:rPr>
              <w:t>适用</w:t>
            </w:r>
          </w:p>
          <w:p w14:paraId="4590E7C7">
            <w:pPr>
              <w:widowControl w:val="0"/>
              <w:spacing w:line="360" w:lineRule="auto"/>
              <w:jc w:val="both"/>
              <w:rPr>
                <w:rFonts w:hint="default" w:ascii="宋体" w:hAnsi="宋体" w:cs="宋体"/>
                <w:color w:val="auto"/>
                <w:szCs w:val="21"/>
                <w:highlight w:val="none"/>
                <w:u w:val="single"/>
                <w:lang w:val="en-US" w:eastAsia="zh-CN"/>
              </w:rPr>
            </w:pPr>
            <w:bookmarkStart w:id="1" w:name="EB9a6470c35e3a470f957788a5ce823d0d"/>
            <w:r>
              <w:rPr>
                <w:rFonts w:hint="eastAsia" w:ascii="宋体" w:hAnsi="宋体" w:cs="宋体"/>
                <w:color w:val="auto"/>
                <w:szCs w:val="21"/>
                <w:highlight w:val="none"/>
                <w:u w:val="single"/>
                <w:lang w:val="en-US" w:eastAsia="zh-CN"/>
              </w:rPr>
              <w:t>拟委派本项目的项目负责人应具备：</w:t>
            </w:r>
          </w:p>
          <w:bookmarkEnd w:id="1"/>
          <w:p w14:paraId="5DDB5308">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u w:val="single"/>
              </w:rPr>
              <w:t>项目负责人具有环评师或高级职称。近5年（指递交响应文件截止之日前一日回溯 5年，以</w:t>
            </w:r>
            <w:r>
              <w:rPr>
                <w:rFonts w:hint="eastAsia" w:ascii="宋体" w:hAnsi="宋体" w:cs="宋体"/>
                <w:color w:val="auto"/>
                <w:szCs w:val="21"/>
                <w:highlight w:val="none"/>
                <w:u w:val="single"/>
                <w:lang w:eastAsia="zh-CN"/>
              </w:rPr>
              <w:t>签订合同</w:t>
            </w:r>
            <w:r>
              <w:rPr>
                <w:rFonts w:hint="eastAsia" w:ascii="宋体" w:hAnsi="宋体" w:cs="宋体"/>
                <w:color w:val="auto"/>
                <w:szCs w:val="21"/>
                <w:highlight w:val="none"/>
                <w:u w:val="single"/>
              </w:rPr>
              <w:t>时间为</w:t>
            </w:r>
            <w:r>
              <w:rPr>
                <w:rFonts w:hint="eastAsia" w:ascii="宋体" w:hAnsi="宋体" w:cs="宋体"/>
                <w:color w:val="auto"/>
                <w:szCs w:val="21"/>
                <w:highlight w:val="none"/>
                <w:u w:val="single"/>
                <w:lang w:val="zh-CN"/>
              </w:rPr>
              <w:t>准</w:t>
            </w:r>
            <w:r>
              <w:rPr>
                <w:rFonts w:hint="eastAsia" w:ascii="宋体" w:hAnsi="宋体" w:cs="宋体"/>
                <w:color w:val="auto"/>
                <w:szCs w:val="21"/>
                <w:highlight w:val="none"/>
                <w:u w:val="single"/>
              </w:rPr>
              <w:t>）至少</w:t>
            </w:r>
            <w:r>
              <w:rPr>
                <w:rFonts w:hint="eastAsia" w:ascii="宋体" w:hAnsi="宋体" w:cs="宋体"/>
                <w:color w:val="auto"/>
                <w:szCs w:val="21"/>
                <w:highlight w:val="none"/>
                <w:u w:val="single"/>
                <w:lang w:eastAsia="zh-CN"/>
              </w:rPr>
              <w:t>承担过</w:t>
            </w:r>
            <w:r>
              <w:rPr>
                <w:rFonts w:hint="eastAsia" w:ascii="宋体" w:hAnsi="宋体" w:cs="宋体"/>
                <w:color w:val="auto"/>
                <w:szCs w:val="21"/>
                <w:highlight w:val="none"/>
                <w:u w:val="single"/>
              </w:rPr>
              <w:t>1个加油站安全性评价项目</w:t>
            </w:r>
            <w:r>
              <w:rPr>
                <w:rFonts w:hint="eastAsia" w:ascii="宋体" w:hAnsi="宋体" w:cs="宋体"/>
                <w:color w:val="auto"/>
                <w:szCs w:val="21"/>
                <w:highlight w:val="none"/>
                <w:u w:val="single"/>
                <w:lang w:val="en-US" w:eastAsia="zh-CN"/>
              </w:rPr>
              <w:t>的项目负责人或技术负责人</w:t>
            </w:r>
            <w:r>
              <w:rPr>
                <w:rFonts w:hint="eastAsia" w:ascii="宋体" w:hAnsi="宋体" w:cs="宋体"/>
                <w:color w:val="auto"/>
                <w:szCs w:val="21"/>
                <w:highlight w:val="none"/>
                <w:u w:val="single"/>
              </w:rPr>
              <w:t>业绩。</w:t>
            </w:r>
          </w:p>
        </w:tc>
        <w:tc>
          <w:tcPr>
            <w:tcW w:w="3117" w:type="dxa"/>
          </w:tcPr>
          <w:p w14:paraId="370D7741">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6F84B05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适用，见采购文件供应商须知前附表3.5（6）。</w:t>
            </w:r>
          </w:p>
        </w:tc>
      </w:tr>
      <w:tr w14:paraId="43D18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784FCD05">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（7）其他要求</w:t>
            </w:r>
          </w:p>
        </w:tc>
        <w:tc>
          <w:tcPr>
            <w:tcW w:w="4112" w:type="dxa"/>
          </w:tcPr>
          <w:p w14:paraId="7B8B545C">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1B9ECD32">
            <w:pPr>
              <w:widowControl w:val="0"/>
              <w:spacing w:line="360" w:lineRule="auto"/>
              <w:jc w:val="both"/>
              <w:rPr>
                <w:rStyle w:val="129"/>
                <w:rFonts w:hint="eastAsia" w:ascii="宋体" w:hAnsi="宋体" w:cs="宋体"/>
                <w:b w:val="0"/>
                <w:color w:val="auto"/>
                <w:szCs w:val="21"/>
                <w:highlight w:val="none"/>
                <w:u w:val="single"/>
                <w:lang w:eastAsia="zh-CN"/>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tc>
        <w:tc>
          <w:tcPr>
            <w:tcW w:w="3117" w:type="dxa"/>
          </w:tcPr>
          <w:p w14:paraId="42C383DD">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11F5D98F">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适用，见采购文件供应商须知前附表3.5（7）。</w:t>
            </w:r>
          </w:p>
        </w:tc>
      </w:tr>
      <w:tr w14:paraId="3A58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12008F73">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（8）供应商不存在第一章3.1款情形的证明材料</w:t>
            </w:r>
          </w:p>
        </w:tc>
        <w:tc>
          <w:tcPr>
            <w:tcW w:w="4112" w:type="dxa"/>
          </w:tcPr>
          <w:p w14:paraId="21CA5520">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4E949471">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p>
          <w:p w14:paraId="69FEA647">
            <w:pPr>
              <w:widowControl w:val="0"/>
              <w:spacing w:line="360" w:lineRule="auto"/>
              <w:jc w:val="both"/>
              <w:rPr>
                <w:rFonts w:hint="eastAsia" w:ascii="宋体" w:hAnsi="宋体" w:cs="宋体"/>
                <w:bCs/>
                <w:color w:val="auto"/>
                <w:szCs w:val="21"/>
                <w:highlight w:val="none"/>
              </w:rPr>
            </w:pPr>
          </w:p>
        </w:tc>
        <w:tc>
          <w:tcPr>
            <w:tcW w:w="3117" w:type="dxa"/>
          </w:tcPr>
          <w:p w14:paraId="5A064799">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rPr>
              <w:t xml:space="preserve">□不适用  </w:t>
            </w:r>
          </w:p>
          <w:p w14:paraId="6442BB22">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适用，见采购文件供应商须知前附表3.5（8）。</w:t>
            </w:r>
          </w:p>
        </w:tc>
      </w:tr>
      <w:tr w14:paraId="7965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14:paraId="2C644739">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（9）联合体要求的证明材料</w:t>
            </w:r>
          </w:p>
        </w:tc>
        <w:tc>
          <w:tcPr>
            <w:tcW w:w="4112" w:type="dxa"/>
          </w:tcPr>
          <w:p w14:paraId="71F646CD">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504298B8">
            <w:pPr>
              <w:widowControl w:val="0"/>
              <w:spacing w:line="360" w:lineRule="atLeast"/>
              <w:jc w:val="both"/>
              <w:rPr>
                <w:rFonts w:hint="eastAsia" w:ascii="Times New Roman" w:hAnsi="Times New Roman"/>
                <w:color w:val="000000" w:themeColor="text1"/>
                <w:szCs w:val="21"/>
                <w:highlight w:val="none"/>
                <w14:textFill>
                  <w14:solidFill>
                    <w14:schemeClr w14:val="tx1"/>
                  </w14:solidFill>
                </w14:textFill>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w:t>
            </w:r>
            <w:r>
              <w:rPr>
                <w:rStyle w:val="129"/>
                <w:rFonts w:hint="eastAsia" w:ascii="宋体" w:hAnsi="宋体" w:cs="宋体"/>
                <w:b w:val="0"/>
                <w:color w:val="auto"/>
                <w:szCs w:val="21"/>
                <w:highlight w:val="none"/>
                <w:u w:val="single"/>
                <w:lang w:val="en-US" w:eastAsia="zh-CN"/>
              </w:rPr>
              <w:t>,</w:t>
            </w:r>
            <w:r>
              <w:rPr>
                <w:rFonts w:hint="eastAsia" w:ascii="Times New Roman" w:hAnsi="Times New Roman"/>
                <w:color w:val="000000" w:themeColor="text1"/>
                <w:szCs w:val="21"/>
                <w:highlight w:val="none"/>
                <w14:textFill>
                  <w14:solidFill>
                    <w14:schemeClr w14:val="tx1"/>
                  </w14:solidFill>
                </w14:textFill>
              </w:rPr>
              <w:t>应满足下列要求：</w:t>
            </w:r>
          </w:p>
          <w:p w14:paraId="4C5B3345">
            <w:pPr>
              <w:widowControl w:val="0"/>
              <w:spacing w:line="360" w:lineRule="atLeast"/>
              <w:jc w:val="both"/>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（1）联合体所有成员数量不得超过</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hint="eastAsia" w:ascii="Times New Roman" w:hAnsi="Times New Roman"/>
                <w:color w:val="000000" w:themeColor="text1"/>
                <w:szCs w:val="21"/>
                <w:highlight w:val="none"/>
                <w14:textFill>
                  <w14:solidFill>
                    <w14:schemeClr w14:val="tx1"/>
                  </w14:solidFill>
                </w14:textFill>
              </w:rPr>
              <w:t xml:space="preserve">家； </w:t>
            </w:r>
          </w:p>
          <w:p w14:paraId="0C524D24">
            <w:pPr>
              <w:widowControl w:val="0"/>
              <w:spacing w:line="360" w:lineRule="atLeast"/>
              <w:jc w:val="both"/>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（2）联合体牵头人应具有</w:t>
            </w:r>
            <w:r>
              <w:rPr>
                <w:rFonts w:hint="eastAsia" w:ascii="Times New Roman" w:hAnsi="Times New Roman"/>
                <w:color w:val="000000" w:themeColor="text1"/>
                <w:szCs w:val="21"/>
                <w:highlight w:val="none"/>
                <w:lang w:eastAsia="zh-CN"/>
                <w14:textFill>
                  <w14:solidFill>
                    <w14:schemeClr w14:val="tx1"/>
                  </w14:solidFill>
                </w14:textFill>
              </w:rPr>
              <w:t>安评资质证书</w:t>
            </w:r>
            <w:r>
              <w:rPr>
                <w:rFonts w:hint="eastAsia" w:ascii="Times New Roman" w:hAnsi="Times New Roman"/>
                <w:color w:val="000000" w:themeColor="text1"/>
                <w:szCs w:val="21"/>
                <w:highlight w:val="none"/>
                <w14:textFill>
                  <w14:solidFill>
                    <w14:schemeClr w14:val="tx1"/>
                  </w14:solidFill>
                </w14:textFill>
              </w:rPr>
              <w:t>；</w:t>
            </w:r>
          </w:p>
          <w:p w14:paraId="1CBA01BE">
            <w:pPr>
              <w:widowControl w:val="0"/>
              <w:spacing w:line="360" w:lineRule="atLeast"/>
              <w:jc w:val="both"/>
              <w:rPr>
                <w:rFonts w:hint="eastAsia"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 xml:space="preserve">（3）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 </w:t>
            </w:r>
          </w:p>
          <w:p w14:paraId="5C8AE3EC">
            <w:pPr>
              <w:widowControl w:val="0"/>
              <w:spacing w:line="360" w:lineRule="atLeast"/>
              <w:jc w:val="both"/>
              <w:rPr>
                <w:rFonts w:hint="eastAsia" w:ascii="宋体" w:hAnsi="宋体" w:eastAsia="黑体" w:cs="宋体"/>
                <w:bCs/>
                <w:color w:val="auto"/>
                <w:szCs w:val="21"/>
                <w:highlight w:val="none"/>
                <w:lang w:val="en-US" w:eastAsia="zh-CN"/>
              </w:rPr>
            </w:pPr>
            <w:r>
              <w:rPr>
                <w:rFonts w:hint="eastAsia" w:ascii="Times New Roman" w:hAnsi="Times New Roman"/>
                <w:color w:val="000000" w:themeColor="text1"/>
                <w:szCs w:val="21"/>
                <w:highlight w:val="none"/>
                <w14:textFill>
                  <w14:solidFill>
                    <w14:schemeClr w14:val="tx1"/>
                  </w14:solidFill>
                </w14:textFill>
              </w:rPr>
              <w:t>（4）联合体信用等级按联合体成员最低信用等级确定</w:t>
            </w:r>
            <w:r>
              <w:rPr>
                <w:rFonts w:hint="eastAsia" w:ascii="Times New Roman" w:hAnsi="Times New Roman"/>
                <w:color w:val="000000" w:themeColor="text1"/>
                <w:szCs w:val="21"/>
                <w:highlight w:val="none"/>
                <w:lang w:eastAsia="zh-CN"/>
                <w14:textFill>
                  <w14:solidFill>
                    <w14:schemeClr w14:val="tx1"/>
                  </w14:solidFill>
                </w14:textFill>
              </w:rPr>
              <w:t>。</w:t>
            </w:r>
          </w:p>
        </w:tc>
        <w:tc>
          <w:tcPr>
            <w:tcW w:w="3117" w:type="dxa"/>
          </w:tcPr>
          <w:p w14:paraId="4FEFC2CF">
            <w:pPr>
              <w:widowControl w:val="0"/>
              <w:spacing w:line="360" w:lineRule="auto"/>
              <w:jc w:val="both"/>
              <w:rPr>
                <w:rStyle w:val="129"/>
                <w:rFonts w:hint="eastAsia" w:ascii="宋体" w:hAnsi="宋体" w:cs="宋体"/>
                <w:b w:val="0"/>
                <w:color w:val="auto"/>
                <w:szCs w:val="21"/>
                <w:highlight w:val="none"/>
                <w:u w:val="singl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 xml:space="preserve">不适用  </w:t>
            </w:r>
          </w:p>
          <w:p w14:paraId="24E7499D">
            <w:pPr>
              <w:widowControl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u w:val="single"/>
              </w:rPr>
              <w:t>适用，见采购文件供应商须知前附表3.5（9）。</w:t>
            </w:r>
          </w:p>
        </w:tc>
      </w:tr>
    </w:tbl>
    <w:p w14:paraId="75038BCF">
      <w:pPr>
        <w:autoSpaceDE w:val="0"/>
        <w:spacing w:line="400" w:lineRule="exact"/>
        <w:ind w:firstLine="240" w:firstLineChars="100"/>
        <w:rPr>
          <w:rFonts w:hint="eastAsia" w:ascii="宋体" w:hAnsi="宋体"/>
          <w:color w:val="auto"/>
          <w:sz w:val="24"/>
          <w:highlight w:val="none"/>
        </w:rPr>
      </w:pPr>
    </w:p>
    <w:p w14:paraId="0C12CD56">
      <w:pPr>
        <w:pStyle w:val="5"/>
        <w:rPr>
          <w:rFonts w:ascii="Arial" w:hAnsi="Arial"/>
          <w:color w:val="auto"/>
          <w:highlight w:val="none"/>
        </w:rPr>
      </w:pPr>
      <w:r>
        <w:rPr>
          <w:rFonts w:hint="eastAsia"/>
          <w:color w:val="auto"/>
          <w:highlight w:val="none"/>
        </w:rPr>
        <w:t xml:space="preserve">4 </w:t>
      </w:r>
      <w:r>
        <w:rPr>
          <w:rFonts w:hint="eastAsia" w:ascii="黑体" w:hAnsi="黑体"/>
          <w:color w:val="auto"/>
          <w:highlight w:val="none"/>
        </w:rPr>
        <w:t>响应保证金</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4"/>
        <w:gridCol w:w="3437"/>
        <w:gridCol w:w="3133"/>
      </w:tblGrid>
      <w:tr w14:paraId="6F44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07F7246E">
            <w:pPr>
              <w:widowControl w:val="0"/>
              <w:autoSpaceDE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响应保证金的递交</w:t>
            </w:r>
          </w:p>
        </w:tc>
        <w:tc>
          <w:tcPr>
            <w:tcW w:w="3437" w:type="dxa"/>
          </w:tcPr>
          <w:p w14:paraId="451F756B">
            <w:pPr>
              <w:widowControl w:val="0"/>
              <w:autoSpaceDE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不退还响应保证金的其他情形</w:t>
            </w:r>
          </w:p>
        </w:tc>
        <w:tc>
          <w:tcPr>
            <w:tcW w:w="3133" w:type="dxa"/>
          </w:tcPr>
          <w:p w14:paraId="37C91AEB">
            <w:pPr>
              <w:widowControl w:val="0"/>
              <w:autoSpaceDE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退还响应保证金的时间</w:t>
            </w:r>
          </w:p>
        </w:tc>
      </w:tr>
      <w:tr w14:paraId="486D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84" w:type="dxa"/>
          </w:tcPr>
          <w:p w14:paraId="12A4440B">
            <w:pPr>
              <w:widowControl w:val="0"/>
              <w:autoSpaceDE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Fonts w:hint="eastAsia" w:ascii="宋体" w:hAnsi="宋体" w:cs="宋体"/>
                <w:bCs/>
                <w:color w:val="auto"/>
                <w:szCs w:val="21"/>
                <w:highlight w:val="none"/>
              </w:rPr>
              <w:t>不要求递交</w:t>
            </w:r>
          </w:p>
          <w:p w14:paraId="5FD274DB">
            <w:pPr>
              <w:widowControl w:val="0"/>
              <w:autoSpaceDE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w:t>
            </w:r>
            <w:r>
              <w:rPr>
                <w:rFonts w:hint="eastAsia" w:ascii="宋体" w:hAnsi="宋体" w:cs="宋体"/>
                <w:bCs/>
                <w:color w:val="auto"/>
                <w:szCs w:val="21"/>
                <w:highlight w:val="none"/>
              </w:rPr>
              <w:t>要求递交</w:t>
            </w:r>
          </w:p>
          <w:p w14:paraId="4C113A0E">
            <w:pPr>
              <w:widowControl w:val="0"/>
              <w:autoSpaceDE w:val="0"/>
              <w:spacing w:line="360" w:lineRule="auto"/>
              <w:ind w:firstLine="210" w:firstLineChars="100"/>
              <w:jc w:val="left"/>
              <w:rPr>
                <w:rFonts w:hint="eastAsia" w:ascii="宋体" w:hAnsi="宋体" w:cs="宋体"/>
                <w:bCs/>
                <w:color w:val="auto"/>
                <w:szCs w:val="21"/>
                <w:highlight w:val="none"/>
              </w:rPr>
            </w:pPr>
          </w:p>
        </w:tc>
        <w:tc>
          <w:tcPr>
            <w:tcW w:w="3437" w:type="dxa"/>
          </w:tcPr>
          <w:p w14:paraId="62552D27">
            <w:pPr>
              <w:widowControl w:val="0"/>
              <w:autoSpaceDE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Style w:val="129"/>
                <w:rFonts w:hint="eastAsia" w:ascii="宋体" w:hAnsi="宋体" w:cs="宋体"/>
                <w:b w:val="0"/>
                <w:color w:val="auto"/>
                <w:szCs w:val="21"/>
                <w:highlight w:val="none"/>
              </w:rPr>
              <w:t>不</w:t>
            </w:r>
            <w:r>
              <w:rPr>
                <w:rFonts w:hint="eastAsia" w:ascii="宋体" w:hAnsi="宋体" w:cs="宋体"/>
                <w:bCs/>
                <w:color w:val="auto"/>
                <w:szCs w:val="21"/>
                <w:highlight w:val="none"/>
              </w:rPr>
              <w:t>适用</w:t>
            </w:r>
          </w:p>
          <w:p w14:paraId="1D03CADA">
            <w:pPr>
              <w:widowControl w:val="0"/>
              <w:autoSpaceDE w:val="0"/>
              <w:spacing w:line="360" w:lineRule="auto"/>
              <w:ind w:right="42" w:rightChars="20"/>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w:t>
            </w:r>
            <w:r>
              <w:rPr>
                <w:rFonts w:hint="eastAsia" w:ascii="宋体" w:hAnsi="宋体" w:cs="宋体"/>
                <w:bCs/>
                <w:color w:val="auto"/>
                <w:szCs w:val="21"/>
                <w:highlight w:val="none"/>
              </w:rPr>
              <w:t>适用，具体如下：</w:t>
            </w:r>
          </w:p>
          <w:p w14:paraId="130EFB45">
            <w:pPr>
              <w:widowControl w:val="0"/>
              <w:autoSpaceDE w:val="0"/>
              <w:spacing w:line="360" w:lineRule="auto"/>
              <w:jc w:val="both"/>
              <w:rPr>
                <w:rFonts w:hint="eastAsia" w:ascii="宋体" w:hAnsi="宋体" w:cs="宋体"/>
                <w:bCs/>
                <w:color w:val="auto"/>
                <w:szCs w:val="21"/>
                <w:highlight w:val="none"/>
              </w:rPr>
            </w:pPr>
          </w:p>
        </w:tc>
        <w:tc>
          <w:tcPr>
            <w:tcW w:w="3133" w:type="dxa"/>
          </w:tcPr>
          <w:p w14:paraId="2630318F">
            <w:pPr>
              <w:widowControl w:val="0"/>
              <w:autoSpaceDE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lang w:eastAsia="zh-CN"/>
              </w:rPr>
              <w:t>☑</w:t>
            </w:r>
            <w:r>
              <w:rPr>
                <w:rFonts w:hint="eastAsia" w:ascii="宋体" w:hAnsi="宋体" w:cs="宋体"/>
                <w:bCs/>
                <w:color w:val="auto"/>
                <w:szCs w:val="21"/>
                <w:highlight w:val="none"/>
              </w:rPr>
              <w:t>不适用</w:t>
            </w:r>
          </w:p>
          <w:p w14:paraId="5A094C85">
            <w:pPr>
              <w:widowControl w:val="0"/>
              <w:autoSpaceDE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u w:val="single"/>
              </w:rPr>
              <w:t>□</w:t>
            </w:r>
            <w:r>
              <w:rPr>
                <w:rFonts w:hint="eastAsia" w:ascii="宋体" w:hAnsi="宋体" w:cs="宋体"/>
                <w:bCs/>
                <w:color w:val="auto"/>
                <w:szCs w:val="21"/>
                <w:highlight w:val="none"/>
              </w:rPr>
              <w:t>适用，具体如下：</w:t>
            </w:r>
          </w:p>
          <w:p w14:paraId="0CFEC38F">
            <w:pPr>
              <w:widowControl w:val="0"/>
              <w:autoSpaceDE w:val="0"/>
              <w:spacing w:line="360" w:lineRule="auto"/>
              <w:jc w:val="both"/>
              <w:rPr>
                <w:rFonts w:hint="eastAsia" w:ascii="宋体" w:hAnsi="宋体" w:cs="宋体"/>
                <w:bCs/>
                <w:color w:val="auto"/>
                <w:szCs w:val="21"/>
                <w:highlight w:val="none"/>
              </w:rPr>
            </w:pPr>
          </w:p>
        </w:tc>
      </w:tr>
    </w:tbl>
    <w:p w14:paraId="4237C289">
      <w:pPr>
        <w:pStyle w:val="5"/>
        <w:rPr>
          <w:rFonts w:ascii="Arial" w:hAnsi="Arial"/>
          <w:color w:val="auto"/>
          <w:highlight w:val="none"/>
        </w:rPr>
      </w:pPr>
      <w:r>
        <w:rPr>
          <w:rFonts w:hint="eastAsia"/>
          <w:color w:val="auto"/>
          <w:highlight w:val="none"/>
        </w:rPr>
        <w:t xml:space="preserve">5 </w:t>
      </w:r>
      <w:r>
        <w:rPr>
          <w:rFonts w:hint="eastAsia" w:ascii="黑体" w:hAnsi="黑体"/>
          <w:color w:val="auto"/>
          <w:highlight w:val="none"/>
        </w:rPr>
        <w:t>确定成交供应商的方法</w:t>
      </w:r>
    </w:p>
    <w:p w14:paraId="506FBEFC">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 xml:space="preserve">5.1 </w:t>
      </w:r>
      <w:r>
        <w:rPr>
          <w:rStyle w:val="129"/>
          <w:rFonts w:hint="eastAsia"/>
          <w:color w:val="auto"/>
          <w:highlight w:val="none"/>
        </w:rPr>
        <w:t>综合评分法；</w:t>
      </w:r>
    </w:p>
    <w:p w14:paraId="00FD81EA">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5.2</w:t>
      </w:r>
      <w:r>
        <w:rPr>
          <w:rFonts w:hint="eastAsia" w:ascii="宋体" w:hAnsi="宋体"/>
          <w:color w:val="auto"/>
          <w:sz w:val="24"/>
          <w:highlight w:val="none"/>
        </w:rPr>
        <w:t xml:space="preserve"> 采购人应当确定排名第一的候选成交供应商为预成交供应商。若排名第一的候选成交供应商未通过履约能力和报价核查，采购人应按推荐的名单排序依次确定其他候选成交供应商为预成交供应商。 </w:t>
      </w:r>
    </w:p>
    <w:p w14:paraId="6DE366A6">
      <w:pPr>
        <w:pStyle w:val="5"/>
        <w:rPr>
          <w:rFonts w:ascii="Arial" w:hAnsi="Arial"/>
          <w:color w:val="auto"/>
          <w:highlight w:val="none"/>
        </w:rPr>
      </w:pPr>
      <w:r>
        <w:rPr>
          <w:rFonts w:hint="eastAsia"/>
          <w:color w:val="auto"/>
          <w:highlight w:val="none"/>
        </w:rPr>
        <w:t>6</w:t>
      </w:r>
      <w:r>
        <w:rPr>
          <w:rFonts w:hint="eastAsia" w:ascii="黑体" w:hAnsi="黑体"/>
          <w:color w:val="auto"/>
          <w:highlight w:val="none"/>
        </w:rPr>
        <w:t>采购文件获取及响应文件递交</w:t>
      </w:r>
    </w:p>
    <w:p w14:paraId="6296EACF">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6.1</w:t>
      </w:r>
      <w:r>
        <w:rPr>
          <w:rFonts w:hint="eastAsia" w:ascii="宋体" w:hAnsi="宋体"/>
          <w:color w:val="auto"/>
          <w:sz w:val="24"/>
          <w:highlight w:val="none"/>
        </w:rPr>
        <w:t xml:space="preserve"> 凡有意参加响应的单位，请登录</w:t>
      </w:r>
      <w:r>
        <w:rPr>
          <w:rFonts w:hint="eastAsia" w:ascii="宋体" w:hAnsi="宋体" w:cs="宋体"/>
          <w:bCs/>
          <w:color w:val="auto"/>
          <w:sz w:val="24"/>
          <w:highlight w:val="none"/>
          <w:shd w:val="clear" w:color="auto" w:fill="FFFFFF"/>
        </w:rPr>
        <w:t>中科高盛咨询集团有限公司网站（http://www.zkgscg.com/）</w:t>
      </w:r>
      <w:r>
        <w:rPr>
          <w:rFonts w:hint="eastAsia" w:ascii="宋体" w:hAnsi="宋体"/>
          <w:color w:val="auto"/>
          <w:sz w:val="24"/>
          <w:highlight w:val="none"/>
        </w:rPr>
        <w:t>。自行在平台上进行网上下载采购文件等资料。通过网络下载的采购文件等资料与备案的书面采购文件等资料具有同等法律效力。凡资料不全、供应商与其证照不符、超过采购文件下载时间将被拒绝。供应商应及时关注网上相关采购信息，如有遗漏或超过采购文件下载时间，采购人概不负责，所造成的投标失败或损失由供应商自行负责。</w:t>
      </w:r>
    </w:p>
    <w:p w14:paraId="226985F1">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6.2</w:t>
      </w:r>
      <w:r>
        <w:rPr>
          <w:rFonts w:hint="eastAsia" w:ascii="宋体" w:hAnsi="宋体"/>
          <w:color w:val="auto"/>
          <w:sz w:val="24"/>
          <w:highlight w:val="none"/>
        </w:rPr>
        <w:t xml:space="preserve"> 采购人不组织进行现场踏勘，不召开采购预备会。</w:t>
      </w:r>
      <w:bookmarkStart w:id="201" w:name="_GoBack"/>
      <w:bookmarkEnd w:id="201"/>
    </w:p>
    <w:p w14:paraId="3FB72C45">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6.3</w:t>
      </w:r>
      <w:r>
        <w:rPr>
          <w:rFonts w:hint="eastAsia" w:ascii="宋体" w:hAnsi="宋体"/>
          <w:color w:val="auto"/>
          <w:sz w:val="24"/>
          <w:highlight w:val="none"/>
        </w:rPr>
        <w:t xml:space="preserve"> 响应文件递交截止时间为202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11</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03</w:t>
      </w:r>
      <w:r>
        <w:rPr>
          <w:rFonts w:hint="eastAsia" w:ascii="宋体" w:hAnsi="宋体"/>
          <w:color w:val="auto"/>
          <w:sz w:val="24"/>
          <w:highlight w:val="none"/>
        </w:rPr>
        <w:t>日09时30分(北京时间)，供应商应当在采购人要求的响应文件递交截止时间前，按采购文件要求制作好响应文件，签字盖章完成后扫描成pdf格式文件，用WinRAR 文件压缩软件进行压缩并设置密码（该密码在视频开标会议上向采购人提供），压缩文件名注明项目名称、投标人名称。上传压缩文件至招标人指定邮箱</w:t>
      </w:r>
      <w:r>
        <w:rPr>
          <w:rFonts w:hint="eastAsia" w:ascii="宋体" w:hAnsi="宋体"/>
          <w:color w:val="auto"/>
          <w:sz w:val="24"/>
          <w:highlight w:val="none"/>
          <w:lang w:val="en-US" w:eastAsia="zh-CN"/>
        </w:rPr>
        <w:t>545826559</w:t>
      </w:r>
      <w:r>
        <w:rPr>
          <w:rFonts w:hint="eastAsia" w:ascii="宋体" w:hAnsi="宋体"/>
          <w:color w:val="auto"/>
          <w:sz w:val="24"/>
          <w:highlight w:val="none"/>
        </w:rPr>
        <w:t>@qq.com，时间以收到邮件时间为准，邮件中留联系人及手机号码。在截止时间后上传或未按要求发送至指定邮箱的响应文件，采购人将拒绝接收。</w:t>
      </w:r>
    </w:p>
    <w:p w14:paraId="60800FCD">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6.4</w:t>
      </w:r>
      <w:r>
        <w:rPr>
          <w:rFonts w:hint="eastAsia" w:ascii="宋体" w:hAnsi="宋体"/>
          <w:color w:val="auto"/>
          <w:sz w:val="24"/>
          <w:highlight w:val="none"/>
        </w:rPr>
        <w:t xml:space="preserve"> 采购人通过“</w:t>
      </w:r>
      <w:r>
        <w:rPr>
          <w:rFonts w:hint="eastAsia" w:ascii="宋体" w:hAnsi="宋体" w:cs="宋体"/>
          <w:bCs/>
          <w:color w:val="auto"/>
          <w:sz w:val="24"/>
          <w:highlight w:val="none"/>
        </w:rPr>
        <w:t>腾讯会议</w:t>
      </w:r>
      <w:r>
        <w:rPr>
          <w:rFonts w:hint="eastAsia" w:ascii="宋体" w:hAnsi="宋体"/>
          <w:color w:val="auto"/>
          <w:sz w:val="24"/>
          <w:highlight w:val="none"/>
        </w:rPr>
        <w:t>”APP进行远程开标，所有供应商的法定代表人（单位负责人）或其委托代理人应当提前下载“</w:t>
      </w:r>
      <w:r>
        <w:rPr>
          <w:rFonts w:hint="eastAsia" w:ascii="宋体" w:hAnsi="宋体" w:cs="宋体"/>
          <w:bCs/>
          <w:color w:val="auto"/>
          <w:sz w:val="24"/>
          <w:highlight w:val="none"/>
        </w:rPr>
        <w:t>腾讯会议</w:t>
      </w:r>
      <w:r>
        <w:rPr>
          <w:rFonts w:hint="eastAsia" w:ascii="宋体" w:hAnsi="宋体"/>
          <w:color w:val="auto"/>
          <w:sz w:val="24"/>
          <w:highlight w:val="none"/>
        </w:rPr>
        <w:t>”APP并准时参加远程开标会议。供应商若未派法定代表人或委托代理人出席开标活动，视为该供应商默认开标结果。</w:t>
      </w:r>
    </w:p>
    <w:p w14:paraId="1D70F111">
      <w:pPr>
        <w:autoSpaceDE w:val="0"/>
        <w:spacing w:line="360" w:lineRule="auto"/>
        <w:ind w:left="241" w:hanging="241" w:hangingChars="100"/>
        <w:rPr>
          <w:rFonts w:hint="eastAsia" w:ascii="宋体" w:hAnsi="宋体"/>
          <w:color w:val="auto"/>
          <w:sz w:val="24"/>
          <w:highlight w:val="none"/>
        </w:rPr>
      </w:pPr>
      <w:r>
        <w:rPr>
          <w:rFonts w:hint="eastAsia" w:ascii="宋体" w:hAnsi="宋体"/>
          <w:b/>
          <w:bCs/>
          <w:color w:val="auto"/>
          <w:sz w:val="24"/>
          <w:highlight w:val="none"/>
        </w:rPr>
        <w:t>6.5</w:t>
      </w:r>
      <w:r>
        <w:rPr>
          <w:rFonts w:hint="eastAsia" w:ascii="宋体" w:hAnsi="宋体"/>
          <w:color w:val="auto"/>
          <w:sz w:val="24"/>
          <w:highlight w:val="none"/>
        </w:rPr>
        <w:t xml:space="preserve"> 供应商若对本项目采购需求、资格要求等有疑问的，应当于 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30</w:t>
      </w:r>
      <w:r>
        <w:rPr>
          <w:rFonts w:hint="eastAsia" w:ascii="宋体" w:hAnsi="宋体"/>
          <w:color w:val="auto"/>
          <w:sz w:val="24"/>
          <w:highlight w:val="none"/>
        </w:rPr>
        <w:t>日17时00分前以不署名电子档形式发送至邮箱</w:t>
      </w:r>
      <w:r>
        <w:rPr>
          <w:rFonts w:hint="eastAsia" w:ascii="宋体" w:hAnsi="宋体"/>
          <w:color w:val="auto"/>
          <w:sz w:val="24"/>
          <w:highlight w:val="none"/>
          <w:lang w:val="en-US" w:eastAsia="zh-CN"/>
        </w:rPr>
        <w:t>545826559</w:t>
      </w:r>
      <w:r>
        <w:rPr>
          <w:rFonts w:hint="eastAsia" w:ascii="宋体" w:hAnsi="宋体"/>
          <w:color w:val="auto"/>
          <w:sz w:val="24"/>
          <w:highlight w:val="none"/>
        </w:rPr>
        <w:t>@qq.com。</w:t>
      </w:r>
    </w:p>
    <w:p w14:paraId="3A0A92A8">
      <w:pPr>
        <w:pStyle w:val="5"/>
        <w:rPr>
          <w:rFonts w:ascii="Arial" w:hAnsi="Arial"/>
          <w:color w:val="auto"/>
          <w:highlight w:val="none"/>
        </w:rPr>
      </w:pPr>
      <w:r>
        <w:rPr>
          <w:rFonts w:hint="eastAsia"/>
          <w:color w:val="auto"/>
          <w:highlight w:val="none"/>
        </w:rPr>
        <w:t xml:space="preserve">7 </w:t>
      </w:r>
      <w:r>
        <w:rPr>
          <w:rFonts w:hint="eastAsia" w:ascii="黑体" w:hAnsi="黑体"/>
          <w:color w:val="auto"/>
          <w:highlight w:val="none"/>
        </w:rPr>
        <w:t>项目公告和公示</w:t>
      </w:r>
    </w:p>
    <w:p w14:paraId="4E6C5296">
      <w:pPr>
        <w:autoSpaceDE w:val="0"/>
        <w:spacing w:line="360" w:lineRule="auto"/>
        <w:ind w:left="241" w:hanging="241" w:hangingChars="100"/>
        <w:rPr>
          <w:rFonts w:hint="eastAsia" w:ascii="宋体" w:hAnsi="宋体"/>
          <w:color w:val="auto"/>
          <w:sz w:val="24"/>
          <w:highlight w:val="none"/>
        </w:rPr>
      </w:pPr>
      <w:r>
        <w:rPr>
          <w:rFonts w:hint="eastAsia" w:ascii="宋体" w:hAnsi="宋体"/>
          <w:b/>
          <w:bCs/>
          <w:color w:val="auto"/>
          <w:sz w:val="24"/>
          <w:highlight w:val="none"/>
        </w:rPr>
        <w:t xml:space="preserve">7.1 </w:t>
      </w:r>
      <w:r>
        <w:rPr>
          <w:rFonts w:hint="eastAsia" w:ascii="宋体" w:hAnsi="宋体"/>
          <w:color w:val="auto"/>
          <w:sz w:val="24"/>
          <w:highlight w:val="none"/>
        </w:rPr>
        <w:t>发布采购公告、预成交结果公示和成交公告的媒介：中科高盛咨询集团有限公司网站（http://www.zkgscg.com/）</w:t>
      </w:r>
    </w:p>
    <w:p w14:paraId="2208E972">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 xml:space="preserve">7.2 </w:t>
      </w:r>
      <w:r>
        <w:rPr>
          <w:rFonts w:hint="eastAsia" w:ascii="宋体" w:hAnsi="宋体"/>
          <w:color w:val="auto"/>
          <w:sz w:val="24"/>
          <w:highlight w:val="none"/>
        </w:rPr>
        <w:t xml:space="preserve">预成交结果公示的期限： </w:t>
      </w:r>
      <w:r>
        <w:rPr>
          <w:rFonts w:hint="eastAsia" w:ascii="宋体" w:hAnsi="宋体"/>
          <w:color w:val="auto"/>
          <w:sz w:val="24"/>
          <w:highlight w:val="none"/>
          <w:u w:val="single"/>
        </w:rPr>
        <w:t>3日。</w:t>
      </w:r>
    </w:p>
    <w:p w14:paraId="4EAF44FC">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 xml:space="preserve">7.3 </w:t>
      </w:r>
      <w:r>
        <w:rPr>
          <w:rFonts w:hint="eastAsia" w:ascii="宋体" w:hAnsi="宋体"/>
          <w:color w:val="auto"/>
          <w:sz w:val="24"/>
          <w:highlight w:val="none"/>
        </w:rPr>
        <w:t xml:space="preserve">预成交结果公示的其他内容： </w:t>
      </w:r>
      <w:r>
        <w:rPr>
          <w:rFonts w:hint="eastAsia" w:ascii="宋体" w:hAnsi="宋体"/>
          <w:color w:val="auto"/>
          <w:sz w:val="24"/>
          <w:highlight w:val="none"/>
          <w:u w:val="single"/>
        </w:rPr>
        <w:t>/</w:t>
      </w:r>
    </w:p>
    <w:p w14:paraId="219736D1">
      <w:pPr>
        <w:pStyle w:val="5"/>
        <w:rPr>
          <w:rFonts w:ascii="Arial" w:hAnsi="Arial"/>
          <w:color w:val="auto"/>
          <w:highlight w:val="none"/>
        </w:rPr>
      </w:pPr>
      <w:r>
        <w:rPr>
          <w:rFonts w:hint="eastAsia"/>
          <w:color w:val="auto"/>
          <w:highlight w:val="none"/>
        </w:rPr>
        <w:t xml:space="preserve">8 </w:t>
      </w:r>
      <w:r>
        <w:rPr>
          <w:rFonts w:hint="eastAsia" w:ascii="黑体" w:hAnsi="黑体"/>
          <w:color w:val="auto"/>
          <w:highlight w:val="none"/>
        </w:rPr>
        <w:t>其他</w:t>
      </w:r>
    </w:p>
    <w:p w14:paraId="78239D82">
      <w:pPr>
        <w:autoSpaceDE w:val="0"/>
        <w:spacing w:line="400" w:lineRule="exact"/>
        <w:rPr>
          <w:rFonts w:hint="eastAsia" w:ascii="宋体" w:hAnsi="宋体"/>
          <w:color w:val="auto"/>
          <w:sz w:val="24"/>
          <w:highlight w:val="none"/>
        </w:rPr>
      </w:pPr>
      <w:r>
        <w:rPr>
          <w:rFonts w:hint="eastAsia" w:ascii="宋体" w:hAnsi="宋体"/>
          <w:b/>
          <w:bCs/>
          <w:color w:val="auto"/>
          <w:sz w:val="24"/>
          <w:highlight w:val="none"/>
        </w:rPr>
        <w:t>8.1</w:t>
      </w:r>
      <w:r>
        <w:rPr>
          <w:rFonts w:hint="eastAsia" w:ascii="宋体" w:hAnsi="宋体"/>
          <w:color w:val="auto"/>
          <w:sz w:val="24"/>
          <w:highlight w:val="none"/>
        </w:rPr>
        <w:t xml:space="preserve"> 采购代理服务费：</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328"/>
        <w:gridCol w:w="1872"/>
        <w:gridCol w:w="3841"/>
      </w:tblGrid>
      <w:tr w14:paraId="2F7FA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13" w:type="dxa"/>
          </w:tcPr>
          <w:p w14:paraId="0CBB47D6">
            <w:pPr>
              <w:widowControl w:val="0"/>
              <w:autoSpaceDE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采购代理服务费</w:t>
            </w:r>
          </w:p>
        </w:tc>
        <w:tc>
          <w:tcPr>
            <w:tcW w:w="2328" w:type="dxa"/>
          </w:tcPr>
          <w:p w14:paraId="0AA6C74F">
            <w:pPr>
              <w:widowControl w:val="0"/>
              <w:autoSpaceDE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费用标准或金额</w:t>
            </w:r>
          </w:p>
        </w:tc>
        <w:tc>
          <w:tcPr>
            <w:tcW w:w="1872" w:type="dxa"/>
          </w:tcPr>
          <w:p w14:paraId="30B04C38">
            <w:pPr>
              <w:widowControl w:val="0"/>
              <w:autoSpaceDE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交费时间</w:t>
            </w:r>
          </w:p>
        </w:tc>
        <w:tc>
          <w:tcPr>
            <w:tcW w:w="3841" w:type="dxa"/>
          </w:tcPr>
          <w:p w14:paraId="4C79BF7C">
            <w:pPr>
              <w:widowControl w:val="0"/>
              <w:autoSpaceDE w:val="0"/>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交费方式</w:t>
            </w:r>
          </w:p>
        </w:tc>
      </w:tr>
      <w:tr w14:paraId="24A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3" w:type="dxa"/>
          </w:tcPr>
          <w:p w14:paraId="005FCCA3">
            <w:pPr>
              <w:widowControl w:val="0"/>
              <w:autoSpaceDE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rPr>
              <w:t>□</w:t>
            </w:r>
            <w:r>
              <w:rPr>
                <w:rFonts w:hint="eastAsia" w:ascii="宋体" w:hAnsi="宋体" w:cs="宋体"/>
                <w:bCs/>
                <w:color w:val="auto"/>
                <w:szCs w:val="21"/>
                <w:highlight w:val="none"/>
              </w:rPr>
              <w:t>不要求递交</w:t>
            </w:r>
          </w:p>
          <w:p w14:paraId="775F4839">
            <w:pPr>
              <w:widowControl w:val="0"/>
              <w:autoSpaceDE w:val="0"/>
              <w:spacing w:line="360" w:lineRule="auto"/>
              <w:jc w:val="both"/>
              <w:rPr>
                <w:rFonts w:hint="eastAsia" w:ascii="宋体" w:hAnsi="宋体" w:cs="宋体"/>
                <w:bCs/>
                <w:color w:val="auto"/>
                <w:szCs w:val="21"/>
                <w:highlight w:val="none"/>
              </w:rPr>
            </w:pPr>
            <w:r>
              <w:rPr>
                <w:rFonts w:hint="eastAsia" w:ascii="宋体" w:hAnsi="宋体" w:cs="宋体"/>
                <w:color w:val="auto"/>
                <w:szCs w:val="21"/>
                <w:highlight w:val="none"/>
                <w:lang w:eastAsia="zh-CN"/>
              </w:rPr>
              <w:t>☑</w:t>
            </w:r>
            <w:r>
              <w:rPr>
                <w:rFonts w:hint="eastAsia" w:ascii="宋体" w:hAnsi="宋体" w:cs="宋体"/>
                <w:bCs/>
                <w:color w:val="auto"/>
                <w:szCs w:val="21"/>
                <w:highlight w:val="none"/>
              </w:rPr>
              <w:t>要求递交</w:t>
            </w:r>
          </w:p>
        </w:tc>
        <w:tc>
          <w:tcPr>
            <w:tcW w:w="2328" w:type="dxa"/>
          </w:tcPr>
          <w:p w14:paraId="7981FF99">
            <w:pPr>
              <w:widowControl w:val="0"/>
              <w:autoSpaceDE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rPr>
              <w:t>□不</w:t>
            </w:r>
            <w:r>
              <w:rPr>
                <w:rFonts w:hint="eastAsia" w:ascii="宋体" w:hAnsi="宋体" w:cs="宋体"/>
                <w:bCs/>
                <w:color w:val="auto"/>
                <w:szCs w:val="21"/>
                <w:highlight w:val="none"/>
              </w:rPr>
              <w:t>适用</w:t>
            </w:r>
          </w:p>
          <w:p w14:paraId="24CFE7B9">
            <w:pPr>
              <w:widowControl w:val="0"/>
              <w:autoSpaceDE w:val="0"/>
              <w:spacing w:line="360" w:lineRule="auto"/>
              <w:jc w:val="both"/>
              <w:rPr>
                <w:rFonts w:hint="eastAsia" w:ascii="宋体" w:hAnsi="宋体" w:cs="宋体"/>
                <w:bCs/>
                <w:color w:val="auto"/>
                <w:szCs w:val="21"/>
                <w:highlight w:val="none"/>
              </w:rPr>
            </w:pPr>
            <w:r>
              <w:rPr>
                <w:rFonts w:hint="eastAsia" w:ascii="宋体" w:hAnsi="宋体" w:cs="宋体"/>
                <w:color w:val="auto"/>
                <w:szCs w:val="21"/>
                <w:highlight w:val="none"/>
                <w:lang w:eastAsia="zh-CN"/>
              </w:rPr>
              <w:t>☑</w:t>
            </w:r>
            <w:r>
              <w:rPr>
                <w:rFonts w:hint="eastAsia" w:ascii="宋体" w:hAnsi="宋体" w:cs="宋体"/>
                <w:bCs/>
                <w:color w:val="auto"/>
                <w:szCs w:val="21"/>
                <w:highlight w:val="none"/>
              </w:rPr>
              <w:t xml:space="preserve">适用，具体如下：本项目采购代理费：               </w:t>
            </w:r>
            <w:r>
              <w:rPr>
                <w:rFonts w:hint="eastAsia" w:ascii="宋体" w:hAnsi="宋体" w:cs="宋体"/>
                <w:bCs/>
                <w:color w:val="auto"/>
                <w:szCs w:val="21"/>
                <w:highlight w:val="none"/>
                <w:lang w:val="en-US" w:eastAsia="zh-CN"/>
              </w:rPr>
              <w:t>4500</w:t>
            </w:r>
            <w:r>
              <w:rPr>
                <w:rFonts w:hint="eastAsia" w:ascii="宋体" w:hAnsi="宋体" w:cs="宋体"/>
                <w:bCs/>
                <w:color w:val="auto"/>
                <w:szCs w:val="21"/>
                <w:highlight w:val="none"/>
              </w:rPr>
              <w:t>元由中标人承担；采购代理费包含在其投标总报价中，不单独计列。</w:t>
            </w:r>
          </w:p>
        </w:tc>
        <w:tc>
          <w:tcPr>
            <w:tcW w:w="1872" w:type="dxa"/>
          </w:tcPr>
          <w:p w14:paraId="0F33D0DF">
            <w:pPr>
              <w:widowControl w:val="0"/>
              <w:autoSpaceDE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rPr>
              <w:t>□</w:t>
            </w:r>
            <w:r>
              <w:rPr>
                <w:rFonts w:hint="eastAsia" w:ascii="宋体" w:hAnsi="宋体" w:cs="宋体"/>
                <w:bCs/>
                <w:color w:val="auto"/>
                <w:szCs w:val="21"/>
                <w:highlight w:val="none"/>
              </w:rPr>
              <w:t>不适用</w:t>
            </w:r>
          </w:p>
          <w:p w14:paraId="116BCBF9">
            <w:pPr>
              <w:widowControl w:val="0"/>
              <w:autoSpaceDE w:val="0"/>
              <w:spacing w:line="360" w:lineRule="auto"/>
              <w:jc w:val="both"/>
              <w:rPr>
                <w:rFonts w:hint="eastAsia" w:ascii="宋体" w:hAnsi="宋体" w:cs="宋体"/>
                <w:bCs/>
                <w:color w:val="auto"/>
                <w:szCs w:val="21"/>
                <w:highlight w:val="none"/>
              </w:rPr>
            </w:pPr>
            <w:r>
              <w:rPr>
                <w:rFonts w:hint="eastAsia" w:ascii="宋体" w:hAnsi="宋体" w:cs="宋体"/>
                <w:color w:val="auto"/>
                <w:szCs w:val="21"/>
                <w:highlight w:val="none"/>
                <w:lang w:eastAsia="zh-CN"/>
              </w:rPr>
              <w:t>☑</w:t>
            </w:r>
            <w:r>
              <w:rPr>
                <w:rFonts w:hint="eastAsia" w:ascii="宋体" w:hAnsi="宋体" w:cs="宋体"/>
                <w:bCs/>
                <w:color w:val="auto"/>
                <w:szCs w:val="21"/>
                <w:highlight w:val="none"/>
              </w:rPr>
              <w:t>适用，具体如下：</w:t>
            </w:r>
          </w:p>
          <w:p w14:paraId="35599FF8">
            <w:pPr>
              <w:widowControl w:val="0"/>
              <w:autoSpaceDE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采购代理费由成交供应商在领取成交通知书前支付。</w:t>
            </w:r>
          </w:p>
          <w:p w14:paraId="04C18D1E">
            <w:pPr>
              <w:widowControl w:val="0"/>
              <w:autoSpaceDE w:val="0"/>
              <w:spacing w:line="360" w:lineRule="auto"/>
              <w:jc w:val="both"/>
              <w:rPr>
                <w:rFonts w:hint="eastAsia" w:ascii="宋体" w:hAnsi="宋体" w:cs="宋体"/>
                <w:bCs/>
                <w:color w:val="auto"/>
                <w:szCs w:val="21"/>
                <w:highlight w:val="none"/>
              </w:rPr>
            </w:pPr>
          </w:p>
        </w:tc>
        <w:tc>
          <w:tcPr>
            <w:tcW w:w="3841" w:type="dxa"/>
          </w:tcPr>
          <w:p w14:paraId="2975796D">
            <w:pPr>
              <w:widowControl w:val="0"/>
              <w:autoSpaceDE w:val="0"/>
              <w:spacing w:line="360" w:lineRule="auto"/>
              <w:jc w:val="both"/>
              <w:rPr>
                <w:rFonts w:hint="eastAsia" w:ascii="宋体" w:hAnsi="宋体" w:cs="宋体"/>
                <w:bCs/>
                <w:color w:val="auto"/>
                <w:szCs w:val="21"/>
                <w:highlight w:val="none"/>
              </w:rPr>
            </w:pPr>
            <w:r>
              <w:rPr>
                <w:rStyle w:val="129"/>
                <w:rFonts w:hint="eastAsia" w:ascii="宋体" w:hAnsi="宋体" w:cs="宋体"/>
                <w:b w:val="0"/>
                <w:color w:val="auto"/>
                <w:szCs w:val="21"/>
                <w:highlight w:val="none"/>
              </w:rPr>
              <w:t>□</w:t>
            </w:r>
            <w:r>
              <w:rPr>
                <w:rFonts w:hint="eastAsia" w:ascii="宋体" w:hAnsi="宋体" w:cs="宋体"/>
                <w:bCs/>
                <w:color w:val="auto"/>
                <w:szCs w:val="21"/>
                <w:highlight w:val="none"/>
              </w:rPr>
              <w:t>不适用</w:t>
            </w:r>
          </w:p>
          <w:p w14:paraId="35CAA75B">
            <w:pPr>
              <w:widowControl w:val="0"/>
              <w:autoSpaceDE w:val="0"/>
              <w:spacing w:line="360" w:lineRule="auto"/>
              <w:jc w:val="both"/>
              <w:rPr>
                <w:rFonts w:hint="eastAsia" w:ascii="宋体" w:hAnsi="宋体" w:cs="宋体"/>
                <w:bCs/>
                <w:color w:val="auto"/>
                <w:szCs w:val="21"/>
                <w:highlight w:val="none"/>
              </w:rPr>
            </w:pPr>
            <w:r>
              <w:rPr>
                <w:rFonts w:hint="eastAsia" w:ascii="宋体" w:hAnsi="宋体" w:cs="宋体"/>
                <w:color w:val="auto"/>
                <w:szCs w:val="21"/>
                <w:highlight w:val="none"/>
                <w:lang w:eastAsia="zh-CN"/>
              </w:rPr>
              <w:t>☑</w:t>
            </w:r>
            <w:r>
              <w:rPr>
                <w:rFonts w:hint="eastAsia" w:ascii="宋体" w:hAnsi="宋体" w:cs="宋体"/>
                <w:bCs/>
                <w:color w:val="auto"/>
                <w:szCs w:val="21"/>
                <w:highlight w:val="none"/>
              </w:rPr>
              <w:t>适用，具体如下：</w:t>
            </w:r>
          </w:p>
          <w:p w14:paraId="176016AA">
            <w:pPr>
              <w:widowControl w:val="0"/>
              <w:autoSpaceDE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成交供应商通过银行转账的方式转到以下指定账户：</w:t>
            </w:r>
          </w:p>
          <w:p w14:paraId="634C58FD">
            <w:pPr>
              <w:widowControl w:val="0"/>
              <w:autoSpaceDE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户名：中科高盛咨询集团有限公司</w:t>
            </w:r>
          </w:p>
          <w:p w14:paraId="0854BFE1">
            <w:pPr>
              <w:widowControl w:val="0"/>
              <w:autoSpaceDE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开户银行：长沙银行信诚支行（行号3135 5109 8011）</w:t>
            </w:r>
          </w:p>
          <w:p w14:paraId="7E898F0A">
            <w:pPr>
              <w:widowControl w:val="0"/>
              <w:autoSpaceDE w:val="0"/>
              <w:spacing w:line="360" w:lineRule="auto"/>
              <w:jc w:val="both"/>
              <w:rPr>
                <w:rStyle w:val="129"/>
                <w:rFonts w:hint="eastAsia" w:ascii="宋体" w:hAnsi="宋体" w:cs="宋体"/>
                <w:b w:val="0"/>
                <w:color w:val="auto"/>
                <w:szCs w:val="21"/>
                <w:highlight w:val="none"/>
              </w:rPr>
            </w:pPr>
            <w:r>
              <w:rPr>
                <w:rFonts w:hint="eastAsia" w:ascii="宋体" w:hAnsi="宋体" w:cs="宋体"/>
                <w:bCs/>
                <w:color w:val="auto"/>
                <w:szCs w:val="21"/>
                <w:highlight w:val="none"/>
              </w:rPr>
              <w:t>账号：8001 8938 3908 027</w:t>
            </w:r>
          </w:p>
        </w:tc>
      </w:tr>
    </w:tbl>
    <w:p w14:paraId="0099B6BD">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 xml:space="preserve">8.2 </w:t>
      </w:r>
      <w:r>
        <w:rPr>
          <w:rFonts w:hint="eastAsia" w:ascii="宋体" w:hAnsi="宋体"/>
          <w:color w:val="auto"/>
          <w:sz w:val="24"/>
          <w:highlight w:val="none"/>
        </w:rPr>
        <w:t>采购人在签署采购合同时及合同履行过程中，有权对采购标的的数量进行增加或减少的幅度：</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FB04B7A">
      <w:pPr>
        <w:autoSpaceDE w:val="0"/>
        <w:spacing w:line="360" w:lineRule="auto"/>
        <w:rPr>
          <w:rFonts w:hint="eastAsia" w:ascii="宋体" w:hAnsi="宋体"/>
          <w:color w:val="auto"/>
          <w:sz w:val="24"/>
          <w:highlight w:val="none"/>
        </w:rPr>
      </w:pPr>
      <w:r>
        <w:rPr>
          <w:rFonts w:hint="eastAsia" w:ascii="宋体" w:hAnsi="宋体"/>
          <w:b/>
          <w:bCs/>
          <w:color w:val="auto"/>
          <w:sz w:val="24"/>
          <w:highlight w:val="none"/>
        </w:rPr>
        <w:t xml:space="preserve">8.3 </w:t>
      </w:r>
      <w:r>
        <w:rPr>
          <w:rFonts w:hint="eastAsia" w:ascii="宋体" w:hAnsi="宋体"/>
          <w:color w:val="auto"/>
          <w:sz w:val="24"/>
          <w:highlight w:val="none"/>
        </w:rPr>
        <w:t>如采购人上级机构对本项目进行了统一采购，采购人将按其采购结果执行，本项目中相关采购结果自行终止。</w:t>
      </w:r>
    </w:p>
    <w:p w14:paraId="46916FFC">
      <w:pPr>
        <w:pStyle w:val="5"/>
        <w:rPr>
          <w:rFonts w:ascii="Arial" w:hAnsi="Arial"/>
          <w:color w:val="auto"/>
          <w:highlight w:val="none"/>
        </w:rPr>
      </w:pPr>
      <w:r>
        <w:rPr>
          <w:rFonts w:hint="eastAsia"/>
          <w:color w:val="auto"/>
          <w:highlight w:val="none"/>
        </w:rPr>
        <w:t xml:space="preserve">9 </w:t>
      </w:r>
      <w:r>
        <w:rPr>
          <w:rFonts w:hint="eastAsia" w:ascii="黑体" w:hAnsi="黑体"/>
          <w:color w:val="auto"/>
          <w:highlight w:val="none"/>
        </w:rPr>
        <w:t>联系方式</w:t>
      </w:r>
    </w:p>
    <w:p w14:paraId="3D51B904">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lang w:val="en-US" w:eastAsia="zh-CN"/>
        </w:rPr>
        <w:t>招 标 人</w:t>
      </w:r>
      <w:r>
        <w:rPr>
          <w:rFonts w:hint="eastAsia" w:ascii="宋体" w:hAnsi="宋体"/>
          <w:color w:val="auto"/>
          <w:sz w:val="24"/>
          <w:highlight w:val="none"/>
        </w:rPr>
        <w:t>：湖南省新新张官高速公路建设开发有限公司</w:t>
      </w:r>
      <w:r>
        <w:rPr>
          <w:rFonts w:hint="eastAsia" w:ascii="宋体" w:hAnsi="宋体"/>
          <w:color w:val="auto"/>
          <w:sz w:val="24"/>
          <w:highlight w:val="none"/>
          <w:lang w:eastAsia="zh-CN"/>
        </w:rPr>
        <w:t>张家界</w:t>
      </w:r>
      <w:r>
        <w:rPr>
          <w:rFonts w:hint="eastAsia" w:ascii="宋体" w:hAnsi="宋体"/>
          <w:color w:val="auto"/>
          <w:sz w:val="24"/>
          <w:highlight w:val="none"/>
        </w:rPr>
        <w:t>分公司</w:t>
      </w:r>
    </w:p>
    <w:p w14:paraId="6AFA7D3D">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lang w:eastAsia="zh-CN"/>
        </w:rPr>
        <w:t>湖南省张家界市永定区教场路</w:t>
      </w:r>
      <w:r>
        <w:rPr>
          <w:rFonts w:hint="eastAsia" w:ascii="宋体" w:hAnsi="宋体"/>
          <w:color w:val="auto"/>
          <w:sz w:val="24"/>
          <w:highlight w:val="none"/>
          <w:lang w:val="en-US" w:eastAsia="zh-CN"/>
        </w:rPr>
        <w:t>103#盛世嘉年酒店</w:t>
      </w:r>
    </w:p>
    <w:p w14:paraId="096B6ACA">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联 系 人：</w:t>
      </w:r>
      <w:r>
        <w:rPr>
          <w:rFonts w:hint="eastAsia" w:ascii="宋体" w:hAnsi="宋体"/>
          <w:color w:val="auto"/>
          <w:sz w:val="24"/>
          <w:highlight w:val="none"/>
          <w:lang w:val="en-US" w:eastAsia="zh-CN"/>
        </w:rPr>
        <w:t>陈先生</w:t>
      </w:r>
      <w:r>
        <w:rPr>
          <w:rFonts w:hint="eastAsia" w:ascii="宋体" w:hAnsi="宋体"/>
          <w:color w:val="auto"/>
          <w:sz w:val="24"/>
          <w:highlight w:val="none"/>
        </w:rPr>
        <w:t xml:space="preserve">     </w:t>
      </w:r>
    </w:p>
    <w:p w14:paraId="3CB98E4C">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电    话：1</w:t>
      </w:r>
      <w:r>
        <w:rPr>
          <w:rFonts w:hint="eastAsia" w:ascii="宋体" w:hAnsi="宋体"/>
          <w:color w:val="auto"/>
          <w:sz w:val="24"/>
          <w:highlight w:val="none"/>
          <w:lang w:val="en-US" w:eastAsia="zh-CN"/>
        </w:rPr>
        <w:t>7307443056</w:t>
      </w:r>
      <w:r>
        <w:rPr>
          <w:rFonts w:hint="eastAsia" w:ascii="宋体" w:hAnsi="宋体"/>
          <w:color w:val="auto"/>
          <w:sz w:val="24"/>
          <w:highlight w:val="none"/>
        </w:rPr>
        <w:t xml:space="preserve"> </w:t>
      </w:r>
    </w:p>
    <w:p w14:paraId="44D6D3EC">
      <w:pPr>
        <w:autoSpaceDE w:val="0"/>
        <w:spacing w:line="360" w:lineRule="auto"/>
        <w:ind w:firstLine="240" w:firstLineChars="100"/>
        <w:rPr>
          <w:rFonts w:hint="eastAsia" w:ascii="宋体" w:hAnsi="宋体"/>
          <w:color w:val="auto"/>
          <w:sz w:val="24"/>
          <w:highlight w:val="none"/>
        </w:rPr>
      </w:pPr>
    </w:p>
    <w:p w14:paraId="003DC2C0">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招标代理：中科高盛咨询集团有限公司</w:t>
      </w:r>
    </w:p>
    <w:p w14:paraId="08E425E9">
      <w:pPr>
        <w:autoSpaceDE w:val="0"/>
        <w:spacing w:line="360" w:lineRule="auto"/>
        <w:ind w:firstLine="240" w:firstLineChars="100"/>
        <w:rPr>
          <w:rFonts w:hint="eastAsia" w:ascii="宋体" w:hAnsi="宋体"/>
          <w:color w:val="auto"/>
          <w:sz w:val="24"/>
          <w:highlight w:val="none"/>
        </w:rPr>
      </w:pPr>
      <w:r>
        <w:rPr>
          <w:rFonts w:hint="eastAsia" w:ascii="宋体" w:hAnsi="宋体"/>
          <w:color w:val="auto"/>
          <w:sz w:val="24"/>
          <w:highlight w:val="none"/>
        </w:rPr>
        <w:t>地    址：湖南省长沙市天心区友谊路413号运成大厦12楼</w:t>
      </w:r>
    </w:p>
    <w:p w14:paraId="47C2E40C">
      <w:pPr>
        <w:autoSpaceDE w:val="0"/>
        <w:spacing w:line="360" w:lineRule="auto"/>
        <w:ind w:firstLine="240" w:firstLineChars="100"/>
        <w:rPr>
          <w:rFonts w:hint="eastAsia" w:ascii="宋体" w:hAnsi="宋体"/>
          <w:color w:val="auto"/>
          <w:sz w:val="24"/>
          <w:highlight w:val="none"/>
          <w:lang w:eastAsia="zh-CN"/>
        </w:rPr>
      </w:pPr>
      <w:r>
        <w:rPr>
          <w:rFonts w:hint="eastAsia" w:ascii="宋体" w:hAnsi="宋体"/>
          <w:color w:val="auto"/>
          <w:sz w:val="24"/>
          <w:highlight w:val="none"/>
        </w:rPr>
        <w:t>联 系 人：</w:t>
      </w:r>
      <w:r>
        <w:rPr>
          <w:rFonts w:hint="eastAsia" w:ascii="宋体" w:hAnsi="宋体"/>
          <w:color w:val="auto"/>
          <w:sz w:val="24"/>
          <w:highlight w:val="none"/>
          <w:lang w:eastAsia="zh-CN"/>
        </w:rPr>
        <w:t>罗洲</w:t>
      </w:r>
      <w:r>
        <w:rPr>
          <w:rFonts w:hint="eastAsia" w:ascii="宋体" w:hAnsi="宋体"/>
          <w:color w:val="auto"/>
          <w:sz w:val="24"/>
          <w:highlight w:val="none"/>
        </w:rPr>
        <w:t>、</w:t>
      </w:r>
      <w:r>
        <w:rPr>
          <w:rFonts w:hint="eastAsia" w:ascii="宋体" w:hAnsi="宋体"/>
          <w:color w:val="auto"/>
          <w:sz w:val="24"/>
          <w:highlight w:val="none"/>
          <w:lang w:eastAsia="zh-CN"/>
        </w:rPr>
        <w:t>彭晖、刘玉霜</w:t>
      </w:r>
    </w:p>
    <w:p w14:paraId="77D830BB">
      <w:pPr>
        <w:autoSpaceDE w:val="0"/>
        <w:spacing w:line="360" w:lineRule="auto"/>
        <w:ind w:firstLine="240" w:firstLineChars="100"/>
        <w:rPr>
          <w:rStyle w:val="150"/>
          <w:rFonts w:hint="eastAsia" w:ascii="仿宋" w:hAnsi="仿宋" w:eastAsia="仿宋" w:cs="仿宋"/>
          <w:color w:val="auto"/>
          <w:sz w:val="30"/>
          <w:szCs w:val="30"/>
          <w:highlight w:val="none"/>
        </w:rPr>
      </w:pPr>
      <w:r>
        <w:rPr>
          <w:rFonts w:hint="eastAsia" w:ascii="宋体" w:hAnsi="宋体"/>
          <w:color w:val="auto"/>
          <w:sz w:val="24"/>
          <w:highlight w:val="none"/>
        </w:rPr>
        <w:t>电    话：0731-8</w:t>
      </w:r>
      <w:r>
        <w:rPr>
          <w:rFonts w:hint="eastAsia" w:ascii="宋体" w:hAnsi="宋体"/>
          <w:color w:val="auto"/>
          <w:sz w:val="24"/>
          <w:highlight w:val="none"/>
          <w:lang w:val="en-US" w:eastAsia="zh-CN"/>
        </w:rPr>
        <w:t>4452818</w:t>
      </w:r>
      <w:r>
        <w:rPr>
          <w:rStyle w:val="150"/>
          <w:rFonts w:ascii="仿宋" w:hAnsi="仿宋" w:eastAsia="仿宋" w:cs="仿宋"/>
          <w:color w:val="auto"/>
          <w:sz w:val="30"/>
          <w:szCs w:val="30"/>
          <w:highlight w:val="none"/>
        </w:rPr>
        <w:br w:type="page"/>
      </w:r>
    </w:p>
    <w:p w14:paraId="75C07BE2">
      <w:pPr>
        <w:spacing w:line="240" w:lineRule="auto"/>
        <w:jc w:val="center"/>
        <w:rPr>
          <w:rStyle w:val="150"/>
          <w:rFonts w:hint="eastAsia" w:ascii="仿宋" w:hAnsi="仿宋" w:eastAsia="仿宋" w:cs="仿宋"/>
          <w:color w:val="auto"/>
          <w:sz w:val="30"/>
          <w:szCs w:val="30"/>
          <w:highlight w:val="none"/>
        </w:rPr>
      </w:pPr>
    </w:p>
    <w:p w14:paraId="0C968B00">
      <w:pPr>
        <w:spacing w:line="600" w:lineRule="exact"/>
        <w:jc w:val="center"/>
        <w:rPr>
          <w:rFonts w:hint="eastAsia" w:hAnsi="宋体"/>
          <w:b/>
          <w:color w:val="auto"/>
          <w:sz w:val="24"/>
          <w:highlight w:val="none"/>
        </w:rPr>
      </w:pPr>
      <w:bookmarkStart w:id="2" w:name="_Toc234832861"/>
      <w:bookmarkStart w:id="3" w:name="_Toc517787494"/>
    </w:p>
    <w:p w14:paraId="69F31AF6">
      <w:pPr>
        <w:spacing w:line="600" w:lineRule="exact"/>
        <w:jc w:val="center"/>
        <w:rPr>
          <w:rFonts w:hint="eastAsia" w:hAnsi="宋体"/>
          <w:b/>
          <w:color w:val="auto"/>
          <w:sz w:val="24"/>
          <w:highlight w:val="none"/>
        </w:rPr>
      </w:pPr>
    </w:p>
    <w:p w14:paraId="4127D9E6">
      <w:pPr>
        <w:spacing w:line="600" w:lineRule="exact"/>
        <w:jc w:val="center"/>
        <w:rPr>
          <w:rFonts w:hint="eastAsia" w:hAnsi="宋体"/>
          <w:b/>
          <w:color w:val="auto"/>
          <w:sz w:val="24"/>
          <w:highlight w:val="none"/>
        </w:rPr>
      </w:pPr>
    </w:p>
    <w:p w14:paraId="22D6AEA5">
      <w:pPr>
        <w:spacing w:line="600" w:lineRule="exact"/>
        <w:jc w:val="center"/>
        <w:rPr>
          <w:rFonts w:hint="eastAsia" w:hAnsi="宋体"/>
          <w:b/>
          <w:color w:val="auto"/>
          <w:sz w:val="24"/>
          <w:highlight w:val="none"/>
        </w:rPr>
      </w:pPr>
    </w:p>
    <w:p w14:paraId="3529F5AB">
      <w:pPr>
        <w:spacing w:line="600" w:lineRule="exact"/>
        <w:jc w:val="center"/>
        <w:rPr>
          <w:rFonts w:hint="eastAsia" w:ascii="黑体" w:hAnsi="黑体" w:eastAsia="黑体" w:cs="仿宋"/>
          <w:b/>
          <w:color w:val="auto"/>
          <w:sz w:val="44"/>
          <w:szCs w:val="44"/>
          <w:highlight w:val="none"/>
        </w:rPr>
      </w:pPr>
    </w:p>
    <w:p w14:paraId="432D6BCC">
      <w:pPr>
        <w:spacing w:line="600" w:lineRule="exact"/>
        <w:jc w:val="center"/>
        <w:rPr>
          <w:rFonts w:hint="eastAsia" w:ascii="黑体" w:hAnsi="黑体" w:eastAsia="黑体" w:cs="仿宋"/>
          <w:b/>
          <w:color w:val="auto"/>
          <w:sz w:val="44"/>
          <w:szCs w:val="44"/>
          <w:highlight w:val="none"/>
        </w:rPr>
      </w:pPr>
    </w:p>
    <w:p w14:paraId="73CBBC1D">
      <w:pPr>
        <w:spacing w:line="600" w:lineRule="exact"/>
        <w:jc w:val="center"/>
        <w:rPr>
          <w:rFonts w:hint="eastAsia" w:ascii="黑体" w:hAnsi="黑体" w:eastAsia="黑体" w:cs="仿宋"/>
          <w:b/>
          <w:color w:val="auto"/>
          <w:sz w:val="44"/>
          <w:szCs w:val="44"/>
          <w:highlight w:val="none"/>
        </w:rPr>
      </w:pPr>
    </w:p>
    <w:p w14:paraId="4C360C5B">
      <w:pPr>
        <w:spacing w:line="600" w:lineRule="exact"/>
        <w:jc w:val="center"/>
        <w:rPr>
          <w:rFonts w:hint="eastAsia" w:ascii="黑体" w:hAnsi="黑体" w:eastAsia="黑体" w:cs="仿宋"/>
          <w:b/>
          <w:color w:val="auto"/>
          <w:sz w:val="44"/>
          <w:szCs w:val="44"/>
          <w:highlight w:val="none"/>
        </w:rPr>
      </w:pPr>
      <w:r>
        <w:rPr>
          <w:rFonts w:hint="eastAsia" w:ascii="黑体" w:hAnsi="黑体" w:eastAsia="黑体" w:cs="仿宋"/>
          <w:b/>
          <w:color w:val="auto"/>
          <w:sz w:val="44"/>
          <w:szCs w:val="44"/>
          <w:highlight w:val="none"/>
        </w:rPr>
        <w:t>第二章  供应商须知</w:t>
      </w:r>
    </w:p>
    <w:p w14:paraId="3A6FBA3B">
      <w:pPr>
        <w:spacing w:line="240" w:lineRule="auto"/>
        <w:rPr>
          <w:rFonts w:hint="eastAsia" w:ascii="黑体" w:hAnsi="黑体" w:eastAsia="黑体" w:cs="仿宋"/>
          <w:b/>
          <w:color w:val="auto"/>
          <w:sz w:val="44"/>
          <w:szCs w:val="44"/>
          <w:highlight w:val="none"/>
        </w:rPr>
      </w:pPr>
      <w:r>
        <w:rPr>
          <w:rFonts w:ascii="黑体" w:hAnsi="黑体" w:eastAsia="黑体" w:cs="仿宋"/>
          <w:b/>
          <w:color w:val="auto"/>
          <w:sz w:val="44"/>
          <w:szCs w:val="44"/>
          <w:highlight w:val="none"/>
        </w:rPr>
        <w:br w:type="page"/>
      </w:r>
    </w:p>
    <w:p w14:paraId="18E58FA4">
      <w:pPr>
        <w:spacing w:line="60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第二章  供应商须知</w:t>
      </w:r>
      <w:bookmarkEnd w:id="2"/>
      <w:bookmarkEnd w:id="3"/>
    </w:p>
    <w:p w14:paraId="73E24741">
      <w:pPr>
        <w:pStyle w:val="2"/>
        <w:spacing w:before="240" w:after="240" w:line="240" w:lineRule="auto"/>
        <w:rPr>
          <w:rFonts w:hint="eastAsia" w:ascii="宋体" w:hAnsi="宋体" w:cs="宋体"/>
          <w:color w:val="auto"/>
          <w:sz w:val="30"/>
          <w:szCs w:val="30"/>
          <w:highlight w:val="none"/>
        </w:rPr>
      </w:pPr>
      <w:bookmarkStart w:id="4" w:name="_Toc517787495"/>
      <w:bookmarkStart w:id="5" w:name="_Toc234832862"/>
      <w:r>
        <w:rPr>
          <w:rFonts w:hint="eastAsia" w:ascii="宋体" w:hAnsi="宋体" w:cs="宋体"/>
          <w:color w:val="auto"/>
          <w:sz w:val="30"/>
          <w:szCs w:val="30"/>
          <w:highlight w:val="none"/>
        </w:rPr>
        <w:t>供应商须知前附表</w:t>
      </w:r>
      <w:bookmarkEnd w:id="4"/>
      <w:bookmarkEnd w:id="5"/>
    </w:p>
    <w:tbl>
      <w:tblPr>
        <w:tblStyle w:val="86"/>
        <w:tblW w:w="9854" w:type="dxa"/>
        <w:tblInd w:w="0" w:type="dxa"/>
        <w:tblLayout w:type="fixed"/>
        <w:tblCellMar>
          <w:top w:w="0" w:type="dxa"/>
          <w:left w:w="108" w:type="dxa"/>
          <w:bottom w:w="0" w:type="dxa"/>
          <w:right w:w="108" w:type="dxa"/>
        </w:tblCellMar>
      </w:tblPr>
      <w:tblGrid>
        <w:gridCol w:w="1415"/>
        <w:gridCol w:w="3090"/>
        <w:gridCol w:w="5349"/>
      </w:tblGrid>
      <w:tr w14:paraId="14A9019A">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14:paraId="1486420C">
            <w:pPr>
              <w:spacing w:line="360" w:lineRule="auto"/>
              <w:jc w:val="both"/>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3090" w:type="dxa"/>
            <w:tcBorders>
              <w:top w:val="single" w:color="auto" w:sz="4" w:space="0"/>
              <w:left w:val="single" w:color="auto" w:sz="4" w:space="0"/>
              <w:bottom w:val="single" w:color="auto" w:sz="4" w:space="0"/>
              <w:right w:val="single" w:color="auto" w:sz="4" w:space="0"/>
            </w:tcBorders>
            <w:vAlign w:val="center"/>
          </w:tcPr>
          <w:p w14:paraId="2C40CD51">
            <w:pPr>
              <w:spacing w:line="360" w:lineRule="auto"/>
              <w:jc w:val="both"/>
              <w:rPr>
                <w:rFonts w:hint="eastAsia" w:ascii="宋体" w:hAnsi="宋体" w:cs="宋体"/>
                <w:b/>
                <w:color w:val="auto"/>
                <w:szCs w:val="21"/>
                <w:highlight w:val="none"/>
              </w:rPr>
            </w:pPr>
            <w:r>
              <w:rPr>
                <w:rFonts w:hint="eastAsia" w:ascii="宋体" w:hAnsi="宋体" w:cs="宋体"/>
                <w:b/>
                <w:color w:val="auto"/>
                <w:szCs w:val="21"/>
                <w:highlight w:val="none"/>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14:paraId="27972575">
            <w:pPr>
              <w:spacing w:line="360" w:lineRule="auto"/>
              <w:jc w:val="both"/>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54C8C6E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2F1974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1.1.1</w:t>
            </w:r>
          </w:p>
        </w:tc>
        <w:tc>
          <w:tcPr>
            <w:tcW w:w="3090" w:type="dxa"/>
            <w:tcBorders>
              <w:top w:val="single" w:color="auto" w:sz="4" w:space="0"/>
              <w:left w:val="single" w:color="auto" w:sz="4" w:space="0"/>
              <w:bottom w:val="single" w:color="auto" w:sz="4" w:space="0"/>
              <w:right w:val="single" w:color="auto" w:sz="4" w:space="0"/>
            </w:tcBorders>
            <w:vAlign w:val="center"/>
          </w:tcPr>
          <w:p w14:paraId="74547C7D">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14:paraId="61FF6F41">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□询价</w:t>
            </w:r>
          </w:p>
          <w:p w14:paraId="1C937C85">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□竞争性谈判</w:t>
            </w:r>
          </w:p>
          <w:p w14:paraId="0711365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竞争性磋商</w:t>
            </w:r>
          </w:p>
          <w:p w14:paraId="7A249538">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□单一来源</w:t>
            </w:r>
          </w:p>
          <w:p w14:paraId="751F1A02">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□直接采购</w:t>
            </w:r>
          </w:p>
        </w:tc>
      </w:tr>
      <w:tr w14:paraId="1EB7E533">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FDC6A71">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1.1.2</w:t>
            </w:r>
          </w:p>
        </w:tc>
        <w:tc>
          <w:tcPr>
            <w:tcW w:w="3090" w:type="dxa"/>
            <w:tcBorders>
              <w:top w:val="single" w:color="auto" w:sz="4" w:space="0"/>
              <w:left w:val="single" w:color="auto" w:sz="4" w:space="0"/>
              <w:bottom w:val="single" w:color="auto" w:sz="4" w:space="0"/>
              <w:right w:val="single" w:color="auto" w:sz="4" w:space="0"/>
            </w:tcBorders>
            <w:vAlign w:val="center"/>
          </w:tcPr>
          <w:p w14:paraId="2689B8F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14:paraId="5516EDF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□最低价法（同质比价法和同价比质法）</w:t>
            </w:r>
          </w:p>
          <w:p w14:paraId="4499AF0C">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综合评分法（性价比法）</w:t>
            </w:r>
          </w:p>
        </w:tc>
      </w:tr>
      <w:tr w14:paraId="5DE06BE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9D1B0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1.7.1</w:t>
            </w:r>
          </w:p>
        </w:tc>
        <w:tc>
          <w:tcPr>
            <w:tcW w:w="3090" w:type="dxa"/>
            <w:tcBorders>
              <w:top w:val="single" w:color="auto" w:sz="4" w:space="0"/>
              <w:left w:val="single" w:color="auto" w:sz="4" w:space="0"/>
              <w:bottom w:val="single" w:color="auto" w:sz="4" w:space="0"/>
              <w:right w:val="single" w:color="auto" w:sz="4" w:space="0"/>
            </w:tcBorders>
            <w:vAlign w:val="center"/>
          </w:tcPr>
          <w:p w14:paraId="26485C86">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14:paraId="4BEC7D62">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不组织</w:t>
            </w:r>
          </w:p>
          <w:p w14:paraId="4CC461B4">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□组织，踏勘时间：              </w:t>
            </w:r>
          </w:p>
          <w:p w14:paraId="1612902D">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        踏勘集中地点：                                          </w:t>
            </w:r>
          </w:p>
        </w:tc>
      </w:tr>
      <w:tr w14:paraId="7BC926E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BA58061">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1.8</w:t>
            </w:r>
          </w:p>
        </w:tc>
        <w:tc>
          <w:tcPr>
            <w:tcW w:w="3090" w:type="dxa"/>
            <w:tcBorders>
              <w:top w:val="single" w:color="auto" w:sz="4" w:space="0"/>
              <w:left w:val="single" w:color="auto" w:sz="4" w:space="0"/>
              <w:bottom w:val="single" w:color="auto" w:sz="4" w:space="0"/>
              <w:right w:val="single" w:color="auto" w:sz="4" w:space="0"/>
            </w:tcBorders>
            <w:vAlign w:val="center"/>
          </w:tcPr>
          <w:p w14:paraId="06D83B59">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14:paraId="230088F8">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不召开</w:t>
            </w:r>
          </w:p>
          <w:p w14:paraId="4E496FC8">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□召开，召开时间：              </w:t>
            </w:r>
          </w:p>
          <w:p w14:paraId="614B0D4B">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        召开地点：                                              </w:t>
            </w:r>
          </w:p>
        </w:tc>
      </w:tr>
      <w:tr w14:paraId="0429418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FE5402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1.9（A、C）</w:t>
            </w:r>
          </w:p>
        </w:tc>
        <w:tc>
          <w:tcPr>
            <w:tcW w:w="3090" w:type="dxa"/>
            <w:tcBorders>
              <w:top w:val="single" w:color="auto" w:sz="4" w:space="0"/>
              <w:left w:val="single" w:color="auto" w:sz="4" w:space="0"/>
              <w:bottom w:val="single" w:color="auto" w:sz="4" w:space="0"/>
              <w:right w:val="single" w:color="auto" w:sz="4" w:space="0"/>
            </w:tcBorders>
            <w:vAlign w:val="center"/>
          </w:tcPr>
          <w:p w14:paraId="598B276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5349" w:type="dxa"/>
            <w:tcBorders>
              <w:top w:val="single" w:color="auto" w:sz="4" w:space="0"/>
              <w:left w:val="single" w:color="auto" w:sz="4" w:space="0"/>
              <w:bottom w:val="single" w:color="auto" w:sz="4" w:space="0"/>
              <w:right w:val="single" w:color="auto" w:sz="4" w:space="0"/>
            </w:tcBorders>
            <w:vAlign w:val="center"/>
          </w:tcPr>
          <w:p w14:paraId="6DB5FE21">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不得分包的内容：本项目不允许分包。</w:t>
            </w:r>
          </w:p>
          <w:p w14:paraId="7202E66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对分包供应商的要求：                                            </w:t>
            </w:r>
          </w:p>
        </w:tc>
      </w:tr>
      <w:tr w14:paraId="454044A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56933B8">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1.10.2</w:t>
            </w:r>
          </w:p>
        </w:tc>
        <w:tc>
          <w:tcPr>
            <w:tcW w:w="3090" w:type="dxa"/>
            <w:tcBorders>
              <w:top w:val="single" w:color="auto" w:sz="4" w:space="0"/>
              <w:left w:val="single" w:color="auto" w:sz="4" w:space="0"/>
              <w:bottom w:val="single" w:color="auto" w:sz="4" w:space="0"/>
              <w:right w:val="single" w:color="auto" w:sz="4" w:space="0"/>
            </w:tcBorders>
            <w:vAlign w:val="center"/>
          </w:tcPr>
          <w:p w14:paraId="37D292D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14:paraId="75E8DD76">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允许偏差的范围：允许</w:t>
            </w:r>
          </w:p>
          <w:p w14:paraId="2B1E7A3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允许偏差的项数：/                                                </w:t>
            </w:r>
          </w:p>
        </w:tc>
      </w:tr>
      <w:tr w14:paraId="4CB2062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81CC441">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2.1(7)</w:t>
            </w:r>
          </w:p>
        </w:tc>
        <w:tc>
          <w:tcPr>
            <w:tcW w:w="3090" w:type="dxa"/>
            <w:tcBorders>
              <w:top w:val="single" w:color="auto" w:sz="4" w:space="0"/>
              <w:left w:val="single" w:color="auto" w:sz="4" w:space="0"/>
              <w:bottom w:val="single" w:color="auto" w:sz="4" w:space="0"/>
              <w:right w:val="single" w:color="auto" w:sz="4" w:space="0"/>
            </w:tcBorders>
            <w:vAlign w:val="center"/>
          </w:tcPr>
          <w:p w14:paraId="0760CDA2">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28086CA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资料名称：补充通知（如有）                                                   </w:t>
            </w:r>
          </w:p>
        </w:tc>
      </w:tr>
      <w:tr w14:paraId="2ADE4B7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1A43B1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14:paraId="1051847F">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14:paraId="3D891998">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截止时间：见采购公告                                </w:t>
            </w:r>
          </w:p>
        </w:tc>
      </w:tr>
      <w:tr w14:paraId="028E650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60C404B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14:paraId="6635C9A5">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14:paraId="605615C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确认的最晚时间：无需确认</w:t>
            </w:r>
          </w:p>
          <w:p w14:paraId="4F39839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确定的方式：采购人将以网站公告形式（同采购公告发布媒介）发出采购文件补充通知，供应商应注意及时浏览网上发出的采购补充文件，因供应商自身原因未及时获知补充通知内容而导致的任何后果将由供应商自行承担。                                                  </w:t>
            </w:r>
          </w:p>
        </w:tc>
      </w:tr>
      <w:tr w14:paraId="14282539">
        <w:tblPrEx>
          <w:tblCellMar>
            <w:top w:w="0" w:type="dxa"/>
            <w:left w:w="108" w:type="dxa"/>
            <w:bottom w:w="0" w:type="dxa"/>
            <w:right w:w="108" w:type="dxa"/>
          </w:tblCellMar>
        </w:tblPrEx>
        <w:trPr>
          <w:trHeight w:val="649" w:hRule="atLeast"/>
        </w:trPr>
        <w:tc>
          <w:tcPr>
            <w:tcW w:w="1415" w:type="dxa"/>
            <w:tcBorders>
              <w:top w:val="single" w:color="auto" w:sz="4" w:space="0"/>
              <w:left w:val="single" w:color="auto" w:sz="4" w:space="0"/>
              <w:bottom w:val="single" w:color="auto" w:sz="4" w:space="0"/>
              <w:right w:val="single" w:color="auto" w:sz="4" w:space="0"/>
            </w:tcBorders>
            <w:vAlign w:val="center"/>
          </w:tcPr>
          <w:p w14:paraId="7BCB826D">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3.1.1（9）</w:t>
            </w:r>
          </w:p>
        </w:tc>
        <w:tc>
          <w:tcPr>
            <w:tcW w:w="3090" w:type="dxa"/>
            <w:tcBorders>
              <w:top w:val="single" w:color="auto" w:sz="4" w:space="0"/>
              <w:left w:val="single" w:color="auto" w:sz="4" w:space="0"/>
              <w:bottom w:val="single" w:color="auto" w:sz="4" w:space="0"/>
              <w:right w:val="single" w:color="auto" w:sz="4" w:space="0"/>
            </w:tcBorders>
            <w:vAlign w:val="center"/>
          </w:tcPr>
          <w:p w14:paraId="49A9BB7B">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14:paraId="6A30119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资料名称：澄清（如有）                                             </w:t>
            </w:r>
          </w:p>
        </w:tc>
      </w:tr>
      <w:tr w14:paraId="66E1D058">
        <w:tblPrEx>
          <w:tblCellMar>
            <w:top w:w="0" w:type="dxa"/>
            <w:left w:w="108" w:type="dxa"/>
            <w:bottom w:w="0" w:type="dxa"/>
            <w:right w:w="108" w:type="dxa"/>
          </w:tblCellMar>
        </w:tblPrEx>
        <w:trPr>
          <w:trHeight w:val="1088" w:hRule="atLeast"/>
        </w:trPr>
        <w:tc>
          <w:tcPr>
            <w:tcW w:w="1415" w:type="dxa"/>
            <w:tcBorders>
              <w:top w:val="single" w:color="auto" w:sz="4" w:space="0"/>
              <w:left w:val="single" w:color="auto" w:sz="4" w:space="0"/>
              <w:bottom w:val="single" w:color="auto" w:sz="4" w:space="0"/>
              <w:right w:val="single" w:color="auto" w:sz="4" w:space="0"/>
            </w:tcBorders>
            <w:vAlign w:val="center"/>
          </w:tcPr>
          <w:p w14:paraId="267A0DD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3.2.2</w:t>
            </w:r>
          </w:p>
        </w:tc>
        <w:tc>
          <w:tcPr>
            <w:tcW w:w="3090" w:type="dxa"/>
            <w:tcBorders>
              <w:top w:val="single" w:color="auto" w:sz="4" w:space="0"/>
              <w:left w:val="single" w:color="auto" w:sz="4" w:space="0"/>
              <w:bottom w:val="single" w:color="auto" w:sz="4" w:space="0"/>
              <w:right w:val="single" w:color="auto" w:sz="4" w:space="0"/>
            </w:tcBorders>
            <w:vAlign w:val="center"/>
          </w:tcPr>
          <w:p w14:paraId="3D92A4BC">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采购标的数量增减幅度</w:t>
            </w:r>
          </w:p>
        </w:tc>
        <w:tc>
          <w:tcPr>
            <w:tcW w:w="5349" w:type="dxa"/>
            <w:tcBorders>
              <w:top w:val="single" w:color="auto" w:sz="4" w:space="0"/>
              <w:left w:val="single" w:color="auto" w:sz="4" w:space="0"/>
              <w:bottom w:val="single" w:color="auto" w:sz="4" w:space="0"/>
              <w:right w:val="single" w:color="auto" w:sz="4" w:space="0"/>
            </w:tcBorders>
            <w:vAlign w:val="center"/>
          </w:tcPr>
          <w:p w14:paraId="34B95E88">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采购标的数量增减幅度： /                                         </w:t>
            </w:r>
          </w:p>
        </w:tc>
      </w:tr>
      <w:tr w14:paraId="7A166894">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67235E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3.2.3</w:t>
            </w:r>
          </w:p>
        </w:tc>
        <w:tc>
          <w:tcPr>
            <w:tcW w:w="3090" w:type="dxa"/>
            <w:tcBorders>
              <w:top w:val="single" w:color="auto" w:sz="4" w:space="0"/>
              <w:left w:val="single" w:color="auto" w:sz="4" w:space="0"/>
              <w:bottom w:val="single" w:color="auto" w:sz="4" w:space="0"/>
              <w:right w:val="single" w:color="auto" w:sz="4" w:space="0"/>
            </w:tcBorders>
            <w:vAlign w:val="center"/>
          </w:tcPr>
          <w:p w14:paraId="1F23C715">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14:paraId="36B1289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□无</w:t>
            </w:r>
          </w:p>
          <w:p w14:paraId="20CEE95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有，最高限价或其计算方法：</w:t>
            </w:r>
          </w:p>
          <w:p w14:paraId="011702C8">
            <w:pPr>
              <w:spacing w:line="360" w:lineRule="auto"/>
              <w:jc w:val="both"/>
              <w:rPr>
                <w:rFonts w:hint="eastAsia" w:ascii="宋体" w:hAnsi="宋体" w:cs="宋体"/>
                <w:color w:val="auto"/>
                <w:szCs w:val="21"/>
                <w:highlight w:val="none"/>
              </w:rPr>
            </w:pPr>
            <w:r>
              <w:rPr>
                <w:rFonts w:hint="eastAsia" w:ascii="宋体" w:hAnsi="宋体" w:cs="宋体"/>
                <w:b/>
                <w:bCs/>
                <w:color w:val="auto"/>
                <w:szCs w:val="21"/>
                <w:highlight w:val="none"/>
              </w:rPr>
              <w:t>¥</w:t>
            </w:r>
            <w:r>
              <w:rPr>
                <w:rFonts w:hint="eastAsia" w:ascii="宋体" w:hAnsi="宋体" w:cs="宋体"/>
                <w:b/>
                <w:bCs/>
                <w:color w:val="auto"/>
                <w:szCs w:val="21"/>
                <w:highlight w:val="none"/>
                <w:u w:val="single"/>
                <w:lang w:val="en-US" w:eastAsia="zh-CN"/>
              </w:rPr>
              <w:t>390000</w:t>
            </w:r>
            <w:r>
              <w:rPr>
                <w:rFonts w:hint="eastAsia" w:ascii="宋体" w:hAnsi="宋体" w:cs="宋体"/>
                <w:b/>
                <w:bCs/>
                <w:color w:val="auto"/>
                <w:szCs w:val="21"/>
                <w:highlight w:val="none"/>
              </w:rPr>
              <w:t>元，其中暂列金额0元；</w:t>
            </w:r>
          </w:p>
        </w:tc>
      </w:tr>
      <w:tr w14:paraId="228C0E5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1154E6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3.2.4</w:t>
            </w:r>
          </w:p>
        </w:tc>
        <w:tc>
          <w:tcPr>
            <w:tcW w:w="3090" w:type="dxa"/>
            <w:tcBorders>
              <w:top w:val="single" w:color="auto" w:sz="4" w:space="0"/>
              <w:left w:val="single" w:color="auto" w:sz="4" w:space="0"/>
              <w:bottom w:val="single" w:color="auto" w:sz="4" w:space="0"/>
              <w:right w:val="single" w:color="auto" w:sz="4" w:space="0"/>
            </w:tcBorders>
            <w:vAlign w:val="center"/>
          </w:tcPr>
          <w:p w14:paraId="1CBE89A9">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14:paraId="3362AFCE">
            <w:pPr>
              <w:spacing w:line="360" w:lineRule="auto"/>
              <w:jc w:val="both"/>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w:t>
            </w:r>
          </w:p>
        </w:tc>
      </w:tr>
      <w:tr w14:paraId="1953AAD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ACC6818">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3.3.1</w:t>
            </w:r>
          </w:p>
        </w:tc>
        <w:tc>
          <w:tcPr>
            <w:tcW w:w="3090" w:type="dxa"/>
            <w:tcBorders>
              <w:top w:val="single" w:color="auto" w:sz="4" w:space="0"/>
              <w:left w:val="single" w:color="auto" w:sz="4" w:space="0"/>
              <w:bottom w:val="single" w:color="auto" w:sz="4" w:space="0"/>
              <w:right w:val="single" w:color="auto" w:sz="4" w:space="0"/>
            </w:tcBorders>
            <w:vAlign w:val="center"/>
          </w:tcPr>
          <w:p w14:paraId="389B4568">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14:paraId="7EDAFCA2">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递交响应文件截止之日起90日                                        </w:t>
            </w:r>
          </w:p>
        </w:tc>
      </w:tr>
      <w:tr w14:paraId="3E6C4B4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96918A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3.4.1</w:t>
            </w:r>
          </w:p>
        </w:tc>
        <w:tc>
          <w:tcPr>
            <w:tcW w:w="3090" w:type="dxa"/>
            <w:tcBorders>
              <w:top w:val="single" w:color="auto" w:sz="4" w:space="0"/>
              <w:left w:val="single" w:color="auto" w:sz="4" w:space="0"/>
              <w:bottom w:val="single" w:color="auto" w:sz="4" w:space="0"/>
              <w:right w:val="single" w:color="auto" w:sz="4" w:space="0"/>
            </w:tcBorders>
            <w:vAlign w:val="center"/>
          </w:tcPr>
          <w:p w14:paraId="06A3CFA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14:paraId="583DB69D">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不要求递交</w:t>
            </w:r>
          </w:p>
          <w:p w14:paraId="11ADE6C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□要求递交，</w:t>
            </w:r>
          </w:p>
          <w:p w14:paraId="3232DA8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见采购公告                                        </w:t>
            </w:r>
          </w:p>
        </w:tc>
      </w:tr>
      <w:tr w14:paraId="7D3C2F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4027CBD">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3.4.2</w:t>
            </w:r>
          </w:p>
        </w:tc>
        <w:tc>
          <w:tcPr>
            <w:tcW w:w="3090" w:type="dxa"/>
            <w:tcBorders>
              <w:top w:val="single" w:color="auto" w:sz="4" w:space="0"/>
              <w:left w:val="single" w:color="auto" w:sz="4" w:space="0"/>
              <w:bottom w:val="single" w:color="auto" w:sz="4" w:space="0"/>
              <w:right w:val="single" w:color="auto" w:sz="4" w:space="0"/>
            </w:tcBorders>
            <w:vAlign w:val="center"/>
          </w:tcPr>
          <w:p w14:paraId="5E0AB314">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0F86377C">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见采购公告                                                             </w:t>
            </w:r>
          </w:p>
        </w:tc>
      </w:tr>
      <w:tr w14:paraId="07DFE6D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1182FB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3.4.3</w:t>
            </w:r>
          </w:p>
        </w:tc>
        <w:tc>
          <w:tcPr>
            <w:tcW w:w="3090" w:type="dxa"/>
            <w:tcBorders>
              <w:top w:val="single" w:color="auto" w:sz="4" w:space="0"/>
              <w:left w:val="single" w:color="auto" w:sz="4" w:space="0"/>
              <w:bottom w:val="single" w:color="auto" w:sz="4" w:space="0"/>
              <w:right w:val="single" w:color="auto" w:sz="4" w:space="0"/>
            </w:tcBorders>
            <w:vAlign w:val="center"/>
          </w:tcPr>
          <w:p w14:paraId="12B3F7A6">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14:paraId="5C826F1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见采购公告                                                          </w:t>
            </w:r>
          </w:p>
        </w:tc>
      </w:tr>
      <w:tr w14:paraId="701F0E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8DD096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3.5（1）</w:t>
            </w:r>
          </w:p>
        </w:tc>
        <w:tc>
          <w:tcPr>
            <w:tcW w:w="3090" w:type="dxa"/>
            <w:tcBorders>
              <w:top w:val="single" w:color="auto" w:sz="4" w:space="0"/>
              <w:left w:val="single" w:color="auto" w:sz="4" w:space="0"/>
              <w:bottom w:val="single" w:color="auto" w:sz="4" w:space="0"/>
              <w:right w:val="single" w:color="auto" w:sz="4" w:space="0"/>
            </w:tcBorders>
            <w:vAlign w:val="center"/>
          </w:tcPr>
          <w:p w14:paraId="7672FCA6">
            <w:pPr>
              <w:wordWrap w:val="0"/>
              <w:spacing w:line="360" w:lineRule="auto"/>
              <w:jc w:val="both"/>
              <w:rPr>
                <w:rStyle w:val="129"/>
                <w:rFonts w:hint="eastAsia" w:ascii="宋体" w:hAnsi="宋体" w:cs="宋体"/>
                <w:b w:val="0"/>
                <w:bCs w:val="0"/>
                <w:color w:val="auto"/>
                <w:szCs w:val="21"/>
                <w:highlight w:val="none"/>
              </w:rPr>
            </w:pPr>
            <w:r>
              <w:rPr>
                <w:rStyle w:val="129"/>
                <w:rFonts w:hint="eastAsia" w:ascii="宋体" w:hAnsi="宋体" w:cs="宋体"/>
                <w:b w:val="0"/>
                <w:bCs w:val="0"/>
                <w:color w:val="auto"/>
                <w:szCs w:val="21"/>
                <w:highlight w:val="none"/>
              </w:rPr>
              <w:t>依法设立的证明材料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24D01B9">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□不适用。</w:t>
            </w:r>
          </w:p>
          <w:p w14:paraId="5B64331A">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适用。供应商应提供市场监管部门或其他行政机关颁发的可以合法开展业务的执照或证书。</w:t>
            </w:r>
          </w:p>
        </w:tc>
      </w:tr>
      <w:tr w14:paraId="148EBB1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76010A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3.5（2）</w:t>
            </w:r>
          </w:p>
        </w:tc>
        <w:tc>
          <w:tcPr>
            <w:tcW w:w="3090" w:type="dxa"/>
            <w:tcBorders>
              <w:top w:val="single" w:color="auto" w:sz="4" w:space="0"/>
              <w:left w:val="single" w:color="auto" w:sz="4" w:space="0"/>
              <w:bottom w:val="single" w:color="auto" w:sz="4" w:space="0"/>
              <w:right w:val="single" w:color="auto" w:sz="4" w:space="0"/>
            </w:tcBorders>
            <w:vAlign w:val="center"/>
          </w:tcPr>
          <w:p w14:paraId="297C007D">
            <w:pPr>
              <w:wordWrap w:val="0"/>
              <w:spacing w:line="360" w:lineRule="auto"/>
              <w:jc w:val="both"/>
              <w:rPr>
                <w:rFonts w:hint="eastAsia" w:ascii="宋体" w:hAnsi="宋体" w:cs="宋体"/>
                <w:color w:val="auto"/>
                <w:szCs w:val="21"/>
                <w:highlight w:val="none"/>
              </w:rPr>
            </w:pPr>
            <w:r>
              <w:rPr>
                <w:rStyle w:val="129"/>
                <w:rFonts w:hint="eastAsia" w:ascii="宋体" w:hAnsi="宋体" w:cs="宋体"/>
                <w:b w:val="0"/>
                <w:bCs w:val="0"/>
                <w:color w:val="auto"/>
                <w:szCs w:val="21"/>
                <w:highlight w:val="none"/>
              </w:rPr>
              <w:t>资质要求证明材料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ADBCF90">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6E407CC7">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适用。供应商应提供相关资质证书副本的复印件，以证明供应商具有承担本项目要求的资质。</w:t>
            </w:r>
          </w:p>
          <w:p w14:paraId="7DA8582C">
            <w:pPr>
              <w:widowControl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资质证书包括：</w:t>
            </w:r>
          </w:p>
          <w:p w14:paraId="4C08CCEF">
            <w:pPr>
              <w:widowControl w:val="0"/>
              <w:spacing w:line="360" w:lineRule="auto"/>
              <w:jc w:val="both"/>
              <w:rPr>
                <w:rFonts w:hint="eastAsia" w:ascii="宋体" w:hAnsi="宋体" w:cs="宋体"/>
                <w:bCs/>
                <w:color w:val="auto"/>
                <w:szCs w:val="21"/>
                <w:highlight w:val="none"/>
              </w:rPr>
            </w:pPr>
            <w:r>
              <w:rPr>
                <w:rFonts w:hint="eastAsia" w:ascii="宋体" w:hAnsi="宋体" w:cs="宋体"/>
                <w:color w:val="auto"/>
                <w:szCs w:val="21"/>
                <w:highlight w:val="none"/>
                <w:lang w:eastAsia="zh-CN"/>
              </w:rPr>
              <w:t>一、</w:t>
            </w:r>
            <w:r>
              <w:rPr>
                <w:rFonts w:hint="eastAsia" w:ascii="宋体" w:hAnsi="宋体" w:cs="宋体"/>
                <w:bCs/>
                <w:color w:val="auto"/>
                <w:szCs w:val="21"/>
                <w:highlight w:val="none"/>
                <w:lang w:eastAsia="zh-CN"/>
              </w:rPr>
              <w:t>响应人</w:t>
            </w:r>
            <w:r>
              <w:rPr>
                <w:rFonts w:hint="eastAsia" w:ascii="宋体" w:hAnsi="宋体" w:cs="宋体"/>
                <w:bCs/>
                <w:color w:val="auto"/>
                <w:szCs w:val="21"/>
                <w:highlight w:val="none"/>
              </w:rPr>
              <w:t>应具备以下资质：</w:t>
            </w:r>
          </w:p>
          <w:p w14:paraId="6364464B">
            <w:pPr>
              <w:wordWrap w:val="0"/>
              <w:spacing w:line="36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、具有省应急管理厅颁发的安评资质证书，资质在有效期限之内；</w:t>
            </w:r>
          </w:p>
          <w:p w14:paraId="572131EE">
            <w:pPr>
              <w:wordWrap w:val="0"/>
              <w:spacing w:line="360" w:lineRule="auto"/>
              <w:jc w:val="both"/>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、具有省卫生健康委员会颁发的职业卫生技术服务机构资质证书，资质在有效期限之内；</w:t>
            </w:r>
          </w:p>
          <w:p w14:paraId="6840C536">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二、响应人在国家环境影响评价信用平台完成注册登记并提供截图。</w:t>
            </w:r>
          </w:p>
        </w:tc>
      </w:tr>
      <w:tr w14:paraId="714E1247">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14:paraId="45AD80A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3.5（3）</w:t>
            </w:r>
          </w:p>
        </w:tc>
        <w:tc>
          <w:tcPr>
            <w:tcW w:w="3090" w:type="dxa"/>
            <w:tcBorders>
              <w:top w:val="single" w:color="auto" w:sz="4" w:space="0"/>
              <w:left w:val="single" w:color="auto" w:sz="4" w:space="0"/>
              <w:bottom w:val="single" w:color="auto" w:sz="4" w:space="0"/>
              <w:right w:val="single" w:color="auto" w:sz="4" w:space="0"/>
            </w:tcBorders>
            <w:vAlign w:val="center"/>
          </w:tcPr>
          <w:p w14:paraId="788BBD21">
            <w:pPr>
              <w:wordWrap w:val="0"/>
              <w:spacing w:line="360" w:lineRule="auto"/>
              <w:jc w:val="both"/>
              <w:rPr>
                <w:rStyle w:val="129"/>
                <w:rFonts w:hint="eastAsia" w:ascii="宋体" w:hAnsi="宋体" w:cs="宋体"/>
                <w:b w:val="0"/>
                <w:bCs w:val="0"/>
                <w:color w:val="auto"/>
                <w:szCs w:val="21"/>
                <w:highlight w:val="none"/>
              </w:rPr>
            </w:pPr>
            <w:r>
              <w:rPr>
                <w:rStyle w:val="129"/>
                <w:rFonts w:hint="eastAsia" w:ascii="宋体" w:hAnsi="宋体" w:cs="宋体"/>
                <w:b w:val="0"/>
                <w:bCs w:val="0"/>
                <w:color w:val="auto"/>
                <w:szCs w:val="21"/>
                <w:highlight w:val="none"/>
              </w:rPr>
              <w:t>财务要求证明材料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07FEBEF0">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039388D9">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□适用。供应商应提供经会计师事务所或审计机构审计的近年财务会计报表复印件，包括资产负债表，现金流量表、利润表等。近年财务会计报表年份是指：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年（供应商的成立时间少于该规定年份的，应提供成立以来的财务会计报表）</w:t>
            </w:r>
          </w:p>
          <w:p w14:paraId="1359770B">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□适用。供应商应提供近年财务会计报表复印件，包括资产负债表，现金流量表、利润表等。近年财务会计报表年份是指：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年（供应商的成立时间少于该规定年份的，应提供成立以来的财务会计报表）</w:t>
            </w:r>
          </w:p>
          <w:p w14:paraId="59FA2C15">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（注：有财务要求的，应选择两种财务会计报表中的一种作为财务证明资料。）</w:t>
            </w:r>
          </w:p>
        </w:tc>
      </w:tr>
      <w:tr w14:paraId="43E2511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EB3F1E5">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3.5（4）</w:t>
            </w:r>
          </w:p>
        </w:tc>
        <w:tc>
          <w:tcPr>
            <w:tcW w:w="3090" w:type="dxa"/>
            <w:tcBorders>
              <w:top w:val="single" w:color="auto" w:sz="4" w:space="0"/>
              <w:left w:val="single" w:color="auto" w:sz="4" w:space="0"/>
              <w:bottom w:val="single" w:color="auto" w:sz="4" w:space="0"/>
              <w:right w:val="single" w:color="auto" w:sz="4" w:space="0"/>
            </w:tcBorders>
            <w:vAlign w:val="center"/>
          </w:tcPr>
          <w:p w14:paraId="0E875DC5">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75832F90">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1B795465">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适用。供应商应提供近年的类似项目情况表（格式见第六章“响应文件格式”七、资格审查资料（三）近年的类似项目情况表），以证明供应商具有承担本项目要求的业绩。</w:t>
            </w:r>
          </w:p>
          <w:p w14:paraId="45F7033E">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业绩证明材料：</w:t>
            </w:r>
          </w:p>
          <w:p w14:paraId="294316F7">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合同/订单</w:t>
            </w:r>
          </w:p>
          <w:p w14:paraId="03CA09F3">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中标通知书/成交通知书</w:t>
            </w:r>
          </w:p>
          <w:p w14:paraId="0254EE64">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竣工验收报告/验收证明</w:t>
            </w:r>
          </w:p>
          <w:p w14:paraId="7F3B75DC">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业主证明</w:t>
            </w:r>
          </w:p>
          <w:p w14:paraId="0040B0F5">
            <w:pPr>
              <w:wordWrap w:val="0"/>
              <w:spacing w:line="360"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其他材料：</w:t>
            </w:r>
            <w:bookmarkStart w:id="6" w:name="EBac4e385c44bd47669c55daf7165a0ee6"/>
            <w:r>
              <w:rPr>
                <w:rFonts w:hint="eastAsia" w:ascii="宋体" w:hAnsi="宋体" w:cs="宋体"/>
                <w:color w:val="auto"/>
                <w:szCs w:val="21"/>
                <w:highlight w:val="none"/>
                <w:lang w:val="en-US" w:eastAsia="zh-CN"/>
              </w:rPr>
              <w:t>1、业绩证明材料须提供合同/订单，如合同/订单无法证实业绩满足采购文件要求，还须提供委托人出具的证明材料，证明材料应附联系人姓名及联系方式）。</w:t>
            </w:r>
          </w:p>
          <w:p w14:paraId="4A1D5003">
            <w:pPr>
              <w:wordWrap w:val="0"/>
              <w:spacing w:line="360"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2、业绩计算以合同签订日期为准。</w:t>
            </w:r>
          </w:p>
          <w:p w14:paraId="7F3E44F0">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3、如近年来，响应人法人机构发生合法变更或重组或法人名称变更时，应提供相关部门的合法批件或其他相关证明材料来证明其所附业绩的继承性。</w:t>
            </w:r>
            <w:bookmarkEnd w:id="6"/>
            <w:r>
              <w:rPr>
                <w:rFonts w:hint="eastAsia" w:ascii="宋体" w:hAnsi="宋体" w:cs="宋体"/>
                <w:color w:val="auto"/>
                <w:szCs w:val="21"/>
                <w:highlight w:val="none"/>
              </w:rPr>
              <w:t>业绩证明材料种类要求：</w:t>
            </w:r>
          </w:p>
          <w:p w14:paraId="69C3BC92">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提供上述勾选的任一项证明材料即可</w:t>
            </w:r>
          </w:p>
          <w:p w14:paraId="1C99D344">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需同时提供上述勾选的所有证明材料</w:t>
            </w:r>
          </w:p>
          <w:p w14:paraId="3F0DD0A5">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□其他要求：</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tc>
      </w:tr>
      <w:tr w14:paraId="07B7AF2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7E156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3.5（5）</w:t>
            </w:r>
          </w:p>
        </w:tc>
        <w:tc>
          <w:tcPr>
            <w:tcW w:w="3090" w:type="dxa"/>
            <w:tcBorders>
              <w:top w:val="single" w:color="auto" w:sz="4" w:space="0"/>
              <w:left w:val="single" w:color="auto" w:sz="4" w:space="0"/>
              <w:bottom w:val="single" w:color="auto" w:sz="4" w:space="0"/>
              <w:right w:val="single" w:color="auto" w:sz="4" w:space="0"/>
            </w:tcBorders>
            <w:vAlign w:val="center"/>
          </w:tcPr>
          <w:p w14:paraId="7A6D6D8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40B0746E">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3C8F708B">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适用。供应商应提供相关信誉情况的证明材料，包括：</w:t>
            </w:r>
          </w:p>
          <w:p w14:paraId="71206469">
            <w:pPr>
              <w:widowControl w:val="0"/>
              <w:numPr>
                <w:ilvl w:val="0"/>
                <w:numId w:val="0"/>
              </w:numPr>
              <w:spacing w:line="360" w:lineRule="auto"/>
              <w:jc w:val="both"/>
              <w:rPr>
                <w:rStyle w:val="129"/>
                <w:rFonts w:hint="eastAsia" w:ascii="宋体" w:hAnsi="宋体" w:cs="宋体"/>
                <w:b w:val="0"/>
                <w:color w:val="auto"/>
                <w:szCs w:val="21"/>
                <w:highlight w:val="none"/>
                <w:u w:val="single"/>
                <w:lang w:val="en-US" w:eastAsia="zh-CN"/>
              </w:rPr>
            </w:pPr>
            <w:r>
              <w:rPr>
                <w:rFonts w:hint="eastAsia" w:ascii="宋体" w:hAnsi="宋体" w:cs="宋体"/>
                <w:color w:val="auto"/>
                <w:szCs w:val="21"/>
                <w:highlight w:val="none"/>
                <w:u w:val="single"/>
                <w:lang w:val="en-US" w:eastAsia="zh-CN"/>
              </w:rPr>
              <w:t xml:space="preserve"> 1.</w:t>
            </w:r>
            <w:r>
              <w:rPr>
                <w:rStyle w:val="129"/>
                <w:rFonts w:hint="eastAsia" w:ascii="宋体" w:hAnsi="宋体" w:cs="宋体"/>
                <w:b w:val="0"/>
                <w:color w:val="auto"/>
                <w:szCs w:val="21"/>
                <w:highlight w:val="none"/>
                <w:u w:val="single"/>
                <w:lang w:val="en-US" w:eastAsia="zh-CN"/>
              </w:rPr>
              <w:t>未在国家企业信用信息公示系统（http://www.gsxt.gov.cn）中被列入严重违法失信企业名单或未在“信用中国”网站（www.creditchina.gov.cn）中被列入失信被执行人名单。</w:t>
            </w:r>
          </w:p>
          <w:p w14:paraId="5958A9E3">
            <w:pPr>
              <w:widowControl w:val="0"/>
              <w:numPr>
                <w:ilvl w:val="0"/>
                <w:numId w:val="0"/>
              </w:numPr>
              <w:spacing w:line="360" w:lineRule="auto"/>
              <w:jc w:val="both"/>
              <w:rPr>
                <w:rStyle w:val="129"/>
                <w:rFonts w:hint="eastAsia" w:ascii="宋体" w:hAnsi="宋体" w:cs="宋体"/>
                <w:b w:val="0"/>
                <w:color w:val="auto"/>
                <w:szCs w:val="21"/>
                <w:highlight w:val="none"/>
                <w:u w:val="single"/>
                <w:lang w:val="en-US" w:eastAsia="zh-CN"/>
              </w:rPr>
            </w:pPr>
            <w:r>
              <w:rPr>
                <w:rStyle w:val="129"/>
                <w:rFonts w:hint="eastAsia" w:ascii="宋体" w:hAnsi="宋体" w:cs="宋体"/>
                <w:b w:val="0"/>
                <w:color w:val="auto"/>
                <w:szCs w:val="21"/>
                <w:highlight w:val="none"/>
                <w:u w:val="single"/>
                <w:lang w:val="en-US" w:eastAsia="zh-CN"/>
              </w:rPr>
              <w:t>2.近三年履约情况良好，无不良记录。</w:t>
            </w:r>
          </w:p>
          <w:p w14:paraId="58B56294">
            <w:pPr>
              <w:widowControl w:val="0"/>
              <w:numPr>
                <w:ilvl w:val="0"/>
                <w:numId w:val="0"/>
              </w:numPr>
              <w:spacing w:line="360" w:lineRule="auto"/>
              <w:jc w:val="both"/>
              <w:rPr>
                <w:rFonts w:hint="default" w:ascii="宋体" w:hAnsi="宋体" w:eastAsia="宋体" w:cs="宋体"/>
                <w:color w:val="auto"/>
                <w:szCs w:val="21"/>
                <w:highlight w:val="none"/>
                <w:u w:val="single"/>
                <w:lang w:val="en-US" w:eastAsia="zh-CN"/>
              </w:rPr>
            </w:pPr>
            <w:r>
              <w:rPr>
                <w:rStyle w:val="129"/>
                <w:rFonts w:hint="eastAsia" w:ascii="宋体" w:hAnsi="宋体" w:cs="宋体"/>
                <w:b w:val="0"/>
                <w:color w:val="auto"/>
                <w:szCs w:val="21"/>
                <w:highlight w:val="none"/>
                <w:u w:val="single"/>
                <w:lang w:val="en-US" w:eastAsia="zh-CN"/>
              </w:rPr>
              <w:t>3.没有处于被责令停业、财产被接管、冻结。</w:t>
            </w:r>
          </w:p>
          <w:p w14:paraId="0AFA05B9">
            <w:pPr>
              <w:widowControl w:val="0"/>
              <w:numPr>
                <w:ilvl w:val="0"/>
                <w:numId w:val="0"/>
              </w:numPr>
              <w:spacing w:line="360" w:lineRule="auto"/>
              <w:jc w:val="both"/>
              <w:rPr>
                <w:rFonts w:hint="default" w:ascii="宋体" w:hAnsi="宋体" w:eastAsia="宋体" w:cs="宋体"/>
                <w:color w:val="auto"/>
                <w:szCs w:val="21"/>
                <w:highlight w:val="none"/>
                <w:lang w:val="en-US" w:eastAsia="zh-CN"/>
              </w:rPr>
            </w:pPr>
            <w:r>
              <w:rPr>
                <w:rStyle w:val="129"/>
                <w:rFonts w:hint="eastAsia" w:ascii="宋体" w:hAnsi="宋体" w:cs="宋体"/>
                <w:b w:val="0"/>
                <w:color w:val="auto"/>
                <w:szCs w:val="21"/>
                <w:highlight w:val="none"/>
                <w:u w:val="single"/>
                <w:lang w:val="en-US" w:eastAsia="zh-CN"/>
              </w:rPr>
              <w:t>4.</w:t>
            </w:r>
            <w:bookmarkStart w:id="7" w:name="EBab2c8e3e568f41e3a02df5a79f02576f"/>
            <w:r>
              <w:rPr>
                <w:rStyle w:val="129"/>
                <w:rFonts w:hint="eastAsia" w:ascii="宋体" w:hAnsi="宋体" w:cs="宋体"/>
                <w:b w:val="0"/>
                <w:color w:val="auto"/>
                <w:szCs w:val="21"/>
                <w:highlight w:val="none"/>
                <w:u w:val="single"/>
                <w:lang w:val="en-US" w:eastAsia="zh-CN"/>
              </w:rPr>
              <w:t>响应人不存在第一章3.1款情形的证明材料</w:t>
            </w:r>
            <w:bookmarkEnd w:id="7"/>
          </w:p>
        </w:tc>
      </w:tr>
      <w:tr w14:paraId="20C61EC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01B7EED">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3.5（6）</w:t>
            </w:r>
          </w:p>
        </w:tc>
        <w:tc>
          <w:tcPr>
            <w:tcW w:w="3090" w:type="dxa"/>
            <w:tcBorders>
              <w:top w:val="single" w:color="auto" w:sz="4" w:space="0"/>
              <w:left w:val="single" w:color="auto" w:sz="4" w:space="0"/>
              <w:bottom w:val="single" w:color="auto" w:sz="4" w:space="0"/>
              <w:right w:val="single" w:color="auto" w:sz="4" w:space="0"/>
            </w:tcBorders>
            <w:vAlign w:val="center"/>
          </w:tcPr>
          <w:p w14:paraId="11EB7D7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7354C994">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□不适用</w:t>
            </w:r>
          </w:p>
          <w:p w14:paraId="22A1E539">
            <w:pPr>
              <w:wordWrap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适用。供应商应提供拟委任的主要人员汇总表和主要人员简历表（格式见第六章“响应文件格式”七、资格审查资料（四）拟委任的主要人员汇总表和（五）主要人员简历表）。供应商应填报满足第一章“采购公告”规定的项目负责人和其他主要人员的相关信息，并按如下要求提供相关证明文件：</w:t>
            </w:r>
            <w:r>
              <w:rPr>
                <w:rFonts w:hint="eastAsia" w:ascii="宋体" w:hAnsi="宋体" w:cs="宋体"/>
                <w:color w:val="auto"/>
                <w:szCs w:val="21"/>
                <w:highlight w:val="none"/>
                <w:u w:val="single"/>
              </w:rPr>
              <w:t>近3个月社保证明、职称证明等有效证明文件复印件。</w:t>
            </w:r>
          </w:p>
        </w:tc>
      </w:tr>
      <w:tr w14:paraId="4D27CB5E">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CCE5466">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3.5（7）</w:t>
            </w:r>
          </w:p>
        </w:tc>
        <w:tc>
          <w:tcPr>
            <w:tcW w:w="3090" w:type="dxa"/>
            <w:tcBorders>
              <w:top w:val="single" w:color="auto" w:sz="4" w:space="0"/>
              <w:left w:val="single" w:color="auto" w:sz="4" w:space="0"/>
              <w:bottom w:val="single" w:color="auto" w:sz="4" w:space="0"/>
              <w:right w:val="single" w:color="auto" w:sz="4" w:space="0"/>
            </w:tcBorders>
            <w:vAlign w:val="center"/>
          </w:tcPr>
          <w:p w14:paraId="50F93D4D">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236B0082">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w:t>
            </w:r>
          </w:p>
        </w:tc>
      </w:tr>
      <w:tr w14:paraId="5EE521F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3464C6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14:paraId="331E5C35">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124BEC1">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不需要提供证明材料</w:t>
            </w:r>
          </w:p>
          <w:p w14:paraId="6A9FA814">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需要提供证明材料，包括：提供未在国家企业信用信息公示系统（http://www.gsxt.gov.cn）中被列入严重违法失信企业名单的或</w:t>
            </w:r>
            <w:r>
              <w:rPr>
                <w:rFonts w:hint="eastAsia" w:ascii="宋体" w:hAnsi="宋体" w:cs="宋体"/>
                <w:color w:val="auto"/>
                <w:szCs w:val="21"/>
                <w:highlight w:val="none"/>
                <w:lang w:val="en-US" w:eastAsia="zh-CN"/>
              </w:rPr>
              <w:t>未</w:t>
            </w:r>
            <w:r>
              <w:rPr>
                <w:rFonts w:hint="eastAsia" w:ascii="宋体" w:hAnsi="宋体" w:cs="宋体"/>
                <w:color w:val="auto"/>
                <w:szCs w:val="21"/>
                <w:highlight w:val="none"/>
              </w:rPr>
              <w:t>在“信用中国网站”（http://www.creditchina.gov.cn）被列入失信被执行人名单的截图证明材料。</w:t>
            </w:r>
          </w:p>
        </w:tc>
      </w:tr>
      <w:tr w14:paraId="01E32CC6">
        <w:tblPrEx>
          <w:tblCellMar>
            <w:top w:w="0" w:type="dxa"/>
            <w:left w:w="108" w:type="dxa"/>
            <w:bottom w:w="0" w:type="dxa"/>
            <w:right w:w="108" w:type="dxa"/>
          </w:tblCellMar>
        </w:tblPrEx>
        <w:trPr>
          <w:trHeight w:val="1602" w:hRule="atLeast"/>
        </w:trPr>
        <w:tc>
          <w:tcPr>
            <w:tcW w:w="1415" w:type="dxa"/>
            <w:tcBorders>
              <w:top w:val="single" w:color="auto" w:sz="4" w:space="0"/>
              <w:left w:val="single" w:color="auto" w:sz="4" w:space="0"/>
              <w:bottom w:val="single" w:color="auto" w:sz="4" w:space="0"/>
              <w:right w:val="single" w:color="auto" w:sz="4" w:space="0"/>
            </w:tcBorders>
            <w:vAlign w:val="center"/>
          </w:tcPr>
          <w:p w14:paraId="66F4CEE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3.5（9）</w:t>
            </w:r>
          </w:p>
        </w:tc>
        <w:tc>
          <w:tcPr>
            <w:tcW w:w="3090" w:type="dxa"/>
            <w:tcBorders>
              <w:top w:val="single" w:color="auto" w:sz="4" w:space="0"/>
              <w:left w:val="single" w:color="auto" w:sz="4" w:space="0"/>
              <w:bottom w:val="single" w:color="auto" w:sz="4" w:space="0"/>
              <w:right w:val="single" w:color="auto" w:sz="4" w:space="0"/>
            </w:tcBorders>
            <w:vAlign w:val="center"/>
          </w:tcPr>
          <w:p w14:paraId="2578B03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联合体要求的证明材料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14:paraId="1271DD83">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554B2FA1">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适用。供应商应按照采购文件提供的格式（格式见第六章“响应文件格式”三、联合体协议书）拟订联合体协议书，并提供联合体协议书的彩色扫描件。联合体协议书应明确联合体各方的分工</w:t>
            </w:r>
          </w:p>
        </w:tc>
      </w:tr>
      <w:tr w14:paraId="38235FA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2160C5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3.6.1</w:t>
            </w:r>
          </w:p>
        </w:tc>
        <w:tc>
          <w:tcPr>
            <w:tcW w:w="3090" w:type="dxa"/>
            <w:tcBorders>
              <w:top w:val="single" w:color="auto" w:sz="4" w:space="0"/>
              <w:left w:val="single" w:color="auto" w:sz="4" w:space="0"/>
              <w:bottom w:val="single" w:color="auto" w:sz="4" w:space="0"/>
              <w:right w:val="single" w:color="auto" w:sz="4" w:space="0"/>
            </w:tcBorders>
            <w:vAlign w:val="center"/>
          </w:tcPr>
          <w:p w14:paraId="05DF39DD">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14:paraId="3E939F70">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满足资格审查条件要求的证据或证明材料，格式参照第六章“响应文件格式”或自拟。</w:t>
            </w:r>
          </w:p>
        </w:tc>
      </w:tr>
      <w:tr w14:paraId="6C8AF187">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75D8F7D">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3.6.2</w:t>
            </w:r>
          </w:p>
        </w:tc>
        <w:tc>
          <w:tcPr>
            <w:tcW w:w="3090" w:type="dxa"/>
            <w:tcBorders>
              <w:top w:val="single" w:color="auto" w:sz="4" w:space="0"/>
              <w:left w:val="single" w:color="auto" w:sz="4" w:space="0"/>
              <w:bottom w:val="single" w:color="auto" w:sz="4" w:space="0"/>
              <w:right w:val="single" w:color="auto" w:sz="4" w:space="0"/>
            </w:tcBorders>
            <w:vAlign w:val="center"/>
          </w:tcPr>
          <w:p w14:paraId="08217691">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14:paraId="268798FF">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供应商只能提出唯一响应方案</w:t>
            </w:r>
          </w:p>
          <w:p w14:paraId="07D8E235">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□供应商可提出多个响应方案</w:t>
            </w:r>
          </w:p>
        </w:tc>
      </w:tr>
      <w:tr w14:paraId="7491071B">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8F8878">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3.7.5</w:t>
            </w:r>
          </w:p>
        </w:tc>
        <w:tc>
          <w:tcPr>
            <w:tcW w:w="3090" w:type="dxa"/>
            <w:tcBorders>
              <w:top w:val="single" w:color="auto" w:sz="4" w:space="0"/>
              <w:left w:val="single" w:color="auto" w:sz="4" w:space="0"/>
              <w:bottom w:val="single" w:color="auto" w:sz="4" w:space="0"/>
              <w:right w:val="single" w:color="auto" w:sz="4" w:space="0"/>
            </w:tcBorders>
            <w:vAlign w:val="center"/>
          </w:tcPr>
          <w:p w14:paraId="7534A4BC">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14:paraId="409704D4">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是否要求提供电子版响应文件：</w:t>
            </w:r>
          </w:p>
          <w:p w14:paraId="4DEA6169">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□不要求</w:t>
            </w:r>
          </w:p>
          <w:p w14:paraId="7A982025">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要求，提供电子版响应文件的形式：供应商应当在采购人要求的报价截止时间前，按采购文件要求制作好响应文件，签字盖章完成后扫描成pdf格式文件，用 WinRAR 文件压缩软件进行压缩并设置密码（该密码在视频开标会议上向采购人提供），压缩文件名注明项目名称、投标人名称。上传压缩文件至招标人指定邮箱</w:t>
            </w:r>
            <w:r>
              <w:rPr>
                <w:rFonts w:hint="eastAsia" w:ascii="宋体" w:hAnsi="宋体" w:cs="宋体"/>
                <w:color w:val="auto"/>
                <w:szCs w:val="21"/>
                <w:highlight w:val="none"/>
                <w:lang w:val="en-US" w:eastAsia="zh-CN"/>
              </w:rPr>
              <w:t>545826559</w:t>
            </w:r>
            <w:r>
              <w:rPr>
                <w:rFonts w:hint="eastAsia" w:ascii="宋体" w:hAnsi="宋体" w:cs="宋体"/>
                <w:color w:val="auto"/>
                <w:szCs w:val="21"/>
                <w:highlight w:val="none"/>
              </w:rPr>
              <w:t>@qq.com，时间以收到邮件时间为准，邮件中留联系人及手机号码。在截止时间后上传或未按要求发送至指定邮箱的响应文件，采购人将拒绝接收。</w:t>
            </w:r>
          </w:p>
        </w:tc>
      </w:tr>
      <w:tr w14:paraId="79CCA18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0A4FCC9">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3.7.6</w:t>
            </w:r>
          </w:p>
        </w:tc>
        <w:tc>
          <w:tcPr>
            <w:tcW w:w="3090" w:type="dxa"/>
            <w:tcBorders>
              <w:top w:val="single" w:color="auto" w:sz="4" w:space="0"/>
              <w:left w:val="single" w:color="auto" w:sz="4" w:space="0"/>
              <w:bottom w:val="single" w:color="auto" w:sz="4" w:space="0"/>
              <w:right w:val="single" w:color="auto" w:sz="4" w:space="0"/>
            </w:tcBorders>
            <w:vAlign w:val="center"/>
          </w:tcPr>
          <w:p w14:paraId="4A78F284">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分册上传要求</w:t>
            </w:r>
          </w:p>
        </w:tc>
        <w:tc>
          <w:tcPr>
            <w:tcW w:w="5349" w:type="dxa"/>
            <w:tcBorders>
              <w:top w:val="single" w:color="auto" w:sz="4" w:space="0"/>
              <w:left w:val="single" w:color="auto" w:sz="4" w:space="0"/>
              <w:bottom w:val="single" w:color="auto" w:sz="4" w:space="0"/>
              <w:right w:val="single" w:color="auto" w:sz="4" w:space="0"/>
            </w:tcBorders>
            <w:vAlign w:val="center"/>
          </w:tcPr>
          <w:p w14:paraId="29AF7746">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w:t>
            </w:r>
          </w:p>
        </w:tc>
      </w:tr>
      <w:tr w14:paraId="1934EA6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09AEC8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4.1.1</w:t>
            </w:r>
          </w:p>
        </w:tc>
        <w:tc>
          <w:tcPr>
            <w:tcW w:w="3090" w:type="dxa"/>
            <w:tcBorders>
              <w:top w:val="single" w:color="auto" w:sz="4" w:space="0"/>
              <w:left w:val="single" w:color="auto" w:sz="4" w:space="0"/>
              <w:bottom w:val="single" w:color="auto" w:sz="4" w:space="0"/>
              <w:right w:val="single" w:color="auto" w:sz="4" w:space="0"/>
            </w:tcBorders>
            <w:vAlign w:val="center"/>
          </w:tcPr>
          <w:p w14:paraId="0530661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响应文件密封</w:t>
            </w:r>
          </w:p>
        </w:tc>
        <w:tc>
          <w:tcPr>
            <w:tcW w:w="5349" w:type="dxa"/>
            <w:tcBorders>
              <w:top w:val="single" w:color="auto" w:sz="4" w:space="0"/>
              <w:left w:val="single" w:color="auto" w:sz="4" w:space="0"/>
              <w:bottom w:val="single" w:color="auto" w:sz="4" w:space="0"/>
              <w:right w:val="single" w:color="auto" w:sz="4" w:space="0"/>
            </w:tcBorders>
            <w:vAlign w:val="center"/>
          </w:tcPr>
          <w:p w14:paraId="50197CB5">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不需要密封</w:t>
            </w:r>
          </w:p>
          <w:p w14:paraId="11A17D83">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□需要密封，密封要求：</w:t>
            </w:r>
            <w:r>
              <w:rPr>
                <w:rFonts w:hint="eastAsia" w:ascii="宋体" w:hAnsi="宋体" w:cs="宋体"/>
                <w:color w:val="auto"/>
                <w:szCs w:val="21"/>
                <w:highlight w:val="none"/>
                <w:u w:val="single"/>
              </w:rPr>
              <w:t xml:space="preserve">                    </w:t>
            </w:r>
          </w:p>
        </w:tc>
      </w:tr>
      <w:tr w14:paraId="59C1B73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36BAC96">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4.1.2</w:t>
            </w:r>
          </w:p>
        </w:tc>
        <w:tc>
          <w:tcPr>
            <w:tcW w:w="3090" w:type="dxa"/>
            <w:tcBorders>
              <w:top w:val="single" w:color="auto" w:sz="4" w:space="0"/>
              <w:left w:val="single" w:color="auto" w:sz="4" w:space="0"/>
              <w:bottom w:val="single" w:color="auto" w:sz="4" w:space="0"/>
              <w:right w:val="single" w:color="auto" w:sz="4" w:space="0"/>
            </w:tcBorders>
            <w:vAlign w:val="center"/>
          </w:tcPr>
          <w:p w14:paraId="2C30B22F">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14:paraId="36849231">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不适用</w:t>
            </w:r>
          </w:p>
          <w:p w14:paraId="31F79201">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□适用，供应商名称：</w:t>
            </w:r>
            <w:r>
              <w:rPr>
                <w:rFonts w:hint="eastAsia" w:ascii="宋体" w:hAnsi="宋体" w:cs="宋体"/>
                <w:color w:val="auto"/>
                <w:szCs w:val="21"/>
                <w:highlight w:val="none"/>
                <w:u w:val="single"/>
              </w:rPr>
              <w:t xml:space="preserve">                                        （项目名称）响应文件</w:t>
            </w:r>
          </w:p>
        </w:tc>
      </w:tr>
      <w:tr w14:paraId="69B38B8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7B2B806">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4.2.1</w:t>
            </w:r>
          </w:p>
        </w:tc>
        <w:tc>
          <w:tcPr>
            <w:tcW w:w="3090" w:type="dxa"/>
            <w:tcBorders>
              <w:top w:val="single" w:color="auto" w:sz="4" w:space="0"/>
              <w:left w:val="single" w:color="auto" w:sz="4" w:space="0"/>
              <w:bottom w:val="single" w:color="auto" w:sz="4" w:space="0"/>
              <w:right w:val="single" w:color="auto" w:sz="4" w:space="0"/>
            </w:tcBorders>
            <w:vAlign w:val="center"/>
          </w:tcPr>
          <w:p w14:paraId="4E86026F">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14:paraId="1BB248E1">
            <w:pPr>
              <w:wordWrap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rPr>
              <w:t xml:space="preserve">见采购公告 </w:t>
            </w:r>
          </w:p>
          <w:p w14:paraId="5949DC72">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递交响应文件的地点：</w:t>
            </w:r>
            <w:r>
              <w:rPr>
                <w:rFonts w:hint="eastAsia" w:ascii="宋体" w:hAnsi="宋体" w:cs="宋体"/>
                <w:color w:val="auto"/>
                <w:szCs w:val="21"/>
                <w:highlight w:val="none"/>
                <w:u w:val="single"/>
              </w:rPr>
              <w:t>见采购公告</w:t>
            </w:r>
            <w:r>
              <w:rPr>
                <w:rFonts w:hint="eastAsia" w:ascii="宋体" w:hAnsi="宋体" w:cs="宋体"/>
                <w:color w:val="auto"/>
                <w:szCs w:val="21"/>
                <w:highlight w:val="none"/>
              </w:rPr>
              <w:t xml:space="preserve">   </w:t>
            </w:r>
          </w:p>
        </w:tc>
      </w:tr>
      <w:tr w14:paraId="04769B8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7396CDD">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4.2.2</w:t>
            </w:r>
          </w:p>
        </w:tc>
        <w:tc>
          <w:tcPr>
            <w:tcW w:w="3090" w:type="dxa"/>
            <w:tcBorders>
              <w:top w:val="single" w:color="auto" w:sz="4" w:space="0"/>
              <w:left w:val="single" w:color="auto" w:sz="4" w:space="0"/>
              <w:bottom w:val="single" w:color="auto" w:sz="4" w:space="0"/>
              <w:right w:val="single" w:color="auto" w:sz="4" w:space="0"/>
            </w:tcBorders>
            <w:vAlign w:val="center"/>
          </w:tcPr>
          <w:p w14:paraId="4634BD7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219A6E05">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否</w:t>
            </w:r>
          </w:p>
          <w:p w14:paraId="2CD23F7A">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□是，退还时间：</w:t>
            </w:r>
            <w:r>
              <w:rPr>
                <w:rFonts w:hint="eastAsia" w:ascii="宋体" w:hAnsi="宋体" w:cs="宋体"/>
                <w:color w:val="auto"/>
                <w:szCs w:val="21"/>
                <w:highlight w:val="none"/>
                <w:u w:val="single"/>
              </w:rPr>
              <w:t xml:space="preserve">                   </w:t>
            </w:r>
          </w:p>
        </w:tc>
      </w:tr>
      <w:tr w14:paraId="3E1A2349">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74E295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4.3.3</w:t>
            </w:r>
          </w:p>
        </w:tc>
        <w:tc>
          <w:tcPr>
            <w:tcW w:w="3090" w:type="dxa"/>
            <w:tcBorders>
              <w:top w:val="single" w:color="auto" w:sz="4" w:space="0"/>
              <w:left w:val="single" w:color="auto" w:sz="4" w:space="0"/>
              <w:bottom w:val="single" w:color="auto" w:sz="4" w:space="0"/>
              <w:right w:val="single" w:color="auto" w:sz="4" w:space="0"/>
            </w:tcBorders>
            <w:vAlign w:val="center"/>
          </w:tcPr>
          <w:p w14:paraId="7C23CE49">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供应商撤回响应文件情况下退还响应保证金的时间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14:paraId="220F5FFA">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自采购人收到供应商递交的书面通知之日起</w:t>
            </w:r>
            <w:r>
              <w:rPr>
                <w:rFonts w:hint="eastAsia" w:ascii="宋体" w:hAnsi="宋体" w:cs="宋体"/>
                <w:color w:val="auto"/>
                <w:szCs w:val="21"/>
                <w:highlight w:val="none"/>
                <w:u w:val="single"/>
              </w:rPr>
              <w:t>5</w:t>
            </w:r>
            <w:r>
              <w:rPr>
                <w:rFonts w:hint="eastAsia" w:ascii="宋体" w:hAnsi="宋体" w:cs="宋体"/>
                <w:color w:val="auto"/>
                <w:szCs w:val="21"/>
                <w:highlight w:val="none"/>
              </w:rPr>
              <w:t>日内</w:t>
            </w:r>
          </w:p>
        </w:tc>
      </w:tr>
      <w:tr w14:paraId="4F05EEC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D9D5C3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5</w:t>
            </w:r>
          </w:p>
        </w:tc>
        <w:tc>
          <w:tcPr>
            <w:tcW w:w="3090" w:type="dxa"/>
            <w:tcBorders>
              <w:top w:val="single" w:color="auto" w:sz="4" w:space="0"/>
              <w:left w:val="single" w:color="auto" w:sz="4" w:space="0"/>
              <w:bottom w:val="single" w:color="auto" w:sz="4" w:space="0"/>
              <w:right w:val="single" w:color="auto" w:sz="4" w:space="0"/>
            </w:tcBorders>
            <w:vAlign w:val="center"/>
          </w:tcPr>
          <w:p w14:paraId="444EDD2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14:paraId="6A5AB824">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□否</w:t>
            </w:r>
          </w:p>
          <w:p w14:paraId="10F7508B">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p>
        </w:tc>
      </w:tr>
      <w:tr w14:paraId="5A2D910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BD5677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5.1</w:t>
            </w:r>
          </w:p>
        </w:tc>
        <w:tc>
          <w:tcPr>
            <w:tcW w:w="3090" w:type="dxa"/>
            <w:tcBorders>
              <w:top w:val="single" w:color="auto" w:sz="4" w:space="0"/>
              <w:left w:val="single" w:color="auto" w:sz="4" w:space="0"/>
              <w:bottom w:val="single" w:color="auto" w:sz="4" w:space="0"/>
              <w:right w:val="single" w:color="auto" w:sz="4" w:space="0"/>
            </w:tcBorders>
            <w:vAlign w:val="center"/>
          </w:tcPr>
          <w:p w14:paraId="4195B19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14:paraId="63564353">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见采购公告</w:t>
            </w:r>
          </w:p>
        </w:tc>
      </w:tr>
      <w:tr w14:paraId="1919BDA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6B75C0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5.2（4）</w:t>
            </w:r>
          </w:p>
        </w:tc>
        <w:tc>
          <w:tcPr>
            <w:tcW w:w="3090" w:type="dxa"/>
            <w:tcBorders>
              <w:top w:val="single" w:color="auto" w:sz="4" w:space="0"/>
              <w:left w:val="single" w:color="auto" w:sz="4" w:space="0"/>
              <w:bottom w:val="single" w:color="auto" w:sz="4" w:space="0"/>
              <w:right w:val="single" w:color="auto" w:sz="4" w:space="0"/>
            </w:tcBorders>
            <w:vAlign w:val="center"/>
          </w:tcPr>
          <w:p w14:paraId="1A14A6F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14:paraId="54B6C81D">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开启顺序：</w:t>
            </w:r>
            <w:r>
              <w:rPr>
                <w:rFonts w:hint="eastAsia" w:ascii="宋体" w:hAnsi="宋体" w:cs="宋体"/>
                <w:color w:val="auto"/>
                <w:szCs w:val="21"/>
                <w:highlight w:val="none"/>
                <w:u w:val="single"/>
              </w:rPr>
              <w:t>随机</w:t>
            </w:r>
          </w:p>
          <w:p w14:paraId="45A38D0C">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其他应公布的信息：/</w:t>
            </w:r>
          </w:p>
        </w:tc>
      </w:tr>
      <w:tr w14:paraId="46F1699A">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9A78626">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6.3.1</w:t>
            </w:r>
          </w:p>
        </w:tc>
        <w:tc>
          <w:tcPr>
            <w:tcW w:w="3090" w:type="dxa"/>
            <w:tcBorders>
              <w:top w:val="single" w:color="auto" w:sz="4" w:space="0"/>
              <w:left w:val="single" w:color="auto" w:sz="4" w:space="0"/>
              <w:bottom w:val="single" w:color="auto" w:sz="4" w:space="0"/>
              <w:right w:val="single" w:color="auto" w:sz="4" w:space="0"/>
            </w:tcBorders>
            <w:vAlign w:val="center"/>
          </w:tcPr>
          <w:p w14:paraId="24F6195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谈判轮次及谈判顺序</w:t>
            </w:r>
          </w:p>
        </w:tc>
        <w:tc>
          <w:tcPr>
            <w:tcW w:w="5349" w:type="dxa"/>
            <w:tcBorders>
              <w:top w:val="single" w:color="auto" w:sz="4" w:space="0"/>
              <w:left w:val="single" w:color="auto" w:sz="4" w:space="0"/>
              <w:bottom w:val="single" w:color="auto" w:sz="4" w:space="0"/>
              <w:right w:val="single" w:color="auto" w:sz="4" w:space="0"/>
            </w:tcBorders>
            <w:vAlign w:val="center"/>
          </w:tcPr>
          <w:p w14:paraId="21039D65">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谈判轮次：不适用</w:t>
            </w:r>
          </w:p>
          <w:p w14:paraId="0B48D50F">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□本项目共进行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轮谈判</w:t>
            </w:r>
          </w:p>
          <w:p w14:paraId="39ACE9C3">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（注：一般不超过3轮）</w:t>
            </w:r>
          </w:p>
          <w:p w14:paraId="32D9B39E">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□谈判小组在首轮谈判前告知被邀请参加谈判的供应商谈判轮次</w:t>
            </w:r>
          </w:p>
          <w:p w14:paraId="3EA4FFC3">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□本项目不事先确定谈判轮次，谈判小组根据谈判情况确定，并在最后一轮谈判前告知供应商</w:t>
            </w:r>
          </w:p>
          <w:p w14:paraId="1F894567">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谈判顺序：</w:t>
            </w:r>
            <w:r>
              <w:rPr>
                <w:rFonts w:hint="eastAsia" w:ascii="宋体" w:hAnsi="宋体" w:cs="宋体"/>
                <w:color w:val="auto"/>
                <w:szCs w:val="21"/>
                <w:highlight w:val="none"/>
                <w:u w:val="single"/>
              </w:rPr>
              <w:t xml:space="preserve">                  </w:t>
            </w:r>
          </w:p>
        </w:tc>
      </w:tr>
      <w:tr w14:paraId="45912A31">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4AB9930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6.3.2</w:t>
            </w:r>
          </w:p>
        </w:tc>
        <w:tc>
          <w:tcPr>
            <w:tcW w:w="3090" w:type="dxa"/>
            <w:tcBorders>
              <w:top w:val="single" w:color="auto" w:sz="4" w:space="0"/>
              <w:left w:val="single" w:color="auto" w:sz="4" w:space="0"/>
              <w:bottom w:val="single" w:color="auto" w:sz="4" w:space="0"/>
              <w:right w:val="single" w:color="auto" w:sz="4" w:space="0"/>
            </w:tcBorders>
            <w:vAlign w:val="center"/>
          </w:tcPr>
          <w:p w14:paraId="2DEEDC96">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选择谈判供应商</w:t>
            </w:r>
          </w:p>
        </w:tc>
        <w:tc>
          <w:tcPr>
            <w:tcW w:w="5349" w:type="dxa"/>
            <w:tcBorders>
              <w:top w:val="single" w:color="auto" w:sz="4" w:space="0"/>
              <w:left w:val="single" w:color="auto" w:sz="4" w:space="0"/>
              <w:bottom w:val="single" w:color="auto" w:sz="4" w:space="0"/>
              <w:right w:val="single" w:color="auto" w:sz="4" w:space="0"/>
            </w:tcBorders>
            <w:vAlign w:val="center"/>
          </w:tcPr>
          <w:p w14:paraId="49FE0689">
            <w:pPr>
              <w:wordWrap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rPr>
              <w:t>预定参加谈判的供应商数量：</w:t>
            </w:r>
            <w:r>
              <w:rPr>
                <w:rFonts w:hint="eastAsia" w:ascii="宋体" w:hAnsi="宋体" w:cs="宋体"/>
                <w:color w:val="auto"/>
                <w:szCs w:val="21"/>
                <w:highlight w:val="none"/>
                <w:u w:val="single"/>
              </w:rPr>
              <w:t>不适用</w:t>
            </w:r>
          </w:p>
          <w:p w14:paraId="6B02FC17">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选择方法：                  </w:t>
            </w:r>
          </w:p>
          <w:p w14:paraId="3BFF79F8">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退还未被选择的供应商的响应保证金的时间：</w:t>
            </w:r>
          </w:p>
        </w:tc>
      </w:tr>
      <w:tr w14:paraId="35F707F8">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0700B4">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6.3.4</w:t>
            </w:r>
          </w:p>
        </w:tc>
        <w:tc>
          <w:tcPr>
            <w:tcW w:w="3090" w:type="dxa"/>
            <w:tcBorders>
              <w:top w:val="single" w:color="auto" w:sz="4" w:space="0"/>
              <w:left w:val="single" w:color="auto" w:sz="4" w:space="0"/>
              <w:bottom w:val="single" w:color="auto" w:sz="4" w:space="0"/>
              <w:right w:val="single" w:color="auto" w:sz="4" w:space="0"/>
            </w:tcBorders>
            <w:vAlign w:val="center"/>
          </w:tcPr>
          <w:p w14:paraId="632D33B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是否允许未准时参加某一轮次谈判的供应商参加后续谈判采购活动</w:t>
            </w:r>
          </w:p>
        </w:tc>
        <w:tc>
          <w:tcPr>
            <w:tcW w:w="5349" w:type="dxa"/>
            <w:tcBorders>
              <w:top w:val="single" w:color="auto" w:sz="4" w:space="0"/>
              <w:left w:val="single" w:color="auto" w:sz="4" w:space="0"/>
              <w:bottom w:val="single" w:color="auto" w:sz="4" w:space="0"/>
              <w:right w:val="single" w:color="auto" w:sz="4" w:space="0"/>
            </w:tcBorders>
            <w:vAlign w:val="center"/>
          </w:tcPr>
          <w:p w14:paraId="0D03F7F6">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□允许</w:t>
            </w:r>
          </w:p>
          <w:p w14:paraId="4BAA0AF3">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不允许</w:t>
            </w:r>
          </w:p>
        </w:tc>
      </w:tr>
      <w:tr w14:paraId="46091A4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84DFB8">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6.6</w:t>
            </w:r>
          </w:p>
        </w:tc>
        <w:tc>
          <w:tcPr>
            <w:tcW w:w="3090" w:type="dxa"/>
            <w:tcBorders>
              <w:top w:val="single" w:color="auto" w:sz="4" w:space="0"/>
              <w:left w:val="single" w:color="auto" w:sz="4" w:space="0"/>
              <w:bottom w:val="single" w:color="auto" w:sz="4" w:space="0"/>
              <w:right w:val="single" w:color="auto" w:sz="4" w:space="0"/>
            </w:tcBorders>
            <w:vAlign w:val="center"/>
          </w:tcPr>
          <w:p w14:paraId="3675DF56">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是否公开开启最终报价</w:t>
            </w:r>
          </w:p>
        </w:tc>
        <w:tc>
          <w:tcPr>
            <w:tcW w:w="5349" w:type="dxa"/>
            <w:tcBorders>
              <w:top w:val="single" w:color="auto" w:sz="4" w:space="0"/>
              <w:left w:val="single" w:color="auto" w:sz="4" w:space="0"/>
              <w:bottom w:val="single" w:color="auto" w:sz="4" w:space="0"/>
              <w:right w:val="single" w:color="auto" w:sz="4" w:space="0"/>
            </w:tcBorders>
            <w:vAlign w:val="center"/>
          </w:tcPr>
          <w:p w14:paraId="09B7F1D5">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□否</w:t>
            </w:r>
          </w:p>
          <w:p w14:paraId="0D629529">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是</w:t>
            </w:r>
          </w:p>
        </w:tc>
      </w:tr>
      <w:tr w14:paraId="20FD170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2634D860">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6.7.2</w:t>
            </w:r>
          </w:p>
        </w:tc>
        <w:tc>
          <w:tcPr>
            <w:tcW w:w="3090" w:type="dxa"/>
            <w:tcBorders>
              <w:top w:val="single" w:color="auto" w:sz="4" w:space="0"/>
              <w:left w:val="single" w:color="auto" w:sz="4" w:space="0"/>
              <w:bottom w:val="single" w:color="auto" w:sz="4" w:space="0"/>
              <w:right w:val="single" w:color="auto" w:sz="4" w:space="0"/>
            </w:tcBorders>
            <w:vAlign w:val="center"/>
          </w:tcPr>
          <w:p w14:paraId="41F18786">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推荐候选成交供应商的排序及数量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14:paraId="7F74BA46">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是否排序：</w:t>
            </w:r>
          </w:p>
          <w:p w14:paraId="0DEF7080">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排序</w:t>
            </w:r>
          </w:p>
          <w:p w14:paraId="3CACBDA4">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□不排序</w:t>
            </w:r>
          </w:p>
          <w:p w14:paraId="4DAD6AFC">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数量：</w:t>
            </w:r>
            <w:r>
              <w:rPr>
                <w:rFonts w:hint="eastAsia" w:ascii="宋体" w:hAnsi="宋体" w:cs="宋体"/>
                <w:color w:val="auto"/>
                <w:szCs w:val="21"/>
                <w:highlight w:val="none"/>
                <w:u w:val="single"/>
              </w:rPr>
              <w:t xml:space="preserve">1-3名   </w:t>
            </w:r>
          </w:p>
        </w:tc>
      </w:tr>
      <w:tr w14:paraId="42D07EB0">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1E9B708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7.4</w:t>
            </w:r>
          </w:p>
        </w:tc>
        <w:tc>
          <w:tcPr>
            <w:tcW w:w="3090" w:type="dxa"/>
            <w:tcBorders>
              <w:top w:val="single" w:color="auto" w:sz="4" w:space="0"/>
              <w:left w:val="single" w:color="auto" w:sz="4" w:space="0"/>
              <w:bottom w:val="single" w:color="auto" w:sz="4" w:space="0"/>
              <w:right w:val="single" w:color="auto" w:sz="4" w:space="0"/>
            </w:tcBorders>
            <w:vAlign w:val="center"/>
          </w:tcPr>
          <w:p w14:paraId="0B2CBA5F">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预成交结果公示</w:t>
            </w:r>
          </w:p>
        </w:tc>
        <w:tc>
          <w:tcPr>
            <w:tcW w:w="5349" w:type="dxa"/>
            <w:tcBorders>
              <w:top w:val="single" w:color="auto" w:sz="4" w:space="0"/>
              <w:left w:val="single" w:color="auto" w:sz="4" w:space="0"/>
              <w:bottom w:val="single" w:color="auto" w:sz="4" w:space="0"/>
              <w:right w:val="single" w:color="auto" w:sz="4" w:space="0"/>
            </w:tcBorders>
            <w:vAlign w:val="center"/>
          </w:tcPr>
          <w:p w14:paraId="678228BE">
            <w:pPr>
              <w:wordWrap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rPr>
              <w:t>公示媒介：</w:t>
            </w:r>
            <w:r>
              <w:rPr>
                <w:rFonts w:hint="eastAsia" w:ascii="宋体" w:hAnsi="宋体" w:cs="宋体"/>
                <w:color w:val="auto"/>
                <w:szCs w:val="21"/>
                <w:highlight w:val="none"/>
                <w:u w:val="single"/>
              </w:rPr>
              <w:t xml:space="preserve">同采购公告发布媒介 </w:t>
            </w:r>
          </w:p>
          <w:p w14:paraId="5617DEDF">
            <w:pPr>
              <w:wordWrap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rPr>
              <w:t>3日</w:t>
            </w:r>
          </w:p>
          <w:p w14:paraId="77B22D88">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u w:val="single"/>
              </w:rPr>
              <w:t>其他应公示的内容</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tc>
      </w:tr>
      <w:tr w14:paraId="603B53A2">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72B2BE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7.6</w:t>
            </w:r>
          </w:p>
        </w:tc>
        <w:tc>
          <w:tcPr>
            <w:tcW w:w="3090" w:type="dxa"/>
            <w:tcBorders>
              <w:top w:val="single" w:color="auto" w:sz="4" w:space="0"/>
              <w:left w:val="single" w:color="auto" w:sz="4" w:space="0"/>
              <w:bottom w:val="single" w:color="auto" w:sz="4" w:space="0"/>
              <w:right w:val="single" w:color="auto" w:sz="4" w:space="0"/>
            </w:tcBorders>
            <w:vAlign w:val="center"/>
          </w:tcPr>
          <w:p w14:paraId="59A614D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发布成交公告</w:t>
            </w:r>
          </w:p>
        </w:tc>
        <w:tc>
          <w:tcPr>
            <w:tcW w:w="5349" w:type="dxa"/>
            <w:tcBorders>
              <w:top w:val="single" w:color="auto" w:sz="4" w:space="0"/>
              <w:left w:val="single" w:color="auto" w:sz="4" w:space="0"/>
              <w:bottom w:val="single" w:color="auto" w:sz="4" w:space="0"/>
              <w:right w:val="single" w:color="auto" w:sz="4" w:space="0"/>
            </w:tcBorders>
            <w:vAlign w:val="center"/>
          </w:tcPr>
          <w:p w14:paraId="6418AFAA">
            <w:pPr>
              <w:wordWrap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rPr>
              <w:t>公告媒介：</w:t>
            </w:r>
            <w:r>
              <w:rPr>
                <w:rFonts w:hint="eastAsia" w:ascii="宋体" w:hAnsi="宋体" w:cs="宋体"/>
                <w:color w:val="auto"/>
                <w:szCs w:val="21"/>
                <w:highlight w:val="none"/>
                <w:u w:val="single"/>
              </w:rPr>
              <w:t xml:space="preserve">同采购公告发布媒介 </w:t>
            </w:r>
          </w:p>
          <w:p w14:paraId="5A5754B7">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其他应公告的内容：</w:t>
            </w:r>
            <w:r>
              <w:rPr>
                <w:rFonts w:hint="eastAsia" w:ascii="宋体" w:hAnsi="宋体" w:cs="宋体"/>
                <w:color w:val="auto"/>
                <w:szCs w:val="21"/>
                <w:highlight w:val="none"/>
                <w:u w:val="single"/>
              </w:rPr>
              <w:t xml:space="preserve">/ </w:t>
            </w:r>
          </w:p>
        </w:tc>
      </w:tr>
      <w:tr w14:paraId="5EF6AF33">
        <w:tblPrEx>
          <w:tblCellMar>
            <w:top w:w="0" w:type="dxa"/>
            <w:left w:w="108" w:type="dxa"/>
            <w:bottom w:w="0" w:type="dxa"/>
            <w:right w:w="108" w:type="dxa"/>
          </w:tblCellMar>
        </w:tblPrEx>
        <w:trPr>
          <w:trHeight w:val="1881" w:hRule="atLeast"/>
        </w:trPr>
        <w:tc>
          <w:tcPr>
            <w:tcW w:w="1415" w:type="dxa"/>
            <w:tcBorders>
              <w:top w:val="single" w:color="auto" w:sz="4" w:space="0"/>
              <w:left w:val="single" w:color="auto" w:sz="4" w:space="0"/>
              <w:bottom w:val="single" w:color="auto" w:sz="4" w:space="0"/>
              <w:right w:val="single" w:color="auto" w:sz="4" w:space="0"/>
            </w:tcBorders>
            <w:vAlign w:val="center"/>
          </w:tcPr>
          <w:p w14:paraId="5A159DC1">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7.7</w:t>
            </w:r>
          </w:p>
        </w:tc>
        <w:tc>
          <w:tcPr>
            <w:tcW w:w="3090" w:type="dxa"/>
            <w:tcBorders>
              <w:top w:val="single" w:color="auto" w:sz="4" w:space="0"/>
              <w:left w:val="single" w:color="auto" w:sz="4" w:space="0"/>
              <w:bottom w:val="single" w:color="auto" w:sz="4" w:space="0"/>
              <w:right w:val="single" w:color="auto" w:sz="4" w:space="0"/>
            </w:tcBorders>
            <w:vAlign w:val="center"/>
          </w:tcPr>
          <w:p w14:paraId="764DF3A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14:paraId="15B39598">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不要求提交</w:t>
            </w:r>
          </w:p>
          <w:p w14:paraId="4453210D">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☑要求递交</w:t>
            </w:r>
          </w:p>
          <w:p w14:paraId="5E2FE02F">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履约保证金的形式：银行保函或现金、支票</w:t>
            </w:r>
          </w:p>
          <w:p w14:paraId="3B0A3A6E">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履约保证金的金额：10％签约合同价</w:t>
            </w:r>
          </w:p>
          <w:p w14:paraId="3CF0E8B7">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采用银行保函时，出具保函的银行级别：国有或股份制商业银行</w:t>
            </w:r>
          </w:p>
        </w:tc>
      </w:tr>
      <w:tr w14:paraId="39BFBF5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53573477">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7.8.4</w:t>
            </w:r>
          </w:p>
        </w:tc>
        <w:tc>
          <w:tcPr>
            <w:tcW w:w="3090" w:type="dxa"/>
            <w:tcBorders>
              <w:top w:val="single" w:color="auto" w:sz="4" w:space="0"/>
              <w:left w:val="single" w:color="auto" w:sz="4" w:space="0"/>
              <w:bottom w:val="single" w:color="auto" w:sz="4" w:space="0"/>
              <w:right w:val="single" w:color="auto" w:sz="4" w:space="0"/>
            </w:tcBorders>
            <w:vAlign w:val="center"/>
          </w:tcPr>
          <w:p w14:paraId="3071CFD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签约合同价</w:t>
            </w:r>
          </w:p>
        </w:tc>
        <w:tc>
          <w:tcPr>
            <w:tcW w:w="5349" w:type="dxa"/>
            <w:tcBorders>
              <w:top w:val="single" w:color="auto" w:sz="4" w:space="0"/>
              <w:left w:val="single" w:color="auto" w:sz="4" w:space="0"/>
              <w:bottom w:val="single" w:color="auto" w:sz="4" w:space="0"/>
              <w:right w:val="single" w:color="auto" w:sz="4" w:space="0"/>
            </w:tcBorders>
            <w:vAlign w:val="center"/>
          </w:tcPr>
          <w:p w14:paraId="6D4955D4">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成交价格</w:t>
            </w:r>
          </w:p>
        </w:tc>
      </w:tr>
      <w:tr w14:paraId="6CD4BD05">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05649924">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8.1</w:t>
            </w:r>
          </w:p>
        </w:tc>
        <w:tc>
          <w:tcPr>
            <w:tcW w:w="3090" w:type="dxa"/>
            <w:tcBorders>
              <w:top w:val="single" w:color="auto" w:sz="4" w:space="0"/>
              <w:left w:val="single" w:color="auto" w:sz="4" w:space="0"/>
              <w:bottom w:val="single" w:color="auto" w:sz="4" w:space="0"/>
              <w:right w:val="single" w:color="auto" w:sz="4" w:space="0"/>
            </w:tcBorders>
            <w:vAlign w:val="center"/>
          </w:tcPr>
          <w:p w14:paraId="2BDCDB99">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14:paraId="43CDB7F8">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监督部门：湖南省新新张官高速公路建设开发有限公司 </w:t>
            </w:r>
          </w:p>
          <w:p w14:paraId="183BE10B">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联系人：罗先生 </w:t>
            </w:r>
            <w:r>
              <w:rPr>
                <w:rFonts w:hint="eastAsia" w:ascii="宋体" w:hAnsi="宋体" w:cs="宋体"/>
                <w:color w:val="auto"/>
                <w:szCs w:val="21"/>
                <w:highlight w:val="none"/>
                <w:lang w:eastAsia="zh-CN"/>
              </w:rPr>
              <w:t>（此号码只接受投诉，不接受疑问咨询）</w:t>
            </w:r>
          </w:p>
          <w:p w14:paraId="71AAB448">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 xml:space="preserve">联系电话：0731-89757289   </w:t>
            </w:r>
          </w:p>
        </w:tc>
      </w:tr>
      <w:tr w14:paraId="3EC8527F">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0CE8609">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8.2</w:t>
            </w:r>
          </w:p>
        </w:tc>
        <w:tc>
          <w:tcPr>
            <w:tcW w:w="3090" w:type="dxa"/>
            <w:tcBorders>
              <w:top w:val="single" w:color="auto" w:sz="4" w:space="0"/>
              <w:left w:val="single" w:color="auto" w:sz="4" w:space="0"/>
              <w:bottom w:val="single" w:color="auto" w:sz="4" w:space="0"/>
              <w:right w:val="single" w:color="auto" w:sz="4" w:space="0"/>
            </w:tcBorders>
            <w:vAlign w:val="center"/>
          </w:tcPr>
          <w:p w14:paraId="78C10DE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可以调解异议争议的行业组织或专业咨询机构</w:t>
            </w:r>
          </w:p>
        </w:tc>
        <w:tc>
          <w:tcPr>
            <w:tcW w:w="5349" w:type="dxa"/>
            <w:tcBorders>
              <w:top w:val="single" w:color="auto" w:sz="4" w:space="0"/>
              <w:left w:val="single" w:color="auto" w:sz="4" w:space="0"/>
              <w:bottom w:val="single" w:color="auto" w:sz="4" w:space="0"/>
              <w:right w:val="single" w:color="auto" w:sz="4" w:space="0"/>
            </w:tcBorders>
            <w:vAlign w:val="center"/>
          </w:tcPr>
          <w:p w14:paraId="035993C1">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w:t>
            </w:r>
          </w:p>
        </w:tc>
      </w:tr>
      <w:tr w14:paraId="623106FC">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37E0FD53">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10.1</w:t>
            </w:r>
          </w:p>
        </w:tc>
        <w:tc>
          <w:tcPr>
            <w:tcW w:w="3090" w:type="dxa"/>
            <w:tcBorders>
              <w:top w:val="single" w:color="auto" w:sz="4" w:space="0"/>
              <w:left w:val="single" w:color="auto" w:sz="4" w:space="0"/>
              <w:bottom w:val="single" w:color="auto" w:sz="4" w:space="0"/>
              <w:right w:val="single" w:color="auto" w:sz="4" w:space="0"/>
            </w:tcBorders>
            <w:vAlign w:val="center"/>
          </w:tcPr>
          <w:p w14:paraId="2A379434">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14:paraId="0604C7E3">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□不要求承担</w:t>
            </w:r>
          </w:p>
          <w:p w14:paraId="2672BC3F">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要求承担</w:t>
            </w:r>
          </w:p>
          <w:p w14:paraId="2B761B3F">
            <w:pPr>
              <w:wordWrap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rPr>
              <w:t>费用标准或金额：</w:t>
            </w:r>
            <w:r>
              <w:rPr>
                <w:rFonts w:hint="eastAsia" w:ascii="宋体" w:hAnsi="宋体" w:cs="宋体"/>
                <w:color w:val="auto"/>
                <w:szCs w:val="21"/>
                <w:highlight w:val="none"/>
                <w:u w:val="single"/>
              </w:rPr>
              <w:t>见采购公告</w:t>
            </w:r>
          </w:p>
          <w:p w14:paraId="2843E12E">
            <w:pPr>
              <w:wordWrap w:val="0"/>
              <w:spacing w:line="360" w:lineRule="auto"/>
              <w:jc w:val="both"/>
              <w:rPr>
                <w:rFonts w:hint="eastAsia" w:ascii="宋体" w:hAnsi="宋体" w:cs="宋体"/>
                <w:color w:val="auto"/>
                <w:szCs w:val="21"/>
                <w:highlight w:val="none"/>
                <w:u w:val="single"/>
              </w:rPr>
            </w:pPr>
            <w:r>
              <w:rPr>
                <w:rFonts w:hint="eastAsia" w:ascii="宋体" w:hAnsi="宋体" w:cs="宋体"/>
                <w:color w:val="auto"/>
                <w:szCs w:val="21"/>
                <w:highlight w:val="none"/>
              </w:rPr>
              <w:t>交费时间：</w:t>
            </w:r>
            <w:r>
              <w:rPr>
                <w:rFonts w:hint="eastAsia" w:ascii="宋体" w:hAnsi="宋体" w:cs="宋体"/>
                <w:color w:val="auto"/>
                <w:szCs w:val="21"/>
                <w:highlight w:val="none"/>
                <w:u w:val="single"/>
              </w:rPr>
              <w:t>见采购公告</w:t>
            </w:r>
          </w:p>
          <w:p w14:paraId="386860C0">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交费方式：</w:t>
            </w:r>
            <w:r>
              <w:rPr>
                <w:rFonts w:hint="eastAsia" w:ascii="宋体" w:hAnsi="宋体" w:cs="宋体"/>
                <w:color w:val="auto"/>
                <w:szCs w:val="21"/>
                <w:highlight w:val="none"/>
                <w:u w:val="single"/>
              </w:rPr>
              <w:t>见采购公告</w:t>
            </w:r>
          </w:p>
        </w:tc>
      </w:tr>
      <w:tr w14:paraId="246C062D">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14:paraId="726F74DA">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10.2</w:t>
            </w:r>
          </w:p>
        </w:tc>
        <w:tc>
          <w:tcPr>
            <w:tcW w:w="3090" w:type="dxa"/>
            <w:tcBorders>
              <w:top w:val="single" w:color="auto" w:sz="4" w:space="0"/>
              <w:left w:val="single" w:color="auto" w:sz="4" w:space="0"/>
              <w:bottom w:val="single" w:color="auto" w:sz="4" w:space="0"/>
              <w:right w:val="single" w:color="auto" w:sz="4" w:space="0"/>
            </w:tcBorders>
            <w:vAlign w:val="center"/>
          </w:tcPr>
          <w:p w14:paraId="77C329AE">
            <w:pPr>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需要补充的其他内容</w:t>
            </w:r>
          </w:p>
        </w:tc>
        <w:tc>
          <w:tcPr>
            <w:tcW w:w="5349" w:type="dxa"/>
            <w:tcBorders>
              <w:top w:val="single" w:color="auto" w:sz="4" w:space="0"/>
              <w:left w:val="single" w:color="auto" w:sz="4" w:space="0"/>
              <w:bottom w:val="single" w:color="auto" w:sz="4" w:space="0"/>
              <w:right w:val="single" w:color="auto" w:sz="4" w:space="0"/>
            </w:tcBorders>
            <w:vAlign w:val="center"/>
          </w:tcPr>
          <w:p w14:paraId="52E13EDB">
            <w:pPr>
              <w:wordWrap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w:t>
            </w:r>
          </w:p>
        </w:tc>
      </w:tr>
    </w:tbl>
    <w:p w14:paraId="7C49AD74">
      <w:pPr>
        <w:pStyle w:val="66"/>
        <w:spacing w:line="300" w:lineRule="atLeast"/>
        <w:jc w:val="center"/>
        <w:rPr>
          <w:rFonts w:ascii="黑体" w:hAnsi="Times New Roman" w:eastAsia="黑体" w:cs="Times New Roman"/>
          <w:color w:val="auto"/>
          <w:sz w:val="28"/>
          <w:szCs w:val="28"/>
          <w:highlight w:val="none"/>
        </w:rPr>
      </w:pPr>
    </w:p>
    <w:p w14:paraId="13D6D5CD">
      <w:pPr>
        <w:pStyle w:val="66"/>
        <w:spacing w:line="300" w:lineRule="atLeast"/>
        <w:jc w:val="center"/>
        <w:rPr>
          <w:rFonts w:ascii="黑体" w:hAnsi="Times New Roman" w:eastAsia="黑体" w:cs="Times New Roman"/>
          <w:color w:val="auto"/>
          <w:sz w:val="28"/>
          <w:szCs w:val="28"/>
          <w:highlight w:val="none"/>
        </w:rPr>
      </w:pPr>
    </w:p>
    <w:p w14:paraId="2602EF89">
      <w:pPr>
        <w:pStyle w:val="66"/>
        <w:spacing w:line="300" w:lineRule="atLeast"/>
        <w:jc w:val="center"/>
        <w:rPr>
          <w:rFonts w:ascii="黑体" w:hAnsi="Times New Roman" w:eastAsia="黑体" w:cs="Times New Roman"/>
          <w:color w:val="auto"/>
          <w:sz w:val="28"/>
          <w:szCs w:val="28"/>
          <w:highlight w:val="none"/>
        </w:rPr>
      </w:pPr>
    </w:p>
    <w:p w14:paraId="36F7F102">
      <w:pPr>
        <w:jc w:val="center"/>
        <w:rPr>
          <w:rFonts w:hint="eastAsia" w:ascii="黑体" w:hAnsi="Times New Roman" w:eastAsia="黑体" w:cs="Times New Roman"/>
          <w:color w:val="auto"/>
          <w:sz w:val="28"/>
          <w:szCs w:val="28"/>
          <w:highlight w:val="none"/>
        </w:rPr>
      </w:pPr>
    </w:p>
    <w:p w14:paraId="0D74B21D">
      <w:pPr>
        <w:jc w:val="center"/>
        <w:rPr>
          <w:rFonts w:hint="eastAsia" w:ascii="黑体" w:hAnsi="Times New Roman" w:eastAsia="黑体" w:cs="Times New Roman"/>
          <w:color w:val="auto"/>
          <w:sz w:val="28"/>
          <w:szCs w:val="28"/>
          <w:highlight w:val="none"/>
        </w:rPr>
      </w:pPr>
    </w:p>
    <w:p w14:paraId="5572FCC7">
      <w:pPr>
        <w:jc w:val="center"/>
        <w:rPr>
          <w:rFonts w:hint="eastAsia" w:ascii="黑体" w:hAnsi="Times New Roman" w:eastAsia="黑体" w:cs="Times New Roman"/>
          <w:color w:val="auto"/>
          <w:sz w:val="28"/>
          <w:szCs w:val="28"/>
          <w:highlight w:val="none"/>
        </w:rPr>
      </w:pPr>
    </w:p>
    <w:p w14:paraId="33119071">
      <w:pPr>
        <w:jc w:val="center"/>
        <w:rPr>
          <w:rFonts w:hint="eastAsia" w:ascii="黑体" w:hAnsi="Times New Roman" w:eastAsia="黑体" w:cs="Times New Roman"/>
          <w:color w:val="auto"/>
          <w:sz w:val="28"/>
          <w:szCs w:val="28"/>
          <w:highlight w:val="none"/>
        </w:rPr>
      </w:pPr>
    </w:p>
    <w:p w14:paraId="31C6B0FB">
      <w:pPr>
        <w:jc w:val="center"/>
        <w:rPr>
          <w:rFonts w:hint="eastAsia" w:ascii="黑体" w:hAnsi="Times New Roman" w:eastAsia="黑体" w:cs="Times New Roman"/>
          <w:color w:val="auto"/>
          <w:sz w:val="28"/>
          <w:szCs w:val="28"/>
          <w:highlight w:val="none"/>
        </w:rPr>
      </w:pPr>
    </w:p>
    <w:p w14:paraId="1FA66B36">
      <w:pPr>
        <w:jc w:val="center"/>
        <w:rPr>
          <w:rFonts w:ascii="黑体" w:hAnsi="Times New Roman" w:eastAsia="黑体" w:cs="Times New Roman"/>
          <w:color w:val="auto"/>
          <w:sz w:val="28"/>
          <w:szCs w:val="28"/>
          <w:highlight w:val="none"/>
        </w:rPr>
      </w:pPr>
      <w:r>
        <w:rPr>
          <w:rFonts w:hint="eastAsia" w:ascii="黑体" w:hAnsi="Times New Roman" w:eastAsia="黑体" w:cs="Times New Roman"/>
          <w:color w:val="auto"/>
          <w:sz w:val="28"/>
          <w:szCs w:val="28"/>
          <w:highlight w:val="none"/>
        </w:rPr>
        <w:t>附录1   资格审查条件（资质最低条件）</w:t>
      </w:r>
    </w:p>
    <w:p w14:paraId="564326F3">
      <w:pPr>
        <w:pStyle w:val="66"/>
        <w:spacing w:line="300" w:lineRule="atLeast"/>
        <w:ind w:left="0" w:firstLine="0"/>
        <w:jc w:val="both"/>
        <w:rPr>
          <w:rFonts w:ascii="黑体" w:hAnsi="Times New Roman" w:eastAsia="黑体" w:cs="Times New Roman"/>
          <w:color w:val="auto"/>
          <w:sz w:val="28"/>
          <w:szCs w:val="28"/>
          <w:highlight w:val="none"/>
        </w:rPr>
      </w:pPr>
    </w:p>
    <w:tbl>
      <w:tblPr>
        <w:tblStyle w:val="86"/>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93"/>
        <w:gridCol w:w="8057"/>
      </w:tblGrid>
      <w:tr w14:paraId="288F002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64E5C2E4">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4089" w:type="pct"/>
            <w:tcBorders>
              <w:top w:val="single" w:color="000000" w:sz="4" w:space="0"/>
              <w:left w:val="single" w:color="000000" w:sz="4" w:space="0"/>
              <w:bottom w:val="single" w:color="000000" w:sz="4" w:space="0"/>
              <w:right w:val="single" w:color="000000" w:sz="4" w:space="0"/>
            </w:tcBorders>
            <w:vAlign w:val="center"/>
          </w:tcPr>
          <w:p w14:paraId="37934CD5">
            <w:pPr>
              <w:jc w:val="center"/>
              <w:rPr>
                <w:rFonts w:hint="eastAsia" w:ascii="宋体" w:hAnsi="宋体" w:cs="宋体"/>
                <w:color w:val="auto"/>
                <w:sz w:val="24"/>
                <w:highlight w:val="none"/>
              </w:rPr>
            </w:pPr>
            <w:r>
              <w:rPr>
                <w:rFonts w:hint="eastAsia" w:ascii="宋体" w:hAnsi="宋体" w:cs="宋体"/>
                <w:color w:val="auto"/>
                <w:sz w:val="24"/>
                <w:highlight w:val="none"/>
              </w:rPr>
              <w:t>企业资质等级要求</w:t>
            </w:r>
          </w:p>
        </w:tc>
      </w:tr>
      <w:tr w14:paraId="71299016">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10" w:type="pct"/>
            <w:tcBorders>
              <w:top w:val="single" w:color="000000" w:sz="4" w:space="0"/>
              <w:left w:val="single" w:color="000000" w:sz="4" w:space="0"/>
              <w:bottom w:val="single" w:color="000000" w:sz="4" w:space="0"/>
              <w:right w:val="single" w:color="000000" w:sz="4" w:space="0"/>
            </w:tcBorders>
            <w:vAlign w:val="center"/>
          </w:tcPr>
          <w:p w14:paraId="56D34253">
            <w:pPr>
              <w:jc w:val="center"/>
              <w:rPr>
                <w:color w:val="auto"/>
                <w:highlight w:val="none"/>
              </w:rPr>
            </w:pPr>
            <w:r>
              <w:rPr>
                <w:rFonts w:hint="eastAsia" w:ascii="宋体" w:hAnsi="宋体" w:cs="宋体"/>
                <w:bCs/>
                <w:color w:val="auto"/>
                <w:szCs w:val="21"/>
                <w:highlight w:val="none"/>
                <w:shd w:val="clear" w:color="auto" w:fill="FFFFFF"/>
                <w:lang w:eastAsia="zh-CN"/>
              </w:rPr>
              <w:t>G59 呼北高速公路张家界至官庄段 PPP 项目第二标段沅古坪服务区加油站安评、环评、职业病评价“三同时”咨询服务项目</w:t>
            </w:r>
          </w:p>
        </w:tc>
        <w:tc>
          <w:tcPr>
            <w:tcW w:w="4089" w:type="pct"/>
            <w:tcBorders>
              <w:top w:val="single" w:color="000000" w:sz="4" w:space="0"/>
              <w:left w:val="single" w:color="000000" w:sz="4" w:space="0"/>
              <w:bottom w:val="single" w:color="000000" w:sz="4" w:space="0"/>
              <w:right w:val="single" w:color="000000" w:sz="4" w:space="0"/>
            </w:tcBorders>
            <w:vAlign w:val="center"/>
          </w:tcPr>
          <w:p w14:paraId="3EC4EEE2">
            <w:pPr>
              <w:pStyle w:val="72"/>
              <w:numPr>
                <w:ilvl w:val="0"/>
                <w:numId w:val="0"/>
              </w:numPr>
              <w:ind w:leftChars="0"/>
              <w:rPr>
                <w:rFonts w:hint="eastAsia"/>
                <w:color w:val="auto"/>
                <w:highlight w:val="none"/>
                <w:lang w:val="zh-CN"/>
              </w:rPr>
            </w:pPr>
            <w:r>
              <w:rPr>
                <w:rFonts w:hint="eastAsia"/>
                <w:color w:val="auto"/>
                <w:highlight w:val="none"/>
                <w:lang w:val="zh-CN"/>
              </w:rPr>
              <w:t xml:space="preserve">一、具有独立法人资格，持有有效的营业执照（或事业单位法人证书或社会团体法人登；记证书） (供应商为企业的，还应具备组织机构代码证，按照“三证合一”或“五证合一”登记制度进行登记的，可仅提供营业执照副本)。 </w:t>
            </w:r>
          </w:p>
          <w:p w14:paraId="4901BB1A">
            <w:pPr>
              <w:pStyle w:val="72"/>
              <w:numPr>
                <w:ilvl w:val="0"/>
                <w:numId w:val="0"/>
              </w:numPr>
              <w:ind w:leftChars="0"/>
              <w:rPr>
                <w:rFonts w:hint="eastAsia"/>
                <w:color w:val="auto"/>
                <w:highlight w:val="none"/>
                <w:lang w:val="zh-CN"/>
              </w:rPr>
            </w:pPr>
            <w:r>
              <w:rPr>
                <w:rFonts w:hint="eastAsia"/>
                <w:color w:val="auto"/>
                <w:highlight w:val="none"/>
                <w:lang w:val="zh-CN"/>
              </w:rPr>
              <w:t>二、响应人应具备以下资质：</w:t>
            </w:r>
          </w:p>
          <w:p w14:paraId="1D1B45AB">
            <w:pPr>
              <w:pStyle w:val="72"/>
              <w:numPr>
                <w:ilvl w:val="0"/>
                <w:numId w:val="0"/>
              </w:numPr>
              <w:ind w:leftChars="0"/>
              <w:rPr>
                <w:rFonts w:hint="eastAsia"/>
                <w:color w:val="auto"/>
                <w:highlight w:val="none"/>
                <w:lang w:val="zh-CN"/>
              </w:rPr>
            </w:pPr>
            <w:r>
              <w:rPr>
                <w:rFonts w:hint="eastAsia"/>
                <w:color w:val="auto"/>
                <w:highlight w:val="none"/>
                <w:lang w:val="en-US" w:eastAsia="zh-CN"/>
              </w:rPr>
              <w:t>1</w:t>
            </w:r>
            <w:r>
              <w:rPr>
                <w:rFonts w:hint="eastAsia"/>
                <w:color w:val="auto"/>
                <w:highlight w:val="none"/>
                <w:lang w:val="zh-CN"/>
              </w:rPr>
              <w:t>、具有省应急管理厅颁发的安评资质证书，资质在有效期限之内；</w:t>
            </w:r>
          </w:p>
          <w:p w14:paraId="00CB1CC0">
            <w:pPr>
              <w:pStyle w:val="72"/>
              <w:numPr>
                <w:ilvl w:val="0"/>
                <w:numId w:val="0"/>
              </w:numPr>
              <w:ind w:leftChars="0"/>
              <w:rPr>
                <w:rFonts w:hint="eastAsia"/>
                <w:color w:val="auto"/>
                <w:highlight w:val="none"/>
                <w:lang w:val="zh-CN"/>
              </w:rPr>
            </w:pPr>
            <w:r>
              <w:rPr>
                <w:rFonts w:hint="eastAsia"/>
                <w:color w:val="auto"/>
                <w:highlight w:val="none"/>
                <w:lang w:val="en-US" w:eastAsia="zh-CN"/>
              </w:rPr>
              <w:t>2</w:t>
            </w:r>
            <w:r>
              <w:rPr>
                <w:rFonts w:hint="eastAsia"/>
                <w:color w:val="auto"/>
                <w:highlight w:val="none"/>
                <w:lang w:val="zh-CN"/>
              </w:rPr>
              <w:t>、具有省卫生健康委员会颁发的职业卫生技术服务机构资质证书，资质在有效期限之内；</w:t>
            </w:r>
          </w:p>
          <w:p w14:paraId="3B7E80F3">
            <w:pPr>
              <w:pStyle w:val="72"/>
              <w:numPr>
                <w:ilvl w:val="0"/>
                <w:numId w:val="0"/>
              </w:numPr>
              <w:ind w:leftChars="0"/>
              <w:rPr>
                <w:rFonts w:hint="eastAsia" w:eastAsia="宋体"/>
                <w:color w:val="auto"/>
                <w:highlight w:val="none"/>
                <w:lang w:val="en-US" w:eastAsia="zh-CN"/>
              </w:rPr>
            </w:pPr>
            <w:r>
              <w:rPr>
                <w:rFonts w:hint="eastAsia"/>
                <w:color w:val="auto"/>
                <w:highlight w:val="none"/>
                <w:lang w:val="zh-CN"/>
              </w:rPr>
              <w:t>三、响应人在国家环境影响评价信用平台完成注册登记并提供截图。</w:t>
            </w:r>
          </w:p>
        </w:tc>
      </w:tr>
    </w:tbl>
    <w:p w14:paraId="4574E21F">
      <w:pPr>
        <w:jc w:val="center"/>
        <w:rPr>
          <w:rFonts w:ascii="黑体" w:eastAsia="黑体"/>
          <w:color w:val="auto"/>
          <w:sz w:val="28"/>
          <w:szCs w:val="28"/>
          <w:highlight w:val="none"/>
        </w:rPr>
      </w:pPr>
      <w:bookmarkStart w:id="8" w:name="_Toc237060980"/>
      <w:bookmarkStart w:id="9" w:name="_Toc337747187"/>
      <w:bookmarkStart w:id="10" w:name="_Toc337561661"/>
    </w:p>
    <w:p w14:paraId="357D956A">
      <w:pPr>
        <w:jc w:val="center"/>
        <w:rPr>
          <w:rFonts w:ascii="黑体" w:eastAsia="黑体"/>
          <w:color w:val="auto"/>
          <w:sz w:val="28"/>
          <w:szCs w:val="28"/>
          <w:highlight w:val="none"/>
        </w:rPr>
      </w:pPr>
    </w:p>
    <w:p w14:paraId="47C28A58">
      <w:pPr>
        <w:jc w:val="center"/>
        <w:rPr>
          <w:rFonts w:ascii="黑体" w:eastAsia="黑体"/>
          <w:color w:val="auto"/>
          <w:sz w:val="28"/>
          <w:szCs w:val="28"/>
          <w:highlight w:val="none"/>
        </w:rPr>
      </w:pPr>
    </w:p>
    <w:p w14:paraId="1500F8CE">
      <w:pPr>
        <w:jc w:val="center"/>
        <w:rPr>
          <w:rFonts w:ascii="黑体" w:eastAsia="黑体"/>
          <w:color w:val="auto"/>
          <w:sz w:val="28"/>
          <w:szCs w:val="28"/>
          <w:highlight w:val="none"/>
        </w:rPr>
      </w:pPr>
    </w:p>
    <w:p w14:paraId="68AAEFC0">
      <w:pPr>
        <w:jc w:val="center"/>
        <w:rPr>
          <w:color w:val="auto"/>
          <w:highlight w:val="none"/>
        </w:rPr>
      </w:pPr>
      <w:r>
        <w:rPr>
          <w:rFonts w:hint="eastAsia" w:ascii="黑体" w:eastAsia="黑体"/>
          <w:color w:val="auto"/>
          <w:sz w:val="28"/>
          <w:szCs w:val="28"/>
          <w:highlight w:val="none"/>
        </w:rPr>
        <w:t xml:space="preserve">附录2   </w:t>
      </w:r>
      <w:bookmarkEnd w:id="8"/>
      <w:bookmarkEnd w:id="9"/>
      <w:bookmarkEnd w:id="10"/>
      <w:bookmarkStart w:id="11" w:name="_Toc337561662"/>
      <w:bookmarkStart w:id="12" w:name="_Toc337747188"/>
      <w:r>
        <w:rPr>
          <w:rFonts w:hint="eastAsia" w:ascii="黑体" w:eastAsia="黑体"/>
          <w:color w:val="auto"/>
          <w:sz w:val="28"/>
          <w:szCs w:val="28"/>
          <w:highlight w:val="none"/>
        </w:rPr>
        <w:t xml:space="preserve"> 资格审查条件（业绩最低条件）</w:t>
      </w:r>
      <w:bookmarkEnd w:id="11"/>
      <w:bookmarkEnd w:id="12"/>
    </w:p>
    <w:p w14:paraId="4D9552E8">
      <w:pPr>
        <w:pStyle w:val="148"/>
        <w:rPr>
          <w:color w:val="auto"/>
          <w:highlight w:val="none"/>
        </w:rPr>
      </w:pPr>
    </w:p>
    <w:tbl>
      <w:tblPr>
        <w:tblStyle w:val="86"/>
        <w:tblW w:w="4998"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61"/>
        <w:gridCol w:w="8189"/>
      </w:tblGrid>
      <w:tr w14:paraId="1319225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24ABB8B3">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4156" w:type="pct"/>
            <w:tcBorders>
              <w:top w:val="single" w:color="000000" w:sz="4" w:space="0"/>
              <w:left w:val="single" w:color="000000" w:sz="4" w:space="0"/>
              <w:bottom w:val="single" w:color="000000" w:sz="4" w:space="0"/>
              <w:right w:val="single" w:color="000000" w:sz="4" w:space="0"/>
            </w:tcBorders>
            <w:vAlign w:val="center"/>
          </w:tcPr>
          <w:p w14:paraId="11932E50">
            <w:pPr>
              <w:jc w:val="center"/>
              <w:rPr>
                <w:rFonts w:hint="eastAsia" w:ascii="宋体" w:hAnsi="宋体" w:cs="宋体"/>
                <w:color w:val="auto"/>
                <w:sz w:val="24"/>
                <w:highlight w:val="none"/>
              </w:rPr>
            </w:pPr>
            <w:r>
              <w:rPr>
                <w:rFonts w:hint="eastAsia" w:ascii="宋体" w:hAnsi="宋体" w:cs="宋体"/>
                <w:color w:val="auto"/>
                <w:sz w:val="24"/>
                <w:highlight w:val="none"/>
              </w:rPr>
              <w:t>业 绩 要 求</w:t>
            </w:r>
          </w:p>
        </w:tc>
      </w:tr>
      <w:tr w14:paraId="3001F54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5" w:hRule="atLeast"/>
          <w:jc w:val="center"/>
        </w:trPr>
        <w:tc>
          <w:tcPr>
            <w:tcW w:w="843" w:type="pct"/>
            <w:tcBorders>
              <w:top w:val="single" w:color="000000" w:sz="4" w:space="0"/>
              <w:left w:val="single" w:color="000000" w:sz="4" w:space="0"/>
              <w:bottom w:val="single" w:color="000000" w:sz="4" w:space="0"/>
              <w:right w:val="single" w:color="000000" w:sz="4" w:space="0"/>
            </w:tcBorders>
            <w:vAlign w:val="center"/>
          </w:tcPr>
          <w:p w14:paraId="3F43BFC9">
            <w:pPr>
              <w:jc w:val="center"/>
              <w:rPr>
                <w:rFonts w:hint="eastAsia" w:ascii="宋体" w:hAnsi="宋体" w:cs="宋体"/>
                <w:color w:val="auto"/>
                <w:szCs w:val="21"/>
                <w:highlight w:val="none"/>
              </w:rPr>
            </w:pPr>
            <w:r>
              <w:rPr>
                <w:rFonts w:hint="eastAsia" w:ascii="宋体" w:hAnsi="宋体" w:cs="宋体"/>
                <w:bCs/>
                <w:color w:val="auto"/>
                <w:szCs w:val="21"/>
                <w:highlight w:val="none"/>
                <w:shd w:val="clear" w:color="auto" w:fill="FFFFFF"/>
                <w:lang w:eastAsia="zh-CN"/>
              </w:rPr>
              <w:t>G59 呼北高速公路张家界至官庄段 PPP 项目第二标段沅古坪服务区加油站安评、环评、职业病评价“三同时”咨询服务项目</w:t>
            </w:r>
          </w:p>
        </w:tc>
        <w:tc>
          <w:tcPr>
            <w:tcW w:w="4156" w:type="pct"/>
            <w:tcBorders>
              <w:top w:val="single" w:color="000000" w:sz="4" w:space="0"/>
              <w:left w:val="single" w:color="000000" w:sz="4" w:space="0"/>
              <w:bottom w:val="single" w:color="000000" w:sz="4" w:space="0"/>
              <w:right w:val="single" w:color="000000" w:sz="4" w:space="0"/>
            </w:tcBorders>
            <w:vAlign w:val="center"/>
          </w:tcPr>
          <w:p w14:paraId="0F9C08C5">
            <w:pPr>
              <w:rPr>
                <w:rFonts w:hint="eastAsia" w:ascii="宋体" w:hAnsi="宋体" w:cs="宋体"/>
                <w:color w:val="auto"/>
                <w:szCs w:val="21"/>
                <w:highlight w:val="none"/>
              </w:rPr>
            </w:pPr>
            <w:r>
              <w:rPr>
                <w:rFonts w:hint="eastAsia" w:ascii="宋体" w:hAnsi="宋体" w:cs="宋体"/>
                <w:color w:val="auto"/>
                <w:szCs w:val="21"/>
                <w:highlight w:val="none"/>
                <w:lang w:val="zh-CN"/>
              </w:rPr>
              <w:t>近5年（指递交响应文件截止之日前一日回溯 5年，以</w:t>
            </w:r>
            <w:r>
              <w:rPr>
                <w:rFonts w:hint="eastAsia" w:ascii="宋体" w:hAnsi="宋体" w:cs="宋体"/>
                <w:color w:val="auto"/>
                <w:szCs w:val="21"/>
                <w:highlight w:val="none"/>
                <w:lang w:val="zh-CN" w:eastAsia="zh-CN"/>
              </w:rPr>
              <w:t>签订合同</w:t>
            </w:r>
            <w:r>
              <w:rPr>
                <w:rFonts w:hint="eastAsia" w:ascii="宋体" w:hAnsi="宋体" w:cs="宋体"/>
                <w:color w:val="auto"/>
                <w:szCs w:val="21"/>
                <w:highlight w:val="none"/>
                <w:lang w:val="zh-CN"/>
              </w:rPr>
              <w:t>时间为准）至少</w:t>
            </w:r>
            <w:r>
              <w:rPr>
                <w:rFonts w:hint="eastAsia" w:ascii="宋体" w:hAnsi="宋体" w:cs="宋体"/>
                <w:color w:val="auto"/>
                <w:szCs w:val="21"/>
                <w:highlight w:val="none"/>
                <w:lang w:val="zh-CN" w:eastAsia="zh-CN"/>
              </w:rPr>
              <w:t>承担过</w:t>
            </w:r>
            <w:r>
              <w:rPr>
                <w:rFonts w:hint="eastAsia" w:ascii="宋体" w:hAnsi="宋体" w:cs="宋体"/>
                <w:color w:val="auto"/>
                <w:szCs w:val="21"/>
                <w:highlight w:val="none"/>
                <w:lang w:val="zh-CN"/>
              </w:rPr>
              <w:t>1个加油站安全性评价项目和加油站环境评价项目和加油站职业病职业危害防治与评价项目业绩。</w:t>
            </w:r>
          </w:p>
          <w:p w14:paraId="1D7B3081">
            <w:pPr>
              <w:rPr>
                <w:rFonts w:hint="eastAsia" w:ascii="宋体" w:hAnsi="宋体" w:cs="宋体"/>
                <w:color w:val="auto"/>
                <w:szCs w:val="21"/>
                <w:highlight w:val="none"/>
                <w:lang w:val="en-US" w:eastAsia="zh-CN"/>
              </w:rPr>
            </w:pP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1、业绩证明材料须提供合同/订单，如合同/订单无法证实业绩满足采购文件要求，还须提供委托人出具的证明材料，证明材料应附联系人姓名及联系方式）。</w:t>
            </w:r>
          </w:p>
          <w:p w14:paraId="16FE00D7">
            <w:pPr>
              <w:numPr>
                <w:ilvl w:val="0"/>
                <w:numId w:val="15"/>
              </w:num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业绩计算以签订合同时间为准。</w:t>
            </w:r>
          </w:p>
          <w:p w14:paraId="78AAF94D">
            <w:pPr>
              <w:numPr>
                <w:ilvl w:val="0"/>
                <w:numId w:val="15"/>
              </w:numPr>
              <w:rPr>
                <w:rFonts w:hint="eastAsia" w:ascii="宋体" w:hAnsi="宋体" w:cs="宋体"/>
                <w:color w:val="FF0000"/>
                <w:szCs w:val="21"/>
                <w:highlight w:val="none"/>
                <w:lang w:val="en-US" w:eastAsia="zh-CN"/>
              </w:rPr>
            </w:pPr>
            <w:r>
              <w:rPr>
                <w:rFonts w:hint="eastAsia" w:ascii="宋体" w:hAnsi="宋体" w:cs="宋体"/>
                <w:color w:val="auto"/>
                <w:szCs w:val="21"/>
                <w:highlight w:val="none"/>
                <w:lang w:val="en-US" w:eastAsia="zh-CN"/>
              </w:rPr>
              <w:t>如单个合同无法同时体现三同时的（</w:t>
            </w:r>
            <w:r>
              <w:rPr>
                <w:rFonts w:hint="eastAsia" w:ascii="宋体" w:hAnsi="宋体" w:cs="宋体"/>
                <w:color w:val="auto"/>
                <w:szCs w:val="21"/>
                <w:highlight w:val="none"/>
              </w:rPr>
              <w:t>环保+职卫+安评三同时的</w:t>
            </w:r>
            <w:r>
              <w:rPr>
                <w:rFonts w:hint="eastAsia" w:ascii="宋体" w:hAnsi="宋体" w:cs="宋体"/>
                <w:color w:val="auto"/>
                <w:szCs w:val="21"/>
                <w:highlight w:val="none"/>
                <w:lang w:val="en-US" w:eastAsia="zh-CN"/>
              </w:rPr>
              <w:t>），亦可分别提供相关业绩。如联合体投标的可以按各自承担的服务内容提供相关的业绩。</w:t>
            </w:r>
          </w:p>
          <w:p w14:paraId="2D7EB72E">
            <w:pP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4、如近年来，响应人法人机构发生合法变更或重组或法人名称变更时，应提供相关部门的合法批件或其他相关证明材料来证明其所附业绩的继承性。</w:t>
            </w:r>
          </w:p>
        </w:tc>
      </w:tr>
    </w:tbl>
    <w:p w14:paraId="2EB9A106">
      <w:pPr>
        <w:jc w:val="center"/>
        <w:rPr>
          <w:rFonts w:ascii="黑体" w:eastAsia="黑体"/>
          <w:color w:val="auto"/>
          <w:sz w:val="28"/>
          <w:szCs w:val="28"/>
          <w:highlight w:val="none"/>
        </w:rPr>
      </w:pPr>
      <w:bookmarkStart w:id="13" w:name="_Toc12182"/>
      <w:bookmarkStart w:id="14" w:name="_Toc337561663"/>
      <w:bookmarkStart w:id="15" w:name="_Toc21791"/>
      <w:bookmarkStart w:id="16" w:name="_Toc337747189"/>
    </w:p>
    <w:p w14:paraId="1ABD6F3B">
      <w:pPr>
        <w:jc w:val="center"/>
        <w:rPr>
          <w:rFonts w:ascii="黑体" w:eastAsia="黑体"/>
          <w:color w:val="auto"/>
          <w:sz w:val="28"/>
          <w:szCs w:val="28"/>
          <w:highlight w:val="none"/>
        </w:rPr>
      </w:pPr>
    </w:p>
    <w:p w14:paraId="4B899111">
      <w:pPr>
        <w:jc w:val="center"/>
        <w:rPr>
          <w:rFonts w:ascii="黑体" w:eastAsia="黑体"/>
          <w:color w:val="auto"/>
          <w:sz w:val="28"/>
          <w:szCs w:val="28"/>
          <w:highlight w:val="none"/>
        </w:rPr>
      </w:pPr>
    </w:p>
    <w:p w14:paraId="0A684454">
      <w:pPr>
        <w:jc w:val="center"/>
        <w:rPr>
          <w:rFonts w:ascii="黑体" w:eastAsia="黑体"/>
          <w:color w:val="auto"/>
          <w:sz w:val="28"/>
          <w:szCs w:val="28"/>
          <w:highlight w:val="none"/>
        </w:rPr>
      </w:pPr>
    </w:p>
    <w:p w14:paraId="508C9FC0">
      <w:pPr>
        <w:jc w:val="center"/>
        <w:rPr>
          <w:rFonts w:ascii="黑体" w:eastAsia="黑体"/>
          <w:color w:val="auto"/>
          <w:sz w:val="28"/>
          <w:szCs w:val="28"/>
          <w:highlight w:val="none"/>
        </w:rPr>
      </w:pPr>
    </w:p>
    <w:p w14:paraId="6A657F83">
      <w:pPr>
        <w:rPr>
          <w:color w:val="auto"/>
          <w:highlight w:val="none"/>
        </w:rPr>
      </w:pPr>
    </w:p>
    <w:p w14:paraId="544EA50B">
      <w:pPr>
        <w:rPr>
          <w:color w:val="auto"/>
          <w:highlight w:val="none"/>
        </w:rPr>
      </w:pPr>
    </w:p>
    <w:p w14:paraId="4BEFD1B9">
      <w:pPr>
        <w:rPr>
          <w:color w:val="auto"/>
          <w:highlight w:val="none"/>
        </w:rPr>
      </w:pPr>
    </w:p>
    <w:p w14:paraId="50E69731">
      <w:pPr>
        <w:rPr>
          <w:color w:val="auto"/>
          <w:highlight w:val="none"/>
        </w:rPr>
      </w:pPr>
    </w:p>
    <w:p w14:paraId="4A034816">
      <w:pPr>
        <w:jc w:val="center"/>
        <w:rPr>
          <w:rFonts w:ascii="黑体" w:eastAsia="黑体"/>
          <w:color w:val="auto"/>
          <w:sz w:val="28"/>
          <w:szCs w:val="28"/>
          <w:highlight w:val="none"/>
        </w:rPr>
      </w:pPr>
      <w:r>
        <w:rPr>
          <w:rFonts w:hint="eastAsia" w:ascii="黑体" w:eastAsia="黑体"/>
          <w:color w:val="auto"/>
          <w:sz w:val="28"/>
          <w:szCs w:val="28"/>
          <w:highlight w:val="none"/>
        </w:rPr>
        <w:t>附录3   资格审查条件（信誉最低条件）</w:t>
      </w:r>
      <w:bookmarkEnd w:id="13"/>
      <w:bookmarkEnd w:id="14"/>
      <w:bookmarkEnd w:id="15"/>
      <w:bookmarkEnd w:id="16"/>
    </w:p>
    <w:p w14:paraId="7B6AE4CA">
      <w:pPr>
        <w:pStyle w:val="72"/>
        <w:ind w:left="840" w:hanging="420"/>
        <w:rPr>
          <w:color w:val="auto"/>
          <w:highlight w:val="none"/>
        </w:rPr>
      </w:pPr>
    </w:p>
    <w:tbl>
      <w:tblPr>
        <w:tblStyle w:val="86"/>
        <w:tblW w:w="4974"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8"/>
        <w:gridCol w:w="8385"/>
      </w:tblGrid>
      <w:tr w14:paraId="44B969A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45"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25AF8376">
            <w:pPr>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4276" w:type="pct"/>
            <w:tcBorders>
              <w:top w:val="single" w:color="000000" w:sz="4" w:space="0"/>
              <w:left w:val="single" w:color="000000" w:sz="4" w:space="0"/>
              <w:bottom w:val="single" w:color="000000" w:sz="4" w:space="0"/>
              <w:right w:val="single" w:color="000000" w:sz="4" w:space="0"/>
            </w:tcBorders>
            <w:vAlign w:val="center"/>
          </w:tcPr>
          <w:p w14:paraId="60998E2A">
            <w:pPr>
              <w:jc w:val="center"/>
              <w:rPr>
                <w:rFonts w:hint="eastAsia" w:ascii="宋体" w:hAnsi="宋体" w:cs="宋体"/>
                <w:color w:val="auto"/>
                <w:sz w:val="24"/>
                <w:highlight w:val="none"/>
              </w:rPr>
            </w:pPr>
            <w:r>
              <w:rPr>
                <w:rFonts w:hint="eastAsia" w:ascii="宋体" w:hAnsi="宋体" w:cs="宋体"/>
                <w:color w:val="auto"/>
                <w:sz w:val="24"/>
                <w:highlight w:val="none"/>
              </w:rPr>
              <w:t>信 誉 要 求</w:t>
            </w:r>
          </w:p>
        </w:tc>
      </w:tr>
      <w:tr w14:paraId="72AF7D3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470" w:hRule="atLeast"/>
          <w:jc w:val="center"/>
        </w:trPr>
        <w:tc>
          <w:tcPr>
            <w:tcW w:w="723" w:type="pct"/>
            <w:tcBorders>
              <w:top w:val="single" w:color="000000" w:sz="4" w:space="0"/>
              <w:left w:val="single" w:color="000000" w:sz="4" w:space="0"/>
              <w:bottom w:val="single" w:color="000000" w:sz="4" w:space="0"/>
              <w:right w:val="single" w:color="000000" w:sz="4" w:space="0"/>
            </w:tcBorders>
            <w:vAlign w:val="center"/>
          </w:tcPr>
          <w:p w14:paraId="7FF26B27">
            <w:pPr>
              <w:jc w:val="center"/>
              <w:rPr>
                <w:rFonts w:hint="eastAsia" w:ascii="宋体" w:hAnsi="宋体" w:cs="宋体"/>
                <w:color w:val="auto"/>
                <w:szCs w:val="21"/>
                <w:highlight w:val="none"/>
              </w:rPr>
            </w:pPr>
            <w:r>
              <w:rPr>
                <w:rFonts w:hint="eastAsia" w:ascii="宋体" w:hAnsi="宋体" w:cs="宋体"/>
                <w:bCs/>
                <w:color w:val="auto"/>
                <w:szCs w:val="21"/>
                <w:highlight w:val="none"/>
                <w:shd w:val="clear" w:color="auto" w:fill="FFFFFF"/>
                <w:lang w:eastAsia="zh-CN"/>
              </w:rPr>
              <w:t>G59 呼北高速公路张家界至官庄段 PPP 项目第二标段沅古坪服务区加油站安评、环评、职业病评价“三同时”咨询服务项目</w:t>
            </w:r>
          </w:p>
        </w:tc>
        <w:tc>
          <w:tcPr>
            <w:tcW w:w="4276" w:type="pct"/>
            <w:tcBorders>
              <w:top w:val="single" w:color="000000" w:sz="4" w:space="0"/>
              <w:left w:val="single" w:color="000000" w:sz="4" w:space="0"/>
              <w:bottom w:val="single" w:color="000000" w:sz="4" w:space="0"/>
              <w:right w:val="single" w:color="000000" w:sz="4" w:space="0"/>
            </w:tcBorders>
            <w:vAlign w:val="center"/>
          </w:tcPr>
          <w:p w14:paraId="32F270DA">
            <w:pPr>
              <w:widowControl w:val="0"/>
              <w:numPr>
                <w:ilvl w:val="0"/>
                <w:numId w:val="0"/>
              </w:numPr>
              <w:spacing w:line="360" w:lineRule="auto"/>
              <w:jc w:val="left"/>
              <w:rPr>
                <w:rStyle w:val="129"/>
                <w:rFonts w:hint="eastAsia" w:ascii="宋体" w:hAnsi="宋体" w:cs="宋体"/>
                <w:b w:val="0"/>
                <w:color w:val="auto"/>
                <w:szCs w:val="21"/>
                <w:highlight w:val="none"/>
                <w:u w:val="single"/>
              </w:rPr>
            </w:pPr>
            <w:r>
              <w:rPr>
                <w:rFonts w:hint="eastAsia" w:ascii="宋体" w:hAnsi="宋体" w:cs="宋体"/>
                <w:b w:val="0"/>
                <w:bCs/>
                <w:color w:val="auto"/>
                <w:kern w:val="2"/>
                <w:sz w:val="21"/>
                <w:szCs w:val="21"/>
                <w:highlight w:val="none"/>
                <w:lang w:val="en-US" w:eastAsia="zh-CN" w:bidi="ar-SA"/>
              </w:rPr>
              <w:t xml:space="preserve"> </w:t>
            </w:r>
          </w:p>
          <w:p w14:paraId="224DAC93">
            <w:pPr>
              <w:widowControl w:val="0"/>
              <w:numPr>
                <w:ilvl w:val="0"/>
                <w:numId w:val="16"/>
              </w:numPr>
              <w:spacing w:line="360" w:lineRule="auto"/>
              <w:ind w:left="105" w:leftChars="0" w:firstLine="0" w:firstLineChars="0"/>
              <w:jc w:val="left"/>
              <w:rPr>
                <w:rStyle w:val="129"/>
                <w:rFonts w:hint="eastAsia" w:ascii="宋体" w:hAnsi="宋体" w:cs="宋体"/>
                <w:b w:val="0"/>
                <w:color w:val="auto"/>
                <w:szCs w:val="21"/>
                <w:highlight w:val="none"/>
                <w:u w:val="single"/>
                <w:lang w:val="en-US" w:eastAsia="zh-CN"/>
              </w:rPr>
            </w:pPr>
            <w:r>
              <w:rPr>
                <w:rStyle w:val="129"/>
                <w:rFonts w:hint="eastAsia" w:ascii="宋体" w:hAnsi="宋体" w:cs="宋体"/>
                <w:b w:val="0"/>
                <w:color w:val="auto"/>
                <w:szCs w:val="21"/>
                <w:highlight w:val="none"/>
                <w:u w:val="single"/>
                <w:lang w:val="en-US" w:eastAsia="zh-CN"/>
              </w:rPr>
              <w:t>未在国家企业信用信息公示系统（http://www.gsxt.gov.cn）中被列入严重违法失信企业名单或未在“信用中国”网站（www.creditchina.gov.cn）中被列入失信被执行人名单。</w:t>
            </w:r>
          </w:p>
          <w:p w14:paraId="6716B9C3">
            <w:pPr>
              <w:widowControl w:val="0"/>
              <w:numPr>
                <w:ilvl w:val="0"/>
                <w:numId w:val="16"/>
              </w:numPr>
              <w:spacing w:line="360" w:lineRule="auto"/>
              <w:ind w:left="105" w:leftChars="0" w:firstLine="0" w:firstLineChars="0"/>
              <w:jc w:val="left"/>
              <w:rPr>
                <w:rStyle w:val="129"/>
                <w:rFonts w:hint="eastAsia" w:ascii="宋体" w:hAnsi="宋体" w:cs="宋体"/>
                <w:b w:val="0"/>
                <w:color w:val="auto"/>
                <w:szCs w:val="21"/>
                <w:highlight w:val="none"/>
                <w:u w:val="single"/>
                <w:lang w:val="en-US" w:eastAsia="zh-CN"/>
              </w:rPr>
            </w:pPr>
            <w:r>
              <w:rPr>
                <w:rStyle w:val="129"/>
                <w:rFonts w:hint="eastAsia" w:ascii="宋体" w:hAnsi="宋体" w:cs="宋体"/>
                <w:b w:val="0"/>
                <w:color w:val="auto"/>
                <w:szCs w:val="21"/>
                <w:highlight w:val="none"/>
                <w:u w:val="single"/>
                <w:lang w:val="en-US" w:eastAsia="zh-CN"/>
              </w:rPr>
              <w:t>近三年履约情况良好，无不良记录。</w:t>
            </w:r>
          </w:p>
          <w:p w14:paraId="2C0123E6">
            <w:pPr>
              <w:jc w:val="left"/>
              <w:rPr>
                <w:rFonts w:hint="eastAsia" w:ascii="宋体" w:hAnsi="宋体" w:cs="宋体"/>
                <w:color w:val="auto"/>
                <w:szCs w:val="21"/>
                <w:highlight w:val="none"/>
              </w:rPr>
            </w:pPr>
            <w:r>
              <w:rPr>
                <w:rStyle w:val="129"/>
                <w:rFonts w:hint="eastAsia" w:ascii="宋体" w:hAnsi="宋体" w:cs="宋体"/>
                <w:b w:val="0"/>
                <w:color w:val="auto"/>
                <w:szCs w:val="21"/>
                <w:highlight w:val="none"/>
                <w:u w:val="single"/>
                <w:lang w:val="en-US" w:eastAsia="zh-CN"/>
              </w:rPr>
              <w:t>3.没有处于被责令停业、财产被接管、冻结。</w:t>
            </w:r>
          </w:p>
        </w:tc>
      </w:tr>
    </w:tbl>
    <w:p w14:paraId="0B91B13A">
      <w:pPr>
        <w:jc w:val="center"/>
        <w:rPr>
          <w:rFonts w:ascii="黑体" w:eastAsia="黑体"/>
          <w:color w:val="auto"/>
          <w:sz w:val="28"/>
          <w:szCs w:val="28"/>
          <w:highlight w:val="none"/>
        </w:rPr>
      </w:pPr>
      <w:bookmarkStart w:id="17" w:name="_Toc337747190"/>
      <w:bookmarkStart w:id="18" w:name="_Toc337561664"/>
    </w:p>
    <w:p w14:paraId="78B1B2DC">
      <w:pPr>
        <w:rPr>
          <w:rFonts w:hint="eastAsia" w:ascii="黑体" w:eastAsia="黑体"/>
          <w:color w:val="auto"/>
          <w:sz w:val="28"/>
          <w:szCs w:val="28"/>
          <w:highlight w:val="none"/>
        </w:rPr>
      </w:pPr>
    </w:p>
    <w:p w14:paraId="225A469C">
      <w:pPr>
        <w:rPr>
          <w:rFonts w:hint="eastAsia" w:ascii="黑体" w:eastAsia="黑体"/>
          <w:color w:val="auto"/>
          <w:sz w:val="28"/>
          <w:szCs w:val="28"/>
          <w:highlight w:val="none"/>
        </w:rPr>
      </w:pPr>
    </w:p>
    <w:p w14:paraId="6E268642">
      <w:pPr>
        <w:rPr>
          <w:rFonts w:hint="eastAsia" w:ascii="黑体" w:eastAsia="黑体"/>
          <w:color w:val="auto"/>
          <w:sz w:val="28"/>
          <w:szCs w:val="28"/>
          <w:highlight w:val="none"/>
        </w:rPr>
      </w:pPr>
    </w:p>
    <w:p w14:paraId="1C901553">
      <w:pPr>
        <w:rPr>
          <w:rFonts w:hint="eastAsia" w:ascii="黑体" w:eastAsia="黑体"/>
          <w:color w:val="auto"/>
          <w:sz w:val="28"/>
          <w:szCs w:val="28"/>
          <w:highlight w:val="none"/>
        </w:rPr>
      </w:pPr>
    </w:p>
    <w:p w14:paraId="4C4B4803">
      <w:pPr>
        <w:rPr>
          <w:rFonts w:hint="eastAsia" w:ascii="黑体" w:eastAsia="黑体"/>
          <w:color w:val="auto"/>
          <w:sz w:val="28"/>
          <w:szCs w:val="28"/>
          <w:highlight w:val="none"/>
        </w:rPr>
      </w:pPr>
    </w:p>
    <w:p w14:paraId="56BDDEC0">
      <w:pPr>
        <w:rPr>
          <w:rFonts w:hint="eastAsia" w:ascii="黑体" w:eastAsia="黑体"/>
          <w:color w:val="auto"/>
          <w:sz w:val="28"/>
          <w:szCs w:val="28"/>
          <w:highlight w:val="none"/>
        </w:rPr>
      </w:pPr>
    </w:p>
    <w:p w14:paraId="125A1719">
      <w:pPr>
        <w:jc w:val="center"/>
        <w:rPr>
          <w:rFonts w:ascii="黑体" w:eastAsia="黑体"/>
          <w:color w:val="auto"/>
          <w:sz w:val="28"/>
          <w:szCs w:val="28"/>
          <w:highlight w:val="none"/>
        </w:rPr>
      </w:pPr>
      <w:r>
        <w:rPr>
          <w:rFonts w:hint="eastAsia" w:ascii="黑体" w:eastAsia="黑体"/>
          <w:color w:val="auto"/>
          <w:sz w:val="28"/>
          <w:szCs w:val="28"/>
          <w:highlight w:val="none"/>
          <w:lang w:val="en-US" w:eastAsia="zh-CN"/>
        </w:rPr>
        <w:t xml:space="preserve"> </w:t>
      </w:r>
      <w:r>
        <w:rPr>
          <w:rFonts w:hint="eastAsia" w:ascii="黑体" w:eastAsia="黑体"/>
          <w:color w:val="auto"/>
          <w:sz w:val="28"/>
          <w:szCs w:val="28"/>
          <w:highlight w:val="none"/>
        </w:rPr>
        <w:t>附录4   资格审查条件（项目负责人最低要求）</w:t>
      </w:r>
      <w:bookmarkEnd w:id="17"/>
      <w:bookmarkEnd w:id="18"/>
    </w:p>
    <w:p w14:paraId="58DD6E46">
      <w:pPr>
        <w:pStyle w:val="148"/>
        <w:ind w:left="0" w:firstLine="0"/>
        <w:rPr>
          <w:color w:val="auto"/>
          <w:highlight w:val="none"/>
        </w:rPr>
      </w:pPr>
    </w:p>
    <w:tbl>
      <w:tblPr>
        <w:tblStyle w:val="86"/>
        <w:tblW w:w="4883"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21"/>
        <w:gridCol w:w="838"/>
        <w:gridCol w:w="4976"/>
        <w:gridCol w:w="1788"/>
      </w:tblGrid>
      <w:tr w14:paraId="4B62B8A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147"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408A4E98">
            <w:pPr>
              <w:jc w:val="center"/>
              <w:rPr>
                <w:rFonts w:hint="eastAsia" w:ascii="宋体" w:hAnsi="宋体" w:cs="宋体"/>
                <w:color w:val="auto"/>
                <w:sz w:val="24"/>
                <w:highlight w:val="none"/>
              </w:rPr>
            </w:pPr>
            <w:r>
              <w:rPr>
                <w:rFonts w:hint="eastAsia" w:ascii="宋体" w:hAnsi="宋体" w:cs="宋体"/>
                <w:color w:val="auto"/>
                <w:sz w:val="24"/>
                <w:highlight w:val="none"/>
              </w:rPr>
              <w:t>人员</w:t>
            </w:r>
          </w:p>
        </w:tc>
        <w:tc>
          <w:tcPr>
            <w:tcW w:w="434" w:type="pct"/>
            <w:tcBorders>
              <w:top w:val="single" w:color="000000" w:sz="4" w:space="0"/>
              <w:left w:val="single" w:color="000000" w:sz="4" w:space="0"/>
              <w:bottom w:val="single" w:color="000000" w:sz="4" w:space="0"/>
              <w:right w:val="single" w:color="000000" w:sz="4" w:space="0"/>
            </w:tcBorders>
            <w:vAlign w:val="center"/>
          </w:tcPr>
          <w:p w14:paraId="0836C1F8">
            <w:pPr>
              <w:jc w:val="center"/>
              <w:rPr>
                <w:rFonts w:hint="eastAsia" w:ascii="宋体" w:hAnsi="宋体" w:cs="宋体"/>
                <w:color w:val="auto"/>
                <w:sz w:val="24"/>
                <w:highlight w:val="none"/>
              </w:rPr>
            </w:pPr>
            <w:r>
              <w:rPr>
                <w:rFonts w:hint="eastAsia" w:ascii="宋体" w:hAnsi="宋体" w:cs="宋体"/>
                <w:color w:val="auto"/>
                <w:sz w:val="24"/>
                <w:highlight w:val="none"/>
              </w:rPr>
              <w:t>数量</w:t>
            </w:r>
          </w:p>
        </w:tc>
        <w:tc>
          <w:tcPr>
            <w:tcW w:w="2585" w:type="pct"/>
            <w:tcBorders>
              <w:top w:val="single" w:color="000000" w:sz="4" w:space="0"/>
              <w:left w:val="single" w:color="000000" w:sz="4" w:space="0"/>
              <w:bottom w:val="single" w:color="000000" w:sz="4" w:space="0"/>
              <w:right w:val="single" w:color="000000" w:sz="4" w:space="0"/>
            </w:tcBorders>
            <w:vAlign w:val="center"/>
          </w:tcPr>
          <w:p w14:paraId="3E9ED983">
            <w:pPr>
              <w:jc w:val="center"/>
              <w:rPr>
                <w:rFonts w:hint="eastAsia" w:ascii="宋体" w:hAnsi="宋体" w:cs="宋体"/>
                <w:color w:val="auto"/>
                <w:sz w:val="24"/>
                <w:highlight w:val="none"/>
              </w:rPr>
            </w:pPr>
            <w:r>
              <w:rPr>
                <w:rFonts w:hint="eastAsia" w:ascii="宋体" w:hAnsi="宋体" w:cs="宋体"/>
                <w:color w:val="auto"/>
                <w:sz w:val="24"/>
                <w:highlight w:val="none"/>
              </w:rPr>
              <w:t>资 格 要 求</w:t>
            </w:r>
          </w:p>
        </w:tc>
        <w:tc>
          <w:tcPr>
            <w:tcW w:w="929" w:type="pct"/>
            <w:tcBorders>
              <w:top w:val="single" w:color="000000" w:sz="4" w:space="0"/>
              <w:left w:val="single" w:color="000000" w:sz="4" w:space="0"/>
              <w:bottom w:val="single" w:color="000000" w:sz="4" w:space="0"/>
              <w:right w:val="single" w:color="000000" w:sz="4" w:space="0"/>
            </w:tcBorders>
            <w:vAlign w:val="center"/>
          </w:tcPr>
          <w:p w14:paraId="5A27DA60">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7A3119CE">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2235" w:hRule="atLeast"/>
          <w:jc w:val="center"/>
        </w:trPr>
        <w:tc>
          <w:tcPr>
            <w:tcW w:w="1050" w:type="pct"/>
            <w:tcBorders>
              <w:top w:val="single" w:color="000000" w:sz="4" w:space="0"/>
              <w:left w:val="single" w:color="000000" w:sz="4" w:space="0"/>
              <w:bottom w:val="single" w:color="000000" w:sz="4" w:space="0"/>
              <w:right w:val="single" w:color="000000" w:sz="4" w:space="0"/>
            </w:tcBorders>
            <w:vAlign w:val="center"/>
          </w:tcPr>
          <w:p w14:paraId="610C6103">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w:t>
            </w:r>
          </w:p>
        </w:tc>
        <w:tc>
          <w:tcPr>
            <w:tcW w:w="434" w:type="pct"/>
            <w:tcBorders>
              <w:top w:val="single" w:color="000000" w:sz="4" w:space="0"/>
              <w:left w:val="single" w:color="000000" w:sz="4" w:space="0"/>
              <w:bottom w:val="single" w:color="000000" w:sz="4" w:space="0"/>
              <w:right w:val="single" w:color="000000" w:sz="4" w:space="0"/>
            </w:tcBorders>
            <w:vAlign w:val="center"/>
          </w:tcPr>
          <w:p w14:paraId="2F745E82">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585" w:type="pct"/>
            <w:tcBorders>
              <w:top w:val="single" w:color="000000" w:sz="4" w:space="0"/>
              <w:left w:val="single" w:color="000000" w:sz="4" w:space="0"/>
              <w:bottom w:val="single" w:color="000000" w:sz="4" w:space="0"/>
              <w:right w:val="single" w:color="000000" w:sz="4" w:space="0"/>
            </w:tcBorders>
            <w:vAlign w:val="center"/>
          </w:tcPr>
          <w:p w14:paraId="1791CC2E">
            <w:pPr>
              <w:widowControl w:val="0"/>
              <w:spacing w:line="360" w:lineRule="auto"/>
              <w:jc w:val="both"/>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拟委派本项目的项目负责人应具备：</w:t>
            </w:r>
          </w:p>
          <w:p w14:paraId="78F5DFDF">
            <w:pPr>
              <w:jc w:val="both"/>
              <w:rPr>
                <w:rFonts w:hint="eastAsia" w:ascii="宋体" w:hAnsi="宋体" w:cs="宋体"/>
                <w:color w:val="auto"/>
                <w:szCs w:val="21"/>
                <w:highlight w:val="none"/>
                <w:u w:val="single"/>
              </w:rPr>
            </w:pPr>
            <w:r>
              <w:rPr>
                <w:rFonts w:hint="eastAsia" w:ascii="宋体" w:hAnsi="宋体" w:cs="宋体"/>
                <w:color w:val="auto"/>
                <w:szCs w:val="21"/>
                <w:highlight w:val="none"/>
                <w:u w:val="single"/>
              </w:rPr>
              <w:t>项目负责人具有环评师或高级职称。近5年（指递交响应文件截止之日前一日回溯 5年，以</w:t>
            </w:r>
            <w:r>
              <w:rPr>
                <w:rFonts w:hint="eastAsia" w:ascii="宋体" w:hAnsi="宋体" w:cs="宋体"/>
                <w:color w:val="auto"/>
                <w:szCs w:val="21"/>
                <w:highlight w:val="none"/>
                <w:u w:val="single"/>
                <w:lang w:eastAsia="zh-CN"/>
              </w:rPr>
              <w:t>签订合同</w:t>
            </w:r>
            <w:r>
              <w:rPr>
                <w:rFonts w:hint="eastAsia" w:ascii="宋体" w:hAnsi="宋体" w:cs="宋体"/>
                <w:color w:val="auto"/>
                <w:szCs w:val="21"/>
                <w:highlight w:val="none"/>
                <w:u w:val="single"/>
              </w:rPr>
              <w:t>时间为</w:t>
            </w:r>
            <w:r>
              <w:rPr>
                <w:rFonts w:hint="eastAsia" w:ascii="宋体" w:hAnsi="宋体" w:cs="宋体"/>
                <w:color w:val="auto"/>
                <w:szCs w:val="21"/>
                <w:highlight w:val="none"/>
                <w:u w:val="single"/>
                <w:lang w:val="zh-CN"/>
              </w:rPr>
              <w:t>准</w:t>
            </w:r>
            <w:r>
              <w:rPr>
                <w:rFonts w:hint="eastAsia" w:ascii="宋体" w:hAnsi="宋体" w:cs="宋体"/>
                <w:color w:val="auto"/>
                <w:szCs w:val="21"/>
                <w:highlight w:val="none"/>
                <w:u w:val="single"/>
              </w:rPr>
              <w:t>）至少</w:t>
            </w:r>
            <w:r>
              <w:rPr>
                <w:rFonts w:hint="eastAsia" w:ascii="宋体" w:hAnsi="宋体" w:cs="宋体"/>
                <w:color w:val="auto"/>
                <w:szCs w:val="21"/>
                <w:highlight w:val="none"/>
                <w:u w:val="single"/>
                <w:lang w:eastAsia="zh-CN"/>
              </w:rPr>
              <w:t>承担过</w:t>
            </w:r>
            <w:r>
              <w:rPr>
                <w:rFonts w:hint="eastAsia" w:ascii="宋体" w:hAnsi="宋体" w:cs="宋体"/>
                <w:color w:val="auto"/>
                <w:szCs w:val="21"/>
                <w:highlight w:val="none"/>
                <w:u w:val="single"/>
              </w:rPr>
              <w:t>1个加油站安全评价项目</w:t>
            </w:r>
            <w:r>
              <w:rPr>
                <w:rFonts w:hint="eastAsia" w:ascii="宋体" w:hAnsi="宋体" w:cs="宋体"/>
                <w:color w:val="auto"/>
                <w:szCs w:val="21"/>
                <w:highlight w:val="none"/>
                <w:u w:val="single"/>
                <w:lang w:val="en-US" w:eastAsia="zh-CN"/>
              </w:rPr>
              <w:t>的项目负责人或技术负责人</w:t>
            </w:r>
            <w:r>
              <w:rPr>
                <w:rFonts w:hint="eastAsia" w:ascii="宋体" w:hAnsi="宋体" w:cs="宋体"/>
                <w:color w:val="auto"/>
                <w:szCs w:val="21"/>
                <w:highlight w:val="none"/>
                <w:u w:val="single"/>
              </w:rPr>
              <w:t>业绩。</w:t>
            </w:r>
          </w:p>
          <w:p w14:paraId="62BEC1D5">
            <w:pPr>
              <w:jc w:val="both"/>
              <w:rPr>
                <w:rFonts w:hint="eastAsia" w:ascii="宋体" w:hAnsi="宋体" w:cs="宋体"/>
                <w:color w:val="auto"/>
                <w:szCs w:val="21"/>
                <w:highlight w:val="none"/>
                <w:u w:val="single"/>
                <w:lang w:eastAsia="zh-CN"/>
              </w:rPr>
            </w:pPr>
            <w:r>
              <w:rPr>
                <w:rFonts w:hint="eastAsia" w:ascii="宋体" w:hAnsi="宋体" w:cs="宋体"/>
                <w:color w:val="auto"/>
                <w:szCs w:val="21"/>
                <w:highlight w:val="none"/>
                <w:u w:val="single"/>
                <w:lang w:eastAsia="zh-CN"/>
              </w:rPr>
              <w:t>注：</w:t>
            </w:r>
            <w:r>
              <w:rPr>
                <w:rFonts w:hint="default" w:ascii="Calibri" w:hAnsi="Calibri" w:cs="Calibri"/>
                <w:color w:val="auto"/>
                <w:szCs w:val="21"/>
                <w:highlight w:val="none"/>
                <w:u w:val="single"/>
                <w:lang w:eastAsia="zh-CN"/>
              </w:rPr>
              <w:t>①</w:t>
            </w:r>
            <w:r>
              <w:rPr>
                <w:rFonts w:hint="eastAsia" w:ascii="宋体" w:hAnsi="宋体" w:cs="宋体"/>
                <w:color w:val="auto"/>
                <w:szCs w:val="21"/>
                <w:highlight w:val="none"/>
                <w:u w:val="single"/>
                <w:lang w:eastAsia="zh-CN"/>
              </w:rPr>
              <w:t>项目负责人应为牵头人单位承担；</w:t>
            </w:r>
          </w:p>
          <w:p w14:paraId="542B2819">
            <w:pPr>
              <w:jc w:val="both"/>
              <w:rPr>
                <w:rFonts w:hint="eastAsia" w:ascii="宋体" w:hAnsi="宋体" w:cs="宋体"/>
                <w:color w:val="auto"/>
                <w:szCs w:val="21"/>
                <w:highlight w:val="none"/>
                <w:u w:val="single"/>
                <w:lang w:eastAsia="zh-CN"/>
              </w:rPr>
            </w:pPr>
            <w:r>
              <w:rPr>
                <w:rFonts w:hint="default" w:ascii="Calibri" w:hAnsi="Calibri" w:cs="Calibri"/>
                <w:color w:val="auto"/>
                <w:szCs w:val="21"/>
                <w:highlight w:val="none"/>
                <w:u w:val="single"/>
                <w:lang w:eastAsia="zh-CN"/>
              </w:rPr>
              <w:t>②</w:t>
            </w:r>
            <w:r>
              <w:rPr>
                <w:rFonts w:hint="eastAsia" w:ascii="宋体" w:hAnsi="宋体" w:cs="宋体"/>
                <w:color w:val="auto"/>
                <w:szCs w:val="21"/>
                <w:highlight w:val="none"/>
                <w:u w:val="single"/>
                <w:lang w:eastAsia="zh-CN"/>
              </w:rPr>
              <w:t>如提供的合同业绩中无法体现项目负责人或技术负责人，需在“主要人员简历表”中提供发包人的联系电话，并对提供的信息真假承担责任，如中标后，发现提供虚假信息的将取消中标资格。</w:t>
            </w:r>
          </w:p>
        </w:tc>
        <w:tc>
          <w:tcPr>
            <w:tcW w:w="929" w:type="pct"/>
            <w:tcBorders>
              <w:top w:val="single" w:color="000000" w:sz="4" w:space="0"/>
              <w:left w:val="single" w:color="000000" w:sz="4" w:space="0"/>
              <w:bottom w:val="single" w:color="000000" w:sz="4" w:space="0"/>
              <w:right w:val="single" w:color="000000" w:sz="4" w:space="0"/>
            </w:tcBorders>
            <w:vAlign w:val="center"/>
          </w:tcPr>
          <w:p w14:paraId="45615ECD">
            <w:pPr>
              <w:jc w:val="center"/>
              <w:rPr>
                <w:rFonts w:hint="eastAsia" w:ascii="宋体" w:hAnsi="宋体" w:cs="宋体"/>
                <w:color w:val="auto"/>
                <w:sz w:val="24"/>
                <w:highlight w:val="none"/>
              </w:rPr>
            </w:pPr>
          </w:p>
        </w:tc>
      </w:tr>
    </w:tbl>
    <w:p w14:paraId="374401DA">
      <w:pPr>
        <w:spacing w:line="360" w:lineRule="auto"/>
        <w:jc w:val="center"/>
        <w:rPr>
          <w:rFonts w:hint="eastAsia" w:ascii="宋体" w:hAnsi="宋体" w:cs="宋体"/>
          <w:color w:val="auto"/>
          <w:sz w:val="30"/>
          <w:szCs w:val="30"/>
          <w:highlight w:val="none"/>
        </w:rPr>
      </w:pPr>
      <w:r>
        <w:rPr>
          <w:rFonts w:hint="eastAsia" w:ascii="宋体" w:hAnsi="宋体" w:cs="宋体"/>
          <w:color w:val="auto"/>
          <w:sz w:val="24"/>
          <w:highlight w:val="none"/>
        </w:rPr>
        <w:br w:type="page"/>
      </w:r>
      <w:r>
        <w:rPr>
          <w:rFonts w:hint="eastAsia" w:ascii="宋体" w:hAnsi="宋体" w:cs="宋体"/>
          <w:b/>
          <w:bCs/>
          <w:color w:val="auto"/>
          <w:sz w:val="30"/>
          <w:szCs w:val="30"/>
          <w:highlight w:val="none"/>
        </w:rPr>
        <w:t>第二章 供应商须知正文</w:t>
      </w:r>
    </w:p>
    <w:p w14:paraId="486B9A37">
      <w:pPr>
        <w:adjustRightInd w:val="0"/>
        <w:snapToGrid w:val="0"/>
        <w:spacing w:before="120" w:beforeLines="50" w:after="120" w:afterLines="50"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 总则</w:t>
      </w:r>
    </w:p>
    <w:p w14:paraId="74D371D3">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1.1采购方法和评审办法</w:t>
      </w:r>
    </w:p>
    <w:p w14:paraId="0542E52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本项目采用供应商须知前附表规定的采购方式和评审办法。</w:t>
      </w:r>
    </w:p>
    <w:p w14:paraId="335A483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1.1.1采购方法</w:t>
      </w:r>
    </w:p>
    <w:p w14:paraId="6600A4E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询价采购，是指按照规定程序就采购项目向符合资格要求的供应商进行询价，通过评审、比较确定成交供应商的采购方式。</w:t>
      </w:r>
    </w:p>
    <w:p w14:paraId="397C364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竞争性谈判采购，是指按照规定程序通过与符合资格要求的供应商谈判确定成交供应商的采购方式。</w:t>
      </w:r>
    </w:p>
    <w:p w14:paraId="51BDF8A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竞争性磋商采购，是指按照规定程序通过与符合资格要求的供应商磋商确定成交供应商的采购方式。</w:t>
      </w:r>
    </w:p>
    <w:p w14:paraId="5D272EA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单一来源采购，是指按照规定程序向单一供应商直接购买的采购方式。</w:t>
      </w:r>
    </w:p>
    <w:p w14:paraId="26419A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直接采购，是指按照规定程序与符合资格要求的供应商谈判确定成交供应商的采购方法。</w:t>
      </w:r>
    </w:p>
    <w:p w14:paraId="28C8F02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1.1.2评审办法</w:t>
      </w:r>
    </w:p>
    <w:p w14:paraId="2B7755F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最低价法，是指在资质、业绩、信誉等条件均满足询价文件要求的前提下，按单项或总价价格最低原则确定成交供应商。包括同质比价法和同价比质法。</w:t>
      </w:r>
    </w:p>
    <w:p w14:paraId="611267B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同质比价法，遵循最低价法评审原则，在资质、业绩、信誉等条件均满足询价文件要求的前提下，按价格最低原则确定成交供应商。</w:t>
      </w:r>
    </w:p>
    <w:p w14:paraId="27A650B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同价比质法，遵循最低价法评审原则，若报价相同，应选择质量、服务承诺及优惠条件较优的供应商。</w:t>
      </w:r>
    </w:p>
    <w:p w14:paraId="717E791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综合评分法（性价比法），潜在供应商服务水平有较大差别的，可采用综合评分法，在最大限度地满足采购文件实质性要求前提下，按照采购文件规定的要求对供应商的商务、技术和价格等进行综合评审，根据需求，按评审最终得分排名先后顺序依次推荐中选供应商的评审办法。按综合性能最优原则确定成交供应商。</w:t>
      </w:r>
    </w:p>
    <w:p w14:paraId="6BD9BB8B">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1.2采购项目概况和供应商资格要求</w:t>
      </w:r>
    </w:p>
    <w:p w14:paraId="29D23A94">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采购项目概况和供应商资格要求见第一章“采购公告”。</w:t>
      </w:r>
    </w:p>
    <w:p w14:paraId="7EFA48AF">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1.3 费用承担</w:t>
      </w:r>
    </w:p>
    <w:p w14:paraId="3CF722B9">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供应商准备和参加采购活动所发生的各种费用由供应商自行承担。</w:t>
      </w:r>
    </w:p>
    <w:p w14:paraId="6EEBB2B5">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1.4保密</w:t>
      </w:r>
    </w:p>
    <w:p w14:paraId="54C5A1A8">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参加采购活动的各方应对采购文件和响应文件中的商业和技术等秘密保密，否则应承担相应的法律责任。</w:t>
      </w:r>
    </w:p>
    <w:p w14:paraId="5B0F605F">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1.5语言文字</w:t>
      </w:r>
    </w:p>
    <w:p w14:paraId="48913AF3">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采购文件和响应文件使用的语言文字为中文。专用术语使用外文的，应附有中文注释。</w:t>
      </w:r>
    </w:p>
    <w:p w14:paraId="1137D375">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1.6计量单位</w:t>
      </w:r>
    </w:p>
    <w:p w14:paraId="51C43C98">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所有计量均采用中华人民共和国法定计量单位。</w:t>
      </w:r>
    </w:p>
    <w:p w14:paraId="753FDD00">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1.7踏勘现场</w:t>
      </w:r>
    </w:p>
    <w:p w14:paraId="22C818C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1.7.1供应商须知前附表规定组织踏勘现场的，采购人应按供应商须知前附表规定的时间、地点组织供应商踏勘项目现场。部分供应商未按时参加踏勘现场的，不影响踏勘现场的正常进行。</w:t>
      </w:r>
    </w:p>
    <w:p w14:paraId="16FB69C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1.7.2供应商可自愿参加踏勘现场活动。除采购人的原因外，采购人对供应商参加踏勘现场中所发生的人员伤亡和财产损失不承担责任。</w:t>
      </w:r>
    </w:p>
    <w:p w14:paraId="6F4D6A1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1.7.3采购人在踏勘现场中介绍的工程场地和相关的周边环境情况，仅作为供应商编制响应文件的参考，采购人不对供应商据此作出的判断和决策负责。</w:t>
      </w:r>
    </w:p>
    <w:p w14:paraId="0BF656A4">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1.8采购预备会</w:t>
      </w:r>
    </w:p>
    <w:p w14:paraId="6FDC9C71">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供应商须知前附表规定召开采购预备会的，采购人按供应商须知前附表规定的时间和地点召开采购预备会。</w:t>
      </w:r>
    </w:p>
    <w:p w14:paraId="30A5BA7B">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1.9分包(A、C)</w:t>
      </w:r>
    </w:p>
    <w:p w14:paraId="140405F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供应商拟在成交后将成交项目的部分工作进行分包的，应符合供应商须知前附表的规定，并在响应文件中作出说明。</w:t>
      </w:r>
    </w:p>
    <w:p w14:paraId="43199CC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分包供应商不得将分包项目再次分包。成交供应商就应当就分包项目向采购人负责，分包供应商就分包项目承担连带责任。</w:t>
      </w:r>
    </w:p>
    <w:p w14:paraId="3AECFA25">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1.9 主要材料和关键部件外购(B)</w:t>
      </w:r>
    </w:p>
    <w:p w14:paraId="3381DA6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供应商拟对主要材料和关键部件进行外购的，应符合第五章“采购需求”中提出的或允许外购的相关规定，并在响应文件中作出说明。</w:t>
      </w:r>
    </w:p>
    <w:p w14:paraId="5425B330">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1.10响应和偏差</w:t>
      </w:r>
    </w:p>
    <w:p w14:paraId="12F0953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1.10.1 采购需求和合同草案中的关键条款均以“*”符号标记。响应文件应当对采购需求和合同草案的关键条款作出满足性或更有利于采购人的响应，否则，供应商的响应文件将被视为无效。</w:t>
      </w:r>
    </w:p>
    <w:p w14:paraId="2B9FF85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1.10.2供应商须知前附表规定了对非关键条款允许偏差的范围和可以偏差的项数的，如响应文件存在的偏差超出上述范围或项数，将被视为无效。</w:t>
      </w:r>
    </w:p>
    <w:p w14:paraId="750A0596">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2采购文件</w:t>
      </w:r>
    </w:p>
    <w:p w14:paraId="0D5BC190">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2.1采购文件的组成</w:t>
      </w:r>
    </w:p>
    <w:p w14:paraId="0437DFD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本采购文件包括：</w:t>
      </w:r>
    </w:p>
    <w:p w14:paraId="125B2E4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(1)采购公告(或邀请书)：</w:t>
      </w:r>
    </w:p>
    <w:p w14:paraId="393E499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(2)供应商须知；</w:t>
      </w:r>
    </w:p>
    <w:p w14:paraId="22FD97C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(3)评审办法；</w:t>
      </w:r>
    </w:p>
    <w:p w14:paraId="4D58532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(4)合同条款及格式；</w:t>
      </w:r>
    </w:p>
    <w:p w14:paraId="053BD49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(5)采购需求；</w:t>
      </w:r>
    </w:p>
    <w:p w14:paraId="141B3A7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(6)响应文件格式；</w:t>
      </w:r>
    </w:p>
    <w:p w14:paraId="7E786AA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(7)供应商须知前附表规定的其他资料。</w:t>
      </w:r>
    </w:p>
    <w:p w14:paraId="6117F0B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采购人依照本章规定，对采购文件所作的澄清、修改，构成采购文件的组成部分。</w:t>
      </w:r>
    </w:p>
    <w:p w14:paraId="6333547C">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2.2 采购文件的澄清和修改</w:t>
      </w:r>
    </w:p>
    <w:p w14:paraId="6ACB34D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2.2.1供应商应仔细阅读和检查采购文件的全部内容。如发现缺页或内容不全，应及时向采购人提出，以便补齐。如有疑问，应在供应商须知前附表规定的时间前，以书面形式要求采购人对采购文件予以澄清。</w:t>
      </w:r>
    </w:p>
    <w:p w14:paraId="065991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14:paraId="249D77D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2.2.3供应商在收到补充文件后，应按供应商须知前附表规定的时间和方式通知采购人，确认已收到该补充文件。</w:t>
      </w:r>
    </w:p>
    <w:p w14:paraId="7CBB479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2.2.4除非确有必要，采购人有权拒绝回复供应商在本章第2.2.1项规定的时间后提出的任何澄清要求。</w:t>
      </w:r>
    </w:p>
    <w:p w14:paraId="6FA3BB2E">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3响应文件</w:t>
      </w:r>
    </w:p>
    <w:p w14:paraId="764BAD17">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3.1响应文件的组成</w:t>
      </w:r>
    </w:p>
    <w:p w14:paraId="553CE05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3.1.1响应文件应包括下列内容：</w:t>
      </w:r>
    </w:p>
    <w:p w14:paraId="6A468EF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(1)响应函；</w:t>
      </w:r>
    </w:p>
    <w:p w14:paraId="63CD9CA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(2)授权委托书(如有)；</w:t>
      </w:r>
    </w:p>
    <w:p w14:paraId="4B32C6F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(3)联合体协议书(如有)；</w:t>
      </w:r>
    </w:p>
    <w:p w14:paraId="3926A7C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(4)响应保证金(如有)；</w:t>
      </w:r>
    </w:p>
    <w:p w14:paraId="1E33715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(5)商务和技术偏差表；</w:t>
      </w:r>
    </w:p>
    <w:p w14:paraId="7E0966A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(6)报价表；</w:t>
      </w:r>
    </w:p>
    <w:p w14:paraId="3CAF7C9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(7)资格审查资料；</w:t>
      </w:r>
    </w:p>
    <w:p w14:paraId="0ADF4E3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(8)响应方案；</w:t>
      </w:r>
    </w:p>
    <w:p w14:paraId="07D9D77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(9)供应商须知前附表规定的其他资料。</w:t>
      </w:r>
    </w:p>
    <w:p w14:paraId="124C6B2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供应商在评审过程中作出的符合采购文件要求的澄清、说明和补正，构成响应文件的组成部分。</w:t>
      </w:r>
    </w:p>
    <w:p w14:paraId="1AC1292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14:paraId="5E49684A">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3.2 报价</w:t>
      </w:r>
    </w:p>
    <w:p w14:paraId="55A5D21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48D7641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727988B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3.2.3采购人设有最高限价的，供应商的报价不得超过最高限价。最高限价或最高限价计算方法在供应商须知前附表中载明。</w:t>
      </w:r>
    </w:p>
    <w:p w14:paraId="36B78A6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3.2.4报价的其他要求见供应商须知前附表。</w:t>
      </w:r>
    </w:p>
    <w:p w14:paraId="6F239D3C">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3.3响应文件有效期</w:t>
      </w:r>
    </w:p>
    <w:p w14:paraId="1708ECD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3.3.1除供应商须知前附表另有规定外，响应文件有效期应为90日，从采购文件规定的递交响应文件的截止时间开始计算。</w:t>
      </w:r>
    </w:p>
    <w:p w14:paraId="0012C99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3.3.2出现特殊情况需要延长响应文件有效期，采购人以书面形式通知所有供应商延长响应文件有效期的，供应商应予以书面答复。同意延长的，应相应延长其响应保证金的有效期，但不得修改其响应文件；供应商拒绝延长的，其响应文件在原有效期届满后失效，但供应商有权收回其响应保证金。</w:t>
      </w:r>
    </w:p>
    <w:p w14:paraId="0D395A8F">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3.4响应保证金</w:t>
      </w:r>
    </w:p>
    <w:p w14:paraId="758C330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14:paraId="66B06A5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14:paraId="7583DBF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3.4.3有下列情形之一的，响应保证金将不予退还：</w:t>
      </w:r>
    </w:p>
    <w:p w14:paraId="5EDF27CF">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 xml:space="preserve"> (1)供应商在响应文件有效期内撤销响应文件；</w:t>
      </w:r>
    </w:p>
    <w:p w14:paraId="25BFCBB9">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 xml:space="preserve"> (2)成交供应商在收到成交通知书后，无正当理由不与采购人订立合同，在签订合同时向采购人提出附加条件，或者不按照采购文件要求递交履约保证金；</w:t>
      </w:r>
    </w:p>
    <w:p w14:paraId="48FFB1B4">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 xml:space="preserve"> (3)发生供应商须知前附表规定的其他不予退还响应保证金的情形。</w:t>
      </w:r>
    </w:p>
    <w:p w14:paraId="0543A06B">
      <w:pPr>
        <w:adjustRightInd w:val="0"/>
        <w:snapToGrid w:val="0"/>
        <w:spacing w:line="360" w:lineRule="auto"/>
        <w:ind w:left="120" w:hanging="120" w:hangingChars="50"/>
        <w:rPr>
          <w:rFonts w:hint="eastAsia" w:ascii="宋体" w:hAnsi="宋体" w:cs="宋体"/>
          <w:b/>
          <w:bCs/>
          <w:color w:val="auto"/>
          <w:sz w:val="24"/>
          <w:highlight w:val="none"/>
        </w:rPr>
      </w:pPr>
      <w:r>
        <w:rPr>
          <w:rFonts w:hint="eastAsia" w:ascii="宋体" w:hAnsi="宋体" w:cs="宋体"/>
          <w:b/>
          <w:bCs/>
          <w:color w:val="auto"/>
          <w:sz w:val="24"/>
          <w:highlight w:val="none"/>
        </w:rPr>
        <w:t>3.5资格审查资料</w:t>
      </w:r>
    </w:p>
    <w:p w14:paraId="62947A0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供应商应提供供应商须知前附表3.5(1)-3.5(9)中规定的资格审查资料，以证明其满足第一章“采购公告”对供应商的各项资格要求。</w:t>
      </w:r>
    </w:p>
    <w:p w14:paraId="75A0A54D">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3.6响应方案</w:t>
      </w:r>
    </w:p>
    <w:p w14:paraId="2F0370B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3.6.1响应文件应当对采购文件中的实质性内容作出响应。采购需求中明确为关键条款(标记“*”)的，供应商还应按照供应商须知前附表的规定提供有关证据或证明材料。</w:t>
      </w:r>
    </w:p>
    <w:p w14:paraId="17B0C57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3.6.2供应商只能提出唯一的响应方案。供应商在响应文件中提出多个响应方案的，其响应文件将被视为无效。</w:t>
      </w:r>
    </w:p>
    <w:p w14:paraId="493339C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59162BC7">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3.7响应文件的编制</w:t>
      </w:r>
    </w:p>
    <w:p w14:paraId="6E572D6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3.7.1响应文件应按第六章“响应文件格式”进行编写，如有必要，可以增加附件作为响应文件的组成部分。</w:t>
      </w:r>
    </w:p>
    <w:p w14:paraId="0B28EBA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3.7.2响应文件应用不褪色的材料书写或打印。</w:t>
      </w:r>
    </w:p>
    <w:p w14:paraId="4B0EC6A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响应函应由供应商的法定代表人(单位负责人)或其授权的代理人签字并加盖单位章。联合体协议书(如有)应由联合体各方的法定代表人(单位负责人)或其授权的代理人签字并加盖单位章。</w:t>
      </w:r>
    </w:p>
    <w:p w14:paraId="650B5BE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响应函或联合体协议书(如有)由代理人签字的，应在响应文件中附授权委托书，授权委托书应由供应商或联合体各方的法定代表人(单位负责人)签字并加盖单位章。</w:t>
      </w:r>
    </w:p>
    <w:p w14:paraId="0417599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3.7.3评审过程中供应商对响应文件的澄清、说明和补正应由供应商的法定代表人(单位负责人)或其授权的代理人签字或加盖单位章。</w:t>
      </w:r>
    </w:p>
    <w:p w14:paraId="659A5AD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3.7.4响应文件应尽量避免涂改、行间插字或删除。如果出现上述情况，改动之处应由供应商的法定代表人(单位负责人)或其授权的代理人签字或加盖单位章。</w:t>
      </w:r>
    </w:p>
    <w:p w14:paraId="096C84A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3.7.5响应文件正本一份， 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14:paraId="351819D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3.7.6响应文件的正本与副本应分别装订，并编制目录。响应文件需分册装订的，具体分册装订要求见供应商须知前附表规定。</w:t>
      </w:r>
    </w:p>
    <w:p w14:paraId="4F85BE78">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4响应文件的递交</w:t>
      </w:r>
    </w:p>
    <w:p w14:paraId="0D354D15">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4.1响应文件的包装与标记</w:t>
      </w:r>
    </w:p>
    <w:p w14:paraId="38DDEF7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4.1.1响应文件应</w:t>
      </w:r>
      <w:r>
        <w:rPr>
          <w:rFonts w:hint="eastAsia" w:ascii="宋体" w:hAnsi="宋体" w:cs="宋体"/>
          <w:color w:val="auto"/>
          <w:sz w:val="24"/>
          <w:highlight w:val="none"/>
          <w:lang w:val="en-US" w:eastAsia="zh-CN"/>
        </w:rPr>
        <w:t>妥善</w:t>
      </w:r>
      <w:r>
        <w:rPr>
          <w:rFonts w:hint="eastAsia" w:ascii="宋体" w:hAnsi="宋体" w:cs="宋体"/>
          <w:color w:val="auto"/>
          <w:sz w:val="24"/>
          <w:highlight w:val="none"/>
        </w:rPr>
        <w:t>包装。供应商须知前附表规定响应文件应密封的，响应文件应按要求密封。</w:t>
      </w:r>
    </w:p>
    <w:p w14:paraId="2F8407C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4.1.2响应文件封套上应载明的内容见供应商须知前附表。</w:t>
      </w:r>
    </w:p>
    <w:p w14:paraId="3D4B985C">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4.2 响应文件的递交</w:t>
      </w:r>
    </w:p>
    <w:p w14:paraId="3F72289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3EAE4BA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4.2.2除供应商须知前附表另有规定外，供应商所提交的响应文件不</w:t>
      </w:r>
      <w:r>
        <w:rPr>
          <w:rFonts w:hint="eastAsia" w:ascii="宋体" w:hAnsi="宋体" w:cs="宋体"/>
          <w:color w:val="auto"/>
          <w:sz w:val="24"/>
          <w:highlight w:val="none"/>
          <w:lang w:val="en-US" w:eastAsia="zh-CN"/>
        </w:rPr>
        <w:t>予</w:t>
      </w:r>
      <w:r>
        <w:rPr>
          <w:rFonts w:hint="eastAsia" w:ascii="宋体" w:hAnsi="宋体" w:cs="宋体"/>
          <w:color w:val="auto"/>
          <w:sz w:val="24"/>
          <w:highlight w:val="none"/>
        </w:rPr>
        <w:t>退还。</w:t>
      </w:r>
    </w:p>
    <w:p w14:paraId="11D636DE">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4.3响应文件的修改与撤回</w:t>
      </w:r>
    </w:p>
    <w:p w14:paraId="6940DE2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4.3.1在本章第4.2.1项规定的递交响应文件的截止时间前，供应商可以修改或撤回已递交的响应文件。</w:t>
      </w:r>
    </w:p>
    <w:p w14:paraId="6BE60C4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4.3.2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14:paraId="1FBE9B6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4.3.3除供应商须知前附表另有规定外，供应商撤回响应文件的，采购人应在5日内退还已收取的响应保证金。</w:t>
      </w:r>
    </w:p>
    <w:p w14:paraId="7BDA6EE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4.3.4修改的内容为响应文件的组成部分。响应文件的修改文件应按照本章第3条、第4条的规定进行编制、包装、标记和递交，并注明“修改”字样。</w:t>
      </w:r>
    </w:p>
    <w:p w14:paraId="0F69CAD0">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5开启响应文件</w:t>
      </w:r>
    </w:p>
    <w:p w14:paraId="75F98E5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采购人根据采购项目的市场供应情况确定是否公开开启响应文件。供应商须知前附表规定公开开启响应文件的，开启活动应按本条规定执行。</w:t>
      </w:r>
    </w:p>
    <w:p w14:paraId="158E7407">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5.1开启响应文件的时间和地点</w:t>
      </w:r>
    </w:p>
    <w:p w14:paraId="47A2A0D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6DDD8F30">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5.2开启程序</w:t>
      </w:r>
    </w:p>
    <w:p w14:paraId="4D41048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主持人按下列程序公开开启响应文件：</w:t>
      </w:r>
    </w:p>
    <w:p w14:paraId="1EF9078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(1)按照供应商须知前附表规定的开启顺序开启响应文件，公布递交响应文件的供应商名称、响应报价及供应商须知前附表规定的其他应公布的信息，并记录在案；</w:t>
      </w:r>
    </w:p>
    <w:p w14:paraId="151394C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(2)开启会议结束。</w:t>
      </w:r>
    </w:p>
    <w:p w14:paraId="732086AC">
      <w:pPr>
        <w:adjustRightInd w:val="0"/>
        <w:snapToGrid w:val="0"/>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5.3递交响应文件的供应商不足的情形</w:t>
      </w:r>
    </w:p>
    <w:p w14:paraId="38D569A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5A30342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(1)终止采购并重新组织采购</w:t>
      </w:r>
    </w:p>
    <w:p w14:paraId="259FD6E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采购项目存在影响公平竞争情形的，采购人应当终止采购，并根据不同情形和原因，采取相应纠正措施，重新组织采购。</w:t>
      </w:r>
    </w:p>
    <w:p w14:paraId="371273D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采购项目不存在影响公平竞争情形的，采购人也可以选择终止采购，采取相应完善措施，重新组织采购。</w:t>
      </w:r>
    </w:p>
    <w:p w14:paraId="7FAB9E2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(2)继续采购</w:t>
      </w:r>
    </w:p>
    <w:p w14:paraId="719BCDD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采购项目不存在应该终止采购情形，且采购人也没有自行选择终止采购的，采购人应按照本章第5.2款规定的程序继续开启响应文件，并按第三章“评审办法”规定的规则组织响应文件评审，完成采购后续程序。</w:t>
      </w:r>
    </w:p>
    <w:p w14:paraId="3DAEFDDB">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6评审</w:t>
      </w:r>
    </w:p>
    <w:p w14:paraId="3F77728B">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6.1评审小组</w:t>
      </w:r>
    </w:p>
    <w:p w14:paraId="37F4DCF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6.1.1评审由采购人组建的评审小组负责。</w:t>
      </w:r>
    </w:p>
    <w:p w14:paraId="75A4406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6.1.2评审小组成员有下列情形之的，应当回避：</w:t>
      </w:r>
    </w:p>
    <w:p w14:paraId="2D2EC73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（1）供应商主要负责人或供应商主要负责人的近亲属；</w:t>
      </w:r>
    </w:p>
    <w:p w14:paraId="618778C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(2)与供应商有经济利益关系或其他利害关系，可能影响公正评审的。</w:t>
      </w:r>
    </w:p>
    <w:p w14:paraId="191AEE0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6.1.3评审小组组建后，评审小组成员共同推选或由采购人指定评审小组组长，评审小组组长负责组织评审工作。</w:t>
      </w:r>
    </w:p>
    <w:p w14:paraId="051DB28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14:paraId="1A367781">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6.2评审</w:t>
      </w:r>
    </w:p>
    <w:p w14:paraId="53A903C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6.2.1评审小组按照第三章“评审办法”规定的评审标准和程序对响应文件进行评审和比较。</w:t>
      </w:r>
    </w:p>
    <w:p w14:paraId="7A4DEF5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6.2.2评审完成后，评审小组应当向采购人提交书面评审报告和候选成交供应商名单。评审小组推荐候选成交供应商的排序要求及数量见供应商须知前附表。</w:t>
      </w:r>
    </w:p>
    <w:p w14:paraId="6405E82A">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6谈判和评审（适用于有谈判程序的采购办法）</w:t>
      </w:r>
    </w:p>
    <w:p w14:paraId="6EA38BB5">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6.1谈判小组</w:t>
      </w:r>
    </w:p>
    <w:p w14:paraId="5429850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6.1.1采购人将组建谈判小组，由谈判小组按照本条规定的程序以及第三章“评审办法”的规定与供应商进行谈判，对响应文件进行评审和比较。</w:t>
      </w:r>
    </w:p>
    <w:p w14:paraId="5B8814C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6.1.2谈判小组成员有下列情形之的，应当回避：</w:t>
      </w:r>
    </w:p>
    <w:p w14:paraId="68E6EBC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（1）供应商主要负责人或供应商主要负责人的近亲属；</w:t>
      </w:r>
    </w:p>
    <w:p w14:paraId="4F447D1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（2）与供应商有经济利益关系或其他利害关系，可能影响公正评审的。</w:t>
      </w:r>
    </w:p>
    <w:p w14:paraId="7EE81F9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6.1.3谈判小组组建后，谈判小组成员共同推选或由采购人指定谈判小组组长负责组织谈判及评审工作。</w:t>
      </w:r>
    </w:p>
    <w:p w14:paraId="202C807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6.1.4在谈判和评审过程中，谈判小组成员对需要共同认认定的事项存在争议的，将按照少数服从多数的原则作出结论。持不同意见的谈判小组成员应当在评审报告上签署不同意见及理由，否则视为同意评审报告。</w:t>
      </w:r>
    </w:p>
    <w:p w14:paraId="293DDED5">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6.2 初步评审</w:t>
      </w:r>
    </w:p>
    <w:p w14:paraId="577E955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6.2.1谈判小组按照第三章“评审办法”规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采购文件的要求。</w:t>
      </w:r>
    </w:p>
    <w:p w14:paraId="1B83A68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6.2.2响应文件的形式或供应商资格不符合采购文件的要求、响应文件未实质性响应采购文件的要求，或响应文件中有含义不正确、同类问题表述不一致或有明显文字和计算错误的内容，谈判小组应要求供应商在规定时间内进行澄清、说明和补正。供应商澄清、说明和补正的内容应由法定代表人（单位负责人）或其授权的代理人签字或加盖单位章。澄清、说明和补正的内容作为响应文件的组成部分。</w:t>
      </w:r>
    </w:p>
    <w:p w14:paraId="2FA524F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6.2.3只有形式评审和资格评审合格且实质性响应采购文件要求的供应商才可通过初步评审。经供应商澄清、说明和补正后仍未通过初步评审的响应文件将被视为无效，谈判小组应告知有关供应商。</w:t>
      </w:r>
    </w:p>
    <w:p w14:paraId="6A4C4299">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6.3谈判</w:t>
      </w:r>
    </w:p>
    <w:p w14:paraId="261F4AC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6.3.1谈判小组应按照供应商须知前附表规定的谈判轮次及谈判顺序与通过初步评审的供应商逐一进行谈判。</w:t>
      </w:r>
    </w:p>
    <w:p w14:paraId="104C194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6.3.2通过公告方式邀请供应商且通过初步评审的供应商数量超过供应商须知前附表规定的预定参加谈判的供应商数量的，谈判小组按照供应商须知前附表规定的选择方法，从通过初步评审的供应商中选择预定数量的供应商进行谈判。未被选择的供应商不再参加后续的谈判活动，谈判小组应对其进行告知；除供应商须知前附表另有规定外，其响应保证金应在5日内原额退还。</w:t>
      </w:r>
    </w:p>
    <w:p w14:paraId="0A118EC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6.3.3谈判小组所有成员应集中与单一供应商逐一进行谈判，并给予所有参加谈判的供应商平等的谈判机会。供应商的法定代表人(单位负责人)或其授权的代理人应参加谈判。供应商的法定代表人(单位负责人)或其授权的代理人在谈判中作出的承诺构成响应文件的组成部分。</w:t>
      </w:r>
    </w:p>
    <w:p w14:paraId="3018962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6.3.4除供应商须知前附表另有规定外，递交响应文件的供应商未准时参加某一轮次谈判的，视为其放弃参加该轮次谈判，但其仍有权参加后续谈判采购活动。</w:t>
      </w:r>
    </w:p>
    <w:p w14:paraId="5E050810">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6.4 递交补充响应文件</w:t>
      </w:r>
    </w:p>
    <w:p w14:paraId="3F68156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6.4.1在谈判过程中，谈判小组可根据谈判情况修改和补充采购文件中采购需求部分的技术、服务要求以及合同草案条款等内容，但不得实质性改变评审标准或改变可能影响初步评审结果的内容。谈判小组修改和补充采购文件的，应当以书面形式将修改和补充的内容通知所有参加谈判的供应商。修改和补充的内容构成采购文件的组成部分。</w:t>
      </w:r>
    </w:p>
    <w:p w14:paraId="0E39B4A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6.4.2谈判小组修改和补充采购文件后，应要求供应商修改和补充响应文件。供应商应按照采购文件修改和补充的内容及要求相应地对已经递交的响应文件进行修改和补充(即补充响应文件)。补充响应文件应由供应商的法定代表人(单位负责人)或其授权的代理人签字或加盖单位章，并对采购文件修改和补充的内容作出实质性的响应。补充响应文件与首次递交的响应文件共同构成供应商响应文件的组成部分，二者内容不一致的，以补充响应文件内容为准。</w:t>
      </w:r>
    </w:p>
    <w:p w14:paraId="0BD2B55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6.4.3谈判小组审查供应商补充响应文件，对其响应性进行评审。补充响应文件实质性响应采购文件及其修改和补充内容的，</w:t>
      </w:r>
      <w:r>
        <w:rPr>
          <w:rFonts w:hint="eastAsia" w:ascii="宋体" w:hAnsi="宋体" w:cs="宋体"/>
          <w:color w:val="auto"/>
          <w:sz w:val="24"/>
          <w:highlight w:val="none"/>
          <w:lang w:val="en-US" w:eastAsia="zh-CN"/>
        </w:rPr>
        <w:t>谈判</w:t>
      </w:r>
      <w:r>
        <w:rPr>
          <w:rFonts w:hint="eastAsia" w:ascii="宋体" w:hAnsi="宋体" w:cs="宋体"/>
          <w:color w:val="auto"/>
          <w:sz w:val="24"/>
          <w:highlight w:val="none"/>
        </w:rPr>
        <w:t>小组应要求供应商在规定时间内递交最终报价；补充响应文件未能实质性响应采购文件及其修改和补充内容的，该响应文件将被视为无效，谈判小组应取消供应商的谈判资格并对其进行告知。</w:t>
      </w:r>
    </w:p>
    <w:p w14:paraId="5416819D">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6.5递交最终报价</w:t>
      </w:r>
    </w:p>
    <w:p w14:paraId="2EBCDBB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谈判小组在谈判中未修改或补充采购文件的，</w:t>
      </w:r>
      <w:r>
        <w:rPr>
          <w:rFonts w:hint="eastAsia" w:ascii="宋体" w:hAnsi="宋体" w:cs="宋体"/>
          <w:color w:val="auto"/>
          <w:sz w:val="24"/>
          <w:highlight w:val="none"/>
          <w:lang w:val="en-US" w:eastAsia="zh-CN"/>
        </w:rPr>
        <w:t>谈判</w:t>
      </w:r>
      <w:r>
        <w:rPr>
          <w:rFonts w:hint="eastAsia" w:ascii="宋体" w:hAnsi="宋体" w:cs="宋体"/>
          <w:color w:val="auto"/>
          <w:sz w:val="24"/>
          <w:highlight w:val="none"/>
        </w:rPr>
        <w:t>结束后，谈判小组将要求所有参加谈判的供应商在规定时间内递交最终报价：谈判小组修改和补充了采购文件的，谈判小组应要求按照本章第6.4款规定递交了实质性响应的补充响应文件的供应商在规定时间内递交最终报价。最终报价应由供应商的法定代表人(单位负责人)或其授权的代理人签字或加盖单位章。最终报价是供应商响应文件的组成部分。</w:t>
      </w:r>
    </w:p>
    <w:p w14:paraId="26D64B89">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6.6 公开开启最终报价</w:t>
      </w:r>
    </w:p>
    <w:p w14:paraId="37288E8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供应商须知前附表规定公开开启最终报价的，采购人将在供应商递交最终报价的截止时间，公开开启并公布所有供应商的最终报价。</w:t>
      </w:r>
    </w:p>
    <w:p w14:paraId="46B526E5">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6.7详细评审及推荐候选成交供应商</w:t>
      </w:r>
    </w:p>
    <w:p w14:paraId="6797EF1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6.7.1谈判小组按照第三章“评审办法”规定的评审方法、评审因素、评审标准和程序对响应文件进行详细评审。第三章“评审办法”没有规定的方法、因素和标准，不作为评审依据。</w:t>
      </w:r>
    </w:p>
    <w:p w14:paraId="59D14EA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6.7.2评审完成后，谈判小组应当向采购人提交书面评审报告和候选成交供应商名单。谈判小组推荐候选成交供应商的排序要求及数量见供应商须知前附表。</w:t>
      </w:r>
    </w:p>
    <w:p w14:paraId="4DF8A16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6.7.3所有供应商最终报价均明显不合理的，采购人将终止谈判活动。</w:t>
      </w:r>
    </w:p>
    <w:p w14:paraId="4700E5F6">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6.8特殊情形处理</w:t>
      </w:r>
    </w:p>
    <w:p w14:paraId="0531B09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通过初步评审的供应商或递交最终报价的供应商数量与采购文件规定的成交供应商数量相等时，采购人可根据不同的情况决定继续或终止谈判活动；通过初步评审的供应商或递交最终报价的供应商数量少于采购文件规定的成交供应商数量的，采购人将终止谈判活动。</w:t>
      </w:r>
    </w:p>
    <w:p w14:paraId="38D7D9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决定终止谈判活动的，采购人将向谈判小组出具停止谈判通知书。</w:t>
      </w:r>
    </w:p>
    <w:p w14:paraId="4D7B362E">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7合同授予</w:t>
      </w:r>
    </w:p>
    <w:p w14:paraId="4456DAF0">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7.1候选成交供应商履约能力核查</w:t>
      </w:r>
    </w:p>
    <w:p w14:paraId="332019E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可对候选成交供应商的相关证明材料原件进行核验或组织现场考察，以确认候选成交供应商的生产经营、财务等实际状况与响应文件是否一致及是否存在其他可能影响供应商履约能力的情况。核查结果将作为采购人选择确定预成交供应商的依据之一。</w:t>
      </w:r>
    </w:p>
    <w:p w14:paraId="68B3E764">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7.2候选成交供应商报价核查(B)</w:t>
      </w:r>
    </w:p>
    <w:p w14:paraId="64EECAF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项目评审后，如果采购人认为推荐的候选成交供应商报价明显偏离市场价格时，采购人可以对该报价进行验证，验证后，对明显偏离市场价格的报价不予接受。</w:t>
      </w:r>
    </w:p>
    <w:p w14:paraId="32284982">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7.3确定预成交供应商</w:t>
      </w:r>
    </w:p>
    <w:p w14:paraId="5D126F9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采购人将根据评审报告及核查结果(如有)，对候选成交供应商综合评估后从中选择确定预成交供应商。</w:t>
      </w:r>
    </w:p>
    <w:p w14:paraId="6CFD981E">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7.4预成交结果公示</w:t>
      </w:r>
    </w:p>
    <w:p w14:paraId="5C5E1B9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预成交供应商选定后，采购人将按照供应商须知前附表规定的公示媒介和公示期限进行公示，公示信息包括如下内容：</w:t>
      </w:r>
    </w:p>
    <w:p w14:paraId="3322A80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(1)所有候选成交供应商名称、响应价格及工期/交货期/服务期限；</w:t>
      </w:r>
    </w:p>
    <w:p w14:paraId="1329238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(2)预成交供应商名称、预成交份额(如有)及选择原因；</w:t>
      </w:r>
    </w:p>
    <w:p w14:paraId="6DD9736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(3)供应商须知前附表规定的其他内容。</w:t>
      </w:r>
    </w:p>
    <w:p w14:paraId="0970C69B">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7.5发出成交通知书</w:t>
      </w:r>
    </w:p>
    <w:p w14:paraId="2AE122B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公示期结束后，在本章第3.3款规定的响应文件有效期内，采购人以书面形式向预成交供应商发出成交通知书。</w:t>
      </w:r>
    </w:p>
    <w:p w14:paraId="30A3F591">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7.6发布成交公告</w:t>
      </w:r>
    </w:p>
    <w:p w14:paraId="5040177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778A0CBE">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7.7履约保证金</w:t>
      </w:r>
    </w:p>
    <w:p w14:paraId="5E4B4D7D">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20CBC8AB">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7.8签订合同</w:t>
      </w:r>
    </w:p>
    <w:p w14:paraId="21F9B14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7.8.1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35FE57A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7.8.2发出成交通知书后，采购人无正当理由拒绝签订合同，或者在签订合同时向成交供应商提出附加条件的，采购人向成交供应商退还响应保证金；给成交供应商造成损失的，还应当赔偿损失。</w:t>
      </w:r>
    </w:p>
    <w:p w14:paraId="3CDD0EF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7.8.3联合体成交的，联合体各方应当共同与采购人签订合同，就成交项目向采购人承担连带责任。</w:t>
      </w:r>
    </w:p>
    <w:p w14:paraId="2713BC7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7.8.4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645977CC">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7.9特殊情形处理</w:t>
      </w:r>
    </w:p>
    <w:p w14:paraId="74F2AEE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预成交供应商、进行公示并公告。</w:t>
      </w:r>
    </w:p>
    <w:p w14:paraId="4550B0EF">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8异议</w:t>
      </w:r>
    </w:p>
    <w:p w14:paraId="4D1833C4">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8.1提出异议</w:t>
      </w:r>
    </w:p>
    <w:p w14:paraId="54405C4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供应商或者其他利害关系人可以对预成交结果提出异议。异议应在预成交结果公示期间通过供应商须知前附表规定的异议渠道提出，并递交异议函和必要的证明材料。异议函包括但不限于下列内容：</w:t>
      </w:r>
    </w:p>
    <w:p w14:paraId="59CACCE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(1)异议人名称、地址、邮政编码、联系人及联系电话；</w:t>
      </w:r>
    </w:p>
    <w:p w14:paraId="235EF3D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(2)具体、明确的异议事项、事实依据及与异议事项相关的请求。</w:t>
      </w:r>
    </w:p>
    <w:p w14:paraId="55A29B7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异议函应由异议人的法定代表人(单位负责人)或其授权的代理人签字并加盖单位章。</w:t>
      </w:r>
    </w:p>
    <w:p w14:paraId="55EC261F">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8.2异议处理</w:t>
      </w:r>
    </w:p>
    <w:p w14:paraId="004B41F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采购人将针对异议事项进行核查，经过核查，发现异议人对相关问题理解有误的，应作出解释；发现采购活动中确实存在错误或不当行为的，应及时予以改正或补救。 </w:t>
      </w:r>
    </w:p>
    <w:p w14:paraId="023E28F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异议人与采购人对异议事项无法达成一致的，异议人可向供应商须知前附表规定的行业组织或专业咨询机构申请调解或进行反映。</w:t>
      </w:r>
    </w:p>
    <w:p w14:paraId="54863EB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采购人认为异议不成立或不影响采购结果的，可以继续进行采购活动。</w:t>
      </w:r>
    </w:p>
    <w:p w14:paraId="04EFB6E3">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9纪律要求</w:t>
      </w:r>
    </w:p>
    <w:p w14:paraId="38BBEE9B">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9.1对采购人的纪律要求</w:t>
      </w:r>
    </w:p>
    <w:p w14:paraId="5CBD54D2">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采购人不得泄露采购活动中应当保密的情况和资料，不得与供应商串通损害国家利益、社会公共利益或者他人合法权益。</w:t>
      </w:r>
    </w:p>
    <w:p w14:paraId="50494379">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9.2对供应商的纪律要求</w:t>
      </w:r>
    </w:p>
    <w:p w14:paraId="461E4BF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14:paraId="506EF355">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9.3对评审小组成员的纪律要求</w:t>
      </w:r>
    </w:p>
    <w:p w14:paraId="7926256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 工作正常进行，不得使用第三章“评审办法”没有规定的评审因素和标准进行评审。</w:t>
      </w:r>
    </w:p>
    <w:p w14:paraId="4FFBCB2E">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9.4对与采购活动有关的工作人员的纪律要求</w:t>
      </w:r>
    </w:p>
    <w:p w14:paraId="4F7BBA0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采购活动有关的工作人员不得收受他人的财物或者其他好处，不得向他人透露对响应文件的评审和比较、候选成交供应商的推荐情况以及采购有关的其他情况。在采购活动中，与采购活动有关的工作人员不得擅离职守，影响评审工作正常进行。</w:t>
      </w:r>
    </w:p>
    <w:p w14:paraId="337F3309">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9.5对集采平台运营机构的纪律要求</w:t>
      </w:r>
    </w:p>
    <w:p w14:paraId="032BBCF2">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集采平台运营机构不得收受他人的财物或者好处，不得向他人透露其他应保密的情况，不得以任何方式干扰、影响采购活动。</w:t>
      </w:r>
    </w:p>
    <w:p w14:paraId="23A6BCC6">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10需要补充的其他内容</w:t>
      </w:r>
    </w:p>
    <w:p w14:paraId="45CA54C0">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10.1采购代理服务费</w:t>
      </w:r>
    </w:p>
    <w:p w14:paraId="4F08A47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供应商须知前附表规定由供应商承担采购代理服务费的，供应商应按照供应商须知前附表规定的费用标准或金额、交费时间和方式向采购代理机构支付代理服务费。</w:t>
      </w:r>
    </w:p>
    <w:p w14:paraId="52A8682B">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10.2其他</w:t>
      </w:r>
    </w:p>
    <w:p w14:paraId="5EFA1229">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需</w:t>
      </w:r>
      <w:r>
        <w:rPr>
          <w:rFonts w:hint="eastAsia" w:ascii="宋体" w:hAnsi="宋体" w:cs="宋体"/>
          <w:color w:val="auto"/>
          <w:sz w:val="24"/>
          <w:highlight w:val="none"/>
          <w:lang w:val="en-US" w:eastAsia="zh-CN"/>
        </w:rPr>
        <w:t>要</w:t>
      </w:r>
      <w:r>
        <w:rPr>
          <w:rFonts w:hint="eastAsia" w:ascii="宋体" w:hAnsi="宋体" w:cs="宋体"/>
          <w:color w:val="auto"/>
          <w:sz w:val="24"/>
          <w:highlight w:val="none"/>
        </w:rPr>
        <w:t>补充的其他内容：见供应商须知前附表。</w:t>
      </w:r>
    </w:p>
    <w:p w14:paraId="4CDCA23B">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10.3电子采购</w:t>
      </w:r>
    </w:p>
    <w:p w14:paraId="61463D4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若采用电子采购的，有关响应文件的包装与密封等条款不适用，供应商应按平台要求分册上传供电子版响应文件，递交和签收时间均以平台接收时间为准。当电子版响应文件报价和平台报价不一致时，以平台报价为准。</w:t>
      </w:r>
    </w:p>
    <w:p w14:paraId="5585F93A">
      <w:pPr>
        <w:adjustRightInd w:val="0"/>
        <w:snapToGrid w:val="0"/>
        <w:spacing w:line="600" w:lineRule="exact"/>
        <w:ind w:firstLine="453" w:firstLineChars="189"/>
        <w:rPr>
          <w:rFonts w:hint="eastAsia" w:ascii="宋体" w:hAnsi="宋体" w:cs="宋体"/>
          <w:color w:val="auto"/>
          <w:sz w:val="24"/>
          <w:highlight w:val="none"/>
        </w:rPr>
      </w:pPr>
    </w:p>
    <w:p w14:paraId="596763A9">
      <w:pPr>
        <w:spacing w:line="60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04A4883F">
      <w:pPr>
        <w:adjustRightInd w:val="0"/>
        <w:snapToGrid w:val="0"/>
        <w:spacing w:line="600" w:lineRule="exac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附件1  开启记录表</w:t>
      </w:r>
    </w:p>
    <w:p w14:paraId="5677B4A9">
      <w:pPr>
        <w:adjustRightInd w:val="0"/>
        <w:snapToGrid w:val="0"/>
        <w:spacing w:line="600" w:lineRule="exact"/>
        <w:ind w:firstLine="723" w:firstLineChars="200"/>
        <w:jc w:val="center"/>
        <w:rPr>
          <w:rFonts w:hint="eastAsia" w:ascii="宋体" w:hAnsi="宋体" w:cs="宋体"/>
          <w:b/>
          <w:bCs/>
          <w:color w:val="auto"/>
          <w:sz w:val="36"/>
          <w:szCs w:val="36"/>
          <w:highlight w:val="none"/>
        </w:rPr>
      </w:pPr>
    </w:p>
    <w:p w14:paraId="2C2EF0C2">
      <w:pPr>
        <w:adjustRightInd w:val="0"/>
        <w:snapToGrid w:val="0"/>
        <w:spacing w:line="600" w:lineRule="exact"/>
        <w:ind w:firstLine="723" w:firstLineChars="200"/>
        <w:jc w:val="center"/>
        <w:rPr>
          <w:rFonts w:hint="eastAsia" w:ascii="宋体" w:hAnsi="宋体" w:cs="宋体"/>
          <w:b/>
          <w:bCs/>
          <w:color w:val="auto"/>
          <w:sz w:val="36"/>
          <w:szCs w:val="36"/>
          <w:highlight w:val="none"/>
        </w:rPr>
      </w:pPr>
    </w:p>
    <w:p w14:paraId="7DF14373">
      <w:pPr>
        <w:adjustRightInd w:val="0"/>
        <w:snapToGrid w:val="0"/>
        <w:spacing w:line="600" w:lineRule="exact"/>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开启记录表</w:t>
      </w:r>
    </w:p>
    <w:p w14:paraId="32241FA7">
      <w:pPr>
        <w:adjustRightInd w:val="0"/>
        <w:snapToGrid w:val="0"/>
        <w:spacing w:line="600" w:lineRule="exact"/>
        <w:ind w:firstLine="723" w:firstLineChars="200"/>
        <w:jc w:val="center"/>
        <w:rPr>
          <w:rFonts w:hint="eastAsia" w:ascii="宋体" w:hAnsi="宋体" w:cs="宋体"/>
          <w:b/>
          <w:bCs/>
          <w:color w:val="auto"/>
          <w:sz w:val="36"/>
          <w:szCs w:val="36"/>
          <w:highlight w:val="none"/>
        </w:rPr>
      </w:pPr>
    </w:p>
    <w:p w14:paraId="4B5389A9">
      <w:pPr>
        <w:spacing w:line="24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开启时间：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时</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分</w:t>
      </w:r>
    </w:p>
    <w:tbl>
      <w:tblPr>
        <w:tblStyle w:val="8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14:paraId="5283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4AC28996">
            <w:pPr>
              <w:widowControl w:val="0"/>
              <w:spacing w:line="24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序号</w:t>
            </w:r>
          </w:p>
        </w:tc>
        <w:tc>
          <w:tcPr>
            <w:tcW w:w="1971" w:type="dxa"/>
          </w:tcPr>
          <w:p w14:paraId="58CC1FC0">
            <w:pPr>
              <w:widowControl w:val="0"/>
              <w:spacing w:line="24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w:t>
            </w:r>
          </w:p>
        </w:tc>
        <w:tc>
          <w:tcPr>
            <w:tcW w:w="1971" w:type="dxa"/>
          </w:tcPr>
          <w:p w14:paraId="6E2D8D1A">
            <w:pPr>
              <w:widowControl w:val="0"/>
              <w:spacing w:line="24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（供应商须知前附表规定的其他应公布的信息）</w:t>
            </w:r>
          </w:p>
        </w:tc>
        <w:tc>
          <w:tcPr>
            <w:tcW w:w="1971" w:type="dxa"/>
          </w:tcPr>
          <w:p w14:paraId="1E8F9F0D">
            <w:pPr>
              <w:widowControl w:val="0"/>
              <w:spacing w:line="24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w:t>
            </w:r>
          </w:p>
        </w:tc>
        <w:tc>
          <w:tcPr>
            <w:tcW w:w="1971" w:type="dxa"/>
          </w:tcPr>
          <w:p w14:paraId="0A7F3E76">
            <w:pPr>
              <w:widowControl w:val="0"/>
              <w:spacing w:line="24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备注</w:t>
            </w:r>
          </w:p>
        </w:tc>
      </w:tr>
      <w:tr w14:paraId="587D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1D67E4E">
            <w:pPr>
              <w:widowControl w:val="0"/>
              <w:spacing w:line="240" w:lineRule="auto"/>
              <w:jc w:val="center"/>
              <w:rPr>
                <w:rFonts w:hint="eastAsia" w:ascii="宋体" w:hAnsi="宋体" w:cs="宋体"/>
                <w:color w:val="auto"/>
                <w:sz w:val="28"/>
                <w:szCs w:val="28"/>
                <w:highlight w:val="none"/>
              </w:rPr>
            </w:pPr>
          </w:p>
        </w:tc>
        <w:tc>
          <w:tcPr>
            <w:tcW w:w="1971" w:type="dxa"/>
          </w:tcPr>
          <w:p w14:paraId="17B183F5">
            <w:pPr>
              <w:widowControl w:val="0"/>
              <w:spacing w:line="240" w:lineRule="auto"/>
              <w:jc w:val="center"/>
              <w:rPr>
                <w:rFonts w:hint="eastAsia" w:ascii="宋体" w:hAnsi="宋体" w:cs="宋体"/>
                <w:color w:val="auto"/>
                <w:sz w:val="28"/>
                <w:szCs w:val="28"/>
                <w:highlight w:val="none"/>
              </w:rPr>
            </w:pPr>
          </w:p>
        </w:tc>
        <w:tc>
          <w:tcPr>
            <w:tcW w:w="1971" w:type="dxa"/>
          </w:tcPr>
          <w:p w14:paraId="27325074">
            <w:pPr>
              <w:widowControl w:val="0"/>
              <w:spacing w:line="240" w:lineRule="auto"/>
              <w:jc w:val="center"/>
              <w:rPr>
                <w:rFonts w:hint="eastAsia" w:ascii="宋体" w:hAnsi="宋体" w:cs="宋体"/>
                <w:color w:val="auto"/>
                <w:sz w:val="28"/>
                <w:szCs w:val="28"/>
                <w:highlight w:val="none"/>
              </w:rPr>
            </w:pPr>
          </w:p>
        </w:tc>
        <w:tc>
          <w:tcPr>
            <w:tcW w:w="1971" w:type="dxa"/>
          </w:tcPr>
          <w:p w14:paraId="5DC27DA2">
            <w:pPr>
              <w:widowControl w:val="0"/>
              <w:spacing w:line="240" w:lineRule="auto"/>
              <w:jc w:val="center"/>
              <w:rPr>
                <w:rFonts w:hint="eastAsia" w:ascii="宋体" w:hAnsi="宋体" w:cs="宋体"/>
                <w:color w:val="auto"/>
                <w:sz w:val="28"/>
                <w:szCs w:val="28"/>
                <w:highlight w:val="none"/>
              </w:rPr>
            </w:pPr>
          </w:p>
        </w:tc>
        <w:tc>
          <w:tcPr>
            <w:tcW w:w="1971" w:type="dxa"/>
          </w:tcPr>
          <w:p w14:paraId="6799B45A">
            <w:pPr>
              <w:widowControl w:val="0"/>
              <w:spacing w:line="240" w:lineRule="auto"/>
              <w:jc w:val="center"/>
              <w:rPr>
                <w:rFonts w:hint="eastAsia" w:ascii="宋体" w:hAnsi="宋体" w:cs="宋体"/>
                <w:color w:val="auto"/>
                <w:sz w:val="28"/>
                <w:szCs w:val="28"/>
                <w:highlight w:val="none"/>
              </w:rPr>
            </w:pPr>
          </w:p>
        </w:tc>
      </w:tr>
      <w:tr w14:paraId="1779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6824C518">
            <w:pPr>
              <w:widowControl w:val="0"/>
              <w:spacing w:line="240" w:lineRule="auto"/>
              <w:jc w:val="center"/>
              <w:rPr>
                <w:rFonts w:hint="eastAsia" w:ascii="宋体" w:hAnsi="宋体" w:cs="宋体"/>
                <w:color w:val="auto"/>
                <w:sz w:val="28"/>
                <w:szCs w:val="28"/>
                <w:highlight w:val="none"/>
              </w:rPr>
            </w:pPr>
          </w:p>
        </w:tc>
        <w:tc>
          <w:tcPr>
            <w:tcW w:w="1971" w:type="dxa"/>
          </w:tcPr>
          <w:p w14:paraId="7516CC05">
            <w:pPr>
              <w:widowControl w:val="0"/>
              <w:spacing w:line="240" w:lineRule="auto"/>
              <w:jc w:val="center"/>
              <w:rPr>
                <w:rFonts w:hint="eastAsia" w:ascii="宋体" w:hAnsi="宋体" w:cs="宋体"/>
                <w:color w:val="auto"/>
                <w:sz w:val="28"/>
                <w:szCs w:val="28"/>
                <w:highlight w:val="none"/>
              </w:rPr>
            </w:pPr>
          </w:p>
        </w:tc>
        <w:tc>
          <w:tcPr>
            <w:tcW w:w="1971" w:type="dxa"/>
          </w:tcPr>
          <w:p w14:paraId="2EEDCB3B">
            <w:pPr>
              <w:widowControl w:val="0"/>
              <w:spacing w:line="240" w:lineRule="auto"/>
              <w:jc w:val="center"/>
              <w:rPr>
                <w:rFonts w:hint="eastAsia" w:ascii="宋体" w:hAnsi="宋体" w:cs="宋体"/>
                <w:color w:val="auto"/>
                <w:sz w:val="28"/>
                <w:szCs w:val="28"/>
                <w:highlight w:val="none"/>
              </w:rPr>
            </w:pPr>
          </w:p>
        </w:tc>
        <w:tc>
          <w:tcPr>
            <w:tcW w:w="1971" w:type="dxa"/>
          </w:tcPr>
          <w:p w14:paraId="6B095708">
            <w:pPr>
              <w:widowControl w:val="0"/>
              <w:spacing w:line="240" w:lineRule="auto"/>
              <w:jc w:val="center"/>
              <w:rPr>
                <w:rFonts w:hint="eastAsia" w:ascii="宋体" w:hAnsi="宋体" w:cs="宋体"/>
                <w:color w:val="auto"/>
                <w:sz w:val="28"/>
                <w:szCs w:val="28"/>
                <w:highlight w:val="none"/>
              </w:rPr>
            </w:pPr>
          </w:p>
        </w:tc>
        <w:tc>
          <w:tcPr>
            <w:tcW w:w="1971" w:type="dxa"/>
          </w:tcPr>
          <w:p w14:paraId="548DCFD4">
            <w:pPr>
              <w:widowControl w:val="0"/>
              <w:spacing w:line="240" w:lineRule="auto"/>
              <w:jc w:val="center"/>
              <w:rPr>
                <w:rFonts w:hint="eastAsia" w:ascii="宋体" w:hAnsi="宋体" w:cs="宋体"/>
                <w:color w:val="auto"/>
                <w:sz w:val="28"/>
                <w:szCs w:val="28"/>
                <w:highlight w:val="none"/>
              </w:rPr>
            </w:pPr>
          </w:p>
        </w:tc>
      </w:tr>
      <w:tr w14:paraId="26FC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2F20B0AA">
            <w:pPr>
              <w:widowControl w:val="0"/>
              <w:spacing w:line="240" w:lineRule="auto"/>
              <w:jc w:val="center"/>
              <w:rPr>
                <w:rFonts w:hint="eastAsia" w:ascii="宋体" w:hAnsi="宋体" w:cs="宋体"/>
                <w:color w:val="auto"/>
                <w:sz w:val="28"/>
                <w:szCs w:val="28"/>
                <w:highlight w:val="none"/>
              </w:rPr>
            </w:pPr>
          </w:p>
        </w:tc>
        <w:tc>
          <w:tcPr>
            <w:tcW w:w="1971" w:type="dxa"/>
          </w:tcPr>
          <w:p w14:paraId="7F1D653E">
            <w:pPr>
              <w:widowControl w:val="0"/>
              <w:spacing w:line="240" w:lineRule="auto"/>
              <w:jc w:val="center"/>
              <w:rPr>
                <w:rFonts w:hint="eastAsia" w:ascii="宋体" w:hAnsi="宋体" w:cs="宋体"/>
                <w:color w:val="auto"/>
                <w:sz w:val="28"/>
                <w:szCs w:val="28"/>
                <w:highlight w:val="none"/>
              </w:rPr>
            </w:pPr>
          </w:p>
        </w:tc>
        <w:tc>
          <w:tcPr>
            <w:tcW w:w="1971" w:type="dxa"/>
          </w:tcPr>
          <w:p w14:paraId="223BB8DC">
            <w:pPr>
              <w:widowControl w:val="0"/>
              <w:spacing w:line="240" w:lineRule="auto"/>
              <w:jc w:val="center"/>
              <w:rPr>
                <w:rFonts w:hint="eastAsia" w:ascii="宋体" w:hAnsi="宋体" w:cs="宋体"/>
                <w:color w:val="auto"/>
                <w:sz w:val="28"/>
                <w:szCs w:val="28"/>
                <w:highlight w:val="none"/>
              </w:rPr>
            </w:pPr>
          </w:p>
        </w:tc>
        <w:tc>
          <w:tcPr>
            <w:tcW w:w="1971" w:type="dxa"/>
          </w:tcPr>
          <w:p w14:paraId="2968FAC3">
            <w:pPr>
              <w:widowControl w:val="0"/>
              <w:spacing w:line="240" w:lineRule="auto"/>
              <w:jc w:val="center"/>
              <w:rPr>
                <w:rFonts w:hint="eastAsia" w:ascii="宋体" w:hAnsi="宋体" w:cs="宋体"/>
                <w:color w:val="auto"/>
                <w:sz w:val="28"/>
                <w:szCs w:val="28"/>
                <w:highlight w:val="none"/>
              </w:rPr>
            </w:pPr>
          </w:p>
        </w:tc>
        <w:tc>
          <w:tcPr>
            <w:tcW w:w="1971" w:type="dxa"/>
          </w:tcPr>
          <w:p w14:paraId="120F7041">
            <w:pPr>
              <w:widowControl w:val="0"/>
              <w:spacing w:line="240" w:lineRule="auto"/>
              <w:jc w:val="center"/>
              <w:rPr>
                <w:rFonts w:hint="eastAsia" w:ascii="宋体" w:hAnsi="宋体" w:cs="宋体"/>
                <w:color w:val="auto"/>
                <w:sz w:val="28"/>
                <w:szCs w:val="28"/>
                <w:highlight w:val="none"/>
              </w:rPr>
            </w:pPr>
          </w:p>
        </w:tc>
      </w:tr>
      <w:tr w14:paraId="2AE5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71F58103">
            <w:pPr>
              <w:widowControl w:val="0"/>
              <w:spacing w:line="240" w:lineRule="auto"/>
              <w:jc w:val="center"/>
              <w:rPr>
                <w:rFonts w:hint="eastAsia" w:ascii="宋体" w:hAnsi="宋体" w:cs="宋体"/>
                <w:color w:val="auto"/>
                <w:sz w:val="28"/>
                <w:szCs w:val="28"/>
                <w:highlight w:val="none"/>
              </w:rPr>
            </w:pPr>
          </w:p>
        </w:tc>
        <w:tc>
          <w:tcPr>
            <w:tcW w:w="1971" w:type="dxa"/>
          </w:tcPr>
          <w:p w14:paraId="4422F02A">
            <w:pPr>
              <w:widowControl w:val="0"/>
              <w:spacing w:line="240" w:lineRule="auto"/>
              <w:jc w:val="center"/>
              <w:rPr>
                <w:rFonts w:hint="eastAsia" w:ascii="宋体" w:hAnsi="宋体" w:cs="宋体"/>
                <w:color w:val="auto"/>
                <w:sz w:val="28"/>
                <w:szCs w:val="28"/>
                <w:highlight w:val="none"/>
              </w:rPr>
            </w:pPr>
          </w:p>
        </w:tc>
        <w:tc>
          <w:tcPr>
            <w:tcW w:w="1971" w:type="dxa"/>
          </w:tcPr>
          <w:p w14:paraId="55BC73C3">
            <w:pPr>
              <w:widowControl w:val="0"/>
              <w:spacing w:line="240" w:lineRule="auto"/>
              <w:jc w:val="center"/>
              <w:rPr>
                <w:rFonts w:hint="eastAsia" w:ascii="宋体" w:hAnsi="宋体" w:cs="宋体"/>
                <w:color w:val="auto"/>
                <w:sz w:val="28"/>
                <w:szCs w:val="28"/>
                <w:highlight w:val="none"/>
              </w:rPr>
            </w:pPr>
          </w:p>
        </w:tc>
        <w:tc>
          <w:tcPr>
            <w:tcW w:w="1971" w:type="dxa"/>
          </w:tcPr>
          <w:p w14:paraId="6B2BDDA4">
            <w:pPr>
              <w:widowControl w:val="0"/>
              <w:spacing w:line="240" w:lineRule="auto"/>
              <w:jc w:val="center"/>
              <w:rPr>
                <w:rFonts w:hint="eastAsia" w:ascii="宋体" w:hAnsi="宋体" w:cs="宋体"/>
                <w:color w:val="auto"/>
                <w:sz w:val="28"/>
                <w:szCs w:val="28"/>
                <w:highlight w:val="none"/>
              </w:rPr>
            </w:pPr>
          </w:p>
        </w:tc>
        <w:tc>
          <w:tcPr>
            <w:tcW w:w="1971" w:type="dxa"/>
          </w:tcPr>
          <w:p w14:paraId="6FAA99E7">
            <w:pPr>
              <w:widowControl w:val="0"/>
              <w:spacing w:line="240" w:lineRule="auto"/>
              <w:jc w:val="center"/>
              <w:rPr>
                <w:rFonts w:hint="eastAsia" w:ascii="宋体" w:hAnsi="宋体" w:cs="宋体"/>
                <w:color w:val="auto"/>
                <w:sz w:val="28"/>
                <w:szCs w:val="28"/>
                <w:highlight w:val="none"/>
              </w:rPr>
            </w:pPr>
          </w:p>
        </w:tc>
      </w:tr>
      <w:tr w14:paraId="22BE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tcPr>
          <w:p w14:paraId="11AE898D">
            <w:pPr>
              <w:widowControl w:val="0"/>
              <w:spacing w:line="240" w:lineRule="auto"/>
              <w:jc w:val="center"/>
              <w:rPr>
                <w:rFonts w:hint="eastAsia" w:ascii="宋体" w:hAnsi="宋体" w:cs="宋体"/>
                <w:color w:val="auto"/>
                <w:sz w:val="28"/>
                <w:szCs w:val="28"/>
                <w:highlight w:val="none"/>
              </w:rPr>
            </w:pPr>
          </w:p>
        </w:tc>
        <w:tc>
          <w:tcPr>
            <w:tcW w:w="1971" w:type="dxa"/>
          </w:tcPr>
          <w:p w14:paraId="2276AB39">
            <w:pPr>
              <w:widowControl w:val="0"/>
              <w:spacing w:line="240" w:lineRule="auto"/>
              <w:jc w:val="center"/>
              <w:rPr>
                <w:rFonts w:hint="eastAsia" w:ascii="宋体" w:hAnsi="宋体" w:cs="宋体"/>
                <w:color w:val="auto"/>
                <w:sz w:val="28"/>
                <w:szCs w:val="28"/>
                <w:highlight w:val="none"/>
              </w:rPr>
            </w:pPr>
          </w:p>
        </w:tc>
        <w:tc>
          <w:tcPr>
            <w:tcW w:w="1971" w:type="dxa"/>
          </w:tcPr>
          <w:p w14:paraId="2CCD0D17">
            <w:pPr>
              <w:widowControl w:val="0"/>
              <w:spacing w:line="240" w:lineRule="auto"/>
              <w:jc w:val="center"/>
              <w:rPr>
                <w:rFonts w:hint="eastAsia" w:ascii="宋体" w:hAnsi="宋体" w:cs="宋体"/>
                <w:color w:val="auto"/>
                <w:sz w:val="28"/>
                <w:szCs w:val="28"/>
                <w:highlight w:val="none"/>
              </w:rPr>
            </w:pPr>
          </w:p>
        </w:tc>
        <w:tc>
          <w:tcPr>
            <w:tcW w:w="1971" w:type="dxa"/>
          </w:tcPr>
          <w:p w14:paraId="3FA82336">
            <w:pPr>
              <w:widowControl w:val="0"/>
              <w:spacing w:line="240" w:lineRule="auto"/>
              <w:jc w:val="center"/>
              <w:rPr>
                <w:rFonts w:hint="eastAsia" w:ascii="宋体" w:hAnsi="宋体" w:cs="宋体"/>
                <w:color w:val="auto"/>
                <w:sz w:val="28"/>
                <w:szCs w:val="28"/>
                <w:highlight w:val="none"/>
              </w:rPr>
            </w:pPr>
          </w:p>
        </w:tc>
        <w:tc>
          <w:tcPr>
            <w:tcW w:w="1971" w:type="dxa"/>
          </w:tcPr>
          <w:p w14:paraId="4DA2DDA1">
            <w:pPr>
              <w:widowControl w:val="0"/>
              <w:spacing w:line="240" w:lineRule="auto"/>
              <w:jc w:val="center"/>
              <w:rPr>
                <w:rFonts w:hint="eastAsia" w:ascii="宋体" w:hAnsi="宋体" w:cs="宋体"/>
                <w:color w:val="auto"/>
                <w:sz w:val="28"/>
                <w:szCs w:val="28"/>
                <w:highlight w:val="none"/>
              </w:rPr>
            </w:pPr>
          </w:p>
        </w:tc>
      </w:tr>
    </w:tbl>
    <w:p w14:paraId="37D04114">
      <w:pPr>
        <w:spacing w:line="240" w:lineRule="auto"/>
        <w:jc w:val="center"/>
        <w:rPr>
          <w:rFonts w:hint="eastAsia" w:ascii="宋体" w:hAnsi="宋体" w:cs="宋体"/>
          <w:color w:val="auto"/>
          <w:sz w:val="28"/>
          <w:szCs w:val="28"/>
          <w:highlight w:val="none"/>
        </w:rPr>
      </w:pPr>
    </w:p>
    <w:p w14:paraId="14402A96">
      <w:pPr>
        <w:spacing w:line="240" w:lineRule="auto"/>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采购人代表：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记录人：</w:t>
      </w:r>
      <w:r>
        <w:rPr>
          <w:rFonts w:hint="eastAsia" w:ascii="宋体" w:hAnsi="宋体" w:cs="宋体"/>
          <w:color w:val="auto"/>
          <w:sz w:val="28"/>
          <w:szCs w:val="28"/>
          <w:highlight w:val="none"/>
          <w:u w:val="single"/>
        </w:rPr>
        <w:t xml:space="preserve">        </w:t>
      </w:r>
    </w:p>
    <w:p w14:paraId="5D80C59F">
      <w:pPr>
        <w:spacing w:line="240" w:lineRule="auto"/>
        <w:rPr>
          <w:rFonts w:hint="eastAsia" w:ascii="宋体" w:hAnsi="宋体" w:cs="宋体"/>
          <w:color w:val="auto"/>
          <w:sz w:val="28"/>
          <w:szCs w:val="28"/>
          <w:highlight w:val="none"/>
        </w:rPr>
      </w:pPr>
    </w:p>
    <w:p w14:paraId="3D5A745C">
      <w:pPr>
        <w:spacing w:line="240" w:lineRule="auto"/>
        <w:rPr>
          <w:rFonts w:hint="eastAsia" w:ascii="宋体" w:hAnsi="宋体" w:cs="宋体"/>
          <w:color w:val="auto"/>
          <w:sz w:val="30"/>
          <w:szCs w:val="30"/>
          <w:highlight w:val="none"/>
        </w:rPr>
      </w:pPr>
    </w:p>
    <w:p w14:paraId="77EF608D">
      <w:pPr>
        <w:spacing w:line="24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47A9665C">
      <w:pPr>
        <w:adjustRightInd w:val="0"/>
        <w:snapToGrid w:val="0"/>
        <w:spacing w:line="600" w:lineRule="exac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附件2  问题澄清通知</w:t>
      </w:r>
    </w:p>
    <w:p w14:paraId="61730FFE">
      <w:pPr>
        <w:adjustRightInd w:val="0"/>
        <w:snapToGrid w:val="0"/>
        <w:spacing w:line="600" w:lineRule="exact"/>
        <w:ind w:firstLine="723" w:firstLineChars="200"/>
        <w:jc w:val="center"/>
        <w:rPr>
          <w:rFonts w:hint="eastAsia" w:ascii="宋体" w:hAnsi="宋体" w:cs="宋体"/>
          <w:b/>
          <w:bCs/>
          <w:color w:val="auto"/>
          <w:sz w:val="36"/>
          <w:szCs w:val="36"/>
          <w:highlight w:val="none"/>
        </w:rPr>
      </w:pPr>
    </w:p>
    <w:p w14:paraId="57940106">
      <w:pPr>
        <w:adjustRightInd w:val="0"/>
        <w:snapToGrid w:val="0"/>
        <w:spacing w:line="600" w:lineRule="exact"/>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问题澄清通知</w:t>
      </w:r>
    </w:p>
    <w:p w14:paraId="13376B93">
      <w:pPr>
        <w:adjustRightInd w:val="0"/>
        <w:snapToGrid w:val="0"/>
        <w:spacing w:line="600" w:lineRule="exact"/>
        <w:ind w:firstLine="723" w:firstLineChars="200"/>
        <w:jc w:val="center"/>
        <w:rPr>
          <w:rFonts w:hint="eastAsia" w:ascii="宋体" w:hAnsi="宋体" w:cs="宋体"/>
          <w:b/>
          <w:bCs/>
          <w:color w:val="auto"/>
          <w:sz w:val="36"/>
          <w:szCs w:val="36"/>
          <w:highlight w:val="none"/>
        </w:rPr>
      </w:pPr>
    </w:p>
    <w:p w14:paraId="09F5396D">
      <w:pPr>
        <w:adjustRightInd w:val="0"/>
        <w:snapToGrid w:val="0"/>
        <w:spacing w:line="600" w:lineRule="exact"/>
        <w:ind w:firstLine="600" w:firstLineChars="2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w:t>
      </w:r>
    </w:p>
    <w:p w14:paraId="34697204">
      <w:pPr>
        <w:adjustRightInd w:val="0"/>
        <w:snapToGrid w:val="0"/>
        <w:spacing w:line="600" w:lineRule="exact"/>
        <w:ind w:left="210" w:leftChars="100" w:firstLine="280" w:firstLineChars="100"/>
        <w:rPr>
          <w:rFonts w:hint="eastAsia" w:ascii="宋体" w:hAnsi="宋体" w:cs="宋体"/>
          <w:color w:val="auto"/>
          <w:sz w:val="28"/>
          <w:szCs w:val="28"/>
          <w:highlight w:val="none"/>
          <w:u w:val="single"/>
        </w:rPr>
      </w:pPr>
      <w:r>
        <w:rPr>
          <w:rFonts w:hint="eastAsia" w:ascii="宋体" w:hAnsi="宋体" w:cs="宋体"/>
          <w:color w:val="auto"/>
          <w:sz w:val="28"/>
          <w:szCs w:val="28"/>
          <w:highlight w:val="none"/>
          <w:u w:val="single"/>
        </w:rPr>
        <w:t>(供应商名称)：</w:t>
      </w:r>
    </w:p>
    <w:p w14:paraId="5E21BAF8">
      <w:pPr>
        <w:adjustRightInd w:val="0"/>
        <w:snapToGrid w:val="0"/>
        <w:spacing w:line="600" w:lineRule="exact"/>
        <w:ind w:left="210" w:leftChars="100" w:firstLine="840" w:firstLineChars="300"/>
        <w:rPr>
          <w:rFonts w:hint="eastAsia" w:ascii="宋体" w:hAnsi="宋体" w:cs="宋体"/>
          <w:color w:val="auto"/>
          <w:sz w:val="28"/>
          <w:szCs w:val="28"/>
          <w:highlight w:val="none"/>
        </w:rPr>
      </w:pPr>
      <w:r>
        <w:rPr>
          <w:rFonts w:hint="eastAsia" w:ascii="宋体" w:hAnsi="宋体" w:cs="宋体"/>
          <w:color w:val="auto"/>
          <w:sz w:val="28"/>
          <w:szCs w:val="28"/>
          <w:highlight w:val="none"/>
        </w:rPr>
        <w:t>评审小组对你方的响应文件进行了仔细的审查，现需你方对下列问题以书面形式予以澄清、说明和补正：</w:t>
      </w:r>
    </w:p>
    <w:p w14:paraId="14C8FE01">
      <w:pPr>
        <w:adjustRightInd w:val="0"/>
        <w:snapToGrid w:val="0"/>
        <w:spacing w:line="600" w:lineRule="exact"/>
        <w:ind w:left="210" w:leftChars="100"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1.</w:t>
      </w:r>
    </w:p>
    <w:p w14:paraId="11659A18">
      <w:pPr>
        <w:adjustRightInd w:val="0"/>
        <w:snapToGrid w:val="0"/>
        <w:spacing w:line="600" w:lineRule="exact"/>
        <w:ind w:left="210" w:leftChars="100" w:firstLine="280" w:firstLineChars="100"/>
        <w:rPr>
          <w:rFonts w:hint="eastAsia" w:ascii="宋体" w:hAnsi="宋体" w:cs="宋体"/>
          <w:color w:val="auto"/>
          <w:sz w:val="28"/>
          <w:szCs w:val="28"/>
          <w:highlight w:val="none"/>
        </w:rPr>
      </w:pPr>
      <w:r>
        <w:rPr>
          <w:rFonts w:hint="eastAsia" w:ascii="宋体" w:hAnsi="宋体" w:cs="宋体"/>
          <w:color w:val="auto"/>
          <w:sz w:val="28"/>
          <w:szCs w:val="28"/>
          <w:highlight w:val="none"/>
        </w:rPr>
        <w:t>2.</w:t>
      </w:r>
    </w:p>
    <w:p w14:paraId="2B014661">
      <w:pPr>
        <w:adjustRightInd w:val="0"/>
        <w:snapToGrid w:val="0"/>
        <w:spacing w:line="600" w:lineRule="exact"/>
        <w:ind w:left="508" w:leftChars="242"/>
        <w:rPr>
          <w:rFonts w:hint="eastAsia" w:ascii="宋体" w:hAnsi="宋体" w:cs="宋体"/>
          <w:color w:val="auto"/>
          <w:sz w:val="28"/>
          <w:szCs w:val="28"/>
          <w:highlight w:val="none"/>
        </w:rPr>
      </w:pPr>
      <w:r>
        <w:rPr>
          <w:rFonts w:hint="eastAsia" w:ascii="宋体" w:hAnsi="宋体" w:cs="宋体"/>
          <w:color w:val="auto"/>
          <w:sz w:val="28"/>
          <w:szCs w:val="28"/>
          <w:highlight w:val="none"/>
        </w:rPr>
        <w:t>......</w:t>
      </w:r>
    </w:p>
    <w:p w14:paraId="2639B4B0">
      <w:pPr>
        <w:adjustRightInd w:val="0"/>
        <w:snapToGrid w:val="0"/>
        <w:spacing w:line="600" w:lineRule="exact"/>
        <w:ind w:left="508" w:leftChars="242"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请将上述问题的澄清、说明和补正于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时前递交至</w:t>
      </w:r>
      <w:r>
        <w:rPr>
          <w:rFonts w:hint="eastAsia" w:ascii="宋体" w:hAnsi="宋体" w:cs="宋体"/>
          <w:color w:val="auto"/>
          <w:sz w:val="28"/>
          <w:szCs w:val="28"/>
          <w:highlight w:val="none"/>
          <w:u w:val="single"/>
        </w:rPr>
        <w:t>(详细地址)</w:t>
      </w:r>
      <w:r>
        <w:rPr>
          <w:rFonts w:hint="eastAsia" w:ascii="宋体" w:hAnsi="宋体" w:cs="宋体"/>
          <w:color w:val="auto"/>
          <w:sz w:val="28"/>
          <w:szCs w:val="28"/>
          <w:highlight w:val="none"/>
        </w:rPr>
        <w:t>或发电子邮件至</w:t>
      </w:r>
      <w:r>
        <w:rPr>
          <w:rFonts w:hint="eastAsia" w:ascii="宋体" w:hAnsi="宋体" w:cs="宋体"/>
          <w:color w:val="auto"/>
          <w:sz w:val="28"/>
          <w:szCs w:val="28"/>
          <w:highlight w:val="none"/>
          <w:u w:val="single"/>
        </w:rPr>
        <w:t>(电子邮箱地址)</w:t>
      </w:r>
      <w:r>
        <w:rPr>
          <w:rFonts w:hint="eastAsia" w:ascii="宋体" w:hAnsi="宋体" w:cs="宋体"/>
          <w:color w:val="auto"/>
          <w:sz w:val="28"/>
          <w:szCs w:val="28"/>
          <w:highlight w:val="none"/>
        </w:rPr>
        <w:t>。采用电子邮件方式的，应在</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日_时前将原件递交至</w:t>
      </w:r>
      <w:r>
        <w:rPr>
          <w:rFonts w:hint="eastAsia" w:ascii="宋体" w:hAnsi="宋体" w:cs="宋体"/>
          <w:color w:val="auto"/>
          <w:sz w:val="28"/>
          <w:szCs w:val="28"/>
          <w:highlight w:val="none"/>
          <w:u w:val="single"/>
        </w:rPr>
        <w:t>(详细地址)</w:t>
      </w:r>
      <w:r>
        <w:rPr>
          <w:rFonts w:hint="eastAsia" w:ascii="宋体" w:hAnsi="宋体" w:cs="宋体"/>
          <w:color w:val="auto"/>
          <w:sz w:val="28"/>
          <w:szCs w:val="28"/>
          <w:highlight w:val="none"/>
        </w:rPr>
        <w:t>。</w:t>
      </w:r>
    </w:p>
    <w:p w14:paraId="524DA422">
      <w:pPr>
        <w:adjustRightInd w:val="0"/>
        <w:snapToGrid w:val="0"/>
        <w:spacing w:line="600" w:lineRule="exact"/>
        <w:ind w:left="210" w:leftChars="100" w:firstLine="280" w:firstLineChars="100"/>
        <w:rPr>
          <w:rFonts w:hint="eastAsia" w:ascii="宋体" w:hAnsi="宋体" w:cs="宋体"/>
          <w:color w:val="auto"/>
          <w:sz w:val="28"/>
          <w:szCs w:val="28"/>
          <w:highlight w:val="none"/>
        </w:rPr>
      </w:pPr>
    </w:p>
    <w:p w14:paraId="6C39F23C">
      <w:pPr>
        <w:adjustRightInd w:val="0"/>
        <w:snapToGrid w:val="0"/>
        <w:spacing w:line="600" w:lineRule="exact"/>
        <w:ind w:left="210" w:leftChars="100" w:firstLine="280" w:firstLineChars="100"/>
        <w:rPr>
          <w:rFonts w:hint="eastAsia" w:ascii="宋体" w:hAnsi="宋体" w:cs="宋体"/>
          <w:color w:val="auto"/>
          <w:sz w:val="28"/>
          <w:szCs w:val="28"/>
          <w:highlight w:val="none"/>
        </w:rPr>
      </w:pPr>
    </w:p>
    <w:p w14:paraId="6DEFB7F5">
      <w:pPr>
        <w:adjustRightInd w:val="0"/>
        <w:snapToGrid w:val="0"/>
        <w:spacing w:line="600" w:lineRule="exact"/>
        <w:ind w:left="210" w:leftChars="100" w:firstLine="280" w:firstLineChars="100"/>
        <w:rPr>
          <w:rFonts w:hint="eastAsia" w:ascii="宋体" w:hAnsi="宋体" w:cs="宋体"/>
          <w:color w:val="auto"/>
          <w:sz w:val="28"/>
          <w:szCs w:val="28"/>
          <w:highlight w:val="none"/>
        </w:rPr>
      </w:pPr>
    </w:p>
    <w:p w14:paraId="5BC82B49">
      <w:pPr>
        <w:adjustRightInd w:val="0"/>
        <w:snapToGrid w:val="0"/>
        <w:spacing w:line="600" w:lineRule="exact"/>
        <w:ind w:left="210" w:leftChars="100" w:firstLine="280" w:firstLineChars="100"/>
        <w:jc w:val="righ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采购人(或采购代理机构)：</w:t>
      </w:r>
      <w:r>
        <w:rPr>
          <w:rFonts w:hint="eastAsia" w:ascii="宋体" w:hAnsi="宋体" w:cs="宋体"/>
          <w:color w:val="auto"/>
          <w:sz w:val="28"/>
          <w:szCs w:val="28"/>
          <w:highlight w:val="none"/>
          <w:u w:val="single"/>
        </w:rPr>
        <w:t> (签字或盖单位章)</w:t>
      </w:r>
    </w:p>
    <w:p w14:paraId="13840F0D">
      <w:pPr>
        <w:spacing w:line="600" w:lineRule="exact"/>
        <w:jc w:val="right"/>
        <w:rPr>
          <w:rFonts w:hint="eastAsia" w:ascii="宋体" w:hAnsi="宋体" w:cs="宋体"/>
          <w:color w:val="auto"/>
          <w:sz w:val="30"/>
          <w:szCs w:val="3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color w:val="auto"/>
          <w:sz w:val="30"/>
          <w:szCs w:val="30"/>
          <w:highlight w:val="none"/>
        </w:rPr>
        <w:br w:type="page"/>
      </w:r>
    </w:p>
    <w:p w14:paraId="0A6DCE29">
      <w:pPr>
        <w:adjustRightInd w:val="0"/>
        <w:snapToGrid w:val="0"/>
        <w:spacing w:line="600" w:lineRule="exac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附件3  问题的澄清</w:t>
      </w:r>
    </w:p>
    <w:p w14:paraId="437A48EB">
      <w:pPr>
        <w:adjustRightInd w:val="0"/>
        <w:snapToGrid w:val="0"/>
        <w:spacing w:line="600" w:lineRule="exact"/>
        <w:ind w:firstLine="723" w:firstLineChars="200"/>
        <w:jc w:val="center"/>
        <w:rPr>
          <w:rFonts w:hint="eastAsia" w:ascii="宋体" w:hAnsi="宋体" w:cs="宋体"/>
          <w:b/>
          <w:bCs/>
          <w:color w:val="auto"/>
          <w:sz w:val="36"/>
          <w:szCs w:val="36"/>
          <w:highlight w:val="none"/>
        </w:rPr>
      </w:pPr>
    </w:p>
    <w:p w14:paraId="78216DFB">
      <w:pPr>
        <w:adjustRightInd w:val="0"/>
        <w:snapToGrid w:val="0"/>
        <w:spacing w:line="600" w:lineRule="exact"/>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问题的澄清</w:t>
      </w:r>
    </w:p>
    <w:p w14:paraId="7A5F486A">
      <w:pPr>
        <w:adjustRightInd w:val="0"/>
        <w:snapToGrid w:val="0"/>
        <w:spacing w:line="600" w:lineRule="exact"/>
        <w:ind w:firstLine="723" w:firstLineChars="200"/>
        <w:jc w:val="center"/>
        <w:rPr>
          <w:rFonts w:hint="eastAsia" w:ascii="宋体" w:hAnsi="宋体" w:cs="宋体"/>
          <w:b/>
          <w:bCs/>
          <w:color w:val="auto"/>
          <w:sz w:val="36"/>
          <w:szCs w:val="36"/>
          <w:highlight w:val="none"/>
        </w:rPr>
      </w:pPr>
    </w:p>
    <w:p w14:paraId="7346526C">
      <w:pPr>
        <w:adjustRightInd w:val="0"/>
        <w:snapToGrid w:val="0"/>
        <w:spacing w:line="600" w:lineRule="exact"/>
        <w:ind w:firstLine="600" w:firstLineChars="2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w:t>
      </w:r>
    </w:p>
    <w:p w14:paraId="6E424939">
      <w:pPr>
        <w:adjustRightInd w:val="0"/>
        <w:snapToGrid w:val="0"/>
        <w:spacing w:line="600" w:lineRule="exact"/>
        <w:rPr>
          <w:rFonts w:hint="eastAsia" w:ascii="宋体" w:hAnsi="宋体" w:cs="宋体"/>
          <w:color w:val="auto"/>
          <w:sz w:val="28"/>
          <w:szCs w:val="28"/>
          <w:highlight w:val="none"/>
        </w:rPr>
      </w:pPr>
      <w:r>
        <w:rPr>
          <w:rFonts w:hint="eastAsia" w:ascii="宋体" w:hAnsi="宋体" w:cs="宋体"/>
          <w:color w:val="auto"/>
          <w:sz w:val="28"/>
          <w:szCs w:val="28"/>
          <w:highlight w:val="none"/>
        </w:rPr>
        <w:t>评审小组：</w:t>
      </w:r>
    </w:p>
    <w:p w14:paraId="092E586A">
      <w:pPr>
        <w:adjustRightInd w:val="0"/>
        <w:snapToGrid w:val="0"/>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问题澄清通知(编号：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已收悉， 现澄清、说明和补正如下：</w:t>
      </w:r>
    </w:p>
    <w:p w14:paraId="17FCF385">
      <w:pPr>
        <w:adjustRightInd w:val="0"/>
        <w:snapToGrid w:val="0"/>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w:t>
      </w:r>
    </w:p>
    <w:p w14:paraId="3EFE7FAA">
      <w:pPr>
        <w:adjustRightInd w:val="0"/>
        <w:snapToGrid w:val="0"/>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2.</w:t>
      </w:r>
    </w:p>
    <w:p w14:paraId="445649E1">
      <w:pPr>
        <w:adjustRightInd w:val="0"/>
        <w:snapToGrid w:val="0"/>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w:t>
      </w:r>
    </w:p>
    <w:p w14:paraId="5224D3F3">
      <w:pPr>
        <w:adjustRightInd w:val="0"/>
        <w:snapToGrid w:val="0"/>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上述问题澄清、说明和补正，构成我方响应文件的组成部分。</w:t>
      </w:r>
    </w:p>
    <w:p w14:paraId="3A617FA1">
      <w:pPr>
        <w:adjustRightInd w:val="0"/>
        <w:snapToGrid w:val="0"/>
        <w:spacing w:line="600" w:lineRule="exact"/>
        <w:ind w:firstLine="560" w:firstLineChars="200"/>
        <w:rPr>
          <w:rFonts w:hint="eastAsia" w:ascii="宋体" w:hAnsi="宋体" w:cs="宋体"/>
          <w:color w:val="auto"/>
          <w:sz w:val="28"/>
          <w:szCs w:val="28"/>
          <w:highlight w:val="none"/>
        </w:rPr>
      </w:pPr>
    </w:p>
    <w:p w14:paraId="27F4B330">
      <w:pPr>
        <w:adjustRightInd w:val="0"/>
        <w:snapToGrid w:val="0"/>
        <w:spacing w:line="600" w:lineRule="exact"/>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(盖单位章)</w:t>
      </w:r>
      <w:r>
        <w:rPr>
          <w:rFonts w:hint="eastAsia" w:ascii="宋体" w:hAnsi="宋体" w:cs="宋体"/>
          <w:color w:val="auto"/>
          <w:sz w:val="28"/>
          <w:szCs w:val="28"/>
          <w:highlight w:val="none"/>
        </w:rPr>
        <w:t>或</w:t>
      </w:r>
    </w:p>
    <w:p w14:paraId="3B26605E">
      <w:pPr>
        <w:adjustRightInd w:val="0"/>
        <w:snapToGrid w:val="0"/>
        <w:spacing w:line="600" w:lineRule="exact"/>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      法定代表人 (单位负责人) </w:t>
      </w:r>
    </w:p>
    <w:p w14:paraId="43C67B4C">
      <w:pPr>
        <w:adjustRightInd w:val="0"/>
        <w:snapToGrid w:val="0"/>
        <w:spacing w:line="600" w:lineRule="exact"/>
        <w:ind w:firstLine="560" w:firstLineChars="200"/>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 xml:space="preserve">      或其授权的代理人： </w:t>
      </w:r>
      <w:r>
        <w:rPr>
          <w:rFonts w:hint="eastAsia" w:ascii="宋体" w:hAnsi="宋体" w:cs="宋体"/>
          <w:color w:val="auto"/>
          <w:sz w:val="28"/>
          <w:szCs w:val="28"/>
          <w:highlight w:val="none"/>
          <w:u w:val="single"/>
        </w:rPr>
        <w:t>(签字)</w:t>
      </w:r>
    </w:p>
    <w:p w14:paraId="0032E2F4">
      <w:pPr>
        <w:spacing w:line="600" w:lineRule="exact"/>
        <w:jc w:val="right"/>
        <w:rPr>
          <w:rFonts w:hint="eastAsia" w:ascii="宋体" w:hAnsi="宋体" w:cs="宋体"/>
          <w:color w:val="auto"/>
          <w:sz w:val="30"/>
          <w:szCs w:val="3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color w:val="auto"/>
          <w:sz w:val="28"/>
          <w:szCs w:val="28"/>
          <w:highlight w:val="none"/>
        </w:rPr>
        <w:br w:type="page"/>
      </w:r>
    </w:p>
    <w:p w14:paraId="1CC6B8FF">
      <w:pPr>
        <w:adjustRightInd w:val="0"/>
        <w:snapToGrid w:val="0"/>
        <w:spacing w:line="600" w:lineRule="exac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附件4  成交通知书</w:t>
      </w:r>
    </w:p>
    <w:p w14:paraId="6246C37D">
      <w:pPr>
        <w:adjustRightInd w:val="0"/>
        <w:snapToGrid w:val="0"/>
        <w:spacing w:line="600" w:lineRule="exact"/>
        <w:ind w:firstLine="723" w:firstLineChars="200"/>
        <w:jc w:val="center"/>
        <w:rPr>
          <w:rFonts w:hint="eastAsia" w:ascii="宋体" w:hAnsi="宋体" w:cs="宋体"/>
          <w:b/>
          <w:bCs/>
          <w:color w:val="auto"/>
          <w:sz w:val="36"/>
          <w:szCs w:val="36"/>
          <w:highlight w:val="none"/>
        </w:rPr>
      </w:pPr>
    </w:p>
    <w:p w14:paraId="047A37F4">
      <w:pPr>
        <w:adjustRightInd w:val="0"/>
        <w:snapToGrid w:val="0"/>
        <w:spacing w:line="600" w:lineRule="exact"/>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成交通知书</w:t>
      </w:r>
    </w:p>
    <w:p w14:paraId="341C391D">
      <w:pPr>
        <w:adjustRightInd w:val="0"/>
        <w:snapToGrid w:val="0"/>
        <w:spacing w:line="600" w:lineRule="exact"/>
        <w:ind w:firstLine="723" w:firstLineChars="200"/>
        <w:jc w:val="center"/>
        <w:rPr>
          <w:rFonts w:hint="eastAsia" w:ascii="宋体" w:hAnsi="宋体" w:cs="宋体"/>
          <w:b/>
          <w:bCs/>
          <w:color w:val="auto"/>
          <w:sz w:val="36"/>
          <w:szCs w:val="36"/>
          <w:highlight w:val="none"/>
        </w:rPr>
      </w:pPr>
    </w:p>
    <w:p w14:paraId="6AC508A0">
      <w:pPr>
        <w:adjustRightInd w:val="0"/>
        <w:snapToGrid w:val="0"/>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u w:val="single"/>
        </w:rPr>
        <w:t>(成交供应商名称)</w:t>
      </w:r>
      <w:r>
        <w:rPr>
          <w:rFonts w:hint="eastAsia" w:ascii="宋体" w:hAnsi="宋体" w:cs="宋体"/>
          <w:color w:val="auto"/>
          <w:sz w:val="28"/>
          <w:szCs w:val="28"/>
          <w:highlight w:val="none"/>
        </w:rPr>
        <w:t>：</w:t>
      </w:r>
    </w:p>
    <w:p w14:paraId="34121E4B">
      <w:pPr>
        <w:adjustRightInd w:val="0"/>
        <w:snapToGrid w:val="0"/>
        <w:spacing w:line="60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你方所递交的</w:t>
      </w:r>
      <w:r>
        <w:rPr>
          <w:rFonts w:hint="eastAsia" w:ascii="宋体" w:hAnsi="宋体" w:cs="宋体"/>
          <w:color w:val="auto"/>
          <w:sz w:val="28"/>
          <w:szCs w:val="28"/>
          <w:highlight w:val="none"/>
          <w:u w:val="single"/>
        </w:rPr>
        <w:t>(项目名称)</w:t>
      </w:r>
      <w:r>
        <w:rPr>
          <w:rFonts w:hint="eastAsia" w:ascii="宋体" w:hAnsi="宋体" w:cs="宋体"/>
          <w:color w:val="auto"/>
          <w:sz w:val="28"/>
          <w:szCs w:val="28"/>
          <w:highlight w:val="none"/>
        </w:rPr>
        <w:t>的响应文件已被我方接受，被确定为成交供应商。</w:t>
      </w:r>
    </w:p>
    <w:p w14:paraId="3DCFA619">
      <w:pPr>
        <w:adjustRightInd w:val="0"/>
        <w:snapToGrid w:val="0"/>
        <w:spacing w:line="60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成交价：</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30AF33E9">
      <w:pPr>
        <w:adjustRightInd w:val="0"/>
        <w:snapToGrid w:val="0"/>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成交份额：</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。(如有)</w:t>
      </w:r>
    </w:p>
    <w:p w14:paraId="214CF193">
      <w:pPr>
        <w:adjustRightInd w:val="0"/>
        <w:snapToGrid w:val="0"/>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请你方在接到本通知书后的</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日内到</w:t>
      </w:r>
      <w:r>
        <w:rPr>
          <w:rFonts w:hint="eastAsia" w:ascii="宋体" w:hAnsi="宋体" w:cs="宋体"/>
          <w:color w:val="auto"/>
          <w:sz w:val="28"/>
          <w:szCs w:val="28"/>
          <w:highlight w:val="none"/>
          <w:u w:val="single"/>
        </w:rPr>
        <w:t>(指定地点)</w:t>
      </w:r>
      <w:r>
        <w:rPr>
          <w:rFonts w:hint="eastAsia" w:ascii="宋体" w:hAnsi="宋体" w:cs="宋体"/>
          <w:color w:val="auto"/>
          <w:sz w:val="28"/>
          <w:szCs w:val="28"/>
          <w:highlight w:val="none"/>
        </w:rPr>
        <w:t>与我方签订采购合同，并按采购文件第二章“供应商须知”第7.6款规定向我方递交履约保证金。</w:t>
      </w:r>
    </w:p>
    <w:p w14:paraId="17F594D5">
      <w:pPr>
        <w:adjustRightInd w:val="0"/>
        <w:snapToGrid w:val="0"/>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特此通知。</w:t>
      </w:r>
    </w:p>
    <w:p w14:paraId="6EDF7ECD">
      <w:pPr>
        <w:adjustRightInd w:val="0"/>
        <w:snapToGrid w:val="0"/>
        <w:spacing w:line="600" w:lineRule="exact"/>
        <w:ind w:firstLine="560" w:firstLineChars="200"/>
        <w:rPr>
          <w:rFonts w:hint="eastAsia" w:ascii="宋体" w:hAnsi="宋体" w:cs="宋体"/>
          <w:color w:val="auto"/>
          <w:sz w:val="28"/>
          <w:szCs w:val="28"/>
          <w:highlight w:val="none"/>
        </w:rPr>
      </w:pPr>
    </w:p>
    <w:p w14:paraId="72592341">
      <w:pPr>
        <w:adjustRightInd w:val="0"/>
        <w:snapToGrid w:val="0"/>
        <w:spacing w:line="600" w:lineRule="exact"/>
        <w:ind w:firstLine="560" w:firstLineChars="200"/>
        <w:rPr>
          <w:rFonts w:hint="eastAsia" w:ascii="宋体" w:hAnsi="宋体" w:cs="宋体"/>
          <w:color w:val="auto"/>
          <w:sz w:val="28"/>
          <w:szCs w:val="28"/>
          <w:highlight w:val="none"/>
        </w:rPr>
      </w:pPr>
    </w:p>
    <w:p w14:paraId="35CC434C">
      <w:pPr>
        <w:adjustRightInd w:val="0"/>
        <w:snapToGrid w:val="0"/>
        <w:spacing w:line="600" w:lineRule="exact"/>
        <w:ind w:firstLine="560" w:firstLineChars="200"/>
        <w:jc w:val="right"/>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采购人(或采购代理机构)：</w:t>
      </w:r>
      <w:r>
        <w:rPr>
          <w:rFonts w:hint="eastAsia" w:ascii="宋体" w:hAnsi="宋体" w:cs="宋体"/>
          <w:color w:val="auto"/>
          <w:sz w:val="28"/>
          <w:szCs w:val="28"/>
          <w:highlight w:val="none"/>
          <w:u w:val="single"/>
        </w:rPr>
        <w:t>(盖单位章)</w:t>
      </w:r>
    </w:p>
    <w:p w14:paraId="0ECB4988">
      <w:pPr>
        <w:spacing w:line="600" w:lineRule="exact"/>
        <w:jc w:val="right"/>
        <w:rPr>
          <w:rFonts w:hint="eastAsia" w:ascii="宋体" w:hAnsi="宋体" w:cs="宋体"/>
          <w:color w:val="auto"/>
          <w:sz w:val="30"/>
          <w:szCs w:val="3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color w:val="auto"/>
          <w:sz w:val="30"/>
          <w:szCs w:val="30"/>
          <w:highlight w:val="none"/>
        </w:rPr>
        <w:br w:type="page"/>
      </w:r>
    </w:p>
    <w:p w14:paraId="67AD708B">
      <w:pPr>
        <w:adjustRightInd w:val="0"/>
        <w:snapToGrid w:val="0"/>
        <w:spacing w:line="600" w:lineRule="exac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附件5  确认通知</w:t>
      </w:r>
    </w:p>
    <w:p w14:paraId="35043D37">
      <w:pPr>
        <w:adjustRightInd w:val="0"/>
        <w:snapToGrid w:val="0"/>
        <w:spacing w:line="600" w:lineRule="exact"/>
        <w:ind w:firstLine="723" w:firstLineChars="200"/>
        <w:jc w:val="center"/>
        <w:rPr>
          <w:rFonts w:hint="eastAsia" w:ascii="宋体" w:hAnsi="宋体" w:cs="宋体"/>
          <w:b/>
          <w:bCs/>
          <w:color w:val="auto"/>
          <w:sz w:val="36"/>
          <w:szCs w:val="36"/>
          <w:highlight w:val="none"/>
        </w:rPr>
      </w:pPr>
    </w:p>
    <w:p w14:paraId="45C29835">
      <w:pPr>
        <w:adjustRightInd w:val="0"/>
        <w:snapToGrid w:val="0"/>
        <w:spacing w:line="600" w:lineRule="exact"/>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确认通知</w:t>
      </w:r>
    </w:p>
    <w:p w14:paraId="13A0F980">
      <w:pPr>
        <w:adjustRightInd w:val="0"/>
        <w:snapToGrid w:val="0"/>
        <w:spacing w:line="600" w:lineRule="exact"/>
        <w:ind w:firstLine="723" w:firstLineChars="200"/>
        <w:jc w:val="center"/>
        <w:rPr>
          <w:rFonts w:hint="eastAsia" w:ascii="宋体" w:hAnsi="宋体" w:cs="宋体"/>
          <w:b/>
          <w:bCs/>
          <w:color w:val="auto"/>
          <w:sz w:val="36"/>
          <w:szCs w:val="36"/>
          <w:highlight w:val="none"/>
        </w:rPr>
      </w:pPr>
    </w:p>
    <w:p w14:paraId="662EB8E8">
      <w:pPr>
        <w:adjustRightInd w:val="0"/>
        <w:snapToGrid w:val="0"/>
        <w:spacing w:line="600" w:lineRule="exact"/>
        <w:ind w:firstLine="560" w:firstLineChars="200"/>
        <w:rPr>
          <w:rFonts w:hint="eastAsia" w:ascii="宋体" w:hAnsi="宋体" w:cs="宋体"/>
          <w:b/>
          <w:bCs/>
          <w:color w:val="auto"/>
          <w:sz w:val="28"/>
          <w:szCs w:val="28"/>
          <w:highlight w:val="none"/>
        </w:rPr>
      </w:pPr>
      <w:r>
        <w:rPr>
          <w:rFonts w:hint="eastAsia" w:ascii="宋体" w:hAnsi="宋体" w:cs="宋体"/>
          <w:color w:val="auto"/>
          <w:sz w:val="28"/>
          <w:szCs w:val="28"/>
          <w:highlight w:val="none"/>
          <w:u w:val="single"/>
        </w:rPr>
        <w:t xml:space="preserve">           （采购人或采购代理机构名称)</w:t>
      </w:r>
      <w:r>
        <w:rPr>
          <w:rFonts w:hint="eastAsia" w:ascii="宋体" w:hAnsi="宋体" w:cs="宋体"/>
          <w:color w:val="auto"/>
          <w:sz w:val="28"/>
          <w:szCs w:val="28"/>
          <w:highlight w:val="none"/>
        </w:rPr>
        <w:t>：</w:t>
      </w:r>
    </w:p>
    <w:p w14:paraId="7DB458FE">
      <w:pPr>
        <w:adjustRightInd w:val="0"/>
        <w:snapToGrid w:val="0"/>
        <w:spacing w:line="600" w:lineRule="exact"/>
        <w:ind w:firstLine="560" w:firstLineChars="200"/>
        <w:jc w:val="both"/>
        <w:rPr>
          <w:rFonts w:hint="eastAsia" w:ascii="宋体" w:hAnsi="宋体" w:cs="宋体"/>
          <w:color w:val="auto"/>
          <w:sz w:val="28"/>
          <w:szCs w:val="28"/>
          <w:highlight w:val="none"/>
        </w:rPr>
      </w:pPr>
      <w:r>
        <w:rPr>
          <w:rFonts w:hint="eastAsia" w:ascii="宋体" w:hAnsi="宋体" w:cs="宋体"/>
          <w:color w:val="auto"/>
          <w:sz w:val="28"/>
          <w:szCs w:val="28"/>
          <w:highlight w:val="none"/>
        </w:rPr>
        <w:t>你方于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日发出的</w:t>
      </w:r>
      <w:r>
        <w:rPr>
          <w:rFonts w:hint="eastAsia" w:ascii="宋体" w:hAnsi="宋体" w:cs="宋体"/>
          <w:color w:val="auto"/>
          <w:sz w:val="28"/>
          <w:szCs w:val="28"/>
          <w:highlight w:val="none"/>
          <w:u w:val="single"/>
        </w:rPr>
        <w:t>(项目名称)</w:t>
      </w:r>
      <w:r>
        <w:rPr>
          <w:rFonts w:hint="eastAsia" w:ascii="宋体" w:hAnsi="宋体" w:cs="宋体"/>
          <w:color w:val="auto"/>
          <w:sz w:val="28"/>
          <w:szCs w:val="28"/>
          <w:highlight w:val="none"/>
        </w:rPr>
        <w:t>采购文件的澄清/修改的通知，我方已于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日收到。</w:t>
      </w:r>
    </w:p>
    <w:p w14:paraId="02CE247F">
      <w:pPr>
        <w:adjustRightInd w:val="0"/>
        <w:snapToGrid w:val="0"/>
        <w:spacing w:line="60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特此确认。</w:t>
      </w:r>
    </w:p>
    <w:p w14:paraId="3B2C34A5">
      <w:pPr>
        <w:adjustRightInd w:val="0"/>
        <w:snapToGrid w:val="0"/>
        <w:spacing w:line="600" w:lineRule="exact"/>
        <w:ind w:firstLine="560" w:firstLineChars="200"/>
        <w:rPr>
          <w:rFonts w:hint="eastAsia" w:ascii="宋体" w:hAnsi="宋体" w:cs="宋体"/>
          <w:color w:val="auto"/>
          <w:sz w:val="28"/>
          <w:szCs w:val="28"/>
          <w:highlight w:val="none"/>
        </w:rPr>
      </w:pPr>
    </w:p>
    <w:p w14:paraId="1F7D3217">
      <w:pPr>
        <w:adjustRightInd w:val="0"/>
        <w:snapToGrid w:val="0"/>
        <w:spacing w:line="600" w:lineRule="exact"/>
        <w:ind w:firstLine="560" w:firstLineChars="200"/>
        <w:rPr>
          <w:rFonts w:hint="eastAsia" w:ascii="宋体" w:hAnsi="宋体" w:cs="宋体"/>
          <w:color w:val="auto"/>
          <w:sz w:val="28"/>
          <w:szCs w:val="28"/>
          <w:highlight w:val="none"/>
        </w:rPr>
      </w:pPr>
    </w:p>
    <w:p w14:paraId="43AB666A">
      <w:pPr>
        <w:adjustRightInd w:val="0"/>
        <w:snapToGrid w:val="0"/>
        <w:spacing w:line="600" w:lineRule="exact"/>
        <w:ind w:firstLine="560" w:firstLineChars="200"/>
        <w:jc w:val="right"/>
        <w:rPr>
          <w:rFonts w:hint="eastAsia" w:ascii="宋体" w:hAnsi="宋体" w:cs="宋体"/>
          <w:color w:val="auto"/>
          <w:sz w:val="28"/>
          <w:szCs w:val="28"/>
          <w:highlight w:val="none"/>
        </w:rPr>
      </w:pPr>
      <w:r>
        <w:rPr>
          <w:rFonts w:hint="eastAsia" w:ascii="宋体" w:hAnsi="宋体" w:cs="宋体"/>
          <w:color w:val="auto"/>
          <w:sz w:val="28"/>
          <w:szCs w:val="28"/>
          <w:highlight w:val="none"/>
        </w:rPr>
        <w:t>供应商：(盖单位章)</w:t>
      </w:r>
    </w:p>
    <w:p w14:paraId="520B6D0A">
      <w:pPr>
        <w:pStyle w:val="152"/>
        <w:spacing w:line="600" w:lineRule="exact"/>
        <w:ind w:left="420" w:firstLine="0" w:firstLineChars="0"/>
        <w:jc w:val="right"/>
        <w:rPr>
          <w:rFonts w:hint="eastAsia"/>
          <w:b/>
          <w:color w:val="auto"/>
          <w:sz w:val="28"/>
          <w:szCs w:val="28"/>
          <w:highlight w:val="none"/>
        </w:rPr>
      </w:pPr>
      <w:r>
        <w:rPr>
          <w:rFonts w:hint="eastAsia"/>
          <w:color w:val="auto"/>
          <w:sz w:val="28"/>
          <w:szCs w:val="28"/>
          <w:highlight w:val="none"/>
          <w:u w:val="single"/>
        </w:rPr>
        <w:t xml:space="preserve">  </w:t>
      </w:r>
      <w:r>
        <w:rPr>
          <w:rFonts w:hint="eastAsia"/>
          <w:color w:val="auto"/>
          <w:sz w:val="28"/>
          <w:szCs w:val="28"/>
          <w:highlight w:val="none"/>
        </w:rPr>
        <w:t>年</w:t>
      </w:r>
      <w:r>
        <w:rPr>
          <w:rFonts w:hint="eastAsia"/>
          <w:color w:val="auto"/>
          <w:sz w:val="28"/>
          <w:szCs w:val="28"/>
          <w:highlight w:val="none"/>
          <w:u w:val="single"/>
        </w:rPr>
        <w:t xml:space="preserve">  </w:t>
      </w:r>
      <w:r>
        <w:rPr>
          <w:rFonts w:hint="eastAsia"/>
          <w:color w:val="auto"/>
          <w:sz w:val="28"/>
          <w:szCs w:val="28"/>
          <w:highlight w:val="none"/>
        </w:rPr>
        <w:t>月</w:t>
      </w:r>
      <w:r>
        <w:rPr>
          <w:rFonts w:hint="eastAsia"/>
          <w:color w:val="auto"/>
          <w:sz w:val="28"/>
          <w:szCs w:val="28"/>
          <w:highlight w:val="none"/>
          <w:u w:val="single"/>
        </w:rPr>
        <w:t xml:space="preserve">  </w:t>
      </w:r>
      <w:r>
        <w:rPr>
          <w:rFonts w:hint="eastAsia"/>
          <w:color w:val="auto"/>
          <w:sz w:val="28"/>
          <w:szCs w:val="28"/>
          <w:highlight w:val="none"/>
        </w:rPr>
        <w:t>日</w:t>
      </w:r>
    </w:p>
    <w:p w14:paraId="59959326">
      <w:pPr>
        <w:spacing w:line="240" w:lineRule="auto"/>
        <w:rPr>
          <w:rFonts w:hint="eastAsia" w:ascii="黑体" w:hAnsi="黑体" w:eastAsia="黑体" w:cs="仿宋"/>
          <w:b/>
          <w:color w:val="auto"/>
          <w:kern w:val="0"/>
          <w:sz w:val="44"/>
          <w:szCs w:val="44"/>
          <w:highlight w:val="none"/>
        </w:rPr>
      </w:pPr>
      <w:r>
        <w:rPr>
          <w:rFonts w:ascii="黑体" w:hAnsi="黑体" w:eastAsia="黑体" w:cs="仿宋"/>
          <w:b/>
          <w:color w:val="auto"/>
          <w:sz w:val="44"/>
          <w:szCs w:val="44"/>
          <w:highlight w:val="none"/>
        </w:rPr>
        <w:br w:type="page"/>
      </w:r>
    </w:p>
    <w:p w14:paraId="655E021A">
      <w:pPr>
        <w:pStyle w:val="152"/>
        <w:spacing w:line="600" w:lineRule="exact"/>
        <w:ind w:left="420" w:firstLine="0" w:firstLineChars="0"/>
        <w:rPr>
          <w:rFonts w:hint="eastAsia" w:ascii="黑体" w:hAnsi="黑体" w:eastAsia="黑体" w:cs="仿宋"/>
          <w:b/>
          <w:color w:val="auto"/>
          <w:sz w:val="44"/>
          <w:szCs w:val="44"/>
          <w:highlight w:val="none"/>
        </w:rPr>
      </w:pPr>
    </w:p>
    <w:p w14:paraId="337CD6A1">
      <w:pPr>
        <w:pStyle w:val="152"/>
        <w:spacing w:line="600" w:lineRule="exact"/>
        <w:ind w:left="420" w:firstLine="0" w:firstLineChars="0"/>
        <w:rPr>
          <w:rFonts w:hint="eastAsia" w:ascii="黑体" w:hAnsi="黑体" w:eastAsia="黑体" w:cs="仿宋"/>
          <w:b/>
          <w:color w:val="auto"/>
          <w:sz w:val="44"/>
          <w:szCs w:val="44"/>
          <w:highlight w:val="none"/>
        </w:rPr>
      </w:pPr>
    </w:p>
    <w:p w14:paraId="6E2041F1">
      <w:pPr>
        <w:pStyle w:val="152"/>
        <w:spacing w:line="600" w:lineRule="exact"/>
        <w:ind w:left="420" w:firstLine="0" w:firstLineChars="0"/>
        <w:rPr>
          <w:rFonts w:hint="eastAsia" w:ascii="黑体" w:hAnsi="黑体" w:eastAsia="黑体" w:cs="仿宋"/>
          <w:b/>
          <w:color w:val="auto"/>
          <w:sz w:val="44"/>
          <w:szCs w:val="44"/>
          <w:highlight w:val="none"/>
        </w:rPr>
      </w:pPr>
    </w:p>
    <w:p w14:paraId="7DBB1949">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1C729232">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05251CBA">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079CCFD0">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7B3CF3AF">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471F4177">
      <w:pPr>
        <w:pStyle w:val="152"/>
        <w:spacing w:line="600" w:lineRule="exact"/>
        <w:ind w:left="420" w:firstLine="0" w:firstLineChars="0"/>
        <w:jc w:val="center"/>
        <w:rPr>
          <w:rFonts w:hint="eastAsia" w:ascii="黑体" w:hAnsi="黑体" w:eastAsia="黑体" w:cs="仿宋"/>
          <w:b/>
          <w:color w:val="auto"/>
          <w:sz w:val="44"/>
          <w:szCs w:val="44"/>
          <w:highlight w:val="none"/>
        </w:rPr>
      </w:pPr>
      <w:r>
        <w:rPr>
          <w:rFonts w:hint="eastAsia" w:ascii="黑体" w:hAnsi="黑体" w:eastAsia="黑体" w:cs="仿宋"/>
          <w:b/>
          <w:color w:val="auto"/>
          <w:sz w:val="44"/>
          <w:szCs w:val="44"/>
          <w:highlight w:val="none"/>
        </w:rPr>
        <w:t>第三章  评审办法</w:t>
      </w:r>
    </w:p>
    <w:p w14:paraId="13548AA1">
      <w:pPr>
        <w:spacing w:line="240" w:lineRule="auto"/>
        <w:jc w:val="center"/>
        <w:rPr>
          <w:rFonts w:hint="eastAsia" w:ascii="华文中宋" w:hAnsi="华文中宋" w:eastAsia="华文中宋" w:cs="仿宋"/>
          <w:b/>
          <w:bCs/>
          <w:color w:val="auto"/>
          <w:sz w:val="36"/>
          <w:szCs w:val="36"/>
          <w:highlight w:val="none"/>
        </w:rPr>
      </w:pPr>
      <w:r>
        <w:rPr>
          <w:rFonts w:ascii="黑体" w:hAnsi="黑体" w:eastAsia="黑体" w:cs="仿宋"/>
          <w:b/>
          <w:color w:val="auto"/>
          <w:sz w:val="44"/>
          <w:szCs w:val="44"/>
          <w:highlight w:val="none"/>
        </w:rPr>
        <w:br w:type="page"/>
      </w:r>
      <w:r>
        <w:rPr>
          <w:rFonts w:hint="eastAsia" w:ascii="华文中宋" w:hAnsi="华文中宋" w:eastAsia="华文中宋" w:cs="仿宋"/>
          <w:b/>
          <w:bCs/>
          <w:color w:val="auto"/>
          <w:sz w:val="36"/>
          <w:szCs w:val="36"/>
          <w:highlight w:val="none"/>
        </w:rPr>
        <w:t>第三章 评审办法</w:t>
      </w:r>
    </w:p>
    <w:p w14:paraId="0182812C">
      <w:pPr>
        <w:adjustRightInd w:val="0"/>
        <w:snapToGrid w:val="0"/>
        <w:spacing w:line="600" w:lineRule="exact"/>
        <w:jc w:val="center"/>
        <w:rPr>
          <w:rFonts w:hint="eastAsia" w:ascii="华文中宋" w:hAnsi="华文中宋" w:eastAsia="华文中宋" w:cs="仿宋"/>
          <w:b/>
          <w:bCs/>
          <w:color w:val="auto"/>
          <w:sz w:val="36"/>
          <w:szCs w:val="36"/>
          <w:highlight w:val="none"/>
        </w:rPr>
      </w:pPr>
      <w:r>
        <w:rPr>
          <w:rFonts w:hint="eastAsia" w:ascii="华文中宋" w:hAnsi="华文中宋" w:eastAsia="华文中宋" w:cs="仿宋"/>
          <w:b/>
          <w:bCs/>
          <w:color w:val="auto"/>
          <w:sz w:val="36"/>
          <w:szCs w:val="36"/>
          <w:highlight w:val="none"/>
        </w:rPr>
        <w:t>评审办法前附表</w:t>
      </w:r>
    </w:p>
    <w:tbl>
      <w:tblPr>
        <w:tblStyle w:val="87"/>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61"/>
        <w:gridCol w:w="1904"/>
        <w:gridCol w:w="5576"/>
      </w:tblGrid>
      <w:tr w14:paraId="7D2D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38BEF90C">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条款号及名称</w:t>
            </w:r>
          </w:p>
        </w:tc>
        <w:tc>
          <w:tcPr>
            <w:tcW w:w="1904" w:type="dxa"/>
            <w:vAlign w:val="center"/>
          </w:tcPr>
          <w:p w14:paraId="26C1B093">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评审因素</w:t>
            </w:r>
          </w:p>
        </w:tc>
        <w:tc>
          <w:tcPr>
            <w:tcW w:w="5576" w:type="dxa"/>
            <w:vAlign w:val="center"/>
          </w:tcPr>
          <w:p w14:paraId="0EB01D8A">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评审标准</w:t>
            </w:r>
          </w:p>
        </w:tc>
      </w:tr>
      <w:tr w14:paraId="1127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77E95B98">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w:t>
            </w:r>
          </w:p>
        </w:tc>
        <w:tc>
          <w:tcPr>
            <w:tcW w:w="1461" w:type="dxa"/>
          </w:tcPr>
          <w:p w14:paraId="5D0596B4">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评审方法</w:t>
            </w:r>
          </w:p>
        </w:tc>
        <w:tc>
          <w:tcPr>
            <w:tcW w:w="1904" w:type="dxa"/>
            <w:vAlign w:val="center"/>
          </w:tcPr>
          <w:p w14:paraId="635CC2B7">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评审方法</w:t>
            </w:r>
          </w:p>
        </w:tc>
        <w:tc>
          <w:tcPr>
            <w:tcW w:w="5576" w:type="dxa"/>
            <w:vAlign w:val="center"/>
          </w:tcPr>
          <w:p w14:paraId="1C2BD8CB">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综合评分法</w:t>
            </w:r>
          </w:p>
        </w:tc>
      </w:tr>
      <w:tr w14:paraId="220C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734B80C8">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2.1.1</w:t>
            </w:r>
          </w:p>
        </w:tc>
        <w:tc>
          <w:tcPr>
            <w:tcW w:w="1461" w:type="dxa"/>
            <w:vMerge w:val="restart"/>
          </w:tcPr>
          <w:p w14:paraId="31D6A8EE">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形式评审标准</w:t>
            </w:r>
          </w:p>
        </w:tc>
        <w:tc>
          <w:tcPr>
            <w:tcW w:w="1904" w:type="dxa"/>
            <w:vAlign w:val="center"/>
          </w:tcPr>
          <w:p w14:paraId="534D2888">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5576" w:type="dxa"/>
            <w:vAlign w:val="center"/>
          </w:tcPr>
          <w:p w14:paraId="38349AFA">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与市场监管部门或其他行政机关颁发的可以合法开展业务的执照或证书一致</w:t>
            </w:r>
          </w:p>
        </w:tc>
      </w:tr>
      <w:tr w14:paraId="424B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CE5DD69">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0FCAFEA6">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48315614">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响应文件签字盖章</w:t>
            </w:r>
          </w:p>
        </w:tc>
        <w:tc>
          <w:tcPr>
            <w:tcW w:w="5576" w:type="dxa"/>
            <w:vAlign w:val="center"/>
          </w:tcPr>
          <w:p w14:paraId="790F2F8C">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符合第二章第3.7.2项及第3.7.3项的规定</w:t>
            </w:r>
          </w:p>
        </w:tc>
      </w:tr>
      <w:tr w14:paraId="6D25E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30" w:type="dxa"/>
            <w:vMerge w:val="continue"/>
            <w:vAlign w:val="center"/>
          </w:tcPr>
          <w:p w14:paraId="2CDBB2BD">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4319338C">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141DDF13">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联合体协议书</w:t>
            </w:r>
          </w:p>
        </w:tc>
        <w:tc>
          <w:tcPr>
            <w:tcW w:w="5576" w:type="dxa"/>
            <w:vAlign w:val="center"/>
          </w:tcPr>
          <w:p w14:paraId="60B141D0">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不适用</w:t>
            </w:r>
          </w:p>
        </w:tc>
      </w:tr>
      <w:tr w14:paraId="33CE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91ABDF5">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272B6D7B">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707D57F4">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响应函中实质性内容</w:t>
            </w:r>
          </w:p>
        </w:tc>
        <w:tc>
          <w:tcPr>
            <w:tcW w:w="5576" w:type="dxa"/>
            <w:vAlign w:val="center"/>
          </w:tcPr>
          <w:p w14:paraId="27C406AF">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项目负责人、服务期限、投标报价符合采购文件要求。</w:t>
            </w:r>
          </w:p>
        </w:tc>
      </w:tr>
      <w:tr w14:paraId="563B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restart"/>
            <w:vAlign w:val="center"/>
          </w:tcPr>
          <w:p w14:paraId="6EE105CD">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2.1.2</w:t>
            </w:r>
          </w:p>
        </w:tc>
        <w:tc>
          <w:tcPr>
            <w:tcW w:w="1461" w:type="dxa"/>
            <w:vMerge w:val="restart"/>
          </w:tcPr>
          <w:p w14:paraId="57331E38">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资格评审标准</w:t>
            </w:r>
          </w:p>
        </w:tc>
        <w:tc>
          <w:tcPr>
            <w:tcW w:w="1904" w:type="dxa"/>
            <w:vAlign w:val="center"/>
          </w:tcPr>
          <w:p w14:paraId="1D131DB7">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依法设立</w:t>
            </w:r>
          </w:p>
        </w:tc>
        <w:tc>
          <w:tcPr>
            <w:tcW w:w="5576" w:type="dxa"/>
            <w:vAlign w:val="center"/>
          </w:tcPr>
          <w:p w14:paraId="760127ED">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符合第一章第3.2款及供应商须知前附表第3.5（1）款规定</w:t>
            </w:r>
          </w:p>
        </w:tc>
      </w:tr>
      <w:tr w14:paraId="61EB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E3B95E4">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60DFB7F4">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1A009EB6">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资质要求</w:t>
            </w:r>
          </w:p>
        </w:tc>
        <w:tc>
          <w:tcPr>
            <w:tcW w:w="5576" w:type="dxa"/>
            <w:vAlign w:val="center"/>
          </w:tcPr>
          <w:p w14:paraId="4EC1F56E">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符合第一章第3.2款及供应商须知前附表第3.5（2）款规定</w:t>
            </w:r>
          </w:p>
        </w:tc>
      </w:tr>
      <w:tr w14:paraId="16046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1950699C">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6F79D65A">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17403F65">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财务要求</w:t>
            </w:r>
          </w:p>
        </w:tc>
        <w:tc>
          <w:tcPr>
            <w:tcW w:w="5576" w:type="dxa"/>
            <w:vAlign w:val="center"/>
          </w:tcPr>
          <w:p w14:paraId="6CAEB472">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符合第一章第3.2款及供应商须知前附表第3.5（3）款规定</w:t>
            </w:r>
          </w:p>
        </w:tc>
      </w:tr>
      <w:tr w14:paraId="4F8D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FC18A58">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121EDD29">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4057F0C3">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业绩要求</w:t>
            </w:r>
          </w:p>
        </w:tc>
        <w:tc>
          <w:tcPr>
            <w:tcW w:w="5576" w:type="dxa"/>
            <w:vAlign w:val="center"/>
          </w:tcPr>
          <w:p w14:paraId="176485DB">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符合第一章第3.2款及供应商须知前附表第3.5（4）款规定</w:t>
            </w:r>
          </w:p>
        </w:tc>
      </w:tr>
      <w:tr w14:paraId="7BF1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4CD1AC1">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755E8E48">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7D01A05D">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信誉要求</w:t>
            </w:r>
          </w:p>
        </w:tc>
        <w:tc>
          <w:tcPr>
            <w:tcW w:w="5576" w:type="dxa"/>
            <w:vAlign w:val="center"/>
          </w:tcPr>
          <w:p w14:paraId="0B894851">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符合第一章第3.2款及供应商须知前附表第3.5（5）款规定</w:t>
            </w:r>
          </w:p>
        </w:tc>
      </w:tr>
      <w:tr w14:paraId="5EB21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FE3B5CD">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6A4431DC">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14AA66E5">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人员要求</w:t>
            </w:r>
          </w:p>
        </w:tc>
        <w:tc>
          <w:tcPr>
            <w:tcW w:w="5576" w:type="dxa"/>
            <w:vAlign w:val="center"/>
          </w:tcPr>
          <w:p w14:paraId="78057E2B">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符合第一章第3.2款及供应商须知前附表第3.5（6）款规定</w:t>
            </w:r>
          </w:p>
        </w:tc>
      </w:tr>
      <w:tr w14:paraId="1619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7BF84C65">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17EDC359">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4B1B74D8">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5576" w:type="dxa"/>
            <w:vAlign w:val="center"/>
          </w:tcPr>
          <w:p w14:paraId="718A8C57">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符合第一章第3.2款及供应商须知前附表第3.5（7）款规定</w:t>
            </w:r>
          </w:p>
        </w:tc>
      </w:tr>
      <w:tr w14:paraId="452C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0FCBF32">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58EA9930">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583C2B1F">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不存在第一章第3.1款情形</w:t>
            </w:r>
          </w:p>
        </w:tc>
        <w:tc>
          <w:tcPr>
            <w:tcW w:w="5576" w:type="dxa"/>
            <w:vAlign w:val="center"/>
          </w:tcPr>
          <w:p w14:paraId="66819204">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符合第一章第3.1款及供应商须知前附表第3.5（8）款规定</w:t>
            </w:r>
          </w:p>
        </w:tc>
      </w:tr>
      <w:tr w14:paraId="1125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AD8F597">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67C6C198">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32B29174">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联合体供应商</w:t>
            </w:r>
          </w:p>
        </w:tc>
        <w:tc>
          <w:tcPr>
            <w:tcW w:w="5576" w:type="dxa"/>
            <w:vAlign w:val="center"/>
          </w:tcPr>
          <w:p w14:paraId="302BFA88">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符合第一章第3.2款及供应商须知前附表第3.5（9）款规定</w:t>
            </w:r>
          </w:p>
        </w:tc>
      </w:tr>
      <w:tr w14:paraId="23EB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restart"/>
            <w:vAlign w:val="center"/>
          </w:tcPr>
          <w:p w14:paraId="0445870B">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2.1.3</w:t>
            </w:r>
          </w:p>
        </w:tc>
        <w:tc>
          <w:tcPr>
            <w:tcW w:w="1461" w:type="dxa"/>
            <w:vMerge w:val="restart"/>
          </w:tcPr>
          <w:p w14:paraId="7A53E899">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响应性评审标准</w:t>
            </w:r>
          </w:p>
        </w:tc>
        <w:tc>
          <w:tcPr>
            <w:tcW w:w="1904" w:type="dxa"/>
            <w:vAlign w:val="center"/>
          </w:tcPr>
          <w:p w14:paraId="090BD2F2">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5576" w:type="dxa"/>
            <w:vAlign w:val="center"/>
          </w:tcPr>
          <w:p w14:paraId="184AEDC8">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符合第二章第3.2款规定</w:t>
            </w:r>
          </w:p>
        </w:tc>
      </w:tr>
      <w:tr w14:paraId="2FAE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7E19E56">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5855F2D7">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111742EA">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5576" w:type="dxa"/>
            <w:vAlign w:val="center"/>
          </w:tcPr>
          <w:p w14:paraId="6B9650BE">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符合第二章第3.3.1项规定</w:t>
            </w:r>
          </w:p>
        </w:tc>
      </w:tr>
      <w:tr w14:paraId="2EFB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CD8CC42">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51F23BA4">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069FE815">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响应保证金</w:t>
            </w:r>
          </w:p>
        </w:tc>
        <w:tc>
          <w:tcPr>
            <w:tcW w:w="5576" w:type="dxa"/>
            <w:vAlign w:val="center"/>
          </w:tcPr>
          <w:p w14:paraId="1CA16B20">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符合第二章第3.4.1项规定</w:t>
            </w:r>
          </w:p>
        </w:tc>
      </w:tr>
      <w:tr w14:paraId="62E8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F244D81">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7DEEC60C">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54079CAB">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响应方案</w:t>
            </w:r>
          </w:p>
        </w:tc>
        <w:tc>
          <w:tcPr>
            <w:tcW w:w="5576" w:type="dxa"/>
            <w:vAlign w:val="center"/>
          </w:tcPr>
          <w:p w14:paraId="44799C98">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符合第二章第3.6款规定</w:t>
            </w:r>
          </w:p>
        </w:tc>
      </w:tr>
      <w:tr w14:paraId="29AD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4F555BFD">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47A1441C">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351E0D0C">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5576" w:type="dxa"/>
            <w:vAlign w:val="center"/>
          </w:tcPr>
          <w:p w14:paraId="1AA957D0">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符合第一章第2条规定</w:t>
            </w:r>
          </w:p>
        </w:tc>
      </w:tr>
      <w:tr w14:paraId="47402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05E579A2">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692DCDCD">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298023BC">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完成期限</w:t>
            </w:r>
          </w:p>
        </w:tc>
        <w:tc>
          <w:tcPr>
            <w:tcW w:w="5576" w:type="dxa"/>
            <w:vAlign w:val="center"/>
          </w:tcPr>
          <w:p w14:paraId="6BB17D57">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符合第一章第2条规定</w:t>
            </w:r>
          </w:p>
        </w:tc>
      </w:tr>
      <w:tr w14:paraId="7530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52E10211">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7E5F7744">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23E575BF">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合同条款</w:t>
            </w:r>
          </w:p>
        </w:tc>
        <w:tc>
          <w:tcPr>
            <w:tcW w:w="5576" w:type="dxa"/>
            <w:vAlign w:val="center"/>
          </w:tcPr>
          <w:p w14:paraId="150D08DB">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符合第二章第1.10.1项规定</w:t>
            </w:r>
          </w:p>
        </w:tc>
      </w:tr>
      <w:tr w14:paraId="14A0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6CA0418C">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tcPr>
          <w:p w14:paraId="70474C36">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02E268C2">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对非关键条款的偏差</w:t>
            </w:r>
          </w:p>
        </w:tc>
        <w:tc>
          <w:tcPr>
            <w:tcW w:w="5576" w:type="dxa"/>
            <w:vAlign w:val="center"/>
          </w:tcPr>
          <w:p w14:paraId="2CA5A25E">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偏差范围和偏差项数符合第二章第1.10.2项的规定</w:t>
            </w:r>
          </w:p>
        </w:tc>
      </w:tr>
      <w:tr w14:paraId="29DB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Align w:val="center"/>
          </w:tcPr>
          <w:p w14:paraId="62DF9FFC">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2.2.2</w:t>
            </w:r>
          </w:p>
        </w:tc>
        <w:tc>
          <w:tcPr>
            <w:tcW w:w="1461" w:type="dxa"/>
          </w:tcPr>
          <w:p w14:paraId="43451866">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741F2D31">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评审价格</w:t>
            </w:r>
          </w:p>
        </w:tc>
        <w:tc>
          <w:tcPr>
            <w:tcW w:w="5576" w:type="dxa"/>
            <w:vAlign w:val="center"/>
          </w:tcPr>
          <w:p w14:paraId="3D6995FF">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评审价格为响应函中填报的按基准税率6%根据附录《采购比价表》折算后的含税价格。</w:t>
            </w:r>
          </w:p>
        </w:tc>
      </w:tr>
      <w:tr w14:paraId="3271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71" w:type="dxa"/>
            <w:gridSpan w:val="4"/>
          </w:tcPr>
          <w:p w14:paraId="23B1E4CE">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 详细评审标准和程序（综合评分法）</w:t>
            </w:r>
          </w:p>
        </w:tc>
      </w:tr>
      <w:tr w14:paraId="5254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2291" w:type="dxa"/>
            <w:gridSpan w:val="2"/>
            <w:vAlign w:val="center"/>
          </w:tcPr>
          <w:p w14:paraId="7540401E">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3.1</w:t>
            </w:r>
          </w:p>
        </w:tc>
        <w:tc>
          <w:tcPr>
            <w:tcW w:w="1904" w:type="dxa"/>
            <w:vAlign w:val="center"/>
          </w:tcPr>
          <w:p w14:paraId="540DFA5D">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分值构成（总分100分）</w:t>
            </w:r>
          </w:p>
        </w:tc>
        <w:tc>
          <w:tcPr>
            <w:tcW w:w="5576" w:type="dxa"/>
            <w:vAlign w:val="center"/>
          </w:tcPr>
          <w:p w14:paraId="27674733">
            <w:pPr>
              <w:widowControl/>
              <w:numPr>
                <w:ilvl w:val="0"/>
                <w:numId w:val="17"/>
              </w:numPr>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商务部分：</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0</w:t>
            </w:r>
            <w:r>
              <w:rPr>
                <w:rFonts w:hint="eastAsia" w:ascii="宋体" w:hAnsi="宋体" w:cs="宋体"/>
                <w:color w:val="auto"/>
                <w:szCs w:val="21"/>
                <w:highlight w:val="none"/>
              </w:rPr>
              <w:t>分</w:t>
            </w:r>
          </w:p>
          <w:p w14:paraId="525962FD">
            <w:pPr>
              <w:widowControl/>
              <w:numPr>
                <w:ilvl w:val="0"/>
                <w:numId w:val="17"/>
              </w:numPr>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技术部分：</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0</w:t>
            </w:r>
            <w:r>
              <w:rPr>
                <w:rFonts w:hint="eastAsia" w:ascii="宋体" w:hAnsi="宋体" w:cs="宋体"/>
                <w:color w:val="auto"/>
                <w:szCs w:val="21"/>
                <w:highlight w:val="none"/>
              </w:rPr>
              <w:t>分</w:t>
            </w:r>
          </w:p>
          <w:p w14:paraId="2C05BEC4">
            <w:pPr>
              <w:widowControl/>
              <w:numPr>
                <w:ilvl w:val="0"/>
                <w:numId w:val="17"/>
              </w:numPr>
              <w:adjustRightInd w:val="0"/>
              <w:snapToGrid w:val="0"/>
              <w:spacing w:line="360" w:lineRule="auto"/>
              <w:jc w:val="both"/>
              <w:rPr>
                <w:color w:val="auto"/>
                <w:highlight w:val="none"/>
              </w:rPr>
            </w:pPr>
            <w:r>
              <w:rPr>
                <w:rFonts w:hint="eastAsia" w:ascii="宋体" w:hAnsi="宋体" w:cs="宋体"/>
                <w:color w:val="auto"/>
                <w:szCs w:val="21"/>
                <w:highlight w:val="none"/>
              </w:rPr>
              <w:t>报价：</w:t>
            </w:r>
            <w:r>
              <w:rPr>
                <w:rFonts w:hint="eastAsia" w:ascii="宋体" w:hAnsi="宋体" w:cs="宋体"/>
                <w:color w:val="auto"/>
                <w:szCs w:val="21"/>
                <w:highlight w:val="none"/>
                <w:u w:val="single"/>
              </w:rPr>
              <w:t xml:space="preserve">20 </w:t>
            </w:r>
            <w:r>
              <w:rPr>
                <w:rFonts w:hint="eastAsia" w:ascii="宋体" w:hAnsi="宋体" w:cs="宋体"/>
                <w:color w:val="auto"/>
                <w:szCs w:val="21"/>
                <w:highlight w:val="none"/>
              </w:rPr>
              <w:t>分</w:t>
            </w:r>
          </w:p>
        </w:tc>
      </w:tr>
      <w:tr w14:paraId="2B8F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91" w:type="dxa"/>
            <w:gridSpan w:val="2"/>
            <w:vAlign w:val="center"/>
          </w:tcPr>
          <w:p w14:paraId="5AB71C0B">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3.2（2）</w:t>
            </w:r>
          </w:p>
        </w:tc>
        <w:tc>
          <w:tcPr>
            <w:tcW w:w="1904" w:type="dxa"/>
            <w:vAlign w:val="center"/>
          </w:tcPr>
          <w:p w14:paraId="074B6FA5">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评审基准价计算方法</w:t>
            </w:r>
          </w:p>
        </w:tc>
        <w:tc>
          <w:tcPr>
            <w:tcW w:w="5576" w:type="dxa"/>
            <w:vAlign w:val="center"/>
          </w:tcPr>
          <w:p w14:paraId="7223D0F5">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方法一</w:t>
            </w:r>
          </w:p>
        </w:tc>
      </w:tr>
      <w:tr w14:paraId="520C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291" w:type="dxa"/>
            <w:gridSpan w:val="2"/>
            <w:vAlign w:val="bottom"/>
          </w:tcPr>
          <w:p w14:paraId="58844E4F">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条款号及名称</w:t>
            </w:r>
          </w:p>
        </w:tc>
        <w:tc>
          <w:tcPr>
            <w:tcW w:w="1904" w:type="dxa"/>
            <w:vAlign w:val="bottom"/>
          </w:tcPr>
          <w:p w14:paraId="506B5288">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评分因素</w:t>
            </w:r>
          </w:p>
        </w:tc>
        <w:tc>
          <w:tcPr>
            <w:tcW w:w="5576" w:type="dxa"/>
            <w:vAlign w:val="bottom"/>
          </w:tcPr>
          <w:p w14:paraId="2CB0890B">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评分标准</w:t>
            </w:r>
          </w:p>
        </w:tc>
      </w:tr>
      <w:tr w14:paraId="6029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830" w:type="dxa"/>
            <w:vMerge w:val="restart"/>
            <w:vAlign w:val="center"/>
          </w:tcPr>
          <w:p w14:paraId="78647FD9">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3.3（1）</w:t>
            </w:r>
          </w:p>
        </w:tc>
        <w:tc>
          <w:tcPr>
            <w:tcW w:w="1461" w:type="dxa"/>
            <w:vMerge w:val="restart"/>
            <w:vAlign w:val="center"/>
          </w:tcPr>
          <w:p w14:paraId="6D29D613">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商务评分标准（</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0分）</w:t>
            </w:r>
          </w:p>
        </w:tc>
        <w:tc>
          <w:tcPr>
            <w:tcW w:w="1904" w:type="dxa"/>
            <w:vAlign w:val="center"/>
          </w:tcPr>
          <w:p w14:paraId="7C3923A7">
            <w:pPr>
              <w:widowControl/>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业绩（30分）</w:t>
            </w:r>
          </w:p>
        </w:tc>
        <w:tc>
          <w:tcPr>
            <w:tcW w:w="5576" w:type="dxa"/>
          </w:tcPr>
          <w:p w14:paraId="54872B4D">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近5年</w:t>
            </w:r>
          </w:p>
          <w:p w14:paraId="32854FE6">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1、满足资格审查条件</w:t>
            </w:r>
            <w:r>
              <w:rPr>
                <w:rFonts w:hint="eastAsia" w:ascii="宋体" w:hAnsi="宋体" w:cs="宋体"/>
                <w:color w:val="auto"/>
                <w:szCs w:val="21"/>
                <w:highlight w:val="none"/>
                <w:lang w:eastAsia="zh-CN"/>
              </w:rPr>
              <w:t>，</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分；</w:t>
            </w:r>
          </w:p>
          <w:p w14:paraId="52382E02">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2、每</w:t>
            </w:r>
            <w:r>
              <w:rPr>
                <w:rFonts w:hint="eastAsia" w:ascii="宋体" w:hAnsi="宋体" w:cs="宋体"/>
                <w:color w:val="auto"/>
                <w:szCs w:val="21"/>
                <w:highlight w:val="none"/>
                <w:lang w:eastAsia="zh-CN"/>
              </w:rPr>
              <w:t>增加</w:t>
            </w:r>
            <w:r>
              <w:rPr>
                <w:rFonts w:hint="eastAsia" w:ascii="宋体" w:hAnsi="宋体" w:cs="宋体"/>
                <w:color w:val="auto"/>
                <w:szCs w:val="21"/>
                <w:highlight w:val="none"/>
              </w:rPr>
              <w:t>一个</w:t>
            </w:r>
            <w:r>
              <w:rPr>
                <w:rFonts w:hint="eastAsia" w:ascii="宋体" w:hAnsi="宋体" w:cs="宋体"/>
                <w:color w:val="auto"/>
                <w:szCs w:val="21"/>
                <w:highlight w:val="none"/>
                <w:lang w:eastAsia="zh-CN"/>
              </w:rPr>
              <w:t>满足附录</w:t>
            </w:r>
            <w:r>
              <w:rPr>
                <w:rFonts w:hint="eastAsia" w:ascii="宋体" w:hAnsi="宋体" w:cs="宋体"/>
                <w:color w:val="auto"/>
                <w:szCs w:val="21"/>
                <w:highlight w:val="none"/>
                <w:lang w:val="en-US" w:eastAsia="zh-CN"/>
              </w:rPr>
              <w:t>2资格审查条件（业绩最低要求）</w:t>
            </w:r>
            <w:r>
              <w:rPr>
                <w:rFonts w:hint="eastAsia" w:ascii="宋体" w:hAnsi="宋体" w:cs="宋体"/>
                <w:color w:val="auto"/>
                <w:szCs w:val="21"/>
                <w:highlight w:val="none"/>
              </w:rPr>
              <w:t>业绩，加</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分，最多加</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14:paraId="6E69F338">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注：1、业绩证明材料须提供合同/订单，如合同/订单无法证实业绩满足采购文件要求，还须提供委托人出具的证明材料，证明材料应附联系人姓名及联系方式）。</w:t>
            </w:r>
          </w:p>
          <w:p w14:paraId="30128F00">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2、业绩计算以签订合同时间为准，单个合同包含多个业绩时，只按1个业绩计算。</w:t>
            </w:r>
          </w:p>
          <w:p w14:paraId="3807A9AF">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3、如近年来，响应人法人机构发生合法变更或重组或法人名称变更时，应提供相关部门的合法批件或其他相关证明材料来证明其所附业绩的继承性。</w:t>
            </w:r>
          </w:p>
        </w:tc>
      </w:tr>
      <w:tr w14:paraId="62CAB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830" w:type="dxa"/>
            <w:vMerge w:val="continue"/>
            <w:vAlign w:val="center"/>
          </w:tcPr>
          <w:p w14:paraId="24D6CC59">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vAlign w:val="center"/>
          </w:tcPr>
          <w:p w14:paraId="2E86CECA">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67A717DA">
            <w:pPr>
              <w:widowControl/>
              <w:adjustRightInd w:val="0"/>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w:t>
            </w:r>
            <w:r>
              <w:rPr>
                <w:rFonts w:hint="eastAsia" w:ascii="宋体" w:hAnsi="宋体" w:cs="宋体"/>
                <w:color w:val="auto"/>
                <w:szCs w:val="21"/>
                <w:highlight w:val="none"/>
                <w:lang w:val="en-US" w:eastAsia="zh-CN"/>
              </w:rPr>
              <w:t>团队</w:t>
            </w:r>
          </w:p>
          <w:p w14:paraId="3DAD8403">
            <w:pPr>
              <w:widowControl/>
              <w:adjustRightInd w:val="0"/>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576" w:type="dxa"/>
          </w:tcPr>
          <w:p w14:paraId="3E9C1933">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1、项目负责人</w:t>
            </w:r>
            <w:r>
              <w:rPr>
                <w:rFonts w:hint="eastAsia" w:ascii="宋体" w:hAnsi="宋体" w:cs="宋体"/>
                <w:color w:val="auto"/>
                <w:szCs w:val="21"/>
                <w:highlight w:val="none"/>
                <w:lang w:eastAsia="zh-CN"/>
              </w:rPr>
              <w:t>满足附录4资格审查条件（项目负责人最低要求）的，</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14:paraId="54B77C98">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2、项目团队人员具有中级以上职称每个加</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分，最多加</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0F5C42C2">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注1、以上所有人员均须提供近3个月社保证明、职称证明等有效证明文件复印件。</w:t>
            </w:r>
          </w:p>
          <w:p w14:paraId="075D60A0">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、响应人必须按采购文件中填报的项目负责人进场，否则招标人将取消其成交资格。</w:t>
            </w:r>
          </w:p>
        </w:tc>
      </w:tr>
      <w:tr w14:paraId="162B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830" w:type="dxa"/>
            <w:vMerge w:val="restart"/>
            <w:vAlign w:val="center"/>
          </w:tcPr>
          <w:p w14:paraId="42C330A0">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3.3（2）</w:t>
            </w:r>
          </w:p>
        </w:tc>
        <w:tc>
          <w:tcPr>
            <w:tcW w:w="1461" w:type="dxa"/>
            <w:vMerge w:val="restart"/>
            <w:vAlign w:val="center"/>
          </w:tcPr>
          <w:p w14:paraId="45920DCF">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技术评分标准（</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0分）</w:t>
            </w:r>
          </w:p>
        </w:tc>
        <w:tc>
          <w:tcPr>
            <w:tcW w:w="1904" w:type="dxa"/>
            <w:vAlign w:val="center"/>
          </w:tcPr>
          <w:p w14:paraId="2D5B47B3">
            <w:pPr>
              <w:widowControl/>
              <w:jc w:val="left"/>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项目实施方案</w:t>
            </w:r>
          </w:p>
          <w:p w14:paraId="08BFA001">
            <w:pPr>
              <w:widowControl/>
              <w:jc w:val="left"/>
              <w:rPr>
                <w:rFonts w:hint="eastAsia" w:ascii="宋体" w:hAnsi="宋体" w:eastAsia="宋体" w:cs="宋体"/>
                <w:color w:val="auto"/>
                <w:szCs w:val="21"/>
                <w:highlight w:val="none"/>
                <w:lang w:eastAsia="zh-CN"/>
              </w:rPr>
            </w:pPr>
            <w:r>
              <w:rPr>
                <w:rFonts w:hint="eastAsia" w:ascii="宋体" w:hAnsi="宋体" w:eastAsia="宋体" w:cs="宋体"/>
                <w:color w:val="auto"/>
                <w:spacing w:val="0"/>
                <w:w w:val="100"/>
                <w:kern w:val="0"/>
                <w:sz w:val="21"/>
                <w:szCs w:val="24"/>
                <w:highlight w:val="none"/>
                <w:lang w:val="en-US" w:eastAsia="zh-CN" w:bidi="ar-SA"/>
              </w:rPr>
              <w:t>（10分）</w:t>
            </w:r>
          </w:p>
        </w:tc>
        <w:tc>
          <w:tcPr>
            <w:tcW w:w="5576" w:type="dxa"/>
            <w:vAlign w:val="center"/>
          </w:tcPr>
          <w:p w14:paraId="00633301">
            <w:pPr>
              <w:widowControl/>
              <w:jc w:val="left"/>
              <w:rPr>
                <w:rFonts w:hint="eastAsia" w:ascii="宋体" w:hAnsi="宋体" w:cs="宋体"/>
                <w:color w:val="auto"/>
                <w:szCs w:val="21"/>
                <w:highlight w:val="none"/>
              </w:rPr>
            </w:pPr>
            <w:r>
              <w:rPr>
                <w:rFonts w:ascii="宋体" w:hAnsi="宋体" w:eastAsia="宋体" w:cs="宋体"/>
                <w:color w:val="auto"/>
                <w:spacing w:val="0"/>
                <w:w w:val="100"/>
                <w:kern w:val="0"/>
                <w:sz w:val="21"/>
                <w:szCs w:val="24"/>
                <w:highlight w:val="none"/>
                <w:lang w:val="en-US" w:eastAsia="en-US" w:bidi="ar-SA"/>
              </w:rPr>
              <w:t>根据</w:t>
            </w:r>
            <w:r>
              <w:rPr>
                <w:rFonts w:hint="eastAsia" w:ascii="宋体" w:hAnsi="宋体" w:eastAsia="宋体" w:cs="宋体"/>
                <w:color w:val="auto"/>
                <w:spacing w:val="0"/>
                <w:w w:val="100"/>
                <w:kern w:val="0"/>
                <w:sz w:val="21"/>
                <w:szCs w:val="24"/>
                <w:highlight w:val="none"/>
                <w:lang w:val="en-US" w:eastAsia="zh-CN" w:bidi="ar-SA"/>
              </w:rPr>
              <w:t>响应人</w:t>
            </w:r>
            <w:r>
              <w:rPr>
                <w:rFonts w:ascii="宋体" w:hAnsi="宋体" w:eastAsia="宋体" w:cs="宋体"/>
                <w:color w:val="auto"/>
                <w:spacing w:val="0"/>
                <w:w w:val="100"/>
                <w:kern w:val="0"/>
                <w:sz w:val="21"/>
                <w:szCs w:val="24"/>
                <w:highlight w:val="none"/>
                <w:lang w:val="en-US" w:eastAsia="en-US" w:bidi="ar-SA"/>
              </w:rPr>
              <w:t>针对本项目提供的实施方案进行评审。满足基本要求，得</w:t>
            </w:r>
            <w:r>
              <w:rPr>
                <w:rFonts w:hint="eastAsia" w:ascii="宋体" w:hAnsi="宋体" w:eastAsia="宋体" w:cs="宋体"/>
                <w:color w:val="auto"/>
                <w:spacing w:val="0"/>
                <w:w w:val="100"/>
                <w:kern w:val="0"/>
                <w:sz w:val="21"/>
                <w:szCs w:val="24"/>
                <w:highlight w:val="none"/>
                <w:lang w:val="en-US" w:eastAsia="zh-CN" w:bidi="ar-SA"/>
              </w:rPr>
              <w:t>8</w:t>
            </w:r>
            <w:r>
              <w:rPr>
                <w:rFonts w:ascii="宋体" w:hAnsi="宋体" w:eastAsia="宋体" w:cs="宋体"/>
                <w:color w:val="auto"/>
                <w:spacing w:val="0"/>
                <w:w w:val="100"/>
                <w:kern w:val="0"/>
                <w:sz w:val="21"/>
                <w:szCs w:val="24"/>
                <w:highlight w:val="none"/>
                <w:lang w:val="en-US" w:eastAsia="en-US" w:bidi="ar-SA"/>
              </w:rPr>
              <w:t>分，分别对实施方案的合理性、可行性、全面性、科学性、可行性进行评审，酌情加分，本项最高得</w:t>
            </w:r>
            <w:r>
              <w:rPr>
                <w:rFonts w:hint="eastAsia" w:ascii="宋体" w:hAnsi="宋体" w:eastAsia="宋体" w:cs="宋体"/>
                <w:color w:val="auto"/>
                <w:spacing w:val="0"/>
                <w:w w:val="100"/>
                <w:kern w:val="0"/>
                <w:sz w:val="21"/>
                <w:szCs w:val="24"/>
                <w:highlight w:val="none"/>
                <w:lang w:val="en-US" w:eastAsia="zh-CN" w:bidi="ar-SA"/>
              </w:rPr>
              <w:t>10</w:t>
            </w:r>
            <w:r>
              <w:rPr>
                <w:rFonts w:ascii="宋体" w:hAnsi="宋体" w:eastAsia="宋体" w:cs="宋体"/>
                <w:color w:val="auto"/>
                <w:spacing w:val="0"/>
                <w:w w:val="100"/>
                <w:kern w:val="0"/>
                <w:sz w:val="21"/>
                <w:szCs w:val="24"/>
                <w:highlight w:val="none"/>
                <w:lang w:val="en-US" w:eastAsia="en-US" w:bidi="ar-SA"/>
              </w:rPr>
              <w:t>分。</w:t>
            </w:r>
          </w:p>
        </w:tc>
      </w:tr>
      <w:tr w14:paraId="2180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075162C7">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vAlign w:val="center"/>
          </w:tcPr>
          <w:p w14:paraId="762686BF">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23A58BCB">
            <w:pPr>
              <w:widowControl/>
              <w:jc w:val="left"/>
              <w:rPr>
                <w:rFonts w:hint="eastAsia" w:ascii="宋体" w:hAnsi="宋体" w:cs="宋体"/>
                <w:color w:val="auto"/>
                <w:szCs w:val="21"/>
                <w:highlight w:val="none"/>
              </w:rPr>
            </w:pPr>
            <w:r>
              <w:rPr>
                <w:rFonts w:ascii="宋体" w:hAnsi="宋体" w:eastAsia="宋体" w:cs="宋体"/>
                <w:color w:val="auto"/>
                <w:spacing w:val="0"/>
                <w:w w:val="100"/>
                <w:kern w:val="0"/>
                <w:sz w:val="21"/>
                <w:szCs w:val="24"/>
                <w:highlight w:val="none"/>
                <w:lang w:val="en-US" w:eastAsia="en-US" w:bidi="ar-SA"/>
              </w:rPr>
              <w:t>对本服务项目工作步骤和程序的理解</w:t>
            </w:r>
            <w:r>
              <w:rPr>
                <w:rFonts w:hint="eastAsia" w:ascii="宋体" w:hAnsi="宋体" w:eastAsia="宋体" w:cs="宋体"/>
                <w:color w:val="auto"/>
                <w:spacing w:val="0"/>
                <w:w w:val="100"/>
                <w:kern w:val="0"/>
                <w:sz w:val="21"/>
                <w:szCs w:val="24"/>
                <w:highlight w:val="none"/>
                <w:lang w:val="en-US" w:eastAsia="zh-CN" w:bidi="ar-SA"/>
              </w:rPr>
              <w:t>（10分）</w:t>
            </w:r>
          </w:p>
        </w:tc>
        <w:tc>
          <w:tcPr>
            <w:tcW w:w="5576" w:type="dxa"/>
            <w:vAlign w:val="center"/>
          </w:tcPr>
          <w:p w14:paraId="5C04073C">
            <w:pPr>
              <w:widowControl/>
              <w:jc w:val="left"/>
              <w:rPr>
                <w:rFonts w:hint="eastAsia" w:ascii="宋体" w:hAnsi="宋体" w:cs="宋体"/>
                <w:color w:val="auto"/>
                <w:szCs w:val="21"/>
                <w:highlight w:val="none"/>
              </w:rPr>
            </w:pPr>
            <w:r>
              <w:rPr>
                <w:rFonts w:ascii="宋体" w:hAnsi="宋体" w:eastAsia="宋体" w:cs="宋体"/>
                <w:color w:val="auto"/>
                <w:spacing w:val="0"/>
                <w:w w:val="100"/>
                <w:kern w:val="0"/>
                <w:sz w:val="21"/>
                <w:szCs w:val="24"/>
                <w:highlight w:val="none"/>
                <w:lang w:val="en-US" w:eastAsia="en-US" w:bidi="ar-SA"/>
              </w:rPr>
              <w:t>满足采购文件基本要求的，计</w:t>
            </w:r>
            <w:r>
              <w:rPr>
                <w:rFonts w:hint="eastAsia" w:ascii="宋体" w:hAnsi="宋体" w:eastAsia="宋体" w:cs="宋体"/>
                <w:color w:val="auto"/>
                <w:spacing w:val="0"/>
                <w:w w:val="100"/>
                <w:kern w:val="0"/>
                <w:sz w:val="21"/>
                <w:szCs w:val="24"/>
                <w:highlight w:val="none"/>
                <w:lang w:val="en-US" w:eastAsia="zh-CN" w:bidi="ar-SA"/>
              </w:rPr>
              <w:t>8</w:t>
            </w:r>
            <w:r>
              <w:rPr>
                <w:rFonts w:ascii="宋体" w:hAnsi="宋体" w:eastAsia="宋体" w:cs="宋体"/>
                <w:color w:val="auto"/>
                <w:spacing w:val="0"/>
                <w:w w:val="100"/>
                <w:kern w:val="0"/>
                <w:sz w:val="21"/>
                <w:szCs w:val="24"/>
                <w:highlight w:val="none"/>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highlight w:val="none"/>
                <w:lang w:val="en-US" w:eastAsia="zh-CN" w:bidi="ar-SA"/>
              </w:rPr>
              <w:t>10</w:t>
            </w:r>
            <w:r>
              <w:rPr>
                <w:rFonts w:ascii="宋体" w:hAnsi="宋体" w:eastAsia="宋体" w:cs="宋体"/>
                <w:color w:val="auto"/>
                <w:spacing w:val="0"/>
                <w:w w:val="100"/>
                <w:kern w:val="0"/>
                <w:sz w:val="21"/>
                <w:szCs w:val="24"/>
                <w:highlight w:val="none"/>
                <w:lang w:val="en-US" w:eastAsia="en-US" w:bidi="ar-SA"/>
              </w:rPr>
              <w:t>分。</w:t>
            </w:r>
          </w:p>
        </w:tc>
      </w:tr>
      <w:tr w14:paraId="4D7D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0" w:type="dxa"/>
            <w:vMerge w:val="continue"/>
            <w:vAlign w:val="center"/>
          </w:tcPr>
          <w:p w14:paraId="1350FF79">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vAlign w:val="center"/>
          </w:tcPr>
          <w:p w14:paraId="358CBE66">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5CD21309">
            <w:pPr>
              <w:widowControl/>
              <w:jc w:val="left"/>
              <w:rPr>
                <w:rFonts w:hint="eastAsia" w:ascii="宋体" w:hAnsi="宋体" w:cs="宋体"/>
                <w:color w:val="auto"/>
                <w:szCs w:val="21"/>
                <w:highlight w:val="none"/>
              </w:rPr>
            </w:pPr>
            <w:r>
              <w:rPr>
                <w:rFonts w:ascii="宋体" w:hAnsi="宋体" w:eastAsia="宋体" w:cs="宋体"/>
                <w:color w:val="auto"/>
                <w:spacing w:val="0"/>
                <w:w w:val="100"/>
                <w:kern w:val="0"/>
                <w:sz w:val="21"/>
                <w:szCs w:val="24"/>
                <w:highlight w:val="none"/>
                <w:lang w:val="en-US" w:eastAsia="en-US" w:bidi="ar-SA"/>
              </w:rPr>
              <w:t>对本项目重点难点分析</w:t>
            </w:r>
            <w:r>
              <w:rPr>
                <w:rFonts w:hint="eastAsia" w:ascii="宋体" w:hAnsi="宋体" w:eastAsia="宋体" w:cs="宋体"/>
                <w:color w:val="auto"/>
                <w:spacing w:val="0"/>
                <w:w w:val="100"/>
                <w:kern w:val="0"/>
                <w:sz w:val="21"/>
                <w:szCs w:val="24"/>
                <w:highlight w:val="none"/>
                <w:lang w:val="en-US" w:eastAsia="zh-CN" w:bidi="ar-SA"/>
              </w:rPr>
              <w:t>（10分）</w:t>
            </w:r>
          </w:p>
        </w:tc>
        <w:tc>
          <w:tcPr>
            <w:tcW w:w="5576" w:type="dxa"/>
            <w:vAlign w:val="center"/>
          </w:tcPr>
          <w:p w14:paraId="7C077CDA">
            <w:pPr>
              <w:widowControl/>
              <w:jc w:val="left"/>
              <w:rPr>
                <w:rFonts w:hint="eastAsia" w:ascii="宋体" w:hAnsi="宋体" w:cs="宋体"/>
                <w:color w:val="auto"/>
                <w:szCs w:val="21"/>
                <w:highlight w:val="none"/>
              </w:rPr>
            </w:pPr>
            <w:r>
              <w:rPr>
                <w:rFonts w:ascii="宋体" w:hAnsi="宋体" w:eastAsia="宋体" w:cs="宋体"/>
                <w:color w:val="auto"/>
                <w:spacing w:val="0"/>
                <w:w w:val="100"/>
                <w:kern w:val="0"/>
                <w:sz w:val="21"/>
                <w:szCs w:val="24"/>
                <w:highlight w:val="none"/>
                <w:lang w:val="en-US" w:eastAsia="en-US" w:bidi="ar-SA"/>
              </w:rPr>
              <w:t>满足采购文件基本要求的，计</w:t>
            </w:r>
            <w:r>
              <w:rPr>
                <w:rFonts w:hint="eastAsia" w:ascii="宋体" w:hAnsi="宋体" w:eastAsia="宋体" w:cs="宋体"/>
                <w:color w:val="auto"/>
                <w:spacing w:val="0"/>
                <w:w w:val="100"/>
                <w:kern w:val="0"/>
                <w:sz w:val="21"/>
                <w:szCs w:val="24"/>
                <w:highlight w:val="none"/>
                <w:lang w:val="en-US" w:eastAsia="zh-CN" w:bidi="ar-SA"/>
              </w:rPr>
              <w:t>8</w:t>
            </w:r>
            <w:r>
              <w:rPr>
                <w:rFonts w:ascii="宋体" w:hAnsi="宋体" w:eastAsia="宋体" w:cs="宋体"/>
                <w:color w:val="auto"/>
                <w:spacing w:val="0"/>
                <w:w w:val="100"/>
                <w:kern w:val="0"/>
                <w:sz w:val="21"/>
                <w:szCs w:val="24"/>
                <w:highlight w:val="none"/>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highlight w:val="none"/>
                <w:lang w:val="en-US" w:eastAsia="zh-CN" w:bidi="ar-SA"/>
              </w:rPr>
              <w:t>10</w:t>
            </w:r>
            <w:r>
              <w:rPr>
                <w:rFonts w:ascii="宋体" w:hAnsi="宋体" w:eastAsia="宋体" w:cs="宋体"/>
                <w:color w:val="auto"/>
                <w:spacing w:val="0"/>
                <w:w w:val="100"/>
                <w:kern w:val="0"/>
                <w:sz w:val="21"/>
                <w:szCs w:val="24"/>
                <w:highlight w:val="none"/>
                <w:lang w:val="en-US" w:eastAsia="en-US" w:bidi="ar-SA"/>
              </w:rPr>
              <w:t>分。</w:t>
            </w:r>
          </w:p>
        </w:tc>
      </w:tr>
      <w:tr w14:paraId="65F4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vMerge w:val="continue"/>
            <w:vAlign w:val="center"/>
          </w:tcPr>
          <w:p w14:paraId="20CE723D">
            <w:pPr>
              <w:widowControl/>
              <w:adjustRightInd w:val="0"/>
              <w:snapToGrid w:val="0"/>
              <w:spacing w:line="360" w:lineRule="auto"/>
              <w:jc w:val="both"/>
              <w:rPr>
                <w:rFonts w:hint="eastAsia" w:ascii="宋体" w:hAnsi="宋体" w:cs="宋体"/>
                <w:color w:val="auto"/>
                <w:szCs w:val="21"/>
                <w:highlight w:val="none"/>
              </w:rPr>
            </w:pPr>
          </w:p>
        </w:tc>
        <w:tc>
          <w:tcPr>
            <w:tcW w:w="1461" w:type="dxa"/>
            <w:vMerge w:val="continue"/>
            <w:vAlign w:val="center"/>
          </w:tcPr>
          <w:p w14:paraId="41199963">
            <w:pPr>
              <w:widowControl/>
              <w:adjustRightInd w:val="0"/>
              <w:snapToGrid w:val="0"/>
              <w:spacing w:line="360" w:lineRule="auto"/>
              <w:jc w:val="both"/>
              <w:rPr>
                <w:rFonts w:hint="eastAsia" w:ascii="宋体" w:hAnsi="宋体" w:cs="宋体"/>
                <w:color w:val="auto"/>
                <w:szCs w:val="21"/>
                <w:highlight w:val="none"/>
              </w:rPr>
            </w:pPr>
          </w:p>
        </w:tc>
        <w:tc>
          <w:tcPr>
            <w:tcW w:w="1904" w:type="dxa"/>
            <w:vAlign w:val="center"/>
          </w:tcPr>
          <w:p w14:paraId="5F8089DA">
            <w:pPr>
              <w:widowControl/>
              <w:jc w:val="left"/>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质量保证措施、进度保证措施</w:t>
            </w:r>
          </w:p>
          <w:p w14:paraId="48AFC04D">
            <w:pPr>
              <w:widowControl/>
              <w:jc w:val="left"/>
              <w:rPr>
                <w:rFonts w:hint="eastAsia" w:ascii="宋体" w:hAnsi="宋体" w:cs="宋体"/>
                <w:color w:val="auto"/>
                <w:szCs w:val="21"/>
                <w:highlight w:val="none"/>
              </w:rPr>
            </w:pPr>
            <w:r>
              <w:rPr>
                <w:rFonts w:hint="eastAsia" w:ascii="宋体" w:hAnsi="宋体" w:eastAsia="宋体" w:cs="宋体"/>
                <w:color w:val="auto"/>
                <w:spacing w:val="0"/>
                <w:w w:val="100"/>
                <w:kern w:val="0"/>
                <w:sz w:val="21"/>
                <w:szCs w:val="24"/>
                <w:highlight w:val="none"/>
                <w:lang w:val="en-US" w:eastAsia="zh-CN" w:bidi="ar-SA"/>
              </w:rPr>
              <w:t>（10分）</w:t>
            </w:r>
          </w:p>
        </w:tc>
        <w:tc>
          <w:tcPr>
            <w:tcW w:w="5576" w:type="dxa"/>
            <w:vAlign w:val="center"/>
          </w:tcPr>
          <w:p w14:paraId="2A37D085">
            <w:pPr>
              <w:widowControl/>
              <w:jc w:val="left"/>
              <w:rPr>
                <w:rFonts w:hint="eastAsia" w:ascii="宋体" w:hAnsi="宋体" w:cs="宋体"/>
                <w:color w:val="auto"/>
                <w:szCs w:val="21"/>
                <w:highlight w:val="none"/>
              </w:rPr>
            </w:pPr>
            <w:r>
              <w:rPr>
                <w:rFonts w:ascii="宋体" w:hAnsi="宋体" w:eastAsia="宋体" w:cs="宋体"/>
                <w:color w:val="auto"/>
                <w:spacing w:val="0"/>
                <w:w w:val="100"/>
                <w:kern w:val="0"/>
                <w:sz w:val="21"/>
                <w:szCs w:val="24"/>
                <w:highlight w:val="none"/>
                <w:lang w:val="en-US" w:eastAsia="en-US" w:bidi="ar-SA"/>
              </w:rPr>
              <w:t>满足采购文件基本要求的，计</w:t>
            </w:r>
            <w:r>
              <w:rPr>
                <w:rFonts w:hint="eastAsia" w:ascii="宋体" w:hAnsi="宋体" w:eastAsia="宋体" w:cs="宋体"/>
                <w:color w:val="auto"/>
                <w:spacing w:val="0"/>
                <w:w w:val="100"/>
                <w:kern w:val="0"/>
                <w:sz w:val="21"/>
                <w:szCs w:val="24"/>
                <w:highlight w:val="none"/>
                <w:lang w:val="en-US" w:eastAsia="zh-CN" w:bidi="ar-SA"/>
              </w:rPr>
              <w:t>8</w:t>
            </w:r>
            <w:r>
              <w:rPr>
                <w:rFonts w:ascii="宋体" w:hAnsi="宋体" w:eastAsia="宋体" w:cs="宋体"/>
                <w:color w:val="auto"/>
                <w:spacing w:val="0"/>
                <w:w w:val="100"/>
                <w:kern w:val="0"/>
                <w:sz w:val="21"/>
                <w:szCs w:val="24"/>
                <w:highlight w:val="none"/>
                <w:lang w:val="en-US" w:eastAsia="en-US" w:bidi="ar-SA"/>
              </w:rPr>
              <w:t>分，从分析的合理性、科学性及对本项目实施的优化性各方面进行评审，酌情加分，本项最高得</w:t>
            </w:r>
            <w:r>
              <w:rPr>
                <w:rFonts w:hint="eastAsia" w:ascii="宋体" w:hAnsi="宋体" w:eastAsia="宋体" w:cs="宋体"/>
                <w:color w:val="auto"/>
                <w:spacing w:val="0"/>
                <w:w w:val="100"/>
                <w:kern w:val="0"/>
                <w:sz w:val="21"/>
                <w:szCs w:val="24"/>
                <w:highlight w:val="none"/>
                <w:lang w:val="en-US" w:eastAsia="zh-CN" w:bidi="ar-SA"/>
              </w:rPr>
              <w:t>10</w:t>
            </w:r>
            <w:r>
              <w:rPr>
                <w:rFonts w:ascii="宋体" w:hAnsi="宋体" w:eastAsia="宋体" w:cs="宋体"/>
                <w:color w:val="auto"/>
                <w:spacing w:val="0"/>
                <w:w w:val="100"/>
                <w:kern w:val="0"/>
                <w:sz w:val="21"/>
                <w:szCs w:val="24"/>
                <w:highlight w:val="none"/>
                <w:lang w:val="en-US" w:eastAsia="en-US" w:bidi="ar-SA"/>
              </w:rPr>
              <w:t>分。</w:t>
            </w:r>
          </w:p>
        </w:tc>
      </w:tr>
      <w:tr w14:paraId="1B98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1376124">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3.3（3）</w:t>
            </w:r>
          </w:p>
        </w:tc>
        <w:tc>
          <w:tcPr>
            <w:tcW w:w="1461" w:type="dxa"/>
          </w:tcPr>
          <w:p w14:paraId="1FC083AA">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报价评分标准</w:t>
            </w:r>
          </w:p>
        </w:tc>
        <w:tc>
          <w:tcPr>
            <w:tcW w:w="7480" w:type="dxa"/>
            <w:gridSpan w:val="2"/>
          </w:tcPr>
          <w:p w14:paraId="620AB073">
            <w:pPr>
              <w:widowControl/>
              <w:jc w:val="center"/>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方法一:偏差率=(</w:t>
            </w:r>
            <w:r>
              <w:rPr>
                <w:rFonts w:hint="eastAsia" w:ascii="宋体" w:hAnsi="宋体" w:eastAsia="宋体" w:cs="宋体"/>
                <w:color w:val="auto"/>
                <w:spacing w:val="0"/>
                <w:w w:val="100"/>
                <w:kern w:val="0"/>
                <w:sz w:val="21"/>
                <w:szCs w:val="24"/>
                <w:highlight w:val="none"/>
                <w:lang w:val="en-US" w:eastAsia="zh-CN" w:bidi="ar-SA"/>
              </w:rPr>
              <w:t>响应人</w:t>
            </w:r>
            <w:r>
              <w:rPr>
                <w:rFonts w:ascii="宋体" w:hAnsi="宋体" w:eastAsia="宋体" w:cs="宋体"/>
                <w:color w:val="auto"/>
                <w:spacing w:val="0"/>
                <w:w w:val="100"/>
                <w:kern w:val="0"/>
                <w:sz w:val="21"/>
                <w:szCs w:val="24"/>
                <w:highlight w:val="none"/>
                <w:lang w:val="en-US" w:eastAsia="en-US" w:bidi="ar-SA"/>
              </w:rPr>
              <w:t>评审价格-评审基准价)/评审基准价×100%</w:t>
            </w:r>
          </w:p>
          <w:p w14:paraId="67971842">
            <w:pPr>
              <w:widowControl/>
              <w:jc w:val="center"/>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①如果</w:t>
            </w:r>
            <w:r>
              <w:rPr>
                <w:rFonts w:hint="eastAsia" w:ascii="宋体" w:hAnsi="宋体" w:eastAsia="宋体" w:cs="宋体"/>
                <w:color w:val="auto"/>
                <w:spacing w:val="0"/>
                <w:w w:val="100"/>
                <w:kern w:val="0"/>
                <w:sz w:val="21"/>
                <w:szCs w:val="24"/>
                <w:highlight w:val="none"/>
                <w:lang w:val="en-US" w:eastAsia="zh-CN" w:bidi="ar-SA"/>
              </w:rPr>
              <w:t>响应人</w:t>
            </w:r>
            <w:r>
              <w:rPr>
                <w:rFonts w:ascii="宋体" w:hAnsi="宋体" w:eastAsia="宋体" w:cs="宋体"/>
                <w:color w:val="auto"/>
                <w:spacing w:val="0"/>
                <w:w w:val="100"/>
                <w:kern w:val="0"/>
                <w:sz w:val="21"/>
                <w:szCs w:val="24"/>
                <w:highlight w:val="none"/>
                <w:lang w:val="en-US" w:eastAsia="en-US" w:bidi="ar-SA"/>
              </w:rPr>
              <w:t>的评审价格&gt;评审基准价，则报价得分=F-偏差率×100×</w:t>
            </w:r>
            <w:r>
              <w:rPr>
                <w:rFonts w:hint="eastAsia" w:ascii="宋体" w:hAnsi="宋体" w:eastAsia="宋体" w:cs="宋体"/>
                <w:color w:val="auto"/>
                <w:spacing w:val="0"/>
                <w:w w:val="100"/>
                <w:kern w:val="0"/>
                <w:sz w:val="21"/>
                <w:szCs w:val="24"/>
                <w:highlight w:val="none"/>
                <w:lang w:val="en-US" w:eastAsia="zh-CN" w:bidi="ar-SA"/>
              </w:rPr>
              <w:t>0.2</w:t>
            </w:r>
            <w:r>
              <w:rPr>
                <w:rFonts w:ascii="宋体" w:hAnsi="宋体" w:eastAsia="宋体" w:cs="宋体"/>
                <w:color w:val="auto"/>
                <w:spacing w:val="0"/>
                <w:w w:val="100"/>
                <w:kern w:val="0"/>
                <w:sz w:val="21"/>
                <w:szCs w:val="24"/>
                <w:highlight w:val="none"/>
                <w:lang w:val="en-US" w:eastAsia="en-US" w:bidi="ar-SA"/>
              </w:rPr>
              <w:t>;</w:t>
            </w:r>
          </w:p>
          <w:p w14:paraId="6C7AD7FC">
            <w:pPr>
              <w:widowControl/>
              <w:jc w:val="center"/>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②如果</w:t>
            </w:r>
            <w:r>
              <w:rPr>
                <w:rFonts w:hint="eastAsia" w:ascii="宋体" w:hAnsi="宋体" w:eastAsia="宋体" w:cs="宋体"/>
                <w:color w:val="auto"/>
                <w:spacing w:val="0"/>
                <w:w w:val="100"/>
                <w:kern w:val="0"/>
                <w:sz w:val="21"/>
                <w:szCs w:val="24"/>
                <w:highlight w:val="none"/>
                <w:lang w:val="en-US" w:eastAsia="zh-CN" w:bidi="ar-SA"/>
              </w:rPr>
              <w:t>响应人</w:t>
            </w:r>
            <w:r>
              <w:rPr>
                <w:rFonts w:ascii="宋体" w:hAnsi="宋体" w:eastAsia="宋体" w:cs="宋体"/>
                <w:color w:val="auto"/>
                <w:spacing w:val="0"/>
                <w:w w:val="100"/>
                <w:kern w:val="0"/>
                <w:sz w:val="21"/>
                <w:szCs w:val="24"/>
                <w:highlight w:val="none"/>
                <w:lang w:val="en-US" w:eastAsia="en-US" w:bidi="ar-SA"/>
              </w:rPr>
              <w:t>的评审价格≤评审基准价，则报价得分=F+偏差率×100×0.</w:t>
            </w:r>
            <w:r>
              <w:rPr>
                <w:rFonts w:hint="eastAsia" w:ascii="宋体" w:hAnsi="宋体" w:eastAsia="宋体" w:cs="宋体"/>
                <w:color w:val="auto"/>
                <w:spacing w:val="0"/>
                <w:w w:val="100"/>
                <w:kern w:val="0"/>
                <w:sz w:val="21"/>
                <w:szCs w:val="24"/>
                <w:highlight w:val="none"/>
                <w:lang w:val="en-US" w:eastAsia="zh-CN" w:bidi="ar-SA"/>
              </w:rPr>
              <w:t>1</w:t>
            </w:r>
            <w:r>
              <w:rPr>
                <w:rFonts w:ascii="宋体" w:hAnsi="宋体" w:eastAsia="宋体" w:cs="宋体"/>
                <w:color w:val="auto"/>
                <w:spacing w:val="0"/>
                <w:w w:val="100"/>
                <w:kern w:val="0"/>
                <w:sz w:val="21"/>
                <w:szCs w:val="24"/>
                <w:highlight w:val="none"/>
                <w:lang w:val="en-US" w:eastAsia="en-US" w:bidi="ar-SA"/>
              </w:rPr>
              <w:t>.</w:t>
            </w:r>
          </w:p>
          <w:p w14:paraId="035A83F2">
            <w:pPr>
              <w:widowControl/>
              <w:jc w:val="center"/>
              <w:rPr>
                <w:rFonts w:ascii="宋体" w:hAnsi="宋体" w:eastAsia="宋体" w:cs="宋体"/>
                <w:color w:val="auto"/>
                <w:spacing w:val="0"/>
                <w:w w:val="100"/>
                <w:kern w:val="0"/>
                <w:sz w:val="21"/>
                <w:szCs w:val="24"/>
                <w:highlight w:val="none"/>
                <w:lang w:val="en-US" w:eastAsia="en-US" w:bidi="ar-SA"/>
              </w:rPr>
            </w:pPr>
            <w:r>
              <w:rPr>
                <w:rFonts w:ascii="宋体" w:hAnsi="宋体" w:eastAsia="宋体" w:cs="宋体"/>
                <w:color w:val="auto"/>
                <w:spacing w:val="0"/>
                <w:w w:val="100"/>
                <w:kern w:val="0"/>
                <w:sz w:val="21"/>
                <w:szCs w:val="24"/>
                <w:highlight w:val="none"/>
                <w:lang w:val="en-US" w:eastAsia="en-US" w:bidi="ar-SA"/>
              </w:rPr>
              <w:t>其中F为报价所占的分值；E1是评审价格每高于评审基准价一个百分点的扣分值、E2是评审价格每低于评审基准价一个百分点的扣分值，E1可大于或等于E2。</w:t>
            </w:r>
          </w:p>
          <w:p w14:paraId="5AD6756C">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F=20；E1=0.2；E2=0.1。</w:t>
            </w:r>
          </w:p>
        </w:tc>
      </w:tr>
      <w:tr w14:paraId="1EBD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 w:type="dxa"/>
          </w:tcPr>
          <w:p w14:paraId="006FEA24">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3.3（4）</w:t>
            </w:r>
          </w:p>
        </w:tc>
        <w:tc>
          <w:tcPr>
            <w:tcW w:w="1461" w:type="dxa"/>
          </w:tcPr>
          <w:p w14:paraId="3EE3618F">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其他因素评分标准</w:t>
            </w:r>
          </w:p>
        </w:tc>
        <w:tc>
          <w:tcPr>
            <w:tcW w:w="1904" w:type="dxa"/>
          </w:tcPr>
          <w:p w14:paraId="7ED74599">
            <w:pPr>
              <w:widowControl/>
              <w:adjustRightInd w:val="0"/>
              <w:snapToGrid w:val="0"/>
              <w:spacing w:line="360" w:lineRule="auto"/>
              <w:jc w:val="both"/>
              <w:rPr>
                <w:rFonts w:hint="eastAsia" w:ascii="宋体" w:hAnsi="宋体" w:cs="宋体"/>
                <w:color w:val="auto"/>
                <w:szCs w:val="21"/>
                <w:highlight w:val="none"/>
              </w:rPr>
            </w:pPr>
          </w:p>
        </w:tc>
        <w:tc>
          <w:tcPr>
            <w:tcW w:w="5576" w:type="dxa"/>
          </w:tcPr>
          <w:p w14:paraId="79DF8852">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w:t>
            </w:r>
          </w:p>
        </w:tc>
      </w:tr>
      <w:tr w14:paraId="5CD1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5D1719C6">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04" w:type="dxa"/>
          </w:tcPr>
          <w:p w14:paraId="47BDAE7A">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5576" w:type="dxa"/>
          </w:tcPr>
          <w:p w14:paraId="03D95DD3">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185A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1" w:type="dxa"/>
            <w:gridSpan w:val="2"/>
          </w:tcPr>
          <w:p w14:paraId="74D28D69">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3.6</w:t>
            </w:r>
          </w:p>
        </w:tc>
        <w:tc>
          <w:tcPr>
            <w:tcW w:w="1904" w:type="dxa"/>
          </w:tcPr>
          <w:p w14:paraId="33DB1FCA">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供应商并列时确定供应商优先顺序的规则</w:t>
            </w:r>
          </w:p>
        </w:tc>
        <w:tc>
          <w:tcPr>
            <w:tcW w:w="5576" w:type="dxa"/>
          </w:tcPr>
          <w:p w14:paraId="50C63120">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由评审小组投票决定</w:t>
            </w:r>
          </w:p>
          <w:p w14:paraId="2D3E55E0">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由评审小组抽签决定</w:t>
            </w:r>
          </w:p>
          <w:p w14:paraId="1C250EF7">
            <w:pPr>
              <w:widowControl/>
              <w:adjustRightInd w:val="0"/>
              <w:snapToGrid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其他方法：评审得分相同的，按照投标报价由低到高的顺序推荐。评审得分一致，且投标报价相同的，随机抽取确定排序。</w:t>
            </w:r>
          </w:p>
        </w:tc>
      </w:tr>
    </w:tbl>
    <w:p w14:paraId="6D1DC247">
      <w:pPr>
        <w:spacing w:line="60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411A38DC">
      <w:pPr>
        <w:adjustRightInd w:val="0"/>
        <w:snapToGrid w:val="0"/>
        <w:spacing w:line="60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评审办法正文</w:t>
      </w:r>
    </w:p>
    <w:p w14:paraId="16C992DC">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1评审方法(综合评分法)</w:t>
      </w:r>
    </w:p>
    <w:p w14:paraId="1E3492E1">
      <w:pPr>
        <w:adjustRightInd w:val="0"/>
        <w:snapToGrid w:val="0"/>
        <w:spacing w:line="360" w:lineRule="auto"/>
        <w:ind w:firstLine="453" w:firstLineChars="189"/>
        <w:rPr>
          <w:rFonts w:hint="eastAsia" w:ascii="宋体" w:hAnsi="宋体" w:eastAsia="宋体" w:cs="宋体"/>
          <w:color w:val="auto"/>
          <w:sz w:val="24"/>
          <w:highlight w:val="none"/>
          <w:lang w:eastAsia="zh-CN"/>
        </w:rPr>
      </w:pPr>
      <w:r>
        <w:rPr>
          <w:rFonts w:hint="eastAsia" w:ascii="宋体" w:hAnsi="宋体" w:cs="宋体"/>
          <w:color w:val="auto"/>
          <w:sz w:val="24"/>
          <w:highlight w:val="none"/>
        </w:rPr>
        <w:t>本次评审采用综合评分法。评审小组对满足采购文件实质性要求的响应文件，按照本章第3条规定的评分标准进行打分，并按得分由高到低的顺序推荐候选成交供应商。</w:t>
      </w:r>
    </w:p>
    <w:p w14:paraId="22FAE0EE">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2初步评审标准和程序</w:t>
      </w:r>
    </w:p>
    <w:p w14:paraId="0C3D1385">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2.1初步评审标准</w:t>
      </w:r>
    </w:p>
    <w:p w14:paraId="03FE7F0E">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2.1.1形式评审标准：见评审办法前附表。</w:t>
      </w:r>
    </w:p>
    <w:p w14:paraId="3728EE68">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2.1.2资格评审标准：见评审办法前附表。</w:t>
      </w:r>
    </w:p>
    <w:p w14:paraId="4903A691">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2.1.3响应性评审标准：见评审办法前附表。</w:t>
      </w:r>
    </w:p>
    <w:p w14:paraId="3D5501AF">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2.2初步评审程序</w:t>
      </w:r>
    </w:p>
    <w:p w14:paraId="27B1C627">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2.2.1评审小组依据本章第2.1款规定的标准对供应商</w:t>
      </w:r>
      <w:r>
        <w:rPr>
          <w:rFonts w:hint="eastAsia" w:ascii="宋体" w:hAnsi="宋体" w:cs="宋体"/>
          <w:color w:val="auto"/>
          <w:sz w:val="24"/>
          <w:highlight w:val="none"/>
          <w:lang w:val="en-US" w:eastAsia="zh-CN"/>
        </w:rPr>
        <w:t>递</w:t>
      </w:r>
      <w:r>
        <w:rPr>
          <w:rFonts w:hint="eastAsia" w:ascii="宋体" w:hAnsi="宋体" w:cs="宋体"/>
          <w:color w:val="auto"/>
          <w:sz w:val="24"/>
          <w:highlight w:val="none"/>
        </w:rPr>
        <w:t>交的响应文件进行初步评审，判断响应文件的形式是否符合要求，供应商是否符合资格条件，响应文件是否实质性响应采购文件的要求。只有以上评审合格的响应文件才可通过初步评审。</w:t>
      </w:r>
    </w:p>
    <w:p w14:paraId="2F15EC36">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2.2.2除评审办法前附表另有规定外，评审价格为供应商在响应函中填报的大写含税价格。</w:t>
      </w:r>
    </w:p>
    <w:p w14:paraId="0B2A73A7">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评审价格若超过最高限价(如有)，其响应文件将被视为无效。</w:t>
      </w:r>
    </w:p>
    <w:p w14:paraId="025EF162">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7A2DABAF">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7CC99DC9">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响应报价有算术错误及其他错误的，评审小组按以下原则要求供应商对响应报价进行修正，并要求供应商书面澄清确认。供应商拒不澄清确认的，其响应文件将被视为无效：</w:t>
      </w:r>
    </w:p>
    <w:p w14:paraId="3E2B54A8">
      <w:pPr>
        <w:tabs>
          <w:tab w:val="left" w:pos="312"/>
        </w:tabs>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(1)大写金额与小写金额不一致的，以大写金额为准；</w:t>
      </w:r>
    </w:p>
    <w:p w14:paraId="4EE12189">
      <w:pPr>
        <w:tabs>
          <w:tab w:val="left" w:pos="312"/>
        </w:tabs>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(2)总价金额与单价金额不一致的，以单价金额为准，但单价金额小数点有明显错误的除外；</w:t>
      </w:r>
    </w:p>
    <w:p w14:paraId="3FEDFC84">
      <w:pPr>
        <w:tabs>
          <w:tab w:val="left" w:pos="312"/>
        </w:tabs>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(3)报价表合计报价与分项报价的合计不一致的，以各分项报价的合价累计数为准；</w:t>
      </w:r>
    </w:p>
    <w:p w14:paraId="1958E41F">
      <w:pPr>
        <w:tabs>
          <w:tab w:val="left" w:pos="312"/>
        </w:tabs>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(4)如果分项报价中存在缺漏项，且缺漏项内容不属于实质性偏差的，则视为缺漏项内容的价格已包含在其他分项报价之中。</w:t>
      </w:r>
    </w:p>
    <w:p w14:paraId="4B42530E">
      <w:pPr>
        <w:tabs>
          <w:tab w:val="left" w:pos="312"/>
        </w:tabs>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4721D6F2">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2.2.4供应商有串通，弄虚作假、行贿等违法行为的，其响应文件将被视为无效。</w:t>
      </w:r>
    </w:p>
    <w:p w14:paraId="2176AD0E">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2.2.5特殊情形处理</w:t>
      </w:r>
    </w:p>
    <w:p w14:paraId="5B43B239">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6DDD101D">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340D9E3B">
      <w:pPr>
        <w:adjustRightInd w:val="0"/>
        <w:snapToGrid w:val="0"/>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3详细评审标准和程序(综合评分法)</w:t>
      </w:r>
    </w:p>
    <w:p w14:paraId="435FE1CA">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3.1分值构成</w:t>
      </w:r>
    </w:p>
    <w:p w14:paraId="76B74617">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(1)商务部分：见评审办法前附表；</w:t>
      </w:r>
    </w:p>
    <w:p w14:paraId="255CC4C0">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(2)技术部分：见评审办法前附表；</w:t>
      </w:r>
    </w:p>
    <w:p w14:paraId="2EB6AE5E">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(3)报价：见评审办法前附表；</w:t>
      </w:r>
    </w:p>
    <w:p w14:paraId="579C2BCD">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(4)其他评分因素：见评审办法前附表。</w:t>
      </w:r>
    </w:p>
    <w:p w14:paraId="3C234927">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3.2评审基准价计算</w:t>
      </w:r>
    </w:p>
    <w:p w14:paraId="37EAFA3A">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(1)评审价格：评审价格为按照本章第2.2.2项规定确定的价格；</w:t>
      </w:r>
    </w:p>
    <w:p w14:paraId="542F966D">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(2)评审基准价计算方法：</w:t>
      </w:r>
    </w:p>
    <w:p w14:paraId="20AB3A9D">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方法一：评审基准价=评审价格平均值(即通过初步评审的所有供应商评审价格的算术平均值)。</w:t>
      </w:r>
    </w:p>
    <w:p w14:paraId="52E1F8DA">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方法二：评审基准价=评审价格平均值(即通过初步评审的所有供应商评审价格的算术平均值)×评审基准价系数，评审基准价系数的取值见评审办法前附表。</w:t>
      </w:r>
    </w:p>
    <w:p w14:paraId="67F8FF9C">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方法三：评审基准价=通过初步评审的所有供应商的最低评审价格。</w:t>
      </w:r>
    </w:p>
    <w:p w14:paraId="2350E58C">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方法四：采购人确定的其他方法。</w:t>
      </w:r>
    </w:p>
    <w:p w14:paraId="1D2D67F8">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评审基准价计算方法的选择见评审办法前附表。</w:t>
      </w:r>
    </w:p>
    <w:p w14:paraId="7DA7356A">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3.3评分标准</w:t>
      </w:r>
    </w:p>
    <w:p w14:paraId="70F16026">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(1)商务评分标准：见评审办法前附表；</w:t>
      </w:r>
    </w:p>
    <w:p w14:paraId="7C40A109">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(2)技术评分标准：见评审办法前附表；</w:t>
      </w:r>
    </w:p>
    <w:p w14:paraId="375B4055">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(3)报价评分标准：</w:t>
      </w:r>
    </w:p>
    <w:p w14:paraId="370D04D3">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报价得分可采用如下方法计算：</w:t>
      </w:r>
    </w:p>
    <w:p w14:paraId="6E98A11F">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方法一：偏差率=(供应商评审价格-评审基准价)/评审基准价×100%</w:t>
      </w:r>
    </w:p>
    <w:p w14:paraId="18D7C596">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①如果供应商的评审价格&gt;评审基准价，则报价得分=F-偏差率×100×E</w:t>
      </w:r>
      <w:r>
        <w:rPr>
          <w:rFonts w:hint="eastAsia" w:ascii="宋体" w:hAnsi="宋体" w:cs="宋体"/>
          <w:color w:val="auto"/>
          <w:sz w:val="24"/>
          <w:highlight w:val="none"/>
          <w:vertAlign w:val="subscript"/>
        </w:rPr>
        <w:t>1</w:t>
      </w:r>
      <w:r>
        <w:rPr>
          <w:rFonts w:hint="eastAsia" w:ascii="宋体" w:hAnsi="宋体" w:cs="宋体"/>
          <w:color w:val="auto"/>
          <w:sz w:val="24"/>
          <w:highlight w:val="none"/>
        </w:rPr>
        <w:t>；</w:t>
      </w:r>
    </w:p>
    <w:p w14:paraId="11679EE3">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②如果供应商的评审价格≤评审基准价，则报价得分=F+偏差率×100×E</w:t>
      </w:r>
      <w:r>
        <w:rPr>
          <w:rFonts w:hint="eastAsia" w:ascii="宋体" w:hAnsi="宋体" w:cs="宋体"/>
          <w:color w:val="auto"/>
          <w:sz w:val="24"/>
          <w:highlight w:val="none"/>
          <w:vertAlign w:val="subscript"/>
        </w:rPr>
        <w:t>2</w:t>
      </w:r>
      <w:r>
        <w:rPr>
          <w:rFonts w:hint="eastAsia" w:ascii="宋体" w:hAnsi="宋体" w:cs="宋体"/>
          <w:color w:val="auto"/>
          <w:sz w:val="24"/>
          <w:highlight w:val="none"/>
        </w:rPr>
        <w:t>.</w:t>
      </w:r>
    </w:p>
    <w:p w14:paraId="629B6CC3">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其中F为本章前附表第3.1(3)项规定的报价所占的分值；E</w:t>
      </w:r>
      <w:r>
        <w:rPr>
          <w:rFonts w:hint="eastAsia" w:ascii="宋体" w:hAnsi="宋体" w:cs="宋体"/>
          <w:color w:val="auto"/>
          <w:sz w:val="24"/>
          <w:highlight w:val="none"/>
          <w:vertAlign w:val="subscript"/>
        </w:rPr>
        <w:t>1</w:t>
      </w:r>
      <w:r>
        <w:rPr>
          <w:rFonts w:hint="eastAsia" w:ascii="宋体" w:hAnsi="宋体" w:cs="宋体"/>
          <w:color w:val="auto"/>
          <w:sz w:val="24"/>
          <w:highlight w:val="none"/>
        </w:rPr>
        <w:t>是评审价格每高于评审基准价一个百分点的扣分值、E</w:t>
      </w:r>
      <w:r>
        <w:rPr>
          <w:rFonts w:hint="eastAsia" w:ascii="宋体" w:hAnsi="宋体" w:cs="宋体"/>
          <w:color w:val="auto"/>
          <w:sz w:val="24"/>
          <w:highlight w:val="none"/>
          <w:vertAlign w:val="subscript"/>
        </w:rPr>
        <w:t>2</w:t>
      </w:r>
      <w:r>
        <w:rPr>
          <w:rFonts w:hint="eastAsia" w:ascii="宋体" w:hAnsi="宋体" w:cs="宋体"/>
          <w:color w:val="auto"/>
          <w:sz w:val="24"/>
          <w:highlight w:val="none"/>
        </w:rPr>
        <w:t>是评审价格每低于评审基准价一个百分点的扣分值，E</w:t>
      </w:r>
      <w:r>
        <w:rPr>
          <w:rFonts w:hint="eastAsia" w:ascii="宋体" w:hAnsi="宋体" w:cs="宋体"/>
          <w:color w:val="auto"/>
          <w:sz w:val="24"/>
          <w:highlight w:val="none"/>
          <w:vertAlign w:val="subscript"/>
        </w:rPr>
        <w:t>1</w:t>
      </w:r>
      <w:r>
        <w:rPr>
          <w:rFonts w:hint="eastAsia" w:ascii="宋体" w:hAnsi="宋体" w:cs="宋体"/>
          <w:color w:val="auto"/>
          <w:sz w:val="24"/>
          <w:highlight w:val="none"/>
        </w:rPr>
        <w:t>可大于或等于E</w:t>
      </w:r>
      <w:r>
        <w:rPr>
          <w:rFonts w:hint="eastAsia" w:ascii="宋体" w:hAnsi="宋体" w:cs="宋体"/>
          <w:color w:val="auto"/>
          <w:sz w:val="24"/>
          <w:highlight w:val="none"/>
          <w:vertAlign w:val="subscript"/>
        </w:rPr>
        <w:t>2</w:t>
      </w:r>
      <w:r>
        <w:rPr>
          <w:rFonts w:hint="eastAsia" w:ascii="宋体" w:hAnsi="宋体" w:cs="宋体"/>
          <w:color w:val="auto"/>
          <w:sz w:val="24"/>
          <w:highlight w:val="none"/>
        </w:rPr>
        <w:t>。E</w:t>
      </w:r>
      <w:r>
        <w:rPr>
          <w:rFonts w:hint="eastAsia" w:ascii="宋体" w:hAnsi="宋体" w:cs="宋体"/>
          <w:color w:val="auto"/>
          <w:sz w:val="24"/>
          <w:highlight w:val="none"/>
          <w:vertAlign w:val="subscript"/>
        </w:rPr>
        <w:t>1</w:t>
      </w:r>
      <w:r>
        <w:rPr>
          <w:rFonts w:hint="eastAsia" w:ascii="宋体" w:hAnsi="宋体" w:cs="宋体"/>
          <w:color w:val="auto"/>
          <w:sz w:val="24"/>
          <w:highlight w:val="none"/>
        </w:rPr>
        <w:t>、E</w:t>
      </w:r>
      <w:r>
        <w:rPr>
          <w:rFonts w:hint="eastAsia" w:ascii="宋体" w:hAnsi="宋体" w:cs="宋体"/>
          <w:color w:val="auto"/>
          <w:sz w:val="24"/>
          <w:highlight w:val="none"/>
          <w:vertAlign w:val="subscript"/>
        </w:rPr>
        <w:t>2</w:t>
      </w:r>
      <w:r>
        <w:rPr>
          <w:rFonts w:hint="eastAsia" w:ascii="宋体" w:hAnsi="宋体" w:cs="宋体"/>
          <w:color w:val="auto"/>
          <w:sz w:val="24"/>
          <w:highlight w:val="none"/>
        </w:rPr>
        <w:t>的取值见评审办法前附表。</w:t>
      </w:r>
    </w:p>
    <w:p w14:paraId="40F1DD26">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方法二：报价得分(通过初步评审的所有供应商的最低评审价格/供应商评审价格)×F，F为本章前附表第3.1(3)项规定的报价所占的分值。</w:t>
      </w:r>
    </w:p>
    <w:p w14:paraId="1C895618">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方法三：采购人确定的其他方法。</w:t>
      </w:r>
    </w:p>
    <w:p w14:paraId="19DBD730">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报价得分计算方法见评审办法前附表。</w:t>
      </w:r>
    </w:p>
    <w:p w14:paraId="4BBDE668">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(4)其他因素评分标准：见评审办法前附表。</w:t>
      </w:r>
    </w:p>
    <w:p w14:paraId="79996E2A">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3.4评分</w:t>
      </w:r>
    </w:p>
    <w:p w14:paraId="5D656275">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评审小组成员按照评分标准独立对供应商的商务、技术和其他因素进行评分。报价评分由评审小组统一计算。各项得分汇总后为该成员给供应商的评分总分，评分值计算保留小数点后两位，小数点后第三位“四舍五入”。</w:t>
      </w:r>
    </w:p>
    <w:p w14:paraId="46AAEE10">
      <w:pPr>
        <w:adjustRightInd w:val="0"/>
        <w:snapToGrid w:val="0"/>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3.5汇总</w:t>
      </w:r>
    </w:p>
    <w:p w14:paraId="7EF2363E">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评审小组汇总每个成员对供应商的评分总分，每个供应商的评分总分的算术平均值为供应商最终得分。</w:t>
      </w:r>
    </w:p>
    <w:p w14:paraId="092D65B8">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3.6排序</w:t>
      </w:r>
    </w:p>
    <w:p w14:paraId="0CC11F08">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027B5D7E">
      <w:pPr>
        <w:adjustRightInd w:val="0"/>
        <w:snapToGrid w:val="0"/>
        <w:spacing w:line="360" w:lineRule="auto"/>
        <w:ind w:left="241" w:hanging="241" w:hangingChars="100"/>
        <w:rPr>
          <w:rFonts w:hint="eastAsia" w:ascii="宋体" w:hAnsi="宋体" w:cs="宋体"/>
          <w:b/>
          <w:bCs/>
          <w:color w:val="auto"/>
          <w:sz w:val="24"/>
          <w:highlight w:val="none"/>
        </w:rPr>
      </w:pPr>
      <w:r>
        <w:rPr>
          <w:rFonts w:hint="eastAsia" w:ascii="宋体" w:hAnsi="宋体" w:cs="宋体"/>
          <w:b/>
          <w:bCs/>
          <w:color w:val="auto"/>
          <w:sz w:val="24"/>
          <w:highlight w:val="none"/>
        </w:rPr>
        <w:t>3.7特殊情形处理</w:t>
      </w:r>
    </w:p>
    <w:p w14:paraId="4AEC1C0D">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当通过初步评审的供应商数量未超过采购公告第1.6款规定的成交供应商数量、评审小组认为供应商的响应报价合理且物有所值时，不再进行详细评审，直接推荐上述供应商为候选成交供应商。</w:t>
      </w:r>
    </w:p>
    <w:p w14:paraId="4660B664">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4评审结果</w:t>
      </w:r>
    </w:p>
    <w:p w14:paraId="65E47208">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4.1提交书面评审报告</w:t>
      </w:r>
    </w:p>
    <w:p w14:paraId="4D0AA8E7">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评审小组完成评审后，应当向采购人提交书面评审报告。</w:t>
      </w:r>
    </w:p>
    <w:p w14:paraId="6BB518D9">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4.2推荐候选成交供应商排序要求及数量</w:t>
      </w:r>
    </w:p>
    <w:p w14:paraId="0C4BE9A7">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评审小组应在书面评审报告中按照供应商排列的优先顺序向采购人推荐候选成交供应商(排序或不排序)。候选成交供应商的排序要求及数量见第二章“供应商须知”。</w:t>
      </w:r>
    </w:p>
    <w:p w14:paraId="5471047F">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5直接转换采购方式评审程序</w:t>
      </w:r>
    </w:p>
    <w:p w14:paraId="2B3C66E1">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5.1初步评审</w:t>
      </w:r>
    </w:p>
    <w:p w14:paraId="4FDF427A">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5.1.1评审小组依据本章第2.1款规定的标准对供应商递交的响应文件进行初步评审，判断响应文件的形式是否符合要求，供应商是否符合资格条件。响应文件是否实质性满足采购文件的要求。只有以上评审合格的响应文件才可通过初步评审。</w:t>
      </w:r>
    </w:p>
    <w:p w14:paraId="22EF8BB5">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5.1.2响应文件的形式或供应商资格不符合采购文件的要求、响应文件未实质性响应采购文件的要求，或响应文件中有含义不明确、同类问题表述不一致或有明显文字或计算错误的内容，评审小组应要求供应商在规定时间内进行澄清、说明和补正。供应商澄清、说明和补正的内容应由法定代表人( 单位负责人)或其授权的代理人签字或加盖单位章。澄清、说明和补正的内容作为响应文件的组成部分。</w:t>
      </w:r>
    </w:p>
    <w:p w14:paraId="1CE70E88">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5.1.3只有形式评审和资格评审合格且实质性响应采购文件要求的供应商才可通过初步评审。经供应商澄清、说明和补正后仍未通过初步评审的响应文件将被视为无效，评审小组应告知有关供应商。</w:t>
      </w:r>
    </w:p>
    <w:p w14:paraId="22F20491">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5.1.4当通过初步评审的供应商数量大于采购公告第1.6款</w:t>
      </w:r>
      <w:r>
        <w:rPr>
          <w:rFonts w:hint="eastAsia" w:ascii="宋体" w:hAnsi="宋体" w:cs="宋体"/>
          <w:color w:val="auto"/>
          <w:sz w:val="24"/>
          <w:highlight w:val="none"/>
          <w:lang w:val="en-US" w:eastAsia="zh-CN"/>
        </w:rPr>
        <w:t>规</w:t>
      </w:r>
      <w:r>
        <w:rPr>
          <w:rFonts w:hint="eastAsia" w:ascii="宋体" w:hAnsi="宋体" w:cs="宋体"/>
          <w:color w:val="auto"/>
          <w:sz w:val="24"/>
          <w:highlight w:val="none"/>
        </w:rPr>
        <w:t>定的成交供应商数量时，可以改为参照谈判方式继续评审选择成交供应商。</w:t>
      </w:r>
    </w:p>
    <w:p w14:paraId="03E32D24">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当通过初步评审的供应商数量等于采购公告采购邀请书第1.6款规定的成交供应商数量时，可以改为参照直接采购方式继续评审选择成交供应商。</w:t>
      </w:r>
    </w:p>
    <w:p w14:paraId="69CA97D5">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当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09B932FF">
      <w:pPr>
        <w:adjustRightInd w:val="0"/>
        <w:snapToGrid w:val="0"/>
        <w:spacing w:line="360" w:lineRule="auto"/>
        <w:ind w:firstLine="453" w:firstLineChars="189"/>
        <w:rPr>
          <w:rFonts w:hint="eastAsia" w:ascii="宋体" w:hAnsi="宋体" w:cs="宋体"/>
          <w:color w:val="auto"/>
          <w:sz w:val="24"/>
          <w:highlight w:val="none"/>
        </w:rPr>
      </w:pPr>
      <w:r>
        <w:rPr>
          <w:rFonts w:hint="eastAsia" w:ascii="宋体" w:hAnsi="宋体" w:cs="宋体"/>
          <w:color w:val="auto"/>
          <w:sz w:val="24"/>
          <w:highlight w:val="none"/>
        </w:rPr>
        <w:t>初步评审后，当所有响应文件均无效时，应重新组织采购。</w:t>
      </w:r>
    </w:p>
    <w:p w14:paraId="69EB5235">
      <w:pPr>
        <w:adjustRightInd w:val="0"/>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5.2转换采购方式</w:t>
      </w:r>
    </w:p>
    <w:p w14:paraId="3ACB3D29">
      <w:pPr>
        <w:pageBreakBefore w:val="0"/>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5.2.1参照磋商采购方式评审</w:t>
      </w:r>
    </w:p>
    <w:p w14:paraId="1C6B5686">
      <w:pPr>
        <w:pageBreakBefore w:val="0"/>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w:t>
      </w:r>
    </w:p>
    <w:p w14:paraId="32E22A80">
      <w:pPr>
        <w:pageBreakBefore w:val="0"/>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审小组应按照响应人递交响应文件的顺序或评审小组抽签确定的顺序与通过初步评审的响应人逐一进行磋商。评审小组可以根据磋商情况决定磋商轮次，并给于所有参加磋商的响应人平等的磋商机会。在磋商过程中，评审小组可根据磋商情况修改和补充采购文件中的非实质性内容，但不得改变评审标准或可能影响初步评审结果的内容。</w:t>
      </w:r>
    </w:p>
    <w:p w14:paraId="1DB9E14B">
      <w:pPr>
        <w:pageBreakBefore w:val="0"/>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2)响应人的法定代表人(单位负责人)或其授权的代理人应参加磋商。响应人的法定代表人(单位负责人)或其授权的代理人在磋商中作出的承诺构成响应文件的组成部分。</w:t>
      </w:r>
    </w:p>
    <w:p w14:paraId="246C1B51">
      <w:pPr>
        <w:pageBreakBefore w:val="0"/>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3)磋商结束后，评审小组将要求所有参加磋商的响应人在规定时间内递交最终报价。最终报价应由响应人的法定代表人(单位负责人)或其授权的代理人签字或单位章。最终报价是响应人响应文件的组成部分。</w:t>
      </w:r>
    </w:p>
    <w:p w14:paraId="41F281C1">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(2)公开开启最终报价。评审小组将在递交最终报价的截止时间公开开启最终报价，响应人未派代表参加开启会议的，视为默认开启结果。</w:t>
      </w:r>
    </w:p>
    <w:p w14:paraId="55A0AE15">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(3)详细评审。</w:t>
      </w:r>
    </w:p>
    <w:p w14:paraId="2451E4BF">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将按本章第3条规定对响应文件及其最终报价进行详细评审。采用综合评分法的，评审小组有权对本章第3.2项规定的评审基准价和第3.3(3)目规定的报价评分标准进行调整，但评审小组应在磋商开始前向响应人公布，未公布的，视为评审基准价和报价评分标准不作调整;详细评审标准中除报价评审标准外的其他评审标准不作调整。</w:t>
      </w:r>
    </w:p>
    <w:p w14:paraId="48160EE0">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通过磋商后，评审小组认为所有响应人的最终报价仍然不合理的，应向采购人提出终止采购建议。</w:t>
      </w:r>
    </w:p>
    <w:p w14:paraId="0EC3220E">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(4)编写评审报告。</w:t>
      </w:r>
    </w:p>
    <w:p w14:paraId="319AAEC7">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评审小组按本章第4.2款规定推荐候选成交响应人或按本章第5.2.1(3)规定提出终止采购建议，并向采购人提交书面评审报告。</w:t>
      </w:r>
    </w:p>
    <w:p w14:paraId="4AC4917D">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5.2.2参照直接采购方式评审</w:t>
      </w:r>
    </w:p>
    <w:p w14:paraId="4837554C">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w:t>
      </w:r>
    </w:p>
    <w:p w14:paraId="73C2E28A">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所有成员集中与响应人进行磋商，响应人法定代表人（单位负责人）或其授权的代理人应参加磋商。在磋商过程中，评审小组可根据磋商情况修改和补充采购文件中的非实质性内容，但不得改变可能影响初步评审结果的内容。响应人的法定代表人(单位负责人)成其授权的代理人在磋商中作出的承诺构成响应文件的组成部分。评审小组可根据需要，安排多轮磋商。</w:t>
      </w:r>
    </w:p>
    <w:p w14:paraId="300DD453">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(2)详细评审。</w:t>
      </w:r>
    </w:p>
    <w:p w14:paraId="3E56E6FF">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评审小组通过对采购成本、供应能力、风险管控、采购目标等的分析，对响应人拟提供标的的技术、商务进行物有所值综合评价。</w:t>
      </w:r>
    </w:p>
    <w:p w14:paraId="25C56883">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(3)编写评审报告。</w:t>
      </w:r>
    </w:p>
    <w:p w14:paraId="4905B6A1">
      <w:pPr>
        <w:pageBreakBefore w:val="0"/>
        <w:tabs>
          <w:tab w:val="left" w:pos="312"/>
        </w:tabs>
        <w:kinsoku/>
        <w:overflowPunct/>
        <w:topLinePunct w:val="0"/>
        <w:bidi w:val="0"/>
        <w:adjustRightInd w:val="0"/>
        <w:snapToGrid w:val="0"/>
        <w:spacing w:line="360" w:lineRule="auto"/>
        <w:ind w:firstLine="453" w:firstLineChars="1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评审小组根据预期的磋商目标综合磋商纪要编写评审报告，推荐候选成交响应人或提出磋商终止建议。 </w:t>
      </w:r>
    </w:p>
    <w:p w14:paraId="645DDDBD">
      <w:pPr>
        <w:spacing w:line="60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71601B9E">
      <w:pPr>
        <w:pStyle w:val="152"/>
        <w:spacing w:line="600" w:lineRule="exact"/>
        <w:ind w:left="420" w:firstLine="0" w:firstLineChars="0"/>
        <w:rPr>
          <w:rFonts w:hint="eastAsia" w:ascii="黑体" w:hAnsi="黑体" w:eastAsia="黑体" w:cs="仿宋"/>
          <w:b/>
          <w:color w:val="auto"/>
          <w:sz w:val="44"/>
          <w:szCs w:val="44"/>
          <w:highlight w:val="none"/>
        </w:rPr>
      </w:pPr>
    </w:p>
    <w:p w14:paraId="37259797">
      <w:pPr>
        <w:pStyle w:val="152"/>
        <w:spacing w:line="600" w:lineRule="exact"/>
        <w:ind w:left="420" w:firstLine="0" w:firstLineChars="0"/>
        <w:rPr>
          <w:rFonts w:hint="eastAsia" w:ascii="黑体" w:hAnsi="黑体" w:eastAsia="黑体" w:cs="仿宋"/>
          <w:b/>
          <w:color w:val="auto"/>
          <w:sz w:val="44"/>
          <w:szCs w:val="44"/>
          <w:highlight w:val="none"/>
        </w:rPr>
      </w:pPr>
    </w:p>
    <w:p w14:paraId="31B23155">
      <w:pPr>
        <w:pStyle w:val="152"/>
        <w:spacing w:line="600" w:lineRule="exact"/>
        <w:ind w:left="420" w:firstLine="0" w:firstLineChars="0"/>
        <w:rPr>
          <w:rFonts w:hint="eastAsia" w:ascii="黑体" w:hAnsi="黑体" w:eastAsia="黑体" w:cs="仿宋"/>
          <w:b/>
          <w:color w:val="auto"/>
          <w:sz w:val="44"/>
          <w:szCs w:val="44"/>
          <w:highlight w:val="none"/>
        </w:rPr>
      </w:pPr>
    </w:p>
    <w:p w14:paraId="7A46578F">
      <w:pPr>
        <w:pStyle w:val="152"/>
        <w:spacing w:line="600" w:lineRule="exact"/>
        <w:ind w:left="420" w:firstLine="0" w:firstLineChars="0"/>
        <w:rPr>
          <w:rFonts w:hint="eastAsia" w:ascii="黑体" w:hAnsi="黑体" w:eastAsia="黑体" w:cs="仿宋"/>
          <w:b/>
          <w:color w:val="auto"/>
          <w:sz w:val="44"/>
          <w:szCs w:val="44"/>
          <w:highlight w:val="none"/>
        </w:rPr>
      </w:pPr>
    </w:p>
    <w:p w14:paraId="7B57A2EA">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595BE1D0">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0D52BC5F">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03C76E50">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475F1568">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36848AFB">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2B80E557">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73D3530E">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7A16EEDB">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7E327969">
      <w:pPr>
        <w:pStyle w:val="152"/>
        <w:spacing w:line="600" w:lineRule="exact"/>
        <w:ind w:left="420" w:firstLine="0" w:firstLineChars="0"/>
        <w:jc w:val="center"/>
        <w:rPr>
          <w:rFonts w:hint="eastAsia" w:ascii="黑体" w:hAnsi="黑体" w:eastAsia="黑体" w:cs="仿宋"/>
          <w:b/>
          <w:color w:val="auto"/>
          <w:sz w:val="44"/>
          <w:szCs w:val="44"/>
          <w:highlight w:val="none"/>
        </w:rPr>
      </w:pPr>
      <w:r>
        <w:rPr>
          <w:rFonts w:hint="eastAsia" w:ascii="黑体" w:hAnsi="黑体" w:eastAsia="黑体" w:cs="仿宋"/>
          <w:b/>
          <w:color w:val="auto"/>
          <w:sz w:val="44"/>
          <w:szCs w:val="44"/>
          <w:highlight w:val="none"/>
        </w:rPr>
        <w:t>第四章  合同条款及格式</w:t>
      </w:r>
    </w:p>
    <w:p w14:paraId="6506FC68">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3AD0256F">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33570B42">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3825DDA8">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1CAF49A8">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0090CC14">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1F06B109">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687BE1D0">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568B9B95">
      <w:pPr>
        <w:pStyle w:val="152"/>
        <w:spacing w:line="600" w:lineRule="exact"/>
        <w:ind w:left="420" w:firstLine="0" w:firstLineChars="0"/>
        <w:jc w:val="center"/>
        <w:rPr>
          <w:rFonts w:hint="eastAsia" w:ascii="黑体" w:hAnsi="黑体" w:eastAsia="黑体" w:cs="仿宋"/>
          <w:b/>
          <w:color w:val="auto"/>
          <w:sz w:val="44"/>
          <w:szCs w:val="44"/>
          <w:highlight w:val="none"/>
        </w:rPr>
      </w:pPr>
    </w:p>
    <w:p w14:paraId="36586578">
      <w:pPr>
        <w:pStyle w:val="152"/>
        <w:spacing w:line="600" w:lineRule="exact"/>
        <w:ind w:left="0" w:leftChars="0" w:firstLine="0" w:firstLineChars="0"/>
        <w:jc w:val="both"/>
        <w:rPr>
          <w:rFonts w:hint="eastAsia" w:ascii="黑体" w:hAnsi="黑体" w:eastAsia="黑体" w:cs="仿宋"/>
          <w:b/>
          <w:color w:val="auto"/>
          <w:sz w:val="44"/>
          <w:szCs w:val="44"/>
          <w:highlight w:val="none"/>
        </w:rPr>
      </w:pPr>
    </w:p>
    <w:p w14:paraId="470B2980">
      <w:pPr>
        <w:pStyle w:val="2"/>
        <w:spacing w:before="0" w:after="0" w:line="360" w:lineRule="auto"/>
        <w:jc w:val="center"/>
        <w:rPr>
          <w:rStyle w:val="944"/>
          <w:b w:val="0"/>
          <w:color w:val="auto"/>
          <w:sz w:val="32"/>
          <w:szCs w:val="32"/>
          <w:highlight w:val="none"/>
        </w:rPr>
      </w:pPr>
      <w:bookmarkStart w:id="19" w:name="_Toc161231742"/>
      <w:bookmarkStart w:id="20" w:name="_Toc156986230"/>
      <w:bookmarkStart w:id="21" w:name="_Toc237230857"/>
      <w:bookmarkStart w:id="22" w:name="_Toc16351"/>
      <w:bookmarkStart w:id="23" w:name="_Toc19948"/>
      <w:bookmarkStart w:id="24" w:name="_Toc9436"/>
      <w:bookmarkStart w:id="25" w:name="_Toc29981714"/>
      <w:bookmarkStart w:id="26" w:name="_Toc29797134"/>
      <w:bookmarkStart w:id="27" w:name="_Toc488236004"/>
      <w:bookmarkStart w:id="28" w:name="_Toc17358"/>
      <w:bookmarkStart w:id="29" w:name="_Toc237061007"/>
      <w:bookmarkStart w:id="30" w:name="_Toc29797272"/>
      <w:bookmarkStart w:id="31" w:name="_Toc184635098"/>
      <w:r>
        <w:rPr>
          <w:rStyle w:val="944"/>
          <w:b w:val="0"/>
          <w:color w:val="auto"/>
          <w:sz w:val="32"/>
          <w:szCs w:val="32"/>
          <w:highlight w:val="none"/>
        </w:rPr>
        <w:t>第一节 通用合同条款</w:t>
      </w:r>
      <w:bookmarkEnd w:id="19"/>
      <w:bookmarkEnd w:id="20"/>
    </w:p>
    <w:p w14:paraId="5C217A1A">
      <w:pPr>
        <w:pStyle w:val="723"/>
        <w:spacing w:line="520" w:lineRule="exact"/>
        <w:ind w:firstLine="482"/>
        <w:outlineLvl w:val="1"/>
        <w:rPr>
          <w:rFonts w:ascii="宋体" w:hAnsi="宋体" w:eastAsia="宋体"/>
          <w:bCs/>
          <w:color w:val="auto"/>
          <w:szCs w:val="24"/>
          <w:highlight w:val="none"/>
        </w:rPr>
      </w:pPr>
      <w:bookmarkStart w:id="32" w:name="_Toc161231743"/>
      <w:bookmarkStart w:id="33" w:name="_Toc156986231"/>
      <w:r>
        <w:rPr>
          <w:rFonts w:ascii="宋体" w:hAnsi="宋体" w:eastAsia="宋体"/>
          <w:bCs/>
          <w:color w:val="auto"/>
          <w:szCs w:val="24"/>
          <w:highlight w:val="none"/>
        </w:rPr>
        <w:t>1.一般约定</w:t>
      </w:r>
      <w:bookmarkEnd w:id="32"/>
      <w:bookmarkEnd w:id="33"/>
    </w:p>
    <w:p w14:paraId="4E72BA2C">
      <w:pPr>
        <w:tabs>
          <w:tab w:val="left" w:pos="1051"/>
        </w:tabs>
        <w:autoSpaceDE w:val="0"/>
        <w:autoSpaceDN w:val="0"/>
        <w:spacing w:line="520" w:lineRule="exact"/>
        <w:ind w:firstLine="482" w:firstLineChars="200"/>
        <w:rPr>
          <w:rFonts w:hint="eastAsia" w:ascii="宋体" w:hAnsi="宋体"/>
          <w:b/>
          <w:color w:val="auto"/>
          <w:sz w:val="24"/>
          <w:highlight w:val="none"/>
        </w:rPr>
      </w:pPr>
      <w:r>
        <w:rPr>
          <w:rFonts w:ascii="宋体" w:hAnsi="宋体"/>
          <w:b/>
          <w:color w:val="auto"/>
          <w:sz w:val="24"/>
          <w:highlight w:val="none"/>
        </w:rPr>
        <w:t>1.1 词语定义</w:t>
      </w:r>
    </w:p>
    <w:p w14:paraId="7729DDA7">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通用合同条款、专用合同条款中的下列词语应具有本款所赋予的含义。</w:t>
      </w:r>
    </w:p>
    <w:p w14:paraId="4081F70C">
      <w:pPr>
        <w:pStyle w:val="701"/>
        <w:tabs>
          <w:tab w:val="left" w:pos="1438"/>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1.1.1 合同</w:t>
      </w:r>
    </w:p>
    <w:p w14:paraId="18944DB3">
      <w:pPr>
        <w:pStyle w:val="701"/>
        <w:tabs>
          <w:tab w:val="left" w:pos="168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1.1.1.1 合同文件（或称合同）：指合同协议书、成交通知书、响应文件、专用合同条款、通用合同条款、委托人要求、</w:t>
      </w:r>
      <w:r>
        <w:rPr>
          <w:rFonts w:hint="eastAsia" w:ascii="宋体" w:hAnsi="宋体"/>
          <w:color w:val="auto"/>
          <w:sz w:val="24"/>
          <w:highlight w:val="none"/>
        </w:rPr>
        <w:t>咨询</w:t>
      </w:r>
      <w:r>
        <w:rPr>
          <w:rFonts w:ascii="宋体" w:hAnsi="宋体"/>
          <w:color w:val="auto"/>
          <w:sz w:val="24"/>
          <w:highlight w:val="none"/>
        </w:rPr>
        <w:t>服务费用清单、</w:t>
      </w:r>
      <w:r>
        <w:rPr>
          <w:rFonts w:hint="eastAsia" w:ascii="宋体" w:hAnsi="宋体"/>
          <w:color w:val="auto"/>
          <w:sz w:val="24"/>
          <w:highlight w:val="none"/>
        </w:rPr>
        <w:t>咨询</w:t>
      </w:r>
      <w:r>
        <w:rPr>
          <w:rFonts w:ascii="宋体" w:hAnsi="宋体"/>
          <w:color w:val="auto"/>
          <w:sz w:val="24"/>
          <w:highlight w:val="none"/>
        </w:rPr>
        <w:t>服务方案，以及其他构成合同组成部分的文件。</w:t>
      </w:r>
    </w:p>
    <w:p w14:paraId="4CA705FE">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1.1.1.2 合同协议书：指委托人和咨询人共同签署的合同协议书。</w:t>
      </w:r>
    </w:p>
    <w:p w14:paraId="2D99F65A">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1.1.1.3 成交通知书：指委托人通知咨询人成交的函件。</w:t>
      </w:r>
    </w:p>
    <w:p w14:paraId="030866E1">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1.1.1.4 响应文件：指由咨询人填写并签署的，名为“响应文件”的函件。</w:t>
      </w:r>
    </w:p>
    <w:p w14:paraId="02AD7B90">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1.1.1.5 委托人要求：指合同文件中名为“委托人要求”的文件。</w:t>
      </w:r>
    </w:p>
    <w:p w14:paraId="0C122442">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1.1.1.6</w:t>
      </w:r>
      <w:r>
        <w:rPr>
          <w:rFonts w:hint="eastAsia" w:ascii="宋体" w:hAnsi="宋体"/>
          <w:color w:val="auto"/>
          <w:sz w:val="24"/>
          <w:highlight w:val="none"/>
        </w:rPr>
        <w:t xml:space="preserve"> 咨询</w:t>
      </w:r>
      <w:r>
        <w:rPr>
          <w:rFonts w:ascii="宋体" w:hAnsi="宋体"/>
          <w:color w:val="auto"/>
          <w:sz w:val="24"/>
          <w:highlight w:val="none"/>
        </w:rPr>
        <w:t>服务方案：指咨询人在响应文件中的</w:t>
      </w:r>
      <w:r>
        <w:rPr>
          <w:rFonts w:hint="eastAsia" w:ascii="宋体" w:hAnsi="宋体"/>
          <w:color w:val="auto"/>
          <w:sz w:val="24"/>
          <w:highlight w:val="none"/>
        </w:rPr>
        <w:t>咨询</w:t>
      </w:r>
      <w:r>
        <w:rPr>
          <w:rFonts w:ascii="宋体" w:hAnsi="宋体"/>
          <w:color w:val="auto"/>
          <w:sz w:val="24"/>
          <w:highlight w:val="none"/>
        </w:rPr>
        <w:t>服务方案。</w:t>
      </w:r>
    </w:p>
    <w:p w14:paraId="5468E21A">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1.1.1.7</w:t>
      </w:r>
      <w:r>
        <w:rPr>
          <w:rFonts w:hint="eastAsia" w:ascii="宋体" w:hAnsi="宋体"/>
          <w:color w:val="auto"/>
          <w:sz w:val="24"/>
          <w:highlight w:val="none"/>
        </w:rPr>
        <w:t xml:space="preserve"> 咨询</w:t>
      </w:r>
      <w:r>
        <w:rPr>
          <w:rFonts w:ascii="宋体" w:hAnsi="宋体"/>
          <w:color w:val="auto"/>
          <w:sz w:val="24"/>
          <w:highlight w:val="none"/>
        </w:rPr>
        <w:t>服务费用清单：指咨询人响应文件中的</w:t>
      </w:r>
      <w:r>
        <w:rPr>
          <w:rFonts w:hint="eastAsia" w:ascii="宋体" w:hAnsi="宋体"/>
          <w:color w:val="auto"/>
          <w:sz w:val="24"/>
          <w:highlight w:val="none"/>
        </w:rPr>
        <w:t>咨询</w:t>
      </w:r>
      <w:r>
        <w:rPr>
          <w:rFonts w:ascii="宋体" w:hAnsi="宋体"/>
          <w:color w:val="auto"/>
          <w:sz w:val="24"/>
          <w:highlight w:val="none"/>
        </w:rPr>
        <w:t>服务费用清单。</w:t>
      </w:r>
    </w:p>
    <w:p w14:paraId="68E38623">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1.1.1.8 其他合同文件：指经合同双方当事人确认构成合同文件的其他文件。</w:t>
      </w:r>
    </w:p>
    <w:p w14:paraId="72139BBA">
      <w:pPr>
        <w:pStyle w:val="701"/>
        <w:tabs>
          <w:tab w:val="left" w:pos="1438"/>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1.1.2 合同当事人和人员</w:t>
      </w:r>
    </w:p>
    <w:p w14:paraId="2579FA23">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1.1.2.1 合同当事人：指委托人和（或）咨询人。</w:t>
      </w:r>
    </w:p>
    <w:p w14:paraId="15A03DA3">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1.1.2.2 委托人：指与咨询人签订合同协议书的当事人，及其合法继承人。</w:t>
      </w:r>
    </w:p>
    <w:p w14:paraId="27AF7B5C">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1.1.2.3 咨询人：指与委托人签订合同协议书的当事人，及其合法继承人。</w:t>
      </w:r>
    </w:p>
    <w:p w14:paraId="53843657">
      <w:pPr>
        <w:pStyle w:val="701"/>
        <w:tabs>
          <w:tab w:val="left" w:pos="168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1.1.2.4 委托人代表：指由委托人任命，并在授权范围和期限内代表委托人行使权利和履行义务的全权负责人。</w:t>
      </w:r>
    </w:p>
    <w:p w14:paraId="460B4FA6">
      <w:pPr>
        <w:pStyle w:val="701"/>
        <w:tabs>
          <w:tab w:val="left" w:pos="1673"/>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1.1.2.5 项目负责人：指由咨询人任命，在咨询人授权范围内代表咨询人行使权利和履行义务且按照法律和采购文件规定具有相应资格的负责人。</w:t>
      </w:r>
    </w:p>
    <w:p w14:paraId="1743972D">
      <w:pPr>
        <w:pStyle w:val="701"/>
        <w:tabs>
          <w:tab w:val="left" w:pos="1673"/>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1.1.2.6 分包人：指从咨询人处分包合同中某一部分工作，并与其签订分包合同的且按照法律和采购文件规定具有相应资格的分包人。</w:t>
      </w:r>
    </w:p>
    <w:p w14:paraId="60568370">
      <w:pPr>
        <w:pStyle w:val="701"/>
        <w:tabs>
          <w:tab w:val="left" w:pos="1438"/>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 xml:space="preserve">1.1.3 </w:t>
      </w:r>
      <w:r>
        <w:rPr>
          <w:rFonts w:hint="eastAsia" w:ascii="宋体" w:hAnsi="宋体"/>
          <w:b/>
          <w:color w:val="auto"/>
          <w:sz w:val="24"/>
          <w:highlight w:val="none"/>
        </w:rPr>
        <w:t>咨询</w:t>
      </w:r>
      <w:r>
        <w:rPr>
          <w:rFonts w:ascii="宋体" w:hAnsi="宋体"/>
          <w:b/>
          <w:color w:val="auto"/>
          <w:sz w:val="24"/>
          <w:highlight w:val="none"/>
        </w:rPr>
        <w:t>服务</w:t>
      </w:r>
    </w:p>
    <w:p w14:paraId="06D6009A">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咨询</w:t>
      </w:r>
      <w:r>
        <w:rPr>
          <w:rFonts w:ascii="宋体" w:hAnsi="宋体"/>
          <w:color w:val="auto"/>
          <w:sz w:val="24"/>
          <w:highlight w:val="none"/>
        </w:rPr>
        <w:t>服务项目：指专用合同条款中指明进行</w:t>
      </w:r>
      <w:r>
        <w:rPr>
          <w:rFonts w:hint="eastAsia" w:ascii="宋体" w:hAnsi="宋体"/>
          <w:color w:val="auto"/>
          <w:sz w:val="24"/>
          <w:highlight w:val="none"/>
        </w:rPr>
        <w:t>咨询服务</w:t>
      </w:r>
      <w:r>
        <w:rPr>
          <w:rFonts w:ascii="宋体" w:hAnsi="宋体"/>
          <w:color w:val="auto"/>
          <w:sz w:val="24"/>
          <w:highlight w:val="none"/>
        </w:rPr>
        <w:t>采购的</w:t>
      </w:r>
      <w:r>
        <w:rPr>
          <w:rFonts w:hint="eastAsia" w:ascii="宋体" w:hAnsi="宋体"/>
          <w:color w:val="auto"/>
          <w:sz w:val="24"/>
          <w:highlight w:val="none"/>
        </w:rPr>
        <w:t>咨询</w:t>
      </w:r>
      <w:r>
        <w:rPr>
          <w:rFonts w:ascii="宋体" w:hAnsi="宋体"/>
          <w:color w:val="auto"/>
          <w:sz w:val="24"/>
          <w:highlight w:val="none"/>
        </w:rPr>
        <w:t>服务。</w:t>
      </w:r>
    </w:p>
    <w:p w14:paraId="33091C82">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 xml:space="preserve">1.1.3.2 </w:t>
      </w:r>
      <w:r>
        <w:rPr>
          <w:rFonts w:hint="eastAsia" w:ascii="宋体" w:hAnsi="宋体"/>
          <w:color w:val="auto"/>
          <w:sz w:val="24"/>
          <w:highlight w:val="none"/>
        </w:rPr>
        <w:t>咨询</w:t>
      </w:r>
      <w:r>
        <w:rPr>
          <w:rFonts w:ascii="宋体" w:hAnsi="宋体"/>
          <w:color w:val="auto"/>
          <w:sz w:val="24"/>
          <w:highlight w:val="none"/>
        </w:rPr>
        <w:t>服务：指</w:t>
      </w:r>
      <w:r>
        <w:rPr>
          <w:rFonts w:hint="eastAsia" w:ascii="宋体" w:hAnsi="宋体"/>
          <w:color w:val="auto"/>
          <w:sz w:val="24"/>
          <w:highlight w:val="none"/>
        </w:rPr>
        <w:t>咨询</w:t>
      </w:r>
      <w:r>
        <w:rPr>
          <w:rFonts w:ascii="宋体" w:hAnsi="宋体"/>
          <w:color w:val="auto"/>
          <w:sz w:val="24"/>
          <w:highlight w:val="none"/>
        </w:rPr>
        <w:t>人按照合同约定履行合同义务，应完成的</w:t>
      </w:r>
      <w:r>
        <w:rPr>
          <w:rFonts w:hint="eastAsia" w:ascii="宋体" w:hAnsi="宋体"/>
          <w:color w:val="auto"/>
          <w:sz w:val="24"/>
          <w:highlight w:val="none"/>
        </w:rPr>
        <w:t>咨询</w:t>
      </w:r>
      <w:r>
        <w:rPr>
          <w:rFonts w:ascii="宋体" w:hAnsi="宋体"/>
          <w:color w:val="auto"/>
          <w:sz w:val="24"/>
          <w:highlight w:val="none"/>
        </w:rPr>
        <w:t>服务。</w:t>
      </w:r>
    </w:p>
    <w:p w14:paraId="5796CF51">
      <w:pPr>
        <w:pStyle w:val="701"/>
        <w:tabs>
          <w:tab w:val="left" w:pos="168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1.1.3.3 委托人提供的资料：是委托人按合同约定向咨询人提供的，用于完成</w:t>
      </w:r>
      <w:r>
        <w:rPr>
          <w:rFonts w:hint="eastAsia" w:ascii="宋体" w:hAnsi="宋体"/>
          <w:color w:val="auto"/>
          <w:sz w:val="24"/>
          <w:highlight w:val="none"/>
        </w:rPr>
        <w:t>咨询服务</w:t>
      </w:r>
      <w:r>
        <w:rPr>
          <w:rFonts w:ascii="宋体" w:hAnsi="宋体"/>
          <w:color w:val="auto"/>
          <w:sz w:val="24"/>
          <w:highlight w:val="none"/>
        </w:rPr>
        <w:t>范围与内容所需要的资料。</w:t>
      </w:r>
    </w:p>
    <w:p w14:paraId="497AF6A0">
      <w:pPr>
        <w:pStyle w:val="701"/>
        <w:tabs>
          <w:tab w:val="left" w:pos="1673"/>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 xml:space="preserve">1.1.3.4 </w:t>
      </w:r>
      <w:r>
        <w:rPr>
          <w:rFonts w:hint="eastAsia" w:ascii="宋体" w:hAnsi="宋体"/>
          <w:color w:val="auto"/>
          <w:sz w:val="24"/>
          <w:highlight w:val="none"/>
        </w:rPr>
        <w:t>咨询</w:t>
      </w:r>
      <w:r>
        <w:rPr>
          <w:rFonts w:ascii="宋体" w:hAnsi="宋体"/>
          <w:color w:val="auto"/>
          <w:sz w:val="24"/>
          <w:highlight w:val="none"/>
        </w:rPr>
        <w:t>服务成果文件：指咨询人按合同约定的格式和载体向委托人提交的体现</w:t>
      </w:r>
      <w:r>
        <w:rPr>
          <w:rFonts w:hint="eastAsia" w:ascii="宋体" w:hAnsi="宋体"/>
          <w:color w:val="auto"/>
          <w:sz w:val="24"/>
          <w:highlight w:val="none"/>
        </w:rPr>
        <w:t>咨询</w:t>
      </w:r>
      <w:r>
        <w:rPr>
          <w:rFonts w:ascii="宋体" w:hAnsi="宋体"/>
          <w:color w:val="auto"/>
          <w:sz w:val="24"/>
          <w:highlight w:val="none"/>
        </w:rPr>
        <w:t>服务过程和结果的文件，包括阶段性文件和最终文件。</w:t>
      </w:r>
    </w:p>
    <w:p w14:paraId="11FA5E0B">
      <w:pPr>
        <w:pStyle w:val="701"/>
        <w:tabs>
          <w:tab w:val="left" w:pos="1438"/>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1.1.4 日期</w:t>
      </w:r>
    </w:p>
    <w:p w14:paraId="41CB9803">
      <w:pPr>
        <w:pStyle w:val="701"/>
        <w:tabs>
          <w:tab w:val="left" w:pos="1656"/>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1.1.4.1 开始</w:t>
      </w:r>
      <w:r>
        <w:rPr>
          <w:rFonts w:hint="eastAsia" w:ascii="宋体" w:hAnsi="宋体"/>
          <w:color w:val="auto"/>
          <w:sz w:val="24"/>
          <w:highlight w:val="none"/>
        </w:rPr>
        <w:t>咨询</w:t>
      </w:r>
      <w:r>
        <w:rPr>
          <w:rFonts w:ascii="宋体" w:hAnsi="宋体"/>
          <w:color w:val="auto"/>
          <w:sz w:val="24"/>
          <w:highlight w:val="none"/>
        </w:rPr>
        <w:t>服务通知：指委托人按第 6.1 款通知咨询人开始</w:t>
      </w:r>
      <w:r>
        <w:rPr>
          <w:rFonts w:hint="eastAsia" w:ascii="宋体" w:hAnsi="宋体"/>
          <w:color w:val="auto"/>
          <w:sz w:val="24"/>
          <w:highlight w:val="none"/>
        </w:rPr>
        <w:t>咨询</w:t>
      </w:r>
      <w:r>
        <w:rPr>
          <w:rFonts w:ascii="宋体" w:hAnsi="宋体"/>
          <w:color w:val="auto"/>
          <w:sz w:val="24"/>
          <w:highlight w:val="none"/>
        </w:rPr>
        <w:t>服务日期的函件。</w:t>
      </w:r>
    </w:p>
    <w:p w14:paraId="6D9C398E">
      <w:pPr>
        <w:pStyle w:val="701"/>
        <w:tabs>
          <w:tab w:val="left" w:pos="1656"/>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1.1.4.2 开始</w:t>
      </w:r>
      <w:r>
        <w:rPr>
          <w:rFonts w:hint="eastAsia" w:ascii="宋体" w:hAnsi="宋体"/>
          <w:color w:val="auto"/>
          <w:sz w:val="24"/>
          <w:highlight w:val="none"/>
        </w:rPr>
        <w:t>咨询服务</w:t>
      </w:r>
      <w:r>
        <w:rPr>
          <w:rFonts w:ascii="宋体" w:hAnsi="宋体"/>
          <w:color w:val="auto"/>
          <w:sz w:val="24"/>
          <w:highlight w:val="none"/>
        </w:rPr>
        <w:t>日期：指委托人按第 6.1 款发出的开始</w:t>
      </w:r>
      <w:r>
        <w:rPr>
          <w:rFonts w:hint="eastAsia" w:ascii="宋体" w:hAnsi="宋体"/>
          <w:color w:val="auto"/>
          <w:sz w:val="24"/>
          <w:highlight w:val="none"/>
        </w:rPr>
        <w:t>咨询</w:t>
      </w:r>
      <w:r>
        <w:rPr>
          <w:rFonts w:ascii="宋体" w:hAnsi="宋体"/>
          <w:color w:val="auto"/>
          <w:sz w:val="24"/>
          <w:highlight w:val="none"/>
        </w:rPr>
        <w:t>服务通知中写明的开始</w:t>
      </w:r>
      <w:r>
        <w:rPr>
          <w:rFonts w:hint="eastAsia" w:ascii="宋体" w:hAnsi="宋体"/>
          <w:color w:val="auto"/>
          <w:sz w:val="24"/>
          <w:highlight w:val="none"/>
        </w:rPr>
        <w:t>咨询</w:t>
      </w:r>
      <w:r>
        <w:rPr>
          <w:rFonts w:ascii="宋体" w:hAnsi="宋体"/>
          <w:color w:val="auto"/>
          <w:sz w:val="24"/>
          <w:highlight w:val="none"/>
        </w:rPr>
        <w:t>服务日期。</w:t>
      </w:r>
    </w:p>
    <w:p w14:paraId="7A81078B">
      <w:pPr>
        <w:pStyle w:val="701"/>
        <w:tabs>
          <w:tab w:val="left" w:pos="1661"/>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 xml:space="preserve">1.1.4.3 </w:t>
      </w:r>
      <w:r>
        <w:rPr>
          <w:rFonts w:hint="eastAsia" w:ascii="宋体" w:hAnsi="宋体"/>
          <w:color w:val="auto"/>
          <w:sz w:val="24"/>
          <w:highlight w:val="none"/>
        </w:rPr>
        <w:t>咨询</w:t>
      </w:r>
      <w:r>
        <w:rPr>
          <w:rFonts w:ascii="宋体" w:hAnsi="宋体"/>
          <w:color w:val="auto"/>
          <w:sz w:val="24"/>
          <w:highlight w:val="none"/>
        </w:rPr>
        <w:t>服务期限：指咨询人在合同协议书中约定的完成合同</w:t>
      </w:r>
      <w:r>
        <w:rPr>
          <w:rFonts w:hint="eastAsia" w:ascii="宋体" w:hAnsi="宋体"/>
          <w:color w:val="auto"/>
          <w:sz w:val="24"/>
          <w:highlight w:val="none"/>
        </w:rPr>
        <w:t>咨询</w:t>
      </w:r>
      <w:r>
        <w:rPr>
          <w:rFonts w:ascii="宋体" w:hAnsi="宋体"/>
          <w:color w:val="auto"/>
          <w:sz w:val="24"/>
          <w:highlight w:val="none"/>
        </w:rPr>
        <w:t>服务所需的期限，包括按第 6.2 款、第 6.4 款和第 6.6 款约定所做的调整。</w:t>
      </w:r>
    </w:p>
    <w:p w14:paraId="7F2C1426">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1.1.4.4 完成</w:t>
      </w:r>
      <w:r>
        <w:rPr>
          <w:rFonts w:hint="eastAsia" w:ascii="宋体" w:hAnsi="宋体"/>
          <w:color w:val="auto"/>
          <w:sz w:val="24"/>
          <w:highlight w:val="none"/>
        </w:rPr>
        <w:t>咨询</w:t>
      </w:r>
      <w:r>
        <w:rPr>
          <w:rFonts w:ascii="宋体" w:hAnsi="宋体"/>
          <w:color w:val="auto"/>
          <w:sz w:val="24"/>
          <w:highlight w:val="none"/>
        </w:rPr>
        <w:t>服务日期：指第 1.1.4.3 目约定咨询服务期限届满时的日期。</w:t>
      </w:r>
    </w:p>
    <w:p w14:paraId="132F5058">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1.1.4.5 基准日：指响应截止时间前 28 天的日期。</w:t>
      </w:r>
    </w:p>
    <w:p w14:paraId="1DEF5E5D">
      <w:pPr>
        <w:pStyle w:val="701"/>
        <w:tabs>
          <w:tab w:val="left" w:pos="168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1.1.4.6 天：除特别指明外，指日历天。合同中按天计算时间的，开始当天不计入，从次日开始计算。期限最后一天的截止时间为当天 24:00。</w:t>
      </w:r>
    </w:p>
    <w:p w14:paraId="2B0D3F5B">
      <w:pPr>
        <w:pStyle w:val="701"/>
        <w:tabs>
          <w:tab w:val="left" w:pos="1438"/>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1.1.5 合同价格和费用</w:t>
      </w:r>
    </w:p>
    <w:p w14:paraId="01EE20F1">
      <w:pPr>
        <w:pStyle w:val="701"/>
        <w:tabs>
          <w:tab w:val="left" w:pos="162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1.1.5.1 签约合同价：指签订合同时合同协议书中载明的咨询服务费用总金额。</w:t>
      </w:r>
    </w:p>
    <w:p w14:paraId="125E7FA3">
      <w:pPr>
        <w:pStyle w:val="701"/>
        <w:tabs>
          <w:tab w:val="left" w:pos="1673"/>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1.1.5.2 合同价格：指咨询人按合同约定完成了全部咨询服务工作后，委托人应付给咨询人的金额，包括在履行合同过程中按合同约定发生的价格变化。</w:t>
      </w:r>
    </w:p>
    <w:p w14:paraId="4045D1F1">
      <w:pPr>
        <w:pStyle w:val="701"/>
        <w:tabs>
          <w:tab w:val="left" w:pos="168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1.1.5.3 费用：指为履行合同所发生的或将要发生的所有必要开支，包括管理费和应分摊的其他费用，但不包括利润。</w:t>
      </w:r>
    </w:p>
    <w:p w14:paraId="69CD7185">
      <w:pPr>
        <w:pStyle w:val="701"/>
        <w:tabs>
          <w:tab w:val="left" w:pos="1438"/>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1.1.6 其他</w:t>
      </w:r>
    </w:p>
    <w:p w14:paraId="5C948928">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1.1.6.1 书面形式：指合同文件、信件和数据电文（包括电报、电传、传真、电子数据交换和电子邮件）等可以有形地表现所载内容的形式。</w:t>
      </w:r>
    </w:p>
    <w:p w14:paraId="5C94C0EA">
      <w:pPr>
        <w:tabs>
          <w:tab w:val="left" w:pos="1051"/>
        </w:tabs>
        <w:autoSpaceDE w:val="0"/>
        <w:autoSpaceDN w:val="0"/>
        <w:spacing w:line="520" w:lineRule="exact"/>
        <w:ind w:firstLine="482" w:firstLineChars="200"/>
        <w:rPr>
          <w:rFonts w:hint="eastAsia" w:ascii="宋体" w:hAnsi="宋体"/>
          <w:b/>
          <w:color w:val="auto"/>
          <w:sz w:val="24"/>
          <w:highlight w:val="none"/>
        </w:rPr>
      </w:pPr>
      <w:r>
        <w:rPr>
          <w:rFonts w:ascii="宋体" w:hAnsi="宋体"/>
          <w:b/>
          <w:color w:val="auto"/>
          <w:sz w:val="24"/>
          <w:highlight w:val="none"/>
        </w:rPr>
        <w:t>1.2 语言文字</w:t>
      </w:r>
    </w:p>
    <w:p w14:paraId="22029E71">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合同使用的语言文字为简体中文。专用术语使用外文的，应附有简体中文注释，汉语为优先解释和说明合同的语言。</w:t>
      </w:r>
    </w:p>
    <w:p w14:paraId="790F4684">
      <w:pPr>
        <w:tabs>
          <w:tab w:val="left" w:pos="1051"/>
        </w:tabs>
        <w:autoSpaceDE w:val="0"/>
        <w:autoSpaceDN w:val="0"/>
        <w:spacing w:line="520" w:lineRule="exact"/>
        <w:ind w:firstLine="482" w:firstLineChars="200"/>
        <w:rPr>
          <w:rFonts w:hint="eastAsia" w:ascii="宋体" w:hAnsi="宋体"/>
          <w:b/>
          <w:color w:val="auto"/>
          <w:sz w:val="24"/>
          <w:highlight w:val="none"/>
        </w:rPr>
      </w:pPr>
      <w:r>
        <w:rPr>
          <w:rFonts w:ascii="宋体" w:hAnsi="宋体"/>
          <w:b/>
          <w:color w:val="auto"/>
          <w:sz w:val="24"/>
          <w:highlight w:val="none"/>
        </w:rPr>
        <w:t>1.3 适用法律</w:t>
      </w:r>
    </w:p>
    <w:p w14:paraId="5B22AE4C">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适用于合同的法律包括中华人民共和国法律、行政法规、部门规章，以及工程所在地的地方性法规、自治条例、单行条例和地方政府规章。</w:t>
      </w:r>
    </w:p>
    <w:p w14:paraId="3591708D">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本合同适用的其他规范性文件，可在专用合同条款中约定。</w:t>
      </w:r>
    </w:p>
    <w:p w14:paraId="70A4F3AF">
      <w:pPr>
        <w:tabs>
          <w:tab w:val="left" w:pos="1051"/>
        </w:tabs>
        <w:autoSpaceDE w:val="0"/>
        <w:autoSpaceDN w:val="0"/>
        <w:spacing w:line="520" w:lineRule="exact"/>
        <w:ind w:firstLine="482" w:firstLineChars="200"/>
        <w:rPr>
          <w:rFonts w:hint="eastAsia" w:ascii="宋体" w:hAnsi="宋体"/>
          <w:b/>
          <w:color w:val="auto"/>
          <w:sz w:val="24"/>
          <w:highlight w:val="none"/>
        </w:rPr>
      </w:pPr>
      <w:r>
        <w:rPr>
          <w:rFonts w:ascii="宋体" w:hAnsi="宋体"/>
          <w:b/>
          <w:color w:val="auto"/>
          <w:sz w:val="24"/>
          <w:highlight w:val="none"/>
        </w:rPr>
        <w:t>1.4 合同文件的优先顺序</w:t>
      </w:r>
    </w:p>
    <w:p w14:paraId="76E828F1">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组成合同的各项文件应互相解释，互为说明。除专用合同条款另有约定外，解释合同文件的优先顺序如下：</w:t>
      </w:r>
    </w:p>
    <w:p w14:paraId="05DC9941">
      <w:pPr>
        <w:pStyle w:val="701"/>
        <w:tabs>
          <w:tab w:val="left" w:pos="1446"/>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（1）合同协议书；</w:t>
      </w:r>
    </w:p>
    <w:p w14:paraId="02F54003">
      <w:pPr>
        <w:pStyle w:val="701"/>
        <w:tabs>
          <w:tab w:val="left" w:pos="1446"/>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（2）成交通知书；</w:t>
      </w:r>
    </w:p>
    <w:p w14:paraId="6574ABCA">
      <w:pPr>
        <w:pStyle w:val="701"/>
        <w:tabs>
          <w:tab w:val="left" w:pos="1446"/>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（3）响应文件；</w:t>
      </w:r>
    </w:p>
    <w:p w14:paraId="7097A60F">
      <w:pPr>
        <w:pStyle w:val="701"/>
        <w:tabs>
          <w:tab w:val="left" w:pos="1446"/>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（4）专用合同条款；</w:t>
      </w:r>
    </w:p>
    <w:p w14:paraId="1715E383">
      <w:pPr>
        <w:pStyle w:val="701"/>
        <w:tabs>
          <w:tab w:val="left" w:pos="1446"/>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（5）通用合同条款；</w:t>
      </w:r>
    </w:p>
    <w:p w14:paraId="7A37DB0C">
      <w:pPr>
        <w:pStyle w:val="701"/>
        <w:tabs>
          <w:tab w:val="left" w:pos="1446"/>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（6）委托人要求；</w:t>
      </w:r>
    </w:p>
    <w:p w14:paraId="54DCE17C">
      <w:pPr>
        <w:pStyle w:val="701"/>
        <w:tabs>
          <w:tab w:val="left" w:pos="1446"/>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 xml:space="preserve">（7）咨询服务费用清单； </w:t>
      </w:r>
    </w:p>
    <w:p w14:paraId="37CDDCE8">
      <w:pPr>
        <w:pStyle w:val="701"/>
        <w:tabs>
          <w:tab w:val="left" w:pos="1446"/>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（8）咨询服务方案；</w:t>
      </w:r>
    </w:p>
    <w:p w14:paraId="3C5DB59E">
      <w:pPr>
        <w:pStyle w:val="701"/>
        <w:tabs>
          <w:tab w:val="left" w:pos="1446"/>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（9）其他合同文件。</w:t>
      </w:r>
    </w:p>
    <w:p w14:paraId="36ED8B52">
      <w:pPr>
        <w:tabs>
          <w:tab w:val="left" w:pos="1051"/>
        </w:tabs>
        <w:autoSpaceDE w:val="0"/>
        <w:autoSpaceDN w:val="0"/>
        <w:spacing w:line="520" w:lineRule="exact"/>
        <w:ind w:firstLine="482" w:firstLineChars="200"/>
        <w:rPr>
          <w:rFonts w:hint="eastAsia" w:ascii="宋体" w:hAnsi="宋体"/>
          <w:b/>
          <w:color w:val="auto"/>
          <w:sz w:val="24"/>
          <w:highlight w:val="none"/>
        </w:rPr>
      </w:pPr>
      <w:r>
        <w:rPr>
          <w:rFonts w:ascii="宋体" w:hAnsi="宋体"/>
          <w:b/>
          <w:color w:val="auto"/>
          <w:sz w:val="24"/>
          <w:highlight w:val="none"/>
        </w:rPr>
        <w:t>1.5 合同协议书</w:t>
      </w:r>
    </w:p>
    <w:p w14:paraId="7FA003E8">
      <w:pPr>
        <w:pStyle w:val="33"/>
        <w:spacing w:after="0"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咨询人</w:t>
      </w:r>
      <w:r>
        <w:rPr>
          <w:rFonts w:ascii="宋体" w:hAnsi="宋体"/>
          <w:color w:val="auto"/>
          <w:sz w:val="24"/>
          <w:highlight w:val="none"/>
        </w:rPr>
        <w:t>按成交通知书规定的时间与委托人签订合同协议书。除法律另有规定或合同另有约定外，自委托人和</w:t>
      </w:r>
      <w:r>
        <w:rPr>
          <w:rFonts w:hint="eastAsia" w:ascii="宋体" w:hAnsi="宋体"/>
          <w:color w:val="auto"/>
          <w:sz w:val="24"/>
          <w:highlight w:val="none"/>
        </w:rPr>
        <w:t>咨询人</w:t>
      </w:r>
      <w:r>
        <w:rPr>
          <w:rFonts w:ascii="宋体" w:hAnsi="宋体"/>
          <w:color w:val="auto"/>
          <w:sz w:val="24"/>
          <w:highlight w:val="none"/>
        </w:rPr>
        <w:t>的法定代表人或其委托代理人在合同协议书上签字并加盖单位章之日起，合同生效。</w:t>
      </w:r>
    </w:p>
    <w:p w14:paraId="3818E445">
      <w:pPr>
        <w:tabs>
          <w:tab w:val="left" w:pos="1051"/>
        </w:tabs>
        <w:autoSpaceDE w:val="0"/>
        <w:autoSpaceDN w:val="0"/>
        <w:spacing w:line="520" w:lineRule="exact"/>
        <w:ind w:firstLine="482" w:firstLineChars="200"/>
        <w:rPr>
          <w:rFonts w:hint="eastAsia" w:ascii="宋体" w:hAnsi="宋体"/>
          <w:b/>
          <w:color w:val="auto"/>
          <w:sz w:val="24"/>
          <w:highlight w:val="none"/>
        </w:rPr>
      </w:pPr>
      <w:r>
        <w:rPr>
          <w:rFonts w:ascii="宋体" w:hAnsi="宋体"/>
          <w:b/>
          <w:color w:val="auto"/>
          <w:sz w:val="24"/>
          <w:highlight w:val="none"/>
        </w:rPr>
        <w:t>1.6 文件的提供</w:t>
      </w:r>
    </w:p>
    <w:p w14:paraId="5EAFDEE9">
      <w:pPr>
        <w:pStyle w:val="701"/>
        <w:tabs>
          <w:tab w:val="left" w:pos="143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1.6.1 咨询服务成果文件的提供</w:t>
      </w:r>
    </w:p>
    <w:p w14:paraId="08C25178">
      <w:pPr>
        <w:pStyle w:val="33"/>
        <w:spacing w:after="0"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咨询人</w:t>
      </w:r>
      <w:r>
        <w:rPr>
          <w:rFonts w:ascii="宋体" w:hAnsi="宋体"/>
          <w:color w:val="auto"/>
          <w:sz w:val="24"/>
          <w:highlight w:val="none"/>
        </w:rPr>
        <w:t>应在合同约定的期限内按照合同约定的数量向委托人提供</w:t>
      </w:r>
      <w:r>
        <w:rPr>
          <w:rFonts w:hint="eastAsia" w:ascii="宋体" w:hAnsi="宋体"/>
          <w:color w:val="auto"/>
          <w:sz w:val="24"/>
          <w:highlight w:val="none"/>
        </w:rPr>
        <w:t>咨询服务</w:t>
      </w:r>
      <w:r>
        <w:rPr>
          <w:rFonts w:ascii="宋体" w:hAnsi="宋体"/>
          <w:color w:val="auto"/>
          <w:sz w:val="24"/>
          <w:highlight w:val="none"/>
        </w:rPr>
        <w:t>成果文件。合同约定</w:t>
      </w:r>
      <w:r>
        <w:rPr>
          <w:rFonts w:hint="eastAsia" w:ascii="宋体" w:hAnsi="宋体"/>
          <w:color w:val="auto"/>
          <w:sz w:val="24"/>
          <w:highlight w:val="none"/>
        </w:rPr>
        <w:t>咨询服务</w:t>
      </w:r>
      <w:r>
        <w:rPr>
          <w:rFonts w:ascii="宋体" w:hAnsi="宋体"/>
          <w:color w:val="auto"/>
          <w:sz w:val="24"/>
          <w:highlight w:val="none"/>
        </w:rPr>
        <w:t>成果文件应经委托人批复的，委托人应当在合同约定的期限内批复或提出修改意见。</w:t>
      </w:r>
    </w:p>
    <w:p w14:paraId="13F65359">
      <w:pPr>
        <w:pStyle w:val="701"/>
        <w:tabs>
          <w:tab w:val="left" w:pos="143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1.6.2 委托人提供的文件</w:t>
      </w:r>
    </w:p>
    <w:p w14:paraId="1C555FE0">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按专用合同条款约定由委托人提供的文件，包括基础资料、</w:t>
      </w:r>
      <w:r>
        <w:rPr>
          <w:rFonts w:hint="eastAsia" w:ascii="宋体" w:hAnsi="宋体"/>
          <w:color w:val="auto"/>
          <w:sz w:val="24"/>
          <w:highlight w:val="none"/>
        </w:rPr>
        <w:t>咨询服务</w:t>
      </w:r>
      <w:r>
        <w:rPr>
          <w:rFonts w:ascii="宋体" w:hAnsi="宋体"/>
          <w:color w:val="auto"/>
          <w:sz w:val="24"/>
          <w:highlight w:val="none"/>
        </w:rPr>
        <w:t>任务书等，委托人应按约定的期限和数量交给</w:t>
      </w:r>
      <w:r>
        <w:rPr>
          <w:rFonts w:hint="eastAsia" w:ascii="宋体" w:hAnsi="宋体"/>
          <w:color w:val="auto"/>
          <w:sz w:val="24"/>
          <w:highlight w:val="none"/>
        </w:rPr>
        <w:t>咨询人</w:t>
      </w:r>
      <w:r>
        <w:rPr>
          <w:rFonts w:ascii="宋体" w:hAnsi="宋体"/>
          <w:color w:val="auto"/>
          <w:sz w:val="24"/>
          <w:highlight w:val="none"/>
        </w:rPr>
        <w:t>。由于委托人未按时提供文件造成</w:t>
      </w:r>
      <w:r>
        <w:rPr>
          <w:rFonts w:hint="eastAsia" w:ascii="宋体" w:hAnsi="宋体"/>
          <w:color w:val="auto"/>
          <w:sz w:val="24"/>
          <w:highlight w:val="none"/>
        </w:rPr>
        <w:t>咨询服务</w:t>
      </w:r>
      <w:r>
        <w:rPr>
          <w:rFonts w:ascii="宋体" w:hAnsi="宋体"/>
          <w:color w:val="auto"/>
          <w:sz w:val="24"/>
          <w:highlight w:val="none"/>
        </w:rPr>
        <w:t>期限延误的，按第6.2 款约定执行。</w:t>
      </w:r>
    </w:p>
    <w:p w14:paraId="3DC54BED">
      <w:pPr>
        <w:pStyle w:val="701"/>
        <w:tabs>
          <w:tab w:val="left" w:pos="143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1.6.3 文件错误的通知</w:t>
      </w:r>
    </w:p>
    <w:p w14:paraId="65E776C0">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任何一方当事人发现文件中存在的明显错误或疏忽，均应及时书面通知对方当事人，并应立即采取适当的措施防止损失扩大。</w:t>
      </w:r>
    </w:p>
    <w:p w14:paraId="0D54E0F6">
      <w:pPr>
        <w:tabs>
          <w:tab w:val="left" w:pos="1051"/>
        </w:tabs>
        <w:autoSpaceDE w:val="0"/>
        <w:autoSpaceDN w:val="0"/>
        <w:spacing w:line="520" w:lineRule="exact"/>
        <w:ind w:firstLine="482" w:firstLineChars="200"/>
        <w:rPr>
          <w:rFonts w:hint="eastAsia" w:ascii="宋体" w:hAnsi="宋体"/>
          <w:b/>
          <w:color w:val="auto"/>
          <w:sz w:val="24"/>
          <w:highlight w:val="none"/>
        </w:rPr>
      </w:pPr>
      <w:r>
        <w:rPr>
          <w:rFonts w:ascii="宋体" w:hAnsi="宋体"/>
          <w:b/>
          <w:color w:val="auto"/>
          <w:sz w:val="24"/>
          <w:highlight w:val="none"/>
        </w:rPr>
        <w:t>1.7 联络</w:t>
      </w:r>
    </w:p>
    <w:p w14:paraId="6C8B8FB3">
      <w:pPr>
        <w:pStyle w:val="701"/>
        <w:tabs>
          <w:tab w:val="left" w:pos="143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1.7.1 与合同有关的通知、批准、证明、证书、指示、要求、请求、同意、意见、确定和决定等，均应采用书面形式。</w:t>
      </w:r>
    </w:p>
    <w:p w14:paraId="627A7BC6">
      <w:pPr>
        <w:pStyle w:val="701"/>
        <w:tabs>
          <w:tab w:val="left" w:pos="149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1.7.2 上述通知、批准、证明、证书、指示、要求、请求、同意、意见、确定和决定等来往函件，均应在合同约定的期限内送达指定的地点和指定的接收人，并办理签收手续。</w:t>
      </w:r>
    </w:p>
    <w:p w14:paraId="18B3FA87">
      <w:pPr>
        <w:tabs>
          <w:tab w:val="left" w:pos="1051"/>
        </w:tabs>
        <w:autoSpaceDE w:val="0"/>
        <w:autoSpaceDN w:val="0"/>
        <w:spacing w:line="520" w:lineRule="exact"/>
        <w:ind w:firstLine="482" w:firstLineChars="200"/>
        <w:rPr>
          <w:rFonts w:hint="eastAsia" w:ascii="宋体" w:hAnsi="宋体"/>
          <w:b/>
          <w:color w:val="auto"/>
          <w:sz w:val="24"/>
          <w:highlight w:val="none"/>
        </w:rPr>
      </w:pPr>
      <w:r>
        <w:rPr>
          <w:rFonts w:ascii="宋体" w:hAnsi="宋体"/>
          <w:b/>
          <w:color w:val="auto"/>
          <w:sz w:val="24"/>
          <w:highlight w:val="none"/>
        </w:rPr>
        <w:t>1.8 转让</w:t>
      </w:r>
    </w:p>
    <w:p w14:paraId="6053DE67">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除专用合同条款另有约定外，未经对方当事人同意，一方当事人不得将合同权利全部或部分转让给第三人，也不得全部或部分转移合同义务。</w:t>
      </w:r>
    </w:p>
    <w:p w14:paraId="348BCEF2">
      <w:pPr>
        <w:tabs>
          <w:tab w:val="left" w:pos="1051"/>
        </w:tabs>
        <w:autoSpaceDE w:val="0"/>
        <w:autoSpaceDN w:val="0"/>
        <w:spacing w:line="520" w:lineRule="exact"/>
        <w:ind w:firstLine="482" w:firstLineChars="200"/>
        <w:rPr>
          <w:rFonts w:hint="eastAsia" w:ascii="宋体" w:hAnsi="宋体"/>
          <w:b/>
          <w:color w:val="auto"/>
          <w:sz w:val="24"/>
          <w:highlight w:val="none"/>
        </w:rPr>
      </w:pPr>
      <w:r>
        <w:rPr>
          <w:rFonts w:ascii="宋体" w:hAnsi="宋体"/>
          <w:b/>
          <w:color w:val="auto"/>
          <w:sz w:val="24"/>
          <w:highlight w:val="none"/>
        </w:rPr>
        <w:t>1.9 严禁贿赂</w:t>
      </w:r>
    </w:p>
    <w:p w14:paraId="35D866E2">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合同双方当事人不得以贿赂或变相贿赂的方式，谋取不当利益或损害对方权益。因贿赂造成对方当事人损失的，行为人应当赔偿损失，并承担相应的法律责任。</w:t>
      </w:r>
    </w:p>
    <w:p w14:paraId="6CC37455">
      <w:pPr>
        <w:tabs>
          <w:tab w:val="left" w:pos="1051"/>
        </w:tabs>
        <w:autoSpaceDE w:val="0"/>
        <w:autoSpaceDN w:val="0"/>
        <w:spacing w:line="520" w:lineRule="exact"/>
        <w:ind w:firstLine="482" w:firstLineChars="200"/>
        <w:rPr>
          <w:rFonts w:hint="eastAsia" w:ascii="宋体" w:hAnsi="宋体"/>
          <w:b/>
          <w:color w:val="auto"/>
          <w:sz w:val="24"/>
          <w:highlight w:val="none"/>
        </w:rPr>
      </w:pPr>
      <w:r>
        <w:rPr>
          <w:rFonts w:ascii="宋体" w:hAnsi="宋体"/>
          <w:b/>
          <w:color w:val="auto"/>
          <w:sz w:val="24"/>
          <w:highlight w:val="none"/>
        </w:rPr>
        <w:t>1.10 知识产权</w:t>
      </w:r>
    </w:p>
    <w:p w14:paraId="7D7DBA65">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1.10.1 除专用合同条款另有约定外，咨询人完成的咨询服务工作成果，除署名权以外的著作权和其他知识产权均归委托人享有。</w:t>
      </w:r>
    </w:p>
    <w:p w14:paraId="31473DA6">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1.10.2 咨询人在从事咨询服务活动时，不得侵犯他人的知识产权。因侵犯专利权或其他知识产权所引起的责任，由咨询人自行承担。因委托人提供的咨询服务资料导致侵权的，由委托人承担责任。</w:t>
      </w:r>
    </w:p>
    <w:p w14:paraId="0C52CDFD">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1.10.3 咨询人在响应文件中采用专利技术、专有技术的，相应的使用费视为已包含在响应报价之中。</w:t>
      </w:r>
    </w:p>
    <w:p w14:paraId="5C77A4F8">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1.11 文件及信息的保密</w:t>
      </w:r>
    </w:p>
    <w:p w14:paraId="54EF605F">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除法律规定或合同另有约定外，未经对方同意，任何一方当事人不得将对方提供的有关文件、技术秘密、声明需要保密的资料和信息泄露给第三方或公开发表与引用。</w:t>
      </w:r>
    </w:p>
    <w:p w14:paraId="02209AF6">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1.12 委托人要求</w:t>
      </w:r>
    </w:p>
    <w:p w14:paraId="3BB13EBA">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1.12.1 咨询人应认真阅读、复核委托人要求，发现错误的，应及时书面通知委托人。无论是否存在错误，委托人均有权修改委托人要求，并在修改后3天内通知咨询人。除专用合同条款另有约定外，由此导致咨询人费用增加和(或)周期延误的，委托人应当相应地增加费用和(或)延长周期。</w:t>
      </w:r>
    </w:p>
    <w:p w14:paraId="5EE3D5A1">
      <w:pPr>
        <w:pStyle w:val="701"/>
        <w:tabs>
          <w:tab w:val="left" w:pos="155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1.12.2 如果委托人要求违反法律规定，咨询人应在发现后及时书面通知委托人，要求其改正。委托人收到通知书后不予改正或不予答复的，咨询人有权拒绝履行合同义务并解除合同。除专用合同条款另有约定外，由此导致的咨询人的全部损失由委托人承担。</w:t>
      </w:r>
    </w:p>
    <w:p w14:paraId="2D81F781">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1.12.3 委托人要求采用国外规范和标准进行咨询服务时，应由委托人负责提供该规范和标准的外国文本和中文译本，提供的时间、份数和其他要求在专用合同条款中约定。</w:t>
      </w:r>
    </w:p>
    <w:p w14:paraId="184AADB7">
      <w:pPr>
        <w:pStyle w:val="723"/>
        <w:spacing w:line="520" w:lineRule="exact"/>
        <w:ind w:firstLine="482"/>
        <w:outlineLvl w:val="1"/>
        <w:rPr>
          <w:rFonts w:ascii="宋体" w:hAnsi="宋体" w:eastAsia="宋体"/>
          <w:bCs/>
          <w:color w:val="auto"/>
          <w:szCs w:val="24"/>
          <w:highlight w:val="none"/>
        </w:rPr>
      </w:pPr>
      <w:bookmarkStart w:id="34" w:name="_Toc161231744"/>
      <w:bookmarkStart w:id="35" w:name="_Toc156986232"/>
      <w:r>
        <w:rPr>
          <w:rFonts w:ascii="宋体" w:hAnsi="宋体" w:eastAsia="宋体"/>
          <w:bCs/>
          <w:color w:val="auto"/>
          <w:szCs w:val="24"/>
          <w:highlight w:val="none"/>
        </w:rPr>
        <w:t>2.委托人义务</w:t>
      </w:r>
      <w:bookmarkEnd w:id="34"/>
      <w:bookmarkEnd w:id="35"/>
    </w:p>
    <w:p w14:paraId="21C69E04">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2.1 遵守法律</w:t>
      </w:r>
    </w:p>
    <w:p w14:paraId="1B505406">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委托人在履行合同过程中应遵守法律，并保证</w:t>
      </w:r>
      <w:r>
        <w:rPr>
          <w:rFonts w:hint="eastAsia" w:ascii="宋体" w:hAnsi="宋体"/>
          <w:color w:val="auto"/>
          <w:sz w:val="24"/>
          <w:highlight w:val="none"/>
        </w:rPr>
        <w:t>咨询人</w:t>
      </w:r>
      <w:r>
        <w:rPr>
          <w:rFonts w:ascii="宋体" w:hAnsi="宋体"/>
          <w:color w:val="auto"/>
          <w:sz w:val="24"/>
          <w:highlight w:val="none"/>
        </w:rPr>
        <w:t>免于承担因委托人违反法律而引起的任何责任。</w:t>
      </w:r>
    </w:p>
    <w:p w14:paraId="2E2C6258">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2.2 发出开始咨询服务通知</w:t>
      </w:r>
    </w:p>
    <w:p w14:paraId="40D94D47">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委托人应按第 6.1 款的约定向</w:t>
      </w:r>
      <w:r>
        <w:rPr>
          <w:rFonts w:hint="eastAsia" w:ascii="宋体" w:hAnsi="宋体"/>
          <w:color w:val="auto"/>
          <w:sz w:val="24"/>
          <w:highlight w:val="none"/>
        </w:rPr>
        <w:t>咨询人</w:t>
      </w:r>
      <w:r>
        <w:rPr>
          <w:rFonts w:ascii="宋体" w:hAnsi="宋体"/>
          <w:color w:val="auto"/>
          <w:sz w:val="24"/>
          <w:highlight w:val="none"/>
        </w:rPr>
        <w:t>发出开始</w:t>
      </w:r>
      <w:r>
        <w:rPr>
          <w:rFonts w:hint="eastAsia" w:ascii="宋体" w:hAnsi="宋体"/>
          <w:color w:val="auto"/>
          <w:sz w:val="24"/>
          <w:highlight w:val="none"/>
        </w:rPr>
        <w:t>咨询服务</w:t>
      </w:r>
      <w:r>
        <w:rPr>
          <w:rFonts w:ascii="宋体" w:hAnsi="宋体"/>
          <w:color w:val="auto"/>
          <w:sz w:val="24"/>
          <w:highlight w:val="none"/>
        </w:rPr>
        <w:t>通知。</w:t>
      </w:r>
    </w:p>
    <w:p w14:paraId="47D25004">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2.3 办理证件和批件</w:t>
      </w:r>
    </w:p>
    <w:p w14:paraId="1A6404E0">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法律规定和（或）合同约定由委托人负责办理的工程建设项目必须履行的各类审批、核准或备案手续，委托人应当按时办理，</w:t>
      </w:r>
      <w:r>
        <w:rPr>
          <w:rFonts w:hint="eastAsia" w:ascii="宋体" w:hAnsi="宋体"/>
          <w:color w:val="auto"/>
          <w:sz w:val="24"/>
          <w:highlight w:val="none"/>
        </w:rPr>
        <w:t>咨询人</w:t>
      </w:r>
      <w:r>
        <w:rPr>
          <w:rFonts w:ascii="宋体" w:hAnsi="宋体"/>
          <w:color w:val="auto"/>
          <w:sz w:val="24"/>
          <w:highlight w:val="none"/>
        </w:rPr>
        <w:t>应给予必要的协助。</w:t>
      </w:r>
    </w:p>
    <w:p w14:paraId="1FC6B54E">
      <w:pPr>
        <w:pStyle w:val="33"/>
        <w:spacing w:after="0"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法律规定和（或）合同约定由咨询人负责办理的咨询服务所需的证件和批件，委托人应给予必要的协助。</w:t>
      </w:r>
    </w:p>
    <w:p w14:paraId="75564F03">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2.4 支付合同价款</w:t>
      </w:r>
    </w:p>
    <w:p w14:paraId="00096472">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委托人应按合同约定向</w:t>
      </w:r>
      <w:r>
        <w:rPr>
          <w:rFonts w:hint="eastAsia" w:ascii="宋体" w:hAnsi="宋体"/>
          <w:color w:val="auto"/>
          <w:sz w:val="24"/>
          <w:highlight w:val="none"/>
        </w:rPr>
        <w:t>咨询人</w:t>
      </w:r>
      <w:r>
        <w:rPr>
          <w:rFonts w:ascii="宋体" w:hAnsi="宋体"/>
          <w:color w:val="auto"/>
          <w:sz w:val="24"/>
          <w:highlight w:val="none"/>
        </w:rPr>
        <w:t>及时支付合同价款。</w:t>
      </w:r>
    </w:p>
    <w:p w14:paraId="5D51218B">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2.5 提供咨询服务资料</w:t>
      </w:r>
    </w:p>
    <w:p w14:paraId="077E0688">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委托人应按第1.6.2 项的约定向</w:t>
      </w:r>
      <w:r>
        <w:rPr>
          <w:rFonts w:hint="eastAsia" w:ascii="宋体" w:hAnsi="宋体"/>
          <w:color w:val="auto"/>
          <w:sz w:val="24"/>
          <w:highlight w:val="none"/>
        </w:rPr>
        <w:t>咨询人</w:t>
      </w:r>
      <w:r>
        <w:rPr>
          <w:rFonts w:ascii="宋体" w:hAnsi="宋体"/>
          <w:color w:val="auto"/>
          <w:sz w:val="24"/>
          <w:highlight w:val="none"/>
        </w:rPr>
        <w:t>提供</w:t>
      </w:r>
      <w:r>
        <w:rPr>
          <w:rFonts w:hint="eastAsia" w:ascii="宋体" w:hAnsi="宋体"/>
          <w:color w:val="auto"/>
          <w:sz w:val="24"/>
          <w:highlight w:val="none"/>
        </w:rPr>
        <w:t>咨询服务</w:t>
      </w:r>
      <w:r>
        <w:rPr>
          <w:rFonts w:ascii="宋体" w:hAnsi="宋体"/>
          <w:color w:val="auto"/>
          <w:sz w:val="24"/>
          <w:highlight w:val="none"/>
        </w:rPr>
        <w:t>资料。</w:t>
      </w:r>
    </w:p>
    <w:p w14:paraId="5A4B4107">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2.6 协调配合义务</w:t>
      </w:r>
    </w:p>
    <w:p w14:paraId="46144F8A">
      <w:pPr>
        <w:pStyle w:val="33"/>
        <w:spacing w:after="0"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咨询人</w:t>
      </w:r>
      <w:r>
        <w:rPr>
          <w:rFonts w:ascii="宋体" w:hAnsi="宋体"/>
          <w:color w:val="auto"/>
          <w:sz w:val="24"/>
          <w:highlight w:val="none"/>
        </w:rPr>
        <w:t>为履行合同需要建设项目施工</w:t>
      </w:r>
      <w:r>
        <w:rPr>
          <w:rFonts w:hint="eastAsia" w:ascii="宋体" w:hAnsi="宋体"/>
          <w:color w:val="auto"/>
          <w:sz w:val="24"/>
          <w:highlight w:val="none"/>
        </w:rPr>
        <w:t>承包</w:t>
      </w:r>
      <w:r>
        <w:rPr>
          <w:rFonts w:ascii="宋体" w:hAnsi="宋体"/>
          <w:color w:val="auto"/>
          <w:sz w:val="24"/>
          <w:highlight w:val="none"/>
        </w:rPr>
        <w:t>人和(或）监理人配合的，委托人应协调施工</w:t>
      </w:r>
      <w:r>
        <w:rPr>
          <w:rFonts w:hint="eastAsia" w:ascii="宋体" w:hAnsi="宋体"/>
          <w:color w:val="auto"/>
          <w:sz w:val="24"/>
          <w:highlight w:val="none"/>
        </w:rPr>
        <w:t>承包</w:t>
      </w:r>
      <w:r>
        <w:rPr>
          <w:rFonts w:ascii="宋体" w:hAnsi="宋体"/>
          <w:color w:val="auto"/>
          <w:sz w:val="24"/>
          <w:highlight w:val="none"/>
        </w:rPr>
        <w:t>人和(或）监理人予以配合。</w:t>
      </w:r>
    </w:p>
    <w:p w14:paraId="248A51E1">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2.7 其他义务</w:t>
      </w:r>
    </w:p>
    <w:p w14:paraId="67457266">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委托人应履行合同约定的其他义务。</w:t>
      </w:r>
    </w:p>
    <w:p w14:paraId="3D19D04C">
      <w:pPr>
        <w:pStyle w:val="723"/>
        <w:spacing w:line="520" w:lineRule="exact"/>
        <w:ind w:firstLine="482"/>
        <w:outlineLvl w:val="1"/>
        <w:rPr>
          <w:rFonts w:ascii="宋体" w:hAnsi="宋体" w:eastAsia="宋体"/>
          <w:b w:val="0"/>
          <w:bCs/>
          <w:color w:val="auto"/>
          <w:szCs w:val="24"/>
          <w:highlight w:val="none"/>
        </w:rPr>
      </w:pPr>
      <w:bookmarkStart w:id="36" w:name="_Toc161231745"/>
      <w:bookmarkStart w:id="37" w:name="_Toc156986233"/>
      <w:r>
        <w:rPr>
          <w:rFonts w:ascii="宋体" w:hAnsi="宋体" w:eastAsia="宋体"/>
          <w:bCs/>
          <w:color w:val="auto"/>
          <w:szCs w:val="24"/>
          <w:highlight w:val="none"/>
        </w:rPr>
        <w:t>3.委托人管理</w:t>
      </w:r>
      <w:bookmarkEnd w:id="36"/>
      <w:bookmarkEnd w:id="37"/>
    </w:p>
    <w:p w14:paraId="5E5153C8">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3.1 委托人代表</w:t>
      </w:r>
    </w:p>
    <w:p w14:paraId="5138C2F6">
      <w:pPr>
        <w:pStyle w:val="701"/>
        <w:tabs>
          <w:tab w:val="left" w:pos="149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3.1.1 除专用合同条款另有约定外，委托人应在合同签订后14天内，将委托人代表的姓名、职务、联系方式、授权范围和授权期限书面通知咨询人，由委托人代表在其授权范围和授权期限内，代表委托人行使权利、履行义务和处理合同履行中的具体事宜。委托人代表在授权范围内的行为由委托人承担法律责任。</w:t>
      </w:r>
    </w:p>
    <w:p w14:paraId="553023C4">
      <w:pPr>
        <w:pStyle w:val="701"/>
        <w:tabs>
          <w:tab w:val="left" w:pos="1483"/>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3.1.2 委托人代表违反法律法规、违背职业道德守则或者不按合同约定履行职责及义务，导致合同无法继续正常履行的，咨询人有权通知委托人更换委托人代表。委托人收到通知后7天内，应当核实完毕并将处理结果通知咨询人。</w:t>
      </w:r>
    </w:p>
    <w:p w14:paraId="7EBEE87A">
      <w:pPr>
        <w:pStyle w:val="701"/>
        <w:tabs>
          <w:tab w:val="left" w:pos="1466"/>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3.1.3 委托人更换委托人代表的，应提前14天将更换人员的姓名、职务、联系方式、授权范围和授权期限书面通知咨询人。</w:t>
      </w:r>
    </w:p>
    <w:p w14:paraId="52245E7D">
      <w:pPr>
        <w:pStyle w:val="701"/>
        <w:tabs>
          <w:tab w:val="left" w:pos="1466"/>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3.1.4 委托人代表可以授权委托人的其他人员负责执行其指派的一项或多项工作。委托人代表应将被授权人员的姓名、职务、联系方式、授权范围和授权期限书面通知咨询人。被授权人员在授权范围内发出的指示视为已得到委托人代表的同意，与委托人代表发出的指示具有同等效力。</w:t>
      </w:r>
    </w:p>
    <w:p w14:paraId="61E634A2">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3.2 委托人的指示</w:t>
      </w:r>
    </w:p>
    <w:p w14:paraId="5C030953">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3.2.1 委托人应按合同约定向咨询人发出指示，委托人的指示应盖有委托人单位章，并由委托人代表签字确认。</w:t>
      </w:r>
    </w:p>
    <w:p w14:paraId="7B4BB8BE">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3.2.2 咨询人收到委托人作出的指示后应遵照执行。指示构成变更的，应按第11条执行。</w:t>
      </w:r>
    </w:p>
    <w:p w14:paraId="3F79F65B">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3.2.3 在紧急情况下，委托人代表或其授权人员可以当场签发临时书面指示，咨询人应遵照执行。委托人代表应在临时书面指示发出后24小时内发出书面确认函，逾期未发出书面确认函的，该临时书面指示应被视为委托人的正式指示。</w:t>
      </w:r>
    </w:p>
    <w:p w14:paraId="2D586A41">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3.2.4 除专用合同条款另有约定外，咨询人只从委托人代表或按第3.1.4项约定的委托人代表授权人员处取得指示。</w:t>
      </w:r>
    </w:p>
    <w:p w14:paraId="5FDEEA56">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3.2.5 由于委托人未能按合同约定发出指示、指示延误或指示错误而导致咨询人费用增加和（或）周期延误的，委托人应承担由此增加的费用和（或）周期延误。</w:t>
      </w:r>
    </w:p>
    <w:p w14:paraId="43A562F1">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3.3 决定或答复</w:t>
      </w:r>
    </w:p>
    <w:p w14:paraId="727759D5">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3.3.1 委托人在法律允许的范围内有权对咨询人的咨询服务工作和（或）咨询服务成果文件作出处理决定，咨询人应按照委托人的决定执行，涉及咨询服务期限或咨询服务费用等问题按第11条的约定处理。</w:t>
      </w:r>
    </w:p>
    <w:p w14:paraId="7BB4756C">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3.3.2 委托人应在专用合同条款约定的时间之内，对咨询人书面提出的事项作出书面答复；逾期没有做出答复的，视为已获得委托人的批准。</w:t>
      </w:r>
    </w:p>
    <w:p w14:paraId="6A416A4B">
      <w:pPr>
        <w:pStyle w:val="723"/>
        <w:spacing w:line="520" w:lineRule="exact"/>
        <w:ind w:firstLine="482"/>
        <w:outlineLvl w:val="1"/>
        <w:rPr>
          <w:rFonts w:ascii="宋体" w:hAnsi="宋体" w:eastAsia="宋体"/>
          <w:bCs/>
          <w:color w:val="auto"/>
          <w:szCs w:val="24"/>
          <w:highlight w:val="none"/>
        </w:rPr>
      </w:pPr>
      <w:bookmarkStart w:id="38" w:name="_Toc161231746"/>
      <w:bookmarkStart w:id="39" w:name="_Toc156986234"/>
      <w:r>
        <w:rPr>
          <w:rFonts w:ascii="宋体" w:hAnsi="宋体" w:eastAsia="宋体"/>
          <w:bCs/>
          <w:color w:val="auto"/>
          <w:szCs w:val="24"/>
          <w:highlight w:val="none"/>
        </w:rPr>
        <w:t>4.咨询人义务</w:t>
      </w:r>
      <w:bookmarkEnd w:id="38"/>
      <w:bookmarkEnd w:id="39"/>
    </w:p>
    <w:p w14:paraId="22E5073B">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 xml:space="preserve">4.1 </w:t>
      </w:r>
      <w:r>
        <w:rPr>
          <w:rFonts w:ascii="宋体" w:hAnsi="宋体"/>
          <w:b/>
          <w:bCs/>
          <w:color w:val="auto"/>
          <w:sz w:val="24"/>
          <w:highlight w:val="none"/>
        </w:rPr>
        <w:t>咨询人的一般义务</w:t>
      </w:r>
    </w:p>
    <w:p w14:paraId="47E34EBB">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4.1.1 遵守法律</w:t>
      </w:r>
    </w:p>
    <w:p w14:paraId="2D77DA26">
      <w:pPr>
        <w:pStyle w:val="33"/>
        <w:spacing w:after="0"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咨询人</w:t>
      </w:r>
      <w:r>
        <w:rPr>
          <w:rFonts w:ascii="宋体" w:hAnsi="宋体"/>
          <w:color w:val="auto"/>
          <w:sz w:val="24"/>
          <w:highlight w:val="none"/>
        </w:rPr>
        <w:t>在履行合同过程中应遵守法律，并保证委托人免于承担因</w:t>
      </w:r>
      <w:r>
        <w:rPr>
          <w:rFonts w:hint="eastAsia" w:ascii="宋体" w:hAnsi="宋体"/>
          <w:color w:val="auto"/>
          <w:sz w:val="24"/>
          <w:highlight w:val="none"/>
        </w:rPr>
        <w:t>咨询人</w:t>
      </w:r>
      <w:r>
        <w:rPr>
          <w:rFonts w:ascii="宋体" w:hAnsi="宋体"/>
          <w:color w:val="auto"/>
          <w:sz w:val="24"/>
          <w:highlight w:val="none"/>
        </w:rPr>
        <w:t>违反法律而引起的任何责任。</w:t>
      </w:r>
    </w:p>
    <w:p w14:paraId="44EEE28B">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4.1.2 依法纳税</w:t>
      </w:r>
    </w:p>
    <w:p w14:paraId="4AA8914C">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咨询人应按有关法律规定纳税，应缴纳的税金（含增值税）包括在合同价格之中。</w:t>
      </w:r>
    </w:p>
    <w:p w14:paraId="6EA9D13A">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4.1.3 完成全部咨询服务工作</w:t>
      </w:r>
    </w:p>
    <w:p w14:paraId="4130A772">
      <w:pPr>
        <w:pStyle w:val="33"/>
        <w:spacing w:after="0"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咨询人</w:t>
      </w:r>
      <w:r>
        <w:rPr>
          <w:rFonts w:ascii="宋体" w:hAnsi="宋体"/>
          <w:color w:val="auto"/>
          <w:sz w:val="24"/>
          <w:highlight w:val="none"/>
        </w:rPr>
        <w:t>应按合同约定以及委托人要求，完成合同约定的全部工作，并对工作中的任何缺陷进行整改、完善和修补，使其满足合同约定的目的。</w:t>
      </w:r>
      <w:r>
        <w:rPr>
          <w:rFonts w:hint="eastAsia" w:ascii="宋体" w:hAnsi="宋体"/>
          <w:color w:val="auto"/>
          <w:sz w:val="24"/>
          <w:highlight w:val="none"/>
        </w:rPr>
        <w:t>咨询人</w:t>
      </w:r>
      <w:r>
        <w:rPr>
          <w:rFonts w:ascii="宋体" w:hAnsi="宋体"/>
          <w:color w:val="auto"/>
          <w:sz w:val="24"/>
          <w:highlight w:val="none"/>
        </w:rPr>
        <w:t>应按合同约定提供</w:t>
      </w:r>
      <w:r>
        <w:rPr>
          <w:rFonts w:hint="eastAsia" w:ascii="宋体" w:hAnsi="宋体"/>
          <w:color w:val="auto"/>
          <w:sz w:val="24"/>
          <w:highlight w:val="none"/>
        </w:rPr>
        <w:t>咨询服务</w:t>
      </w:r>
      <w:r>
        <w:rPr>
          <w:rFonts w:ascii="宋体" w:hAnsi="宋体"/>
          <w:color w:val="auto"/>
          <w:sz w:val="24"/>
          <w:highlight w:val="none"/>
        </w:rPr>
        <w:t>成果文件及</w:t>
      </w:r>
      <w:r>
        <w:rPr>
          <w:rFonts w:hint="eastAsia" w:ascii="宋体" w:hAnsi="宋体"/>
          <w:color w:val="auto"/>
          <w:sz w:val="24"/>
          <w:highlight w:val="none"/>
        </w:rPr>
        <w:t>咨询服务</w:t>
      </w:r>
      <w:r>
        <w:rPr>
          <w:rFonts w:ascii="宋体" w:hAnsi="宋体"/>
          <w:color w:val="auto"/>
          <w:sz w:val="24"/>
          <w:highlight w:val="none"/>
        </w:rPr>
        <w:t>相关工作等。</w:t>
      </w:r>
    </w:p>
    <w:p w14:paraId="79963A15">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4.1.4 其他义务</w:t>
      </w:r>
    </w:p>
    <w:p w14:paraId="625A8B59">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咨询人应履行合同约定的其他义务。</w:t>
      </w:r>
    </w:p>
    <w:p w14:paraId="65EE3295">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4.2 履约保证金</w:t>
      </w:r>
    </w:p>
    <w:p w14:paraId="13A712EB">
      <w:pPr>
        <w:pStyle w:val="701"/>
        <w:tabs>
          <w:tab w:val="left" w:pos="1082"/>
        </w:tabs>
        <w:autoSpaceDE w:val="0"/>
        <w:autoSpaceDN w:val="0"/>
        <w:spacing w:line="520" w:lineRule="exact"/>
        <w:ind w:firstLine="480"/>
        <w:jc w:val="left"/>
        <w:rPr>
          <w:rFonts w:hint="eastAsia" w:ascii="宋体" w:hAnsi="宋体"/>
          <w:b/>
          <w:color w:val="auto"/>
          <w:sz w:val="24"/>
          <w:highlight w:val="none"/>
        </w:rPr>
      </w:pPr>
      <w:r>
        <w:rPr>
          <w:rFonts w:ascii="宋体" w:hAnsi="宋体"/>
          <w:color w:val="auto"/>
          <w:sz w:val="24"/>
          <w:highlight w:val="none"/>
        </w:rPr>
        <w:t>委托人需要咨询人提交履约保证金的，由合同当事人在专用合同条款中约定履约保证金的方式、金额和期限。</w:t>
      </w:r>
    </w:p>
    <w:p w14:paraId="40ED5C36">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除专用合同条款另有约定外，履约保证金自合同生效之日起生效，在委托人签收最后一批</w:t>
      </w:r>
      <w:r>
        <w:rPr>
          <w:rFonts w:hint="eastAsia" w:ascii="宋体" w:hAnsi="宋体"/>
          <w:color w:val="auto"/>
          <w:sz w:val="24"/>
          <w:highlight w:val="none"/>
        </w:rPr>
        <w:t>咨询服务</w:t>
      </w:r>
      <w:r>
        <w:rPr>
          <w:rFonts w:ascii="宋体" w:hAnsi="宋体"/>
          <w:color w:val="auto"/>
          <w:sz w:val="24"/>
          <w:highlight w:val="none"/>
        </w:rPr>
        <w:t>成果文件之日起28天后失效。如果</w:t>
      </w:r>
      <w:r>
        <w:rPr>
          <w:rFonts w:hint="eastAsia" w:ascii="宋体" w:hAnsi="宋体"/>
          <w:color w:val="auto"/>
          <w:sz w:val="24"/>
          <w:highlight w:val="none"/>
        </w:rPr>
        <w:t>咨询人</w:t>
      </w:r>
      <w:r>
        <w:rPr>
          <w:rFonts w:ascii="宋体" w:hAnsi="宋体"/>
          <w:color w:val="auto"/>
          <w:sz w:val="24"/>
          <w:highlight w:val="none"/>
        </w:rPr>
        <w:t>不履行合同约定的义务或其履行不符合合同的约定，委托人有权扣划相应金额的履约保证金。</w:t>
      </w:r>
    </w:p>
    <w:p w14:paraId="761F57BB">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4.3 分包和不得转包</w:t>
      </w:r>
    </w:p>
    <w:p w14:paraId="2D75CACD">
      <w:pPr>
        <w:pStyle w:val="701"/>
        <w:tabs>
          <w:tab w:val="left" w:pos="150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4.3.1 咨询人不得将其咨询服务的全部工作转包给第三人，或将其承包的全部咨询服务工程肢解后以分包的名义转包给第三人。</w:t>
      </w:r>
    </w:p>
    <w:p w14:paraId="397E910B">
      <w:pPr>
        <w:pStyle w:val="33"/>
        <w:spacing w:after="0"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4.3.2 咨询人</w:t>
      </w:r>
      <w:r>
        <w:rPr>
          <w:rFonts w:ascii="宋体" w:hAnsi="宋体"/>
          <w:color w:val="auto"/>
          <w:sz w:val="24"/>
          <w:highlight w:val="none"/>
        </w:rPr>
        <w:t>不得将</w:t>
      </w:r>
      <w:r>
        <w:rPr>
          <w:rFonts w:hint="eastAsia" w:ascii="宋体" w:hAnsi="宋体"/>
          <w:color w:val="auto"/>
          <w:sz w:val="24"/>
          <w:highlight w:val="none"/>
        </w:rPr>
        <w:t>咨询服务</w:t>
      </w:r>
      <w:r>
        <w:rPr>
          <w:rFonts w:ascii="宋体" w:hAnsi="宋体"/>
          <w:color w:val="auto"/>
          <w:sz w:val="24"/>
          <w:highlight w:val="none"/>
        </w:rPr>
        <w:t>的主要、关键性工作分包给第三人。除专用合同条款另有约定外，未经委托人同意，</w:t>
      </w:r>
      <w:r>
        <w:rPr>
          <w:rFonts w:hint="eastAsia" w:ascii="宋体" w:hAnsi="宋体"/>
          <w:color w:val="auto"/>
          <w:sz w:val="24"/>
          <w:highlight w:val="none"/>
        </w:rPr>
        <w:t>咨询人</w:t>
      </w:r>
      <w:r>
        <w:rPr>
          <w:rFonts w:ascii="宋体" w:hAnsi="宋体"/>
          <w:color w:val="auto"/>
          <w:sz w:val="24"/>
          <w:highlight w:val="none"/>
        </w:rPr>
        <w:t>也不得将非主要、非关键性工作分包给第三人。具体可分包的</w:t>
      </w:r>
      <w:r>
        <w:rPr>
          <w:rFonts w:hint="eastAsia" w:ascii="宋体" w:hAnsi="宋体"/>
          <w:color w:val="auto"/>
          <w:sz w:val="24"/>
          <w:highlight w:val="none"/>
        </w:rPr>
        <w:t>咨询服务</w:t>
      </w:r>
      <w:r>
        <w:rPr>
          <w:rFonts w:ascii="宋体" w:hAnsi="宋体"/>
          <w:color w:val="auto"/>
          <w:sz w:val="24"/>
          <w:highlight w:val="none"/>
        </w:rPr>
        <w:t>内容及要求在专用合同条款中约定。</w:t>
      </w:r>
    </w:p>
    <w:p w14:paraId="4041260C">
      <w:pPr>
        <w:pStyle w:val="701"/>
        <w:tabs>
          <w:tab w:val="left" w:pos="1445"/>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4.3.3 委托人同意咨询人分包工作的，咨询人应向委托人提交1份分包合同副本，并对分包咨询服务工作质量承担连带责任。除专用合同条款另有约定外，分包人的咨询服务费用由咨询人与分包人自行支付。生效法律文书要求委托人向分包人支付分包合同价款的，委托人有权从应付咨询人工程款中扣除该部分款项。</w:t>
      </w:r>
    </w:p>
    <w:p w14:paraId="60C577D4">
      <w:pPr>
        <w:pStyle w:val="701"/>
        <w:tabs>
          <w:tab w:val="left" w:pos="150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4.3.4 分包人的资格能力应与其分包工作的标准和规模相适应，包括必要的企业资质、人员、设备和类似业绩等。</w:t>
      </w:r>
    </w:p>
    <w:p w14:paraId="4248974F">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4.4 联合体</w:t>
      </w:r>
    </w:p>
    <w:p w14:paraId="395E5689">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4.4.1 联合体各方应共同与委托人签订合同。联合体各方应为履行合同承担连带责任。</w:t>
      </w:r>
    </w:p>
    <w:p w14:paraId="18964211">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4.4.2 联合体协议经委托人确认后作为合同附件。在履行合同过程中，未经委托人同意，不得修改联合体协议。</w:t>
      </w:r>
    </w:p>
    <w:p w14:paraId="5590412F">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4.4.3 联合体牵头人负责与委托人联系，并接受指示，负责组织联合体各成员全面履行合同。</w:t>
      </w:r>
    </w:p>
    <w:p w14:paraId="01198DE7">
      <w:pPr>
        <w:tabs>
          <w:tab w:val="left" w:pos="1051"/>
        </w:tabs>
        <w:autoSpaceDE w:val="0"/>
        <w:autoSpaceDN w:val="0"/>
        <w:spacing w:line="520" w:lineRule="exact"/>
        <w:ind w:firstLine="482" w:firstLineChars="200"/>
        <w:rPr>
          <w:rFonts w:hint="eastAsia" w:ascii="宋体" w:hAnsi="宋体"/>
          <w:b/>
          <w:color w:val="auto"/>
          <w:sz w:val="24"/>
          <w:highlight w:val="none"/>
        </w:rPr>
      </w:pPr>
      <w:r>
        <w:rPr>
          <w:rFonts w:ascii="宋体" w:hAnsi="宋体"/>
          <w:b/>
          <w:color w:val="auto"/>
          <w:sz w:val="24"/>
          <w:highlight w:val="none"/>
        </w:rPr>
        <w:t>4.5 项目负责人</w:t>
      </w:r>
    </w:p>
    <w:p w14:paraId="687D8BEB">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4.5.1 咨询人应按合同协议书的约定指派项目负责人，并在约定的期限内到职。咨询人更换项目负责人应事先征得委托人同意，并应在更换14天前将拟更换的项目负责人的姓名和详细资料提交委托人。项目负责人2天内不能履行职责的，应事先征得委托人同意，并委派代表代行其职责。</w:t>
      </w:r>
    </w:p>
    <w:p w14:paraId="2C0A04DC">
      <w:pPr>
        <w:pStyle w:val="701"/>
        <w:tabs>
          <w:tab w:val="left" w:pos="1483"/>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4.5.2 项目负责人应按合同约定以及委托人要求，负责组织合同工作的实施。在情况紧急且无法与委托人取得联系时，可采取保证工程和人员生命财产安全的紧急措施，并在采取措施后24小时内向委托人提交书面报告。</w:t>
      </w:r>
    </w:p>
    <w:p w14:paraId="2E4515E9">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4.5.3 咨询人为履行合同发出的一切函件均应盖有咨询人单位章，并由咨询人的项目负责人签字确认。</w:t>
      </w:r>
    </w:p>
    <w:p w14:paraId="3993E40B">
      <w:pPr>
        <w:pStyle w:val="701"/>
        <w:tabs>
          <w:tab w:val="left" w:pos="150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4.5.4 按照专用合同条款约定，项目负责人可以授权其下属人员履行其某项职责，但事先应将这些人员的姓名、职务、联系方式、授权范围和授权期限书面通知委托人。</w:t>
      </w:r>
    </w:p>
    <w:p w14:paraId="157A3178">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 xml:space="preserve">4.6 </w:t>
      </w:r>
      <w:r>
        <w:rPr>
          <w:rFonts w:hint="eastAsia" w:ascii="宋体" w:hAnsi="宋体"/>
          <w:b/>
          <w:color w:val="auto"/>
          <w:sz w:val="24"/>
          <w:highlight w:val="none"/>
        </w:rPr>
        <w:t>咨询</w:t>
      </w:r>
      <w:r>
        <w:rPr>
          <w:rFonts w:ascii="宋体" w:hAnsi="宋体"/>
          <w:b/>
          <w:color w:val="auto"/>
          <w:sz w:val="24"/>
          <w:highlight w:val="none"/>
        </w:rPr>
        <w:t>人员的管理</w:t>
      </w:r>
    </w:p>
    <w:p w14:paraId="50600670">
      <w:pPr>
        <w:pStyle w:val="701"/>
        <w:tabs>
          <w:tab w:val="left" w:pos="1474"/>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4.6.1 咨询人应在接到开始咨询服务通知之日起7天内，向委托人提交咨询服务项目机构以及人员安排的报告，其内容应包括项目机构设置、主要</w:t>
      </w:r>
      <w:r>
        <w:rPr>
          <w:rFonts w:hint="eastAsia" w:ascii="宋体" w:hAnsi="宋体"/>
          <w:color w:val="auto"/>
          <w:sz w:val="24"/>
          <w:highlight w:val="none"/>
        </w:rPr>
        <w:t>咨询</w:t>
      </w:r>
      <w:r>
        <w:rPr>
          <w:rFonts w:ascii="宋体" w:hAnsi="宋体"/>
          <w:color w:val="auto"/>
          <w:sz w:val="24"/>
          <w:highlight w:val="none"/>
        </w:rPr>
        <w:t>人员和其他人员的名单及资格条件。主要</w:t>
      </w:r>
      <w:r>
        <w:rPr>
          <w:rFonts w:hint="eastAsia" w:ascii="宋体" w:hAnsi="宋体"/>
          <w:color w:val="auto"/>
          <w:sz w:val="24"/>
          <w:highlight w:val="none"/>
        </w:rPr>
        <w:t>咨询</w:t>
      </w:r>
      <w:r>
        <w:rPr>
          <w:rFonts w:ascii="宋体" w:hAnsi="宋体"/>
          <w:color w:val="auto"/>
          <w:sz w:val="24"/>
          <w:highlight w:val="none"/>
        </w:rPr>
        <w:t>人员应相对稳定，更换主要</w:t>
      </w:r>
      <w:r>
        <w:rPr>
          <w:rFonts w:hint="eastAsia" w:ascii="宋体" w:hAnsi="宋体"/>
          <w:color w:val="auto"/>
          <w:sz w:val="24"/>
          <w:highlight w:val="none"/>
        </w:rPr>
        <w:t>咨询</w:t>
      </w:r>
      <w:r>
        <w:rPr>
          <w:rFonts w:ascii="宋体" w:hAnsi="宋体"/>
          <w:color w:val="auto"/>
          <w:sz w:val="24"/>
          <w:highlight w:val="none"/>
        </w:rPr>
        <w:t>人员的，应取得委托人的同意,并向委托人提交继任人员的资格、管理经验等资料。项目负责人的更换，应按照本章第4.5.1项规定执行。</w:t>
      </w:r>
    </w:p>
    <w:p w14:paraId="1D863CDB">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4.6.2 除专用合同条款另有约定外，主要</w:t>
      </w:r>
      <w:r>
        <w:rPr>
          <w:rFonts w:hint="eastAsia" w:ascii="宋体" w:hAnsi="宋体"/>
          <w:color w:val="auto"/>
          <w:sz w:val="24"/>
          <w:highlight w:val="none"/>
        </w:rPr>
        <w:t>咨询</w:t>
      </w:r>
      <w:r>
        <w:rPr>
          <w:rFonts w:ascii="宋体" w:hAnsi="宋体"/>
          <w:color w:val="auto"/>
          <w:sz w:val="24"/>
          <w:highlight w:val="none"/>
        </w:rPr>
        <w:t>人员包括项目负责人、专业负责人、审核人、审定人等；其他人员包括各专业的</w:t>
      </w:r>
      <w:r>
        <w:rPr>
          <w:rFonts w:hint="eastAsia" w:ascii="宋体" w:hAnsi="宋体"/>
          <w:color w:val="auto"/>
          <w:sz w:val="24"/>
          <w:highlight w:val="none"/>
        </w:rPr>
        <w:t>咨询</w:t>
      </w:r>
      <w:r>
        <w:rPr>
          <w:rFonts w:ascii="宋体" w:hAnsi="宋体"/>
          <w:color w:val="auto"/>
          <w:sz w:val="24"/>
          <w:highlight w:val="none"/>
        </w:rPr>
        <w:t>人员、管理人员等。</w:t>
      </w:r>
    </w:p>
    <w:p w14:paraId="534A643A">
      <w:pPr>
        <w:pStyle w:val="701"/>
        <w:tabs>
          <w:tab w:val="left" w:pos="1483"/>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4.6.3咨询人应保证其主要</w:t>
      </w:r>
      <w:r>
        <w:rPr>
          <w:rFonts w:hint="eastAsia" w:ascii="宋体" w:hAnsi="宋体"/>
          <w:color w:val="auto"/>
          <w:sz w:val="24"/>
          <w:highlight w:val="none"/>
        </w:rPr>
        <w:t>咨询</w:t>
      </w:r>
      <w:r>
        <w:rPr>
          <w:rFonts w:ascii="宋体" w:hAnsi="宋体"/>
          <w:color w:val="auto"/>
          <w:sz w:val="24"/>
          <w:highlight w:val="none"/>
        </w:rPr>
        <w:t>人员（含分包人）在合同期限内的任何时候，都能按时参加委托人组织的工作会议。</w:t>
      </w:r>
    </w:p>
    <w:p w14:paraId="6C37A47B">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4.6.4 国家规定应当持证上岗的工作人员均应持有相应的资格证明，委托人有权随时检查。委托人认为有必要时，可以进行现场考核。</w:t>
      </w:r>
    </w:p>
    <w:p w14:paraId="54D4AF1A">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4.7 撤换项目负责人和其他人员</w:t>
      </w:r>
    </w:p>
    <w:p w14:paraId="55DDB3FF">
      <w:pPr>
        <w:pStyle w:val="701"/>
        <w:tabs>
          <w:tab w:val="left" w:pos="1082"/>
        </w:tabs>
        <w:autoSpaceDE w:val="0"/>
        <w:autoSpaceDN w:val="0"/>
        <w:spacing w:line="520" w:lineRule="exact"/>
        <w:ind w:firstLine="480"/>
        <w:jc w:val="left"/>
        <w:rPr>
          <w:rFonts w:hint="eastAsia" w:ascii="宋体" w:hAnsi="宋体"/>
          <w:b/>
          <w:color w:val="auto"/>
          <w:sz w:val="24"/>
          <w:highlight w:val="none"/>
        </w:rPr>
      </w:pPr>
      <w:r>
        <w:rPr>
          <w:rFonts w:ascii="宋体" w:hAnsi="宋体"/>
          <w:color w:val="auto"/>
          <w:sz w:val="24"/>
          <w:highlight w:val="none"/>
        </w:rPr>
        <w:t>咨询人应对其项目负责人和其他人员进行有效管理。委托人要求撤换不能胜任本职工作、行为不端或玩忽职守的项目负责人和其他人员的，咨询人应予以撤换。</w:t>
      </w:r>
    </w:p>
    <w:p w14:paraId="3C959272">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4.8 保障人员的合法权益</w:t>
      </w:r>
    </w:p>
    <w:p w14:paraId="70A3160F">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4.8.1 咨询人应与其雇用的人员签订劳动合同，并按时发放工资。</w:t>
      </w:r>
    </w:p>
    <w:p w14:paraId="0013F44C">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4.8.2 咨询人应按劳动法的规定安排工作时间，保证其雇</w:t>
      </w:r>
      <w:r>
        <w:rPr>
          <w:rFonts w:hint="eastAsia" w:ascii="宋体" w:hAnsi="宋体"/>
          <w:color w:val="auto"/>
          <w:sz w:val="24"/>
          <w:highlight w:val="none"/>
          <w:lang w:val="en-US" w:eastAsia="zh-CN"/>
        </w:rPr>
        <w:t>佣</w:t>
      </w:r>
      <w:r>
        <w:rPr>
          <w:rFonts w:ascii="宋体" w:hAnsi="宋体"/>
          <w:color w:val="auto"/>
          <w:sz w:val="24"/>
          <w:highlight w:val="none"/>
        </w:rPr>
        <w:t>人员享有休息和休假的权利。因咨询服务需要占用休假日或延长工作时间的，应不超过法律规定的限度，并按法律规定给予补休或付酬。</w:t>
      </w:r>
    </w:p>
    <w:p w14:paraId="1F51CAB2">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4.8..3 咨询人应按有关法律规定和合同约定，为其雇</w:t>
      </w:r>
      <w:r>
        <w:rPr>
          <w:rFonts w:hint="eastAsia" w:ascii="宋体" w:hAnsi="宋体"/>
          <w:color w:val="auto"/>
          <w:sz w:val="24"/>
          <w:highlight w:val="none"/>
          <w:lang w:val="en-US" w:eastAsia="zh-CN"/>
        </w:rPr>
        <w:t>佣</w:t>
      </w:r>
      <w:r>
        <w:rPr>
          <w:rFonts w:ascii="宋体" w:hAnsi="宋体"/>
          <w:color w:val="auto"/>
          <w:sz w:val="24"/>
          <w:highlight w:val="none"/>
        </w:rPr>
        <w:t>人员办理保险。</w:t>
      </w:r>
    </w:p>
    <w:p w14:paraId="337F7DDF">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4.9  合同价款应专款专用</w:t>
      </w:r>
    </w:p>
    <w:p w14:paraId="471C629F">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委托人按合同约定支付给</w:t>
      </w:r>
      <w:r>
        <w:rPr>
          <w:rFonts w:hint="eastAsia" w:ascii="宋体" w:hAnsi="宋体"/>
          <w:color w:val="auto"/>
          <w:sz w:val="24"/>
          <w:highlight w:val="none"/>
        </w:rPr>
        <w:t>咨询人</w:t>
      </w:r>
      <w:r>
        <w:rPr>
          <w:rFonts w:ascii="宋体" w:hAnsi="宋体"/>
          <w:color w:val="auto"/>
          <w:sz w:val="24"/>
          <w:highlight w:val="none"/>
        </w:rPr>
        <w:t>的各项价款，应专用于合同</w:t>
      </w:r>
      <w:r>
        <w:rPr>
          <w:rFonts w:hint="eastAsia" w:ascii="宋体" w:hAnsi="宋体"/>
          <w:color w:val="auto"/>
          <w:sz w:val="24"/>
          <w:highlight w:val="none"/>
        </w:rPr>
        <w:t>咨询服务</w:t>
      </w:r>
      <w:r>
        <w:rPr>
          <w:rFonts w:ascii="宋体" w:hAnsi="宋体"/>
          <w:color w:val="auto"/>
          <w:sz w:val="24"/>
          <w:highlight w:val="none"/>
        </w:rPr>
        <w:t>工作。</w:t>
      </w:r>
    </w:p>
    <w:p w14:paraId="62ADA9B5">
      <w:pPr>
        <w:pStyle w:val="723"/>
        <w:spacing w:line="520" w:lineRule="exact"/>
        <w:ind w:firstLine="482"/>
        <w:outlineLvl w:val="1"/>
        <w:rPr>
          <w:rFonts w:ascii="宋体" w:hAnsi="宋体" w:eastAsia="宋体"/>
          <w:bCs/>
          <w:color w:val="auto"/>
          <w:szCs w:val="24"/>
          <w:highlight w:val="none"/>
        </w:rPr>
      </w:pPr>
      <w:bookmarkStart w:id="40" w:name="_Toc161231747"/>
      <w:bookmarkStart w:id="41" w:name="_Toc156986235"/>
      <w:r>
        <w:rPr>
          <w:rFonts w:ascii="宋体" w:hAnsi="宋体" w:eastAsia="宋体"/>
          <w:bCs/>
          <w:color w:val="auto"/>
          <w:szCs w:val="24"/>
          <w:highlight w:val="none"/>
        </w:rPr>
        <w:t>5.咨询服务要求</w:t>
      </w:r>
      <w:bookmarkEnd w:id="40"/>
      <w:bookmarkEnd w:id="41"/>
    </w:p>
    <w:p w14:paraId="53E96224">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5.1 一般要求</w:t>
      </w:r>
    </w:p>
    <w:p w14:paraId="1E76DF51">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5.1.1 委托人应当遵守法律和规范标准，不得以任何理由要求咨询人违反法律和工程质量、安全标准、环保标准进行咨询服务，降低工程质量。</w:t>
      </w:r>
    </w:p>
    <w:p w14:paraId="6230A9C4">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5.1.2咨询人应按照法律规定，以及国家、行业和地方的规范和标准完成咨询服务工作，并应符合委托人要求。各项规范、标准和委托人要求之间如对同一内容的描述不一致时，应以描述更为严格的内容为准。</w:t>
      </w:r>
    </w:p>
    <w:p w14:paraId="69326748">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5.1.3 除专用合同条款另有约定外，咨询人完成咨询服务工作所应遵守的法律规定，以及国家、行业和地方的规范和标准，均应视为在基准日适用的版本。基准日之后，前述版本发生重大变化，或者有新的法律，以及国家、行业和地方的规范和标准实施的，咨询人应向委托人提出遵守新规定的建议。委托人应在收到建议后 7天内发出是否遵守新规定的指示。委托人指示遵守新规定的，按照第11条约定执行。</w:t>
      </w:r>
    </w:p>
    <w:p w14:paraId="3B950648">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5.1.4咨询人在咨询服务中选用的材料、设备，应当注明其规格、型号、性能等技术指标及适应性，满足质量、安全、节能、环保等要求。</w:t>
      </w:r>
    </w:p>
    <w:p w14:paraId="75ECBE04">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 xml:space="preserve">5.2 </w:t>
      </w:r>
      <w:r>
        <w:rPr>
          <w:rFonts w:ascii="宋体" w:hAnsi="宋体"/>
          <w:b/>
          <w:bCs/>
          <w:color w:val="auto"/>
          <w:sz w:val="24"/>
          <w:highlight w:val="none"/>
        </w:rPr>
        <w:t>咨询服务</w:t>
      </w:r>
      <w:r>
        <w:rPr>
          <w:rFonts w:ascii="宋体" w:hAnsi="宋体"/>
          <w:b/>
          <w:color w:val="auto"/>
          <w:sz w:val="24"/>
          <w:highlight w:val="none"/>
        </w:rPr>
        <w:t>依据</w:t>
      </w:r>
    </w:p>
    <w:p w14:paraId="61A27493">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除专用合同条款另有约定外，本工程的</w:t>
      </w:r>
      <w:r>
        <w:rPr>
          <w:rFonts w:hint="eastAsia" w:ascii="宋体" w:hAnsi="宋体"/>
          <w:color w:val="auto"/>
          <w:sz w:val="24"/>
          <w:highlight w:val="none"/>
        </w:rPr>
        <w:t>咨询服务</w:t>
      </w:r>
      <w:r>
        <w:rPr>
          <w:rFonts w:ascii="宋体" w:hAnsi="宋体"/>
          <w:color w:val="auto"/>
          <w:sz w:val="24"/>
          <w:highlight w:val="none"/>
        </w:rPr>
        <w:t>依据如下：</w:t>
      </w:r>
    </w:p>
    <w:p w14:paraId="07724B23">
      <w:pPr>
        <w:pStyle w:val="701"/>
        <w:tabs>
          <w:tab w:val="left" w:pos="1511"/>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（1）适用的法律、行政法规及部门规章；</w:t>
      </w:r>
    </w:p>
    <w:p w14:paraId="49068119">
      <w:pPr>
        <w:pStyle w:val="701"/>
        <w:tabs>
          <w:tab w:val="left" w:pos="1511"/>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（2）相关的规范、标准、规程；</w:t>
      </w:r>
    </w:p>
    <w:p w14:paraId="14E18769">
      <w:pPr>
        <w:pStyle w:val="701"/>
        <w:tabs>
          <w:tab w:val="left" w:pos="1511"/>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（3）基础资料及其他文件；</w:t>
      </w:r>
    </w:p>
    <w:p w14:paraId="431D1EBB">
      <w:pPr>
        <w:pStyle w:val="701"/>
        <w:tabs>
          <w:tab w:val="left" w:pos="1506"/>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（4）本咨询服务合同及补充合同（如有）；</w:t>
      </w:r>
    </w:p>
    <w:p w14:paraId="64455158">
      <w:pPr>
        <w:pStyle w:val="701"/>
        <w:tabs>
          <w:tab w:val="left" w:pos="1511"/>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（5）本工程前期成果文件；</w:t>
      </w:r>
    </w:p>
    <w:p w14:paraId="3FA61FFF">
      <w:pPr>
        <w:pStyle w:val="701"/>
        <w:tabs>
          <w:tab w:val="left" w:pos="1511"/>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（6）合同履行中与咨询服务有关的来往函件；</w:t>
      </w:r>
    </w:p>
    <w:p w14:paraId="33C1BFF5">
      <w:pPr>
        <w:pStyle w:val="701"/>
        <w:tabs>
          <w:tab w:val="left" w:pos="1511"/>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（7）其他咨询服务依据。</w:t>
      </w:r>
    </w:p>
    <w:p w14:paraId="4A9D3966">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5.3 咨询服务范围</w:t>
      </w:r>
    </w:p>
    <w:p w14:paraId="449E955A">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本合同的</w:t>
      </w:r>
      <w:r>
        <w:rPr>
          <w:rFonts w:hint="eastAsia" w:ascii="宋体" w:hAnsi="宋体"/>
          <w:color w:val="auto"/>
          <w:sz w:val="24"/>
          <w:highlight w:val="none"/>
        </w:rPr>
        <w:t>咨询服务</w:t>
      </w:r>
      <w:r>
        <w:rPr>
          <w:rFonts w:ascii="宋体" w:hAnsi="宋体"/>
          <w:color w:val="auto"/>
          <w:sz w:val="24"/>
          <w:highlight w:val="none"/>
        </w:rPr>
        <w:t>范围具体范围在专用合同条款中约定。</w:t>
      </w:r>
    </w:p>
    <w:p w14:paraId="4F55A5F4">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5.4 咨询服务成果文件要求</w:t>
      </w:r>
    </w:p>
    <w:p w14:paraId="54674C1F">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5.4.1 咨询服务成果文件的编制应符合法律法规、规范标准的强制性规定和委托人要求，咨询服务依据应完整、准确、可靠，咨询服务方案论证充分，计算成果规范可靠，并能够实施。</w:t>
      </w:r>
    </w:p>
    <w:p w14:paraId="6E947151">
      <w:pPr>
        <w:pStyle w:val="701"/>
        <w:tabs>
          <w:tab w:val="left" w:pos="1466"/>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5.4.2 咨询服务应当根据法律、规范标准和委托人要求，并在咨询服务成果文件中予以注明。</w:t>
      </w:r>
    </w:p>
    <w:p w14:paraId="212A815E">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5.4.3 咨询服务成果文件的深度应满足本合同相应咨询服务阶段的规定要求，满足委托人的下步工作需要，并应符合国家和行业现行规定。</w:t>
      </w:r>
    </w:p>
    <w:p w14:paraId="336C5C98">
      <w:pPr>
        <w:pStyle w:val="723"/>
        <w:spacing w:line="520" w:lineRule="exact"/>
        <w:ind w:firstLine="482"/>
        <w:outlineLvl w:val="1"/>
        <w:rPr>
          <w:rFonts w:ascii="宋体" w:hAnsi="宋体" w:eastAsia="宋体"/>
          <w:b w:val="0"/>
          <w:bCs/>
          <w:color w:val="auto"/>
          <w:szCs w:val="24"/>
          <w:highlight w:val="none"/>
        </w:rPr>
      </w:pPr>
      <w:bookmarkStart w:id="42" w:name="_Toc156986236"/>
      <w:bookmarkStart w:id="43" w:name="_Toc161231748"/>
      <w:r>
        <w:rPr>
          <w:rFonts w:ascii="宋体" w:hAnsi="宋体" w:eastAsia="宋体"/>
          <w:bCs/>
          <w:color w:val="auto"/>
          <w:szCs w:val="24"/>
          <w:highlight w:val="none"/>
        </w:rPr>
        <w:t>6.开始咨询服务和完成咨询服务</w:t>
      </w:r>
      <w:bookmarkEnd w:id="42"/>
      <w:bookmarkEnd w:id="43"/>
    </w:p>
    <w:p w14:paraId="34184740">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6.1 开始咨询服务</w:t>
      </w:r>
    </w:p>
    <w:p w14:paraId="35714D6D">
      <w:pPr>
        <w:pStyle w:val="701"/>
        <w:tabs>
          <w:tab w:val="left" w:pos="145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6.1.1 符合专用合同条款约定的开始咨询服务条件的，委托人应提前7天向咨询人发出开始咨询服务通知。咨询服务期限自开始咨询服务通知中载明的开始咨询服务日期起计算。</w:t>
      </w:r>
    </w:p>
    <w:p w14:paraId="2A245891">
      <w:pPr>
        <w:pStyle w:val="701"/>
        <w:tabs>
          <w:tab w:val="left" w:pos="147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6.1.2 除专用合同条款另有约定外，因委托人原因造成合同签订之日起90天内未能发出开始咨询服务通知的，咨询人有权提出价格调整要求，或者解除合同。委托人应当承担由此增加的费用和（或）周期延误。</w:t>
      </w:r>
    </w:p>
    <w:p w14:paraId="740D310E">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6.2 委托人引起的周期延误</w:t>
      </w:r>
    </w:p>
    <w:p w14:paraId="239D6B4F">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在履行合同过程中，由于委托人的下列原因造成</w:t>
      </w:r>
      <w:r>
        <w:rPr>
          <w:rFonts w:hint="eastAsia" w:ascii="宋体" w:hAnsi="宋体"/>
          <w:color w:val="auto"/>
          <w:sz w:val="24"/>
          <w:highlight w:val="none"/>
        </w:rPr>
        <w:t>咨询服务</w:t>
      </w:r>
      <w:r>
        <w:rPr>
          <w:rFonts w:ascii="宋体" w:hAnsi="宋体"/>
          <w:color w:val="auto"/>
          <w:sz w:val="24"/>
          <w:highlight w:val="none"/>
        </w:rPr>
        <w:t>期限延误的，委托人应当延长</w:t>
      </w:r>
      <w:r>
        <w:rPr>
          <w:rFonts w:hint="eastAsia" w:ascii="宋体" w:hAnsi="宋体"/>
          <w:color w:val="auto"/>
          <w:sz w:val="24"/>
          <w:highlight w:val="none"/>
        </w:rPr>
        <w:t>咨询服务</w:t>
      </w:r>
      <w:r>
        <w:rPr>
          <w:rFonts w:ascii="宋体" w:hAnsi="宋体"/>
          <w:color w:val="auto"/>
          <w:sz w:val="24"/>
          <w:highlight w:val="none"/>
        </w:rPr>
        <w:t>期限并增加</w:t>
      </w:r>
      <w:r>
        <w:rPr>
          <w:rFonts w:hint="eastAsia" w:ascii="宋体" w:hAnsi="宋体"/>
          <w:color w:val="auto"/>
          <w:sz w:val="24"/>
          <w:highlight w:val="none"/>
        </w:rPr>
        <w:t>咨询服务</w:t>
      </w:r>
      <w:r>
        <w:rPr>
          <w:rFonts w:ascii="宋体" w:hAnsi="宋体"/>
          <w:color w:val="auto"/>
          <w:sz w:val="24"/>
          <w:highlight w:val="none"/>
        </w:rPr>
        <w:t>费用，具体方法在专用合同条款中约定。</w:t>
      </w:r>
    </w:p>
    <w:p w14:paraId="57BF5BC2">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（1）合同变更；</w:t>
      </w:r>
    </w:p>
    <w:p w14:paraId="5D8FDE59">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（2）未按合同约定期限及时答复咨询服务事项；</w:t>
      </w:r>
    </w:p>
    <w:p w14:paraId="45BA8ECC">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（3）因委托人原因导致的暂停咨询服务；</w:t>
      </w:r>
    </w:p>
    <w:p w14:paraId="32A64DCE">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（4）未按合同约定及时支付咨询服务费用；</w:t>
      </w:r>
    </w:p>
    <w:p w14:paraId="22DAC349">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（5）委托人提供的基准资料错误；</w:t>
      </w:r>
    </w:p>
    <w:p w14:paraId="78FE4A89">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（6）未及时按照履行合同约定的相关义务；</w:t>
      </w:r>
    </w:p>
    <w:p w14:paraId="06FE7833">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（7）未能按照合同约定期限对咨询服务成果文件进行审查；</w:t>
      </w:r>
    </w:p>
    <w:p w14:paraId="2D26683E">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（8）委托人造成周期延误的其他原因。</w:t>
      </w:r>
    </w:p>
    <w:p w14:paraId="33257541">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 xml:space="preserve">6.3 </w:t>
      </w:r>
      <w:r>
        <w:rPr>
          <w:rFonts w:ascii="宋体" w:hAnsi="宋体"/>
          <w:b/>
          <w:bCs/>
          <w:color w:val="auto"/>
          <w:sz w:val="24"/>
          <w:highlight w:val="none"/>
        </w:rPr>
        <w:t>咨询人</w:t>
      </w:r>
      <w:r>
        <w:rPr>
          <w:rFonts w:ascii="宋体" w:hAnsi="宋体"/>
          <w:b/>
          <w:color w:val="auto"/>
          <w:sz w:val="24"/>
          <w:highlight w:val="none"/>
        </w:rPr>
        <w:t>引起的周期延误</w:t>
      </w:r>
    </w:p>
    <w:p w14:paraId="7CBCA990">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由于</w:t>
      </w:r>
      <w:r>
        <w:rPr>
          <w:rFonts w:hint="eastAsia" w:ascii="宋体" w:hAnsi="宋体"/>
          <w:color w:val="auto"/>
          <w:sz w:val="24"/>
          <w:highlight w:val="none"/>
        </w:rPr>
        <w:t>咨询人</w:t>
      </w:r>
      <w:r>
        <w:rPr>
          <w:rFonts w:ascii="宋体" w:hAnsi="宋体"/>
          <w:color w:val="auto"/>
          <w:sz w:val="24"/>
          <w:highlight w:val="none"/>
        </w:rPr>
        <w:t>原因造成周期延误，</w:t>
      </w:r>
      <w:r>
        <w:rPr>
          <w:rFonts w:hint="eastAsia" w:ascii="宋体" w:hAnsi="宋体"/>
          <w:color w:val="auto"/>
          <w:sz w:val="24"/>
          <w:highlight w:val="none"/>
        </w:rPr>
        <w:t>咨询人</w:t>
      </w:r>
      <w:r>
        <w:rPr>
          <w:rFonts w:ascii="宋体" w:hAnsi="宋体"/>
          <w:color w:val="auto"/>
          <w:sz w:val="24"/>
          <w:highlight w:val="none"/>
        </w:rPr>
        <w:t>应支付逾期违约金。逾期违约金的计算方法和最高限额在专用合同条款中约定。</w:t>
      </w:r>
    </w:p>
    <w:p w14:paraId="47623E05">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6.4 第三人引起的周期延误</w:t>
      </w:r>
    </w:p>
    <w:p w14:paraId="3FF9CEF2">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由于行政管理部门审查或其他第三人原因造成费用增加和（或）周期延误的，由委托人承担。</w:t>
      </w:r>
    </w:p>
    <w:p w14:paraId="62BF41A8">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6.5 完成咨询服务</w:t>
      </w:r>
    </w:p>
    <w:p w14:paraId="31ACADB8">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6.5.1 咨询人完成咨询服务之后，应当根据法律、规范标准、合同约定和委托人要求提交咨询服务成果文件。</w:t>
      </w:r>
    </w:p>
    <w:p w14:paraId="47B4B51B">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6.5.2 咨询服务成果文件是工程咨询服务的最终成果之一，应当根据本工程的咨询服务内容和不同阶段的咨询服务任务、目的和要求等进行编制。</w:t>
      </w:r>
    </w:p>
    <w:p w14:paraId="6C267D7D">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6.5.3 除专用合同条款另有约定外，咨询服务成果文件包括纸质文件和电子文件两种形式，内容应当一致。两者若有不一致时，应以纸质文件为准。纸质文件一式八份，应当加盖单位章和项目负责人注册执业印章；电子文件中的文字为 WORD 格式、图形为 CAD、JPG 等格式，并应使用光盘和 U 盘分别贮存。</w:t>
      </w:r>
    </w:p>
    <w:p w14:paraId="1BE95C97">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6.6 提前完成咨询服务</w:t>
      </w:r>
    </w:p>
    <w:p w14:paraId="2796F7B8">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6.6.1 根据委托人要求或者基于专业能力判断，咨询人认为能够提前完成咨询服务的，可向委托人递交一份提前完成咨询服务建议书，包括实施方案、提前时间、咨询服务费用变动等内容。除专用合同条款另有约定之外，委托人接受建议书的，不因提前完成咨询服务而减少咨询服务费用；增加咨询服务费用的，所增费用由委托人承担。</w:t>
      </w:r>
    </w:p>
    <w:p w14:paraId="35F01614">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6.6.2 委托人要求提前完成咨询服务但咨询人认为无法实施的，应在收到委托人书面指示后7天内提出书面异议，说明不能提前完成的理由。委托人应在收到异议后7天内予以答复。任何情况下，委托人不得压缩合理的咨询服务期限。</w:t>
      </w:r>
    </w:p>
    <w:p w14:paraId="24838478">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6.6.3 由于咨询人提前完成咨询服务而给委托人带来经济效益的，委托人可以在专用合同条款中约定咨询人因此获得的奖励内容。</w:t>
      </w:r>
    </w:p>
    <w:p w14:paraId="16EDF7A0">
      <w:pPr>
        <w:pStyle w:val="723"/>
        <w:spacing w:line="520" w:lineRule="exact"/>
        <w:ind w:firstLine="482"/>
        <w:outlineLvl w:val="1"/>
        <w:rPr>
          <w:rFonts w:ascii="宋体" w:hAnsi="宋体" w:eastAsia="宋体"/>
          <w:b w:val="0"/>
          <w:bCs/>
          <w:color w:val="auto"/>
          <w:szCs w:val="24"/>
          <w:highlight w:val="none"/>
        </w:rPr>
      </w:pPr>
      <w:bookmarkStart w:id="44" w:name="_Toc161231749"/>
      <w:bookmarkStart w:id="45" w:name="_Toc156986237"/>
      <w:r>
        <w:rPr>
          <w:rFonts w:ascii="宋体" w:hAnsi="宋体" w:eastAsia="宋体"/>
          <w:bCs/>
          <w:color w:val="auto"/>
          <w:szCs w:val="24"/>
          <w:highlight w:val="none"/>
        </w:rPr>
        <w:t>7.暂停咨询服务</w:t>
      </w:r>
      <w:bookmarkEnd w:id="44"/>
      <w:bookmarkEnd w:id="45"/>
    </w:p>
    <w:p w14:paraId="6B447DC8">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7.1 委托人原因暂停咨询服务</w:t>
      </w:r>
    </w:p>
    <w:p w14:paraId="45F7DB28">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合同履行中发生下列情形之一的，</w:t>
      </w:r>
      <w:r>
        <w:rPr>
          <w:rFonts w:hint="eastAsia" w:ascii="宋体" w:hAnsi="宋体"/>
          <w:color w:val="auto"/>
          <w:sz w:val="24"/>
          <w:highlight w:val="none"/>
        </w:rPr>
        <w:t>咨询人</w:t>
      </w:r>
      <w:r>
        <w:rPr>
          <w:rFonts w:ascii="宋体" w:hAnsi="宋体"/>
          <w:color w:val="auto"/>
          <w:sz w:val="24"/>
          <w:highlight w:val="none"/>
        </w:rPr>
        <w:t>可向委托人发出通知，要求委托人采取有效措施予以纠正。委托人收到</w:t>
      </w:r>
      <w:r>
        <w:rPr>
          <w:rFonts w:hint="eastAsia" w:ascii="宋体" w:hAnsi="宋体"/>
          <w:color w:val="auto"/>
          <w:sz w:val="24"/>
          <w:highlight w:val="none"/>
        </w:rPr>
        <w:t>咨询人</w:t>
      </w:r>
      <w:r>
        <w:rPr>
          <w:rFonts w:ascii="宋体" w:hAnsi="宋体"/>
          <w:color w:val="auto"/>
          <w:sz w:val="24"/>
          <w:highlight w:val="none"/>
        </w:rPr>
        <w:t>通知后的28天内仍不履行合同义务时，</w:t>
      </w:r>
      <w:r>
        <w:rPr>
          <w:rFonts w:hint="eastAsia" w:ascii="宋体" w:hAnsi="宋体"/>
          <w:color w:val="auto"/>
          <w:sz w:val="24"/>
          <w:highlight w:val="none"/>
        </w:rPr>
        <w:t>咨询人</w:t>
      </w:r>
      <w:r>
        <w:rPr>
          <w:rFonts w:ascii="宋体" w:hAnsi="宋体"/>
          <w:color w:val="auto"/>
          <w:sz w:val="24"/>
          <w:highlight w:val="none"/>
        </w:rPr>
        <w:t>有权暂停</w:t>
      </w:r>
      <w:r>
        <w:rPr>
          <w:rFonts w:hint="eastAsia" w:ascii="宋体" w:hAnsi="宋体"/>
          <w:color w:val="auto"/>
          <w:sz w:val="24"/>
          <w:highlight w:val="none"/>
        </w:rPr>
        <w:t>咨询服务</w:t>
      </w:r>
      <w:r>
        <w:rPr>
          <w:rFonts w:ascii="宋体" w:hAnsi="宋体"/>
          <w:color w:val="auto"/>
          <w:sz w:val="24"/>
          <w:highlight w:val="none"/>
        </w:rPr>
        <w:t>并通知委托人；委托人应承担由此导致的费用增加和（或）周期延误。</w:t>
      </w:r>
    </w:p>
    <w:p w14:paraId="0332F64B">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（1）委托人违约；</w:t>
      </w:r>
    </w:p>
    <w:p w14:paraId="748CF3E5">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（2）委托人确定暂停咨询服务；</w:t>
      </w:r>
    </w:p>
    <w:p w14:paraId="2947D632">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（3）合同约定由委托人承担责任的其他情形。</w:t>
      </w:r>
    </w:p>
    <w:p w14:paraId="64FDA658">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7.2 咨询人原因暂停咨询服务</w:t>
      </w:r>
    </w:p>
    <w:p w14:paraId="60339FAC">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合同履行中发生下列情形之一的，委托人可向</w:t>
      </w:r>
      <w:r>
        <w:rPr>
          <w:rFonts w:hint="eastAsia" w:ascii="宋体" w:hAnsi="宋体"/>
          <w:color w:val="auto"/>
          <w:sz w:val="24"/>
          <w:highlight w:val="none"/>
        </w:rPr>
        <w:t>咨询人</w:t>
      </w:r>
      <w:r>
        <w:rPr>
          <w:rFonts w:ascii="宋体" w:hAnsi="宋体"/>
          <w:color w:val="auto"/>
          <w:sz w:val="24"/>
          <w:highlight w:val="none"/>
        </w:rPr>
        <w:t>发出通知暂停</w:t>
      </w:r>
      <w:r>
        <w:rPr>
          <w:rFonts w:hint="eastAsia" w:ascii="宋体" w:hAnsi="宋体"/>
          <w:color w:val="auto"/>
          <w:sz w:val="24"/>
          <w:highlight w:val="none"/>
        </w:rPr>
        <w:t>咨询服务</w:t>
      </w:r>
      <w:r>
        <w:rPr>
          <w:rFonts w:ascii="宋体" w:hAnsi="宋体"/>
          <w:color w:val="auto"/>
          <w:sz w:val="24"/>
          <w:highlight w:val="none"/>
        </w:rPr>
        <w:t>，由此造成费用的增加和（或）周期延误由</w:t>
      </w:r>
      <w:r>
        <w:rPr>
          <w:rFonts w:hint="eastAsia" w:ascii="宋体" w:hAnsi="宋体"/>
          <w:color w:val="auto"/>
          <w:sz w:val="24"/>
          <w:highlight w:val="none"/>
        </w:rPr>
        <w:t>咨询人</w:t>
      </w:r>
      <w:r>
        <w:rPr>
          <w:rFonts w:ascii="宋体" w:hAnsi="宋体"/>
          <w:color w:val="auto"/>
          <w:sz w:val="24"/>
          <w:highlight w:val="none"/>
        </w:rPr>
        <w:t>承担：</w:t>
      </w:r>
    </w:p>
    <w:p w14:paraId="0D60CAD5">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（1）咨询人违约；</w:t>
      </w:r>
    </w:p>
    <w:p w14:paraId="08C2F607">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（2）咨询人擅自暂停咨询服务；</w:t>
      </w:r>
    </w:p>
    <w:p w14:paraId="1A5A0052">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（3）合同约定由咨询人承担责任的其他情形。</w:t>
      </w:r>
    </w:p>
    <w:p w14:paraId="2350FAAE">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7.3 暂停期间的文件照管</w:t>
      </w:r>
    </w:p>
    <w:p w14:paraId="3E046EFF">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不论由于何种原因引起暂停</w:t>
      </w:r>
      <w:r>
        <w:rPr>
          <w:rFonts w:hint="eastAsia" w:ascii="宋体" w:hAnsi="宋体"/>
          <w:color w:val="auto"/>
          <w:sz w:val="24"/>
          <w:highlight w:val="none"/>
        </w:rPr>
        <w:t>咨询服务</w:t>
      </w:r>
      <w:r>
        <w:rPr>
          <w:rFonts w:ascii="宋体" w:hAnsi="宋体"/>
          <w:color w:val="auto"/>
          <w:sz w:val="24"/>
          <w:highlight w:val="none"/>
        </w:rPr>
        <w:t>的，暂停期间</w:t>
      </w:r>
      <w:r>
        <w:rPr>
          <w:rFonts w:hint="eastAsia" w:ascii="宋体" w:hAnsi="宋体"/>
          <w:color w:val="auto"/>
          <w:sz w:val="24"/>
          <w:highlight w:val="none"/>
        </w:rPr>
        <w:t>咨询人</w:t>
      </w:r>
      <w:r>
        <w:rPr>
          <w:rFonts w:ascii="宋体" w:hAnsi="宋体"/>
          <w:color w:val="auto"/>
          <w:sz w:val="24"/>
          <w:highlight w:val="none"/>
        </w:rPr>
        <w:t>应负责妥善保护已完部分的</w:t>
      </w:r>
      <w:r>
        <w:rPr>
          <w:rFonts w:hint="eastAsia" w:ascii="宋体" w:hAnsi="宋体"/>
          <w:color w:val="auto"/>
          <w:sz w:val="24"/>
          <w:highlight w:val="none"/>
        </w:rPr>
        <w:t>咨询服务</w:t>
      </w:r>
      <w:r>
        <w:rPr>
          <w:rFonts w:ascii="宋体" w:hAnsi="宋体"/>
          <w:color w:val="auto"/>
          <w:sz w:val="24"/>
          <w:highlight w:val="none"/>
        </w:rPr>
        <w:t>成果文件，由此增加的费用由责任方承担。</w:t>
      </w:r>
    </w:p>
    <w:p w14:paraId="6C125F6D">
      <w:pPr>
        <w:pStyle w:val="723"/>
        <w:spacing w:line="520" w:lineRule="exact"/>
        <w:ind w:firstLine="482"/>
        <w:outlineLvl w:val="1"/>
        <w:rPr>
          <w:rFonts w:ascii="宋体" w:hAnsi="宋体" w:eastAsia="宋体"/>
          <w:b w:val="0"/>
          <w:bCs/>
          <w:color w:val="auto"/>
          <w:szCs w:val="24"/>
          <w:highlight w:val="none"/>
        </w:rPr>
      </w:pPr>
      <w:bookmarkStart w:id="46" w:name="_Toc156986238"/>
      <w:bookmarkStart w:id="47" w:name="_Toc161231750"/>
      <w:r>
        <w:rPr>
          <w:rFonts w:ascii="宋体" w:hAnsi="宋体" w:eastAsia="宋体"/>
          <w:bCs/>
          <w:color w:val="auto"/>
          <w:szCs w:val="24"/>
          <w:highlight w:val="none"/>
        </w:rPr>
        <w:t>8.咨询服务成果文件</w:t>
      </w:r>
      <w:bookmarkEnd w:id="46"/>
      <w:bookmarkEnd w:id="47"/>
    </w:p>
    <w:p w14:paraId="2FE743E5">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8.1 咨询服务成果文件接收</w:t>
      </w:r>
    </w:p>
    <w:p w14:paraId="13B40EBD">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8.1.1 委托人应当及时接收咨询人提交的咨询服务成果文件。如无正当理由拒收的，视为委托人已经接收咨询服务成果文件。</w:t>
      </w:r>
    </w:p>
    <w:p w14:paraId="4BEC648C">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8.1.2 委托人接收咨询服务成果文件时，应向咨询人出具文件签收凭证。</w:t>
      </w:r>
    </w:p>
    <w:p w14:paraId="550B2513">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8.1.3 咨询服务成果文件提交的份数、内容、纸幅、装订格式、电子文件要求，在专用合同条款中约定。</w:t>
      </w:r>
    </w:p>
    <w:p w14:paraId="4249DCFE">
      <w:pPr>
        <w:pStyle w:val="701"/>
        <w:tabs>
          <w:tab w:val="left" w:pos="1082"/>
        </w:tabs>
        <w:autoSpaceDE w:val="0"/>
        <w:autoSpaceDN w:val="0"/>
        <w:spacing w:line="520" w:lineRule="exact"/>
        <w:ind w:firstLine="482"/>
        <w:jc w:val="left"/>
        <w:rPr>
          <w:rFonts w:hint="eastAsia" w:ascii="宋体" w:hAnsi="宋体"/>
          <w:color w:val="auto"/>
          <w:sz w:val="24"/>
          <w:highlight w:val="none"/>
        </w:rPr>
      </w:pPr>
      <w:r>
        <w:rPr>
          <w:rFonts w:ascii="宋体" w:hAnsi="宋体"/>
          <w:b/>
          <w:color w:val="auto"/>
          <w:sz w:val="24"/>
          <w:highlight w:val="none"/>
        </w:rPr>
        <w:t>8.2 委托人审查咨询服务成果文件</w:t>
      </w:r>
    </w:p>
    <w:p w14:paraId="024E1574">
      <w:pPr>
        <w:pStyle w:val="701"/>
        <w:tabs>
          <w:tab w:val="left" w:pos="150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8.2.1 委托人接收咨询服务成果文件之后，可以自行或者组织专家会进行审查，咨询人应当给予配合。审查标准应当符合法律、规范标准、合同约定和委托人要求等；审查的具体范围、明细内容和费用分担，在专用合同条款中约定。</w:t>
      </w:r>
    </w:p>
    <w:p w14:paraId="696F20B4">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8.2.2 除专用合同条款另有约定外，委托人对于咨询服务成果文件的审查期限，自文件接收之日起不应超过14天。委托人逾期未做出审查结论且未提出异议的，视为咨询人的咨询服务成果文件已经通过委托人审查。</w:t>
      </w:r>
    </w:p>
    <w:p w14:paraId="183CD864">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8.2.3 委托人审查后不同意咨询服务成果文件的，应以书面形式通知咨询人，说明审查不通过的理由及其具体内容。咨询人应根据委托人的审查意见修改完善咨询服务成果文件，并重新报送委托人审查，审查期限重新起算。</w:t>
      </w:r>
    </w:p>
    <w:p w14:paraId="5E34FDD4">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8.3 审查机构审查咨询服务成果文件</w:t>
      </w:r>
    </w:p>
    <w:p w14:paraId="3003F0DA">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8.3.1 咨询服务成果文件需经政府有关部门审查或批准的，委托人应在审查同意后，按照有关主管部门要求，将咨询服务成果文件和相关资料报送政府有关部门进行审查。委托人的审查和审查机构的审查不减免咨询人因为服务质量问题而应承担的咨询服务责任。</w:t>
      </w:r>
    </w:p>
    <w:p w14:paraId="683BA661">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8.3.2 对于审查机构的审查意见，如不需要修改委托人要求的，应由咨询人按照审查意见修改完善咨询服务成果文件，由此导致的费用增加和（或）周期延误由咨询人承担；如需修改委托人要求的，则由委托人重新修改和提出委托人要求，再由咨询人根据新的委托人要求修改完善咨询服务成果文件，由此导致的费用增加和（或）周期延误由委托人承担。</w:t>
      </w:r>
    </w:p>
    <w:p w14:paraId="62B17B4D">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8.3.3 由于自身原因造成咨询服务成果文件未通过审查机构审查的，咨询人应当承担违约责任，采取补救措施直至达到合同约定的质量标准，并自行承担由此导致的费用增加和（或）周期延误。</w:t>
      </w:r>
    </w:p>
    <w:p w14:paraId="6EFBB2B3">
      <w:pPr>
        <w:pStyle w:val="723"/>
        <w:spacing w:line="520" w:lineRule="exact"/>
        <w:ind w:firstLine="482"/>
        <w:outlineLvl w:val="1"/>
        <w:rPr>
          <w:rFonts w:ascii="宋体" w:hAnsi="宋体" w:eastAsia="宋体"/>
          <w:b w:val="0"/>
          <w:bCs/>
          <w:color w:val="auto"/>
          <w:szCs w:val="24"/>
          <w:highlight w:val="none"/>
        </w:rPr>
      </w:pPr>
      <w:bookmarkStart w:id="48" w:name="_Toc156986239"/>
      <w:bookmarkStart w:id="49" w:name="_Toc161231751"/>
      <w:r>
        <w:rPr>
          <w:rFonts w:ascii="宋体" w:hAnsi="宋体" w:eastAsia="宋体"/>
          <w:bCs/>
          <w:color w:val="auto"/>
          <w:szCs w:val="24"/>
          <w:highlight w:val="none"/>
        </w:rPr>
        <w:t>9.咨询服务责任与保险</w:t>
      </w:r>
      <w:bookmarkEnd w:id="48"/>
      <w:bookmarkEnd w:id="49"/>
    </w:p>
    <w:p w14:paraId="604991E9">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9.1 工作质量责任</w:t>
      </w:r>
    </w:p>
    <w:p w14:paraId="1E86BF9A">
      <w:pPr>
        <w:pStyle w:val="701"/>
        <w:tabs>
          <w:tab w:val="left" w:pos="1421"/>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9.1.1 咨询服务工作质量应满足法律规定、规范标准、合同约定和委托人要求等。</w:t>
      </w:r>
    </w:p>
    <w:p w14:paraId="2430F664">
      <w:pPr>
        <w:pStyle w:val="701"/>
        <w:tabs>
          <w:tab w:val="left" w:pos="1483"/>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9.1.2 咨询人应做好咨询服务的质量与技术管理工作，加强咨询服务全过程的质量控制，建立完整的咨询服务成果文件的咨询服务、复核、审核、会签和批准制度，明确各阶段的责任人。</w:t>
      </w:r>
    </w:p>
    <w:p w14:paraId="40C4CA80">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9.1.3 咨询人应按合同约定对咨询服务进行全过程的质量检查和检验，并作详细记录，编制咨询服务工作质量报表，报送委托人审查。</w:t>
      </w:r>
    </w:p>
    <w:p w14:paraId="3C9DFC51">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9.1.4 委托人有权对咨询服务工作质量进行检查和审核。咨询人应为委托人的检查和检验提供方便，包括委托人到咨询服务场地或合同约定的其他地方进行察看，查阅、审核咨询服务的原始记录和其他文件。委托人的检查和审核，不免除咨询人按合同约定应负的责任。</w:t>
      </w:r>
    </w:p>
    <w:p w14:paraId="5A8686F6">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 xml:space="preserve">9.2 </w:t>
      </w:r>
      <w:r>
        <w:rPr>
          <w:rFonts w:hint="eastAsia" w:ascii="宋体" w:hAnsi="宋体"/>
          <w:b/>
          <w:color w:val="auto"/>
          <w:sz w:val="24"/>
          <w:highlight w:val="none"/>
        </w:rPr>
        <w:t>咨询</w:t>
      </w:r>
      <w:r>
        <w:rPr>
          <w:rFonts w:ascii="宋体" w:hAnsi="宋体"/>
          <w:b/>
          <w:color w:val="auto"/>
          <w:sz w:val="24"/>
          <w:highlight w:val="none"/>
        </w:rPr>
        <w:t>成果文件错误责任</w:t>
      </w:r>
    </w:p>
    <w:p w14:paraId="7D9E1A1E">
      <w:pPr>
        <w:pStyle w:val="701"/>
        <w:tabs>
          <w:tab w:val="left" w:pos="144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9.2.1 咨询服务成果文件存在错误、遗漏、含混、矛盾、不充分之处或其他缺陷，无论咨询人是否通过了委托人审查或审查机构审查，咨询人均应自费对前述问题带来的缺陷和工程问题进行改正，但因第1.6.2项约定由委托人提供的文件错误导致的除外。</w:t>
      </w:r>
    </w:p>
    <w:p w14:paraId="71B84F17">
      <w:pPr>
        <w:pStyle w:val="701"/>
        <w:tabs>
          <w:tab w:val="left" w:pos="151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9.2.2 因咨询人原因造成咨询服务成果文件不合格的，委托人有权要求咨询人采取补救措施，直至达到合同要求的质量标准，并按第14.1款的约定承担责任。</w:t>
      </w:r>
    </w:p>
    <w:p w14:paraId="12668797">
      <w:pPr>
        <w:pStyle w:val="701"/>
        <w:tabs>
          <w:tab w:val="left" w:pos="143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9.2.3 因委托人原因造成咨询服务成果文件不合格的，咨询人应当采取补救措施，直至达到合同要求的质量标准，由此造成的咨询服务费用增加和（或）咨询服务期限延误由委托人承担。</w:t>
      </w:r>
    </w:p>
    <w:p w14:paraId="52DC89B9">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9.3 咨询责任主体</w:t>
      </w:r>
    </w:p>
    <w:p w14:paraId="6F774F5C">
      <w:pPr>
        <w:pStyle w:val="33"/>
        <w:spacing w:after="0" w:line="520" w:lineRule="exact"/>
        <w:ind w:firstLine="480" w:firstLineChars="200"/>
        <w:rPr>
          <w:rFonts w:hint="eastAsia" w:ascii="宋体" w:hAnsi="宋体"/>
          <w:color w:val="auto"/>
          <w:sz w:val="24"/>
          <w:highlight w:val="none"/>
        </w:rPr>
      </w:pPr>
      <w:r>
        <w:rPr>
          <w:rFonts w:hint="eastAsia" w:ascii="宋体" w:hAnsi="宋体"/>
          <w:color w:val="auto"/>
          <w:sz w:val="24"/>
          <w:highlight w:val="none"/>
        </w:rPr>
        <w:t>咨询人</w:t>
      </w:r>
      <w:r>
        <w:rPr>
          <w:rFonts w:ascii="宋体" w:hAnsi="宋体"/>
          <w:color w:val="auto"/>
          <w:sz w:val="24"/>
          <w:highlight w:val="none"/>
        </w:rPr>
        <w:t>应运用一切合理的专业技术、知识技能和项目经验，按照职业道德准则和行业公认标准尽其全部职责，勤勉、谨慎、公正地履行其在本合同项下的责任和义务。</w:t>
      </w:r>
    </w:p>
    <w:p w14:paraId="6370C3A4">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9.4 咨询保险</w:t>
      </w:r>
    </w:p>
    <w:p w14:paraId="65EF7A96">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除专用合同条款另有约定外，</w:t>
      </w:r>
      <w:r>
        <w:rPr>
          <w:rFonts w:hint="eastAsia" w:ascii="宋体" w:hAnsi="宋体"/>
          <w:color w:val="auto"/>
          <w:sz w:val="24"/>
          <w:highlight w:val="none"/>
        </w:rPr>
        <w:t>咨询人</w:t>
      </w:r>
      <w:r>
        <w:rPr>
          <w:rFonts w:ascii="宋体" w:hAnsi="宋体"/>
          <w:color w:val="auto"/>
          <w:sz w:val="24"/>
          <w:highlight w:val="none"/>
        </w:rPr>
        <w:t>宜具有委托人认可的、履行本合同所需要的工程相关保险并使其于合同责任期内保持有效。</w:t>
      </w:r>
    </w:p>
    <w:p w14:paraId="39AD426E">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工程相关保险应承担由于</w:t>
      </w:r>
      <w:r>
        <w:rPr>
          <w:rFonts w:hint="eastAsia" w:ascii="宋体" w:hAnsi="宋体"/>
          <w:color w:val="auto"/>
          <w:sz w:val="24"/>
          <w:highlight w:val="none"/>
        </w:rPr>
        <w:t>咨询人</w:t>
      </w:r>
      <w:r>
        <w:rPr>
          <w:rFonts w:ascii="宋体" w:hAnsi="宋体"/>
          <w:color w:val="auto"/>
          <w:sz w:val="24"/>
          <w:highlight w:val="none"/>
        </w:rPr>
        <w:t>的疏忽或过失而引发的工程质量事故所造成的建设工程本身的物质损失以及第三者人身伤亡、财产损失或费用的赔偿责任。</w:t>
      </w:r>
    </w:p>
    <w:p w14:paraId="20323530">
      <w:pPr>
        <w:pStyle w:val="723"/>
        <w:spacing w:line="520" w:lineRule="exact"/>
        <w:ind w:firstLine="482"/>
        <w:outlineLvl w:val="1"/>
        <w:rPr>
          <w:rFonts w:ascii="宋体" w:hAnsi="宋体" w:eastAsia="宋体"/>
          <w:b w:val="0"/>
          <w:bCs/>
          <w:color w:val="auto"/>
          <w:szCs w:val="24"/>
          <w:highlight w:val="none"/>
        </w:rPr>
      </w:pPr>
      <w:bookmarkStart w:id="50" w:name="_Toc156986240"/>
      <w:bookmarkStart w:id="51" w:name="_Toc161231752"/>
      <w:r>
        <w:rPr>
          <w:rFonts w:ascii="宋体" w:hAnsi="宋体" w:eastAsia="宋体"/>
          <w:bCs/>
          <w:color w:val="auto"/>
          <w:szCs w:val="24"/>
          <w:highlight w:val="none"/>
        </w:rPr>
        <w:t>10.施工期间配合</w:t>
      </w:r>
      <w:bookmarkEnd w:id="50"/>
      <w:bookmarkEnd w:id="51"/>
    </w:p>
    <w:p w14:paraId="08FC3DDA">
      <w:pPr>
        <w:pStyle w:val="701"/>
        <w:tabs>
          <w:tab w:val="left" w:pos="1423"/>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10.1 施工配合指咨询人配合施工承包人，在施工期间提供的咨询服务或其他配合工作，直至工程通过竣工验收为止。</w:t>
      </w:r>
    </w:p>
    <w:p w14:paraId="78897465">
      <w:pPr>
        <w:pStyle w:val="701"/>
        <w:tabs>
          <w:tab w:val="left" w:pos="1426"/>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10.2 除专用合同条款另有约定外，委托人应为咨询人派赴施工现场的工作人员，在施工期间提供办公房间、办公桌椅、互联网接口、冷暖设施、生活设施、进出现场交通服务和其他便利条件。</w:t>
      </w:r>
    </w:p>
    <w:p w14:paraId="2F8A5A04">
      <w:pPr>
        <w:pStyle w:val="701"/>
        <w:tabs>
          <w:tab w:val="left" w:pos="136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10.3 咨询人应在本工程的施工期间，积极提供咨询服务，包括并不限于</w:t>
      </w:r>
      <w:r>
        <w:rPr>
          <w:rFonts w:hint="eastAsia" w:ascii="宋体" w:hAnsi="宋体"/>
          <w:color w:val="auto"/>
          <w:sz w:val="24"/>
          <w:highlight w:val="none"/>
        </w:rPr>
        <w:t>咨询</w:t>
      </w:r>
      <w:r>
        <w:rPr>
          <w:rFonts w:ascii="宋体" w:hAnsi="宋体"/>
          <w:color w:val="auto"/>
          <w:sz w:val="24"/>
          <w:highlight w:val="none"/>
        </w:rPr>
        <w:t>服务技术交底、施工现场</w:t>
      </w:r>
      <w:r>
        <w:rPr>
          <w:rFonts w:hint="eastAsia" w:ascii="宋体" w:hAnsi="宋体"/>
          <w:color w:val="auto"/>
          <w:sz w:val="24"/>
          <w:highlight w:val="none"/>
        </w:rPr>
        <w:t>咨询</w:t>
      </w:r>
      <w:r>
        <w:rPr>
          <w:rFonts w:ascii="宋体" w:hAnsi="宋体"/>
          <w:color w:val="auto"/>
          <w:sz w:val="24"/>
          <w:highlight w:val="none"/>
        </w:rPr>
        <w:t>服务、参与施工过程验收、参与投产试车（试运行）、参与工程竣工验收等工作。</w:t>
      </w:r>
    </w:p>
    <w:p w14:paraId="55A028C4">
      <w:pPr>
        <w:pStyle w:val="701"/>
        <w:tabs>
          <w:tab w:val="left" w:pos="136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 xml:space="preserve">10.4 </w:t>
      </w:r>
      <w:r>
        <w:rPr>
          <w:rFonts w:hint="eastAsia" w:ascii="宋体" w:hAnsi="宋体"/>
          <w:color w:val="auto"/>
          <w:sz w:val="24"/>
          <w:highlight w:val="none"/>
        </w:rPr>
        <w:t>委</w:t>
      </w:r>
      <w:r>
        <w:rPr>
          <w:rFonts w:ascii="宋体" w:hAnsi="宋体"/>
          <w:color w:val="auto"/>
          <w:sz w:val="24"/>
          <w:highlight w:val="none"/>
        </w:rPr>
        <w:t>托人应当组织</w:t>
      </w:r>
      <w:r>
        <w:rPr>
          <w:rFonts w:hint="eastAsia" w:ascii="宋体" w:hAnsi="宋体"/>
          <w:color w:val="auto"/>
          <w:sz w:val="24"/>
          <w:highlight w:val="none"/>
        </w:rPr>
        <w:t>咨询</w:t>
      </w:r>
      <w:r>
        <w:rPr>
          <w:rFonts w:ascii="宋体" w:hAnsi="宋体"/>
          <w:color w:val="auto"/>
          <w:sz w:val="24"/>
          <w:highlight w:val="none"/>
        </w:rPr>
        <w:t>服务技术交底会，由咨询人向委托人、监理人和施工承包人等进行</w:t>
      </w:r>
      <w:r>
        <w:rPr>
          <w:rFonts w:hint="eastAsia" w:ascii="宋体" w:hAnsi="宋体"/>
          <w:color w:val="auto"/>
          <w:sz w:val="24"/>
          <w:highlight w:val="none"/>
        </w:rPr>
        <w:t>咨询</w:t>
      </w:r>
      <w:r>
        <w:rPr>
          <w:rFonts w:ascii="宋体" w:hAnsi="宋体"/>
          <w:color w:val="auto"/>
          <w:sz w:val="24"/>
          <w:highlight w:val="none"/>
        </w:rPr>
        <w:t>服务交底，对本工程的</w:t>
      </w:r>
      <w:r>
        <w:rPr>
          <w:rFonts w:hint="eastAsia" w:ascii="宋体" w:hAnsi="宋体"/>
          <w:color w:val="auto"/>
          <w:sz w:val="24"/>
          <w:highlight w:val="none"/>
        </w:rPr>
        <w:t>咨询</w:t>
      </w:r>
      <w:r>
        <w:rPr>
          <w:rFonts w:ascii="宋体" w:hAnsi="宋体"/>
          <w:color w:val="auto"/>
          <w:sz w:val="24"/>
          <w:highlight w:val="none"/>
        </w:rPr>
        <w:t>服务意图、</w:t>
      </w:r>
      <w:r>
        <w:rPr>
          <w:rFonts w:hint="eastAsia" w:ascii="宋体" w:hAnsi="宋体"/>
          <w:color w:val="auto"/>
          <w:sz w:val="24"/>
          <w:highlight w:val="none"/>
        </w:rPr>
        <w:t>咨询</w:t>
      </w:r>
      <w:r>
        <w:rPr>
          <w:rFonts w:ascii="宋体" w:hAnsi="宋体"/>
          <w:color w:val="auto"/>
          <w:sz w:val="24"/>
          <w:highlight w:val="none"/>
        </w:rPr>
        <w:t>服务成果文件和施工要求等进行系统地说明和解释。</w:t>
      </w:r>
    </w:p>
    <w:p w14:paraId="3FA10957">
      <w:pPr>
        <w:pStyle w:val="701"/>
        <w:tabs>
          <w:tab w:val="left" w:pos="136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 xml:space="preserve">10.5 </w:t>
      </w:r>
      <w:r>
        <w:rPr>
          <w:rFonts w:hint="eastAsia" w:ascii="宋体" w:hAnsi="宋体"/>
          <w:color w:val="auto"/>
          <w:sz w:val="24"/>
          <w:highlight w:val="none"/>
        </w:rPr>
        <w:t>工</w:t>
      </w:r>
      <w:r>
        <w:rPr>
          <w:rFonts w:ascii="宋体" w:hAnsi="宋体"/>
          <w:color w:val="auto"/>
          <w:sz w:val="24"/>
          <w:highlight w:val="none"/>
        </w:rPr>
        <w:t>程施工完毕后，委托人应当组织投产试车（试运行）和工程竣工验收，咨询人参加验收并出具本单位的验收结论。如因咨询服务原因致使工程不合格的，咨询人应当承担违约责任，免费修改咨询服务成果文件和赔偿委托人由此产生的经济损失。</w:t>
      </w:r>
    </w:p>
    <w:p w14:paraId="221CE5F8">
      <w:pPr>
        <w:pStyle w:val="723"/>
        <w:spacing w:line="520" w:lineRule="exact"/>
        <w:ind w:firstLine="482"/>
        <w:outlineLvl w:val="1"/>
        <w:rPr>
          <w:rFonts w:ascii="宋体" w:hAnsi="宋体" w:eastAsia="宋体"/>
          <w:b w:val="0"/>
          <w:bCs/>
          <w:color w:val="auto"/>
          <w:szCs w:val="24"/>
          <w:highlight w:val="none"/>
        </w:rPr>
      </w:pPr>
      <w:bookmarkStart w:id="52" w:name="_Toc156986241"/>
      <w:bookmarkStart w:id="53" w:name="_Toc161231753"/>
      <w:r>
        <w:rPr>
          <w:rFonts w:ascii="宋体" w:hAnsi="宋体" w:eastAsia="宋体"/>
          <w:bCs/>
          <w:color w:val="auto"/>
          <w:szCs w:val="24"/>
          <w:highlight w:val="none"/>
        </w:rPr>
        <w:t>11.合同变更</w:t>
      </w:r>
      <w:bookmarkEnd w:id="52"/>
      <w:bookmarkEnd w:id="53"/>
    </w:p>
    <w:p w14:paraId="7CBE472A">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11.1 变更情形</w:t>
      </w:r>
    </w:p>
    <w:p w14:paraId="2314851E">
      <w:pPr>
        <w:pStyle w:val="701"/>
        <w:tabs>
          <w:tab w:val="left" w:pos="1601"/>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11.1.1 合同履行中发生下述情形时，合同一方均可向对方提出变更请求，经双方协商一致后进行变更，咨询服务期限和咨询服务费用的调整方法在专用合同条款中约定。</w:t>
      </w:r>
    </w:p>
    <w:p w14:paraId="4B2B2728">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（1）咨询服务范围发生变化；</w:t>
      </w:r>
    </w:p>
    <w:p w14:paraId="59801E5E">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（2）除不可抗力外，非咨询人的原因引起的周期延误；</w:t>
      </w:r>
    </w:p>
    <w:p w14:paraId="114300F1">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（3）非咨询人的原因，全部或部分重复进行咨询服务；</w:t>
      </w:r>
    </w:p>
    <w:p w14:paraId="25B44E34">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（4）非咨询人的原因，暂停咨询服务及恢复咨询服务。</w:t>
      </w:r>
    </w:p>
    <w:p w14:paraId="486D8548">
      <w:pPr>
        <w:pStyle w:val="701"/>
        <w:tabs>
          <w:tab w:val="left" w:pos="155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11.1.2 基准日后，因颁布新的或修订原有法律、法规、规范和标准等引发合同变更情形的，按照上述约定进行调整。</w:t>
      </w:r>
    </w:p>
    <w:p w14:paraId="0529879C">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11.2 合理化建议</w:t>
      </w:r>
    </w:p>
    <w:p w14:paraId="2B8A6FBF">
      <w:pPr>
        <w:pStyle w:val="701"/>
        <w:tabs>
          <w:tab w:val="left" w:pos="1601"/>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11.2.1 合同履行中，咨询人可对委托人要求提出合理化建议。合理化建议应以书面形式提交委托人，被委托人采纳并构成变更的，执行第 11.1 款约定。</w:t>
      </w:r>
    </w:p>
    <w:p w14:paraId="5E5DC53F">
      <w:pPr>
        <w:pStyle w:val="701"/>
        <w:tabs>
          <w:tab w:val="left" w:pos="162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11.2.2 咨询人提出的合理化建议能给委托人增加收益或减少损失的，委托人可以给</w:t>
      </w:r>
      <w:r>
        <w:rPr>
          <w:rFonts w:hint="eastAsia" w:ascii="宋体" w:hAnsi="宋体"/>
          <w:color w:val="auto"/>
          <w:sz w:val="24"/>
          <w:highlight w:val="none"/>
          <w:lang w:val="en-US" w:eastAsia="zh-CN"/>
        </w:rPr>
        <w:t>予</w:t>
      </w:r>
      <w:r>
        <w:rPr>
          <w:rFonts w:ascii="宋体" w:hAnsi="宋体"/>
          <w:color w:val="auto"/>
          <w:sz w:val="24"/>
          <w:highlight w:val="none"/>
        </w:rPr>
        <w:t>奖励，奖励的方式在专用合同条款中约定。</w:t>
      </w:r>
    </w:p>
    <w:p w14:paraId="3C2FC30C">
      <w:pPr>
        <w:pStyle w:val="723"/>
        <w:spacing w:line="520" w:lineRule="exact"/>
        <w:ind w:firstLine="482"/>
        <w:outlineLvl w:val="1"/>
        <w:rPr>
          <w:rFonts w:ascii="宋体" w:hAnsi="宋体" w:eastAsia="宋体"/>
          <w:b w:val="0"/>
          <w:bCs/>
          <w:color w:val="auto"/>
          <w:szCs w:val="24"/>
          <w:highlight w:val="none"/>
        </w:rPr>
      </w:pPr>
      <w:bookmarkStart w:id="54" w:name="_Toc156986242"/>
      <w:bookmarkStart w:id="55" w:name="_Toc161231754"/>
      <w:r>
        <w:rPr>
          <w:rFonts w:ascii="宋体" w:hAnsi="宋体" w:eastAsia="宋体"/>
          <w:bCs/>
          <w:color w:val="auto"/>
          <w:szCs w:val="24"/>
          <w:highlight w:val="none"/>
        </w:rPr>
        <w:t>12.合同价格与支付</w:t>
      </w:r>
      <w:bookmarkEnd w:id="54"/>
      <w:bookmarkEnd w:id="55"/>
    </w:p>
    <w:p w14:paraId="5518550E">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12.1 合同价格</w:t>
      </w:r>
    </w:p>
    <w:p w14:paraId="54DD8B89">
      <w:pPr>
        <w:pStyle w:val="701"/>
        <w:tabs>
          <w:tab w:val="left" w:pos="163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12.1.1 本合同的价款确定方式、调整方式和风险范围划分，在专用合同条款中约定。</w:t>
      </w:r>
    </w:p>
    <w:p w14:paraId="2E88BA45">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12.1.2 咨询服务费用实行委托人签证制度，即咨询人完成咨询服务项目后通知委托人进行验收，通过验收后由委托人代表对实施的咨询服务项目、数量、质量和实施时间签字确认，以此作为计算咨询服务费用的依据之一。</w:t>
      </w:r>
    </w:p>
    <w:p w14:paraId="36EE3111">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12.1.3 除专用合同条款另有约定外，合同价格应当包括收集资料，踏勘现场，进行咨询服务、评估、审查等，编制咨询服务成果文件，施工配合等全部费用和国家规定的增值税税金。</w:t>
      </w:r>
    </w:p>
    <w:p w14:paraId="77D790B3">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12.1.4 委托人要求咨询人进行外出考察、试验检测、专项</w:t>
      </w:r>
      <w:r>
        <w:rPr>
          <w:rFonts w:hint="eastAsia" w:ascii="宋体" w:hAnsi="宋体"/>
          <w:color w:val="auto"/>
          <w:sz w:val="24"/>
          <w:highlight w:val="none"/>
        </w:rPr>
        <w:t>咨询</w:t>
      </w:r>
      <w:r>
        <w:rPr>
          <w:rFonts w:ascii="宋体" w:hAnsi="宋体"/>
          <w:color w:val="auto"/>
          <w:sz w:val="24"/>
          <w:highlight w:val="none"/>
        </w:rPr>
        <w:t>或专家评审时，相应费用不含在合同价格之中，由委托人另行支付。</w:t>
      </w:r>
    </w:p>
    <w:p w14:paraId="0284B34C">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12.2 定金或预付款</w:t>
      </w:r>
    </w:p>
    <w:p w14:paraId="7D82F1CA">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12.2.1 定金或预付款应专用于本工程的咨询服务。定金或预付款的额度、支付方式及抵扣方式在专用合同条款中约定。</w:t>
      </w:r>
    </w:p>
    <w:p w14:paraId="466C909E">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12.2.2 委托人应在收到定金或预付款支付申请后28天内，将定金或预付款支付给咨询人；咨询人应当提供等额的增值税发票。</w:t>
      </w:r>
    </w:p>
    <w:p w14:paraId="469EF3E5">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12.2.3 咨询服务完成之前，由于不可抗力或其他非咨询人的原因解除合同时，定金不予退还。</w:t>
      </w:r>
    </w:p>
    <w:p w14:paraId="320F9E08">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12.3 中期支付</w:t>
      </w:r>
    </w:p>
    <w:p w14:paraId="75CF055C">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12.3.1咨询人应按委托人批准或专用合同条款约定的格式及份数，向委托人提交中期支付申请，并附相应的支持性证明文件。</w:t>
      </w:r>
    </w:p>
    <w:p w14:paraId="1511129B">
      <w:pPr>
        <w:pStyle w:val="701"/>
        <w:tabs>
          <w:tab w:val="left" w:pos="163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12.3.2 委托人应在收到中期支付申请后的28天内，将应付款项支付给咨询人；咨询人应当提供等额的增值税发票。委托人未能在前述时间内完成审批或不予答复的，视为委托人同意中期支付申请。委托人不按期支付的，按专用合同条款的约定支付逾期付款违约金。</w:t>
      </w:r>
    </w:p>
    <w:p w14:paraId="15E98351">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12.3.3 中期支付涉及政府投资资金的，按照国库集中支付等国家相关规定和专用合同条款的约定执行。</w:t>
      </w:r>
    </w:p>
    <w:p w14:paraId="6413155D">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12.4 费用结算</w:t>
      </w:r>
    </w:p>
    <w:p w14:paraId="40C1816B">
      <w:pPr>
        <w:pStyle w:val="701"/>
        <w:tabs>
          <w:tab w:val="left" w:pos="156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12.4.1 提交咨询服务成果文件后，咨询人可按专用合同条款约定的份数和期限，向委托人提交咨询服务费用结算申请，并提供相关证明材料。</w:t>
      </w:r>
    </w:p>
    <w:p w14:paraId="52C816AB">
      <w:pPr>
        <w:pStyle w:val="701"/>
        <w:tabs>
          <w:tab w:val="left" w:pos="156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12.4.2 委托人应在收到费用结算申请后的28天内完成审批，委托人对费用结算申请内容有异议的，有权要求咨询人进行修正和提供补充资料，由咨询人重新提交。咨询人对此有异议的，按第15条的约定执行。费用结算申请完成审批或视为被同意的，自该日起14天内，委托人将应付款项支付给咨询人；咨询人应当提供等额的增值税发票。委托人未能在前述时间内完成审批或不予答复的，视为委托人同意费用结算申请。委托人不按期支付的，按专用合同条款的约定支付逾期付款违约金。</w:t>
      </w:r>
    </w:p>
    <w:p w14:paraId="27274ED1">
      <w:pPr>
        <w:pStyle w:val="701"/>
        <w:tabs>
          <w:tab w:val="left" w:pos="156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12.4.3 最终结清付款涉及政府投资资金的，按第12.3.3项的约定执行。</w:t>
      </w:r>
    </w:p>
    <w:p w14:paraId="4236C8F8">
      <w:pPr>
        <w:pStyle w:val="723"/>
        <w:spacing w:line="520" w:lineRule="exact"/>
        <w:ind w:firstLine="482"/>
        <w:outlineLvl w:val="1"/>
        <w:rPr>
          <w:rFonts w:ascii="宋体" w:hAnsi="宋体" w:eastAsia="宋体"/>
          <w:b w:val="0"/>
          <w:bCs/>
          <w:color w:val="auto"/>
          <w:szCs w:val="24"/>
          <w:highlight w:val="none"/>
        </w:rPr>
      </w:pPr>
      <w:bookmarkStart w:id="56" w:name="_Toc161231755"/>
      <w:bookmarkStart w:id="57" w:name="_Toc156986243"/>
      <w:r>
        <w:rPr>
          <w:rFonts w:ascii="宋体" w:hAnsi="宋体" w:eastAsia="宋体"/>
          <w:bCs/>
          <w:color w:val="auto"/>
          <w:szCs w:val="24"/>
          <w:highlight w:val="none"/>
        </w:rPr>
        <w:t>13.不可抗力</w:t>
      </w:r>
      <w:bookmarkEnd w:id="56"/>
      <w:bookmarkEnd w:id="57"/>
    </w:p>
    <w:p w14:paraId="5C5A17F6">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13.1 不可抗力的确认</w:t>
      </w:r>
    </w:p>
    <w:p w14:paraId="054F62F5">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13.1.1 不可抗力是指咨询人和委托人在订立合同时不可预见，在履行合同过程中不可避免发生并不能克服的自然灾害和社会性突发事件，如地震、海啸、瘟疫、水灾、骚乱、暴动、战争和专用合同条款约定的其他情形。</w:t>
      </w:r>
    </w:p>
    <w:p w14:paraId="28E65417">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13.1.2 不可抗力发生后，委托人和咨询人应及时认真统计所造成的损失，收集不可抗力造成损失的证据。合同双方对是否属于不可抗力或其损失的意见不一致的， 由合同双方协商确定。</w:t>
      </w:r>
    </w:p>
    <w:p w14:paraId="3F05F363">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13.2 不可抗力的通知</w:t>
      </w:r>
    </w:p>
    <w:p w14:paraId="290C1CB1">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13.2.1 合同一方当事人遇到不可抗力事件，使其履行合同义务受到阻碍时，应立即通知合同另一方当事人，书面说明不可抗力和受阻碍的详细情况，并提供必要的证明。</w:t>
      </w:r>
    </w:p>
    <w:p w14:paraId="5323FFCF">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13.2.2 如不可抗力持续发生，合同一方当事人应及时向合同另一方当事人提交中间报告，说明不可抗力和履行合同受阻的情况，并于不可抗力事件结束后28天内提交最终报告及有关资料。</w:t>
      </w:r>
    </w:p>
    <w:p w14:paraId="2251B812">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13.3 不可抗力后果及其处理</w:t>
      </w:r>
    </w:p>
    <w:p w14:paraId="5FB8C084">
      <w:pPr>
        <w:pStyle w:val="701"/>
        <w:tabs>
          <w:tab w:val="left" w:pos="156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13.3.1 不可抗力引起的后果及其损失，应由合同当事人依据法律规定各自承担。不可抗力发生前已完成的咨询服务工作，应当按照合同约定进行支付。</w:t>
      </w:r>
    </w:p>
    <w:p w14:paraId="103ABCC6">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13.3.2 不可抗力发生后，合同当事人应当采取有效措施避免损失进一步扩大，如未采取有效措施致使损失扩大的，应当自行承担扩大部分的损失。</w:t>
      </w:r>
    </w:p>
    <w:p w14:paraId="3B755111">
      <w:pPr>
        <w:pStyle w:val="701"/>
        <w:tabs>
          <w:tab w:val="left" w:pos="1750"/>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13.3.3 因一方当事人迟延履行合同义务，致使迟延履行期间遭遇不可抗力的，应由该当事人承担全部损失且不免除其违约责任。</w:t>
      </w:r>
    </w:p>
    <w:p w14:paraId="08BC586F">
      <w:pPr>
        <w:pStyle w:val="723"/>
        <w:spacing w:line="520" w:lineRule="exact"/>
        <w:ind w:firstLine="482"/>
        <w:outlineLvl w:val="1"/>
        <w:rPr>
          <w:rFonts w:ascii="宋体" w:hAnsi="宋体" w:eastAsia="宋体"/>
          <w:b w:val="0"/>
          <w:bCs/>
          <w:color w:val="auto"/>
          <w:szCs w:val="24"/>
          <w:highlight w:val="none"/>
        </w:rPr>
      </w:pPr>
      <w:bookmarkStart w:id="58" w:name="_Toc161231756"/>
      <w:bookmarkStart w:id="59" w:name="_Toc156986244"/>
      <w:r>
        <w:rPr>
          <w:rFonts w:ascii="宋体" w:hAnsi="宋体" w:eastAsia="宋体"/>
          <w:bCs/>
          <w:color w:val="auto"/>
          <w:szCs w:val="24"/>
          <w:highlight w:val="none"/>
        </w:rPr>
        <w:t>14.违约</w:t>
      </w:r>
      <w:bookmarkEnd w:id="58"/>
      <w:bookmarkEnd w:id="59"/>
    </w:p>
    <w:p w14:paraId="08953B47">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14.1 咨询人违约</w:t>
      </w:r>
    </w:p>
    <w:p w14:paraId="7F0940BE">
      <w:pPr>
        <w:pStyle w:val="701"/>
        <w:tabs>
          <w:tab w:val="left" w:pos="156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14.1.1 合同履行中发生下列情况之一的，属咨询人违约：</w:t>
      </w:r>
    </w:p>
    <w:p w14:paraId="3719D3AB">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（1）咨询服务成果文件不符合法律以及合同约定；</w:t>
      </w:r>
    </w:p>
    <w:p w14:paraId="6FB4D565">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（2）咨询人转包、违法分包或者未经委托人同意擅自分包；</w:t>
      </w:r>
    </w:p>
    <w:p w14:paraId="692AE839">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（3）咨询人未按合同计划完成咨询服务，从而造成工程损失；</w:t>
      </w:r>
    </w:p>
    <w:p w14:paraId="5C4C0EB3">
      <w:pPr>
        <w:pStyle w:val="701"/>
        <w:tabs>
          <w:tab w:val="left" w:pos="1506"/>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（4）咨询人明确表示或以其行为表明不履行合同主要义务的；</w:t>
      </w:r>
    </w:p>
    <w:p w14:paraId="587432CD">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（5）咨询人不履行合同约定的其他义务。</w:t>
      </w:r>
    </w:p>
    <w:p w14:paraId="714169A6">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14.1.2 咨询人发生违约情况时，委托人可向咨询人发出整改通知，要求其在限定期限内纠正；逾期仍不纠正的，委托人有权解除合同并向咨询人发出解除合同通知。咨询人应当承担由于违约所造成的费用增加、周期延误和委托人损失等。</w:t>
      </w:r>
    </w:p>
    <w:p w14:paraId="70189F9F">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14.2 委托人违约</w:t>
      </w:r>
    </w:p>
    <w:p w14:paraId="639B3224">
      <w:pPr>
        <w:pStyle w:val="701"/>
        <w:tabs>
          <w:tab w:val="left" w:pos="1567"/>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14.2.1 合同履行中发生下列情况之一的，属委托人违约：</w:t>
      </w:r>
    </w:p>
    <w:p w14:paraId="03EF47C2">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（1）委托人未按合同约定支付咨询服务费用；</w:t>
      </w:r>
    </w:p>
    <w:p w14:paraId="7248A7AB">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（2）委托人原因造成咨询服务停止；</w:t>
      </w:r>
    </w:p>
    <w:p w14:paraId="7817ABF2">
      <w:pPr>
        <w:pStyle w:val="701"/>
        <w:tabs>
          <w:tab w:val="left" w:pos="1506"/>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（3）委托人明确表示或以其行为表明不履行合同主要义务的；</w:t>
      </w:r>
    </w:p>
    <w:p w14:paraId="3D9E97DE">
      <w:pPr>
        <w:pStyle w:val="701"/>
        <w:tabs>
          <w:tab w:val="left" w:pos="1511"/>
        </w:tabs>
        <w:autoSpaceDE w:val="0"/>
        <w:autoSpaceDN w:val="0"/>
        <w:spacing w:line="520" w:lineRule="exact"/>
        <w:ind w:firstLine="480"/>
        <w:rPr>
          <w:rFonts w:hint="eastAsia" w:ascii="宋体" w:hAnsi="宋体"/>
          <w:color w:val="auto"/>
          <w:sz w:val="24"/>
          <w:highlight w:val="none"/>
        </w:rPr>
      </w:pPr>
      <w:r>
        <w:rPr>
          <w:rFonts w:ascii="宋体" w:hAnsi="宋体"/>
          <w:color w:val="auto"/>
          <w:sz w:val="24"/>
          <w:highlight w:val="none"/>
        </w:rPr>
        <w:t>（4）委托人不履行合同约定的其他义务。</w:t>
      </w:r>
    </w:p>
    <w:p w14:paraId="64BED09B">
      <w:pPr>
        <w:pStyle w:val="701"/>
        <w:tabs>
          <w:tab w:val="left" w:pos="1598"/>
        </w:tabs>
        <w:autoSpaceDE w:val="0"/>
        <w:autoSpaceDN w:val="0"/>
        <w:spacing w:line="520" w:lineRule="exact"/>
        <w:ind w:firstLine="480"/>
        <w:jc w:val="left"/>
        <w:rPr>
          <w:rFonts w:hint="eastAsia" w:ascii="宋体" w:hAnsi="宋体"/>
          <w:color w:val="auto"/>
          <w:sz w:val="24"/>
          <w:highlight w:val="none"/>
        </w:rPr>
      </w:pPr>
      <w:r>
        <w:rPr>
          <w:rFonts w:ascii="宋体" w:hAnsi="宋体"/>
          <w:color w:val="auto"/>
          <w:sz w:val="24"/>
          <w:highlight w:val="none"/>
        </w:rPr>
        <w:t>14.2.2 委托人发生违约情况时，咨询人可向委托人发出暂停咨询服务通知，要求其在限定期限内纠正；逾期仍不纠正的，咨询人有权解除合同并向委托人发出解除合同通知。委托人应当承担由于违约所造成的费用增加、周期延误和咨询人损失等。</w:t>
      </w:r>
    </w:p>
    <w:p w14:paraId="7308FF74">
      <w:pPr>
        <w:pStyle w:val="701"/>
        <w:tabs>
          <w:tab w:val="left" w:pos="1082"/>
        </w:tabs>
        <w:autoSpaceDE w:val="0"/>
        <w:autoSpaceDN w:val="0"/>
        <w:spacing w:line="520" w:lineRule="exact"/>
        <w:ind w:firstLine="482"/>
        <w:jc w:val="left"/>
        <w:rPr>
          <w:rFonts w:hint="eastAsia" w:ascii="宋体" w:hAnsi="宋体"/>
          <w:b/>
          <w:color w:val="auto"/>
          <w:sz w:val="24"/>
          <w:highlight w:val="none"/>
        </w:rPr>
      </w:pPr>
      <w:r>
        <w:rPr>
          <w:rFonts w:ascii="宋体" w:hAnsi="宋体"/>
          <w:b/>
          <w:color w:val="auto"/>
          <w:sz w:val="24"/>
          <w:highlight w:val="none"/>
        </w:rPr>
        <w:t>14.3 第三人造成的违约</w:t>
      </w:r>
    </w:p>
    <w:p w14:paraId="483955E5">
      <w:pPr>
        <w:pStyle w:val="33"/>
        <w:spacing w:after="0" w:line="520" w:lineRule="exact"/>
        <w:ind w:firstLine="480" w:firstLineChars="200"/>
        <w:rPr>
          <w:rFonts w:hint="eastAsia" w:ascii="宋体" w:hAnsi="宋体"/>
          <w:color w:val="auto"/>
          <w:sz w:val="24"/>
          <w:highlight w:val="none"/>
        </w:rPr>
      </w:pPr>
      <w:r>
        <w:rPr>
          <w:rFonts w:ascii="宋体" w:hAnsi="宋体"/>
          <w:color w:val="auto"/>
          <w:sz w:val="24"/>
          <w:highlight w:val="none"/>
        </w:rPr>
        <w:t>在履行合同过程中，一方当事人因第三人的原因造成违约的，应当向对方当事人承担违约责任。一方当事人和第三人之间的纠纷，依照法律规定或者按照约定解决。</w:t>
      </w:r>
    </w:p>
    <w:p w14:paraId="2DFE93B1">
      <w:pPr>
        <w:pStyle w:val="723"/>
        <w:spacing w:line="520" w:lineRule="exact"/>
        <w:ind w:firstLine="482"/>
        <w:outlineLvl w:val="1"/>
        <w:rPr>
          <w:rFonts w:ascii="宋体" w:hAnsi="宋体" w:eastAsia="宋体"/>
          <w:b w:val="0"/>
          <w:bCs/>
          <w:color w:val="auto"/>
          <w:szCs w:val="24"/>
          <w:highlight w:val="none"/>
        </w:rPr>
      </w:pPr>
      <w:bookmarkStart w:id="60" w:name="_Toc161231757"/>
      <w:bookmarkStart w:id="61" w:name="_Toc156986245"/>
      <w:r>
        <w:rPr>
          <w:rFonts w:ascii="宋体" w:hAnsi="宋体" w:eastAsia="宋体"/>
          <w:bCs/>
          <w:color w:val="auto"/>
          <w:szCs w:val="24"/>
          <w:highlight w:val="none"/>
        </w:rPr>
        <w:t>15.争议的解决</w:t>
      </w:r>
      <w:bookmarkEnd w:id="60"/>
      <w:bookmarkEnd w:id="61"/>
    </w:p>
    <w:p w14:paraId="4EEED14C">
      <w:pPr>
        <w:spacing w:line="520" w:lineRule="exact"/>
        <w:ind w:firstLine="480" w:firstLineChars="200"/>
        <w:rPr>
          <w:rFonts w:hint="eastAsia" w:ascii="宋体" w:hAnsi="宋体"/>
          <w:color w:val="auto"/>
          <w:sz w:val="24"/>
          <w:highlight w:val="none"/>
        </w:rPr>
      </w:pPr>
      <w:r>
        <w:rPr>
          <w:rFonts w:ascii="宋体" w:hAnsi="宋体"/>
          <w:color w:val="auto"/>
          <w:sz w:val="24"/>
          <w:highlight w:val="none"/>
        </w:rPr>
        <w:t>委托人和咨询人在履行合同中发生争议的，可以友好协商解决。合同当事人友好协商解决不成的，可在专用合同条款中约定下列一种方式解决：</w:t>
      </w:r>
    </w:p>
    <w:p w14:paraId="7504F9F8">
      <w:pPr>
        <w:spacing w:line="520" w:lineRule="exact"/>
        <w:ind w:firstLine="480" w:firstLineChars="200"/>
        <w:rPr>
          <w:rFonts w:hint="eastAsia" w:ascii="宋体" w:hAnsi="宋体"/>
          <w:color w:val="auto"/>
          <w:sz w:val="24"/>
          <w:highlight w:val="none"/>
        </w:rPr>
      </w:pPr>
      <w:r>
        <w:rPr>
          <w:rFonts w:ascii="宋体" w:hAnsi="宋体"/>
          <w:color w:val="auto"/>
          <w:sz w:val="24"/>
          <w:highlight w:val="none"/>
        </w:rPr>
        <w:t>（1）向约定的仲裁委员会申请仲裁；</w:t>
      </w:r>
    </w:p>
    <w:p w14:paraId="490C5F58">
      <w:pPr>
        <w:spacing w:line="520" w:lineRule="exact"/>
        <w:ind w:firstLine="480" w:firstLineChars="200"/>
        <w:rPr>
          <w:rFonts w:hint="eastAsia" w:ascii="宋体" w:hAnsi="宋体"/>
          <w:color w:val="auto"/>
          <w:sz w:val="24"/>
          <w:highlight w:val="none"/>
        </w:rPr>
      </w:pPr>
      <w:r>
        <w:rPr>
          <w:rFonts w:ascii="宋体" w:hAnsi="宋体"/>
          <w:color w:val="auto"/>
          <w:sz w:val="24"/>
          <w:highlight w:val="none"/>
        </w:rPr>
        <w:t>（2）向有管辖权的人民法院提起诉讼。</w:t>
      </w:r>
    </w:p>
    <w:p w14:paraId="1F972E41">
      <w:pPr>
        <w:spacing w:line="360" w:lineRule="auto"/>
        <w:rPr>
          <w:color w:val="auto"/>
          <w:sz w:val="24"/>
          <w:highlight w:val="none"/>
        </w:rPr>
      </w:pPr>
    </w:p>
    <w:p w14:paraId="4CE5023B">
      <w:pPr>
        <w:widowControl/>
        <w:spacing w:before="260" w:after="260" w:line="440" w:lineRule="atLeast"/>
        <w:jc w:val="center"/>
        <w:outlineLvl w:val="1"/>
        <w:rPr>
          <w:rFonts w:hint="default" w:ascii="Times New Roman" w:hAnsi="Times New Roman" w:eastAsia="黑体"/>
          <w:b/>
          <w:color w:val="auto"/>
          <w:spacing w:val="1"/>
          <w:kern w:val="0"/>
          <w:sz w:val="32"/>
          <w:szCs w:val="32"/>
          <w:highlight w:val="none"/>
          <w:lang w:val="en-US" w:eastAsia="zh-CN"/>
        </w:rPr>
      </w:pPr>
      <w:r>
        <w:rPr>
          <w:color w:val="auto"/>
          <w:sz w:val="24"/>
          <w:szCs w:val="24"/>
          <w:highlight w:val="none"/>
        </w:rPr>
        <w:br w:type="page"/>
      </w:r>
      <w:bookmarkEnd w:id="21"/>
      <w:bookmarkEnd w:id="22"/>
      <w:bookmarkEnd w:id="23"/>
      <w:bookmarkEnd w:id="24"/>
      <w:bookmarkEnd w:id="25"/>
      <w:bookmarkEnd w:id="26"/>
      <w:bookmarkEnd w:id="27"/>
      <w:bookmarkEnd w:id="28"/>
      <w:bookmarkEnd w:id="29"/>
      <w:bookmarkEnd w:id="30"/>
      <w:bookmarkEnd w:id="31"/>
      <w:r>
        <w:rPr>
          <w:rFonts w:ascii="Times New Roman" w:hAnsi="Times New Roman" w:eastAsia="黑体"/>
          <w:b/>
          <w:color w:val="auto"/>
          <w:spacing w:val="1"/>
          <w:kern w:val="0"/>
          <w:sz w:val="32"/>
          <w:szCs w:val="32"/>
          <w:highlight w:val="none"/>
        </w:rPr>
        <w:t>第二节</w:t>
      </w:r>
      <w:r>
        <w:rPr>
          <w:rFonts w:hint="eastAsia" w:eastAsia="黑体"/>
          <w:b/>
          <w:color w:val="auto"/>
          <w:spacing w:val="1"/>
          <w:kern w:val="0"/>
          <w:sz w:val="32"/>
          <w:szCs w:val="32"/>
          <w:highlight w:val="none"/>
          <w:lang w:val="en-US" w:eastAsia="zh-CN"/>
        </w:rPr>
        <w:t xml:space="preserve">  </w:t>
      </w:r>
      <w:r>
        <w:rPr>
          <w:rFonts w:ascii="Times New Roman" w:hAnsi="Times New Roman" w:eastAsia="黑体"/>
          <w:b/>
          <w:color w:val="auto"/>
          <w:spacing w:val="1"/>
          <w:kern w:val="0"/>
          <w:sz w:val="32"/>
          <w:szCs w:val="32"/>
          <w:highlight w:val="none"/>
        </w:rPr>
        <w:t>专用合同条款</w:t>
      </w:r>
    </w:p>
    <w:p w14:paraId="7654A625">
      <w:pPr>
        <w:spacing w:after="120" w:line="440" w:lineRule="atLeast"/>
        <w:ind w:firstLine="480" w:firstLineChars="200"/>
        <w:rPr>
          <w:b/>
          <w:bCs/>
          <w:color w:val="auto"/>
          <w:sz w:val="24"/>
          <w:szCs w:val="24"/>
          <w:highlight w:val="none"/>
        </w:rPr>
      </w:pPr>
      <w:r>
        <w:rPr>
          <w:rFonts w:hint="eastAsia" w:ascii="宋体" w:hAnsi="宋体"/>
          <w:color w:val="auto"/>
          <w:sz w:val="24"/>
          <w:szCs w:val="24"/>
          <w:highlight w:val="none"/>
        </w:rPr>
        <w:t>本合同条款是对咨询服务通用合同条款中相关条款的补充、修改或增加。当专用合同条款与通用条款不一致时，以专用合同条款为准，通用合同条款中未作修改或增补的条款继续有效。</w:t>
      </w:r>
    </w:p>
    <w:p w14:paraId="2852C198">
      <w:pPr>
        <w:pStyle w:val="4"/>
        <w:spacing w:before="78" w:beforeLines="25" w:after="78" w:afterLines="25" w:line="300" w:lineRule="auto"/>
        <w:rPr>
          <w:rFonts w:hint="eastAsia" w:ascii="黑体" w:hAnsi="黑体" w:eastAsia="黑体"/>
          <w:b w:val="0"/>
          <w:color w:val="auto"/>
          <w:position w:val="0"/>
          <w:szCs w:val="24"/>
          <w:highlight w:val="none"/>
        </w:rPr>
      </w:pPr>
      <w:bookmarkStart w:id="62" w:name="_Toc234833230"/>
      <w:r>
        <w:rPr>
          <w:rFonts w:hint="eastAsia" w:ascii="黑体" w:hAnsi="黑体" w:eastAsia="黑体"/>
          <w:b w:val="0"/>
          <w:color w:val="auto"/>
          <w:position w:val="0"/>
          <w:szCs w:val="24"/>
          <w:highlight w:val="none"/>
        </w:rPr>
        <w:t>1．一般约定</w:t>
      </w:r>
    </w:p>
    <w:p w14:paraId="1A685900">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63" w:name="_Toc237230858"/>
      <w:r>
        <w:rPr>
          <w:rFonts w:hint="eastAsia" w:ascii="黑体" w:hAnsi="黑体" w:eastAsia="黑体" w:cs="黑体"/>
          <w:i w:val="0"/>
          <w:iCs/>
          <w:color w:val="auto"/>
          <w:szCs w:val="24"/>
          <w:highlight w:val="none"/>
        </w:rPr>
        <w:t>1.1 词语定义</w:t>
      </w:r>
      <w:bookmarkEnd w:id="63"/>
    </w:p>
    <w:p w14:paraId="2247AD79">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合同条款的下列词语应具有本款所赋予的含义。</w:t>
      </w:r>
    </w:p>
    <w:p w14:paraId="460E55FE">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 合同</w:t>
      </w:r>
    </w:p>
    <w:p w14:paraId="5D254840">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1.1.1.1 合同文件（或称合同）：指合同协议书、</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函附录、合同条款、技术标准和要求，以及其他合同文件。</w:t>
      </w:r>
    </w:p>
    <w:p w14:paraId="0B8D3510">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1.1.1.2 合同协议书：指第1.5 款所指的合同协议书。</w:t>
      </w:r>
    </w:p>
    <w:p w14:paraId="1E09A6BA">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1.1.1.3 </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通知书：指发包人通知承包人</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的函件。</w:t>
      </w:r>
    </w:p>
    <w:p w14:paraId="03661440">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1.1.1.4 </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函（报价函）：指构成合同文件组成部分的由承包人填写并签署的</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w:t>
      </w:r>
    </w:p>
    <w:p w14:paraId="4242FA19">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1.1.1.5 </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函（报价函）附录：指附在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函（报价函）后构成合同文件的</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函附录。</w:t>
      </w:r>
    </w:p>
    <w:p w14:paraId="2FD277BC">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1.1.1.6 技术标准和要求：指构成合同文件组成部分的名为技术标准和要求的文件，包括合同双方当事人约定对其所作的修改或补充。</w:t>
      </w:r>
    </w:p>
    <w:p w14:paraId="03F44121">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1.1.1.7 其他合同文件：指经合同双方当事人确认构成合同文件的其他文件。</w:t>
      </w:r>
    </w:p>
    <w:p w14:paraId="1E657635">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 合同当事人和人员</w:t>
      </w:r>
    </w:p>
    <w:p w14:paraId="60A83F18">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1.1.2.1 合同当事人：指发包人和（或）承包人。</w:t>
      </w:r>
    </w:p>
    <w:p w14:paraId="71F77C7C">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1.1.2.2 发包人：指与承包人在合同协议书中签字的当事人，</w:t>
      </w:r>
      <w:r>
        <w:rPr>
          <w:rFonts w:ascii="宋体" w:hAnsi="宋体"/>
          <w:color w:val="auto"/>
          <w:position w:val="0"/>
          <w:sz w:val="24"/>
          <w:szCs w:val="24"/>
          <w:highlight w:val="none"/>
        </w:rPr>
        <w:t>本项目指“</w:t>
      </w:r>
      <w:r>
        <w:rPr>
          <w:rFonts w:hint="eastAsia" w:ascii="宋体" w:hAnsi="宋体"/>
          <w:color w:val="auto"/>
          <w:position w:val="0"/>
          <w:sz w:val="24"/>
          <w:szCs w:val="24"/>
          <w:highlight w:val="none"/>
          <w:lang w:eastAsia="zh-CN"/>
        </w:rPr>
        <w:t>湖南省新新张官高速公路建设开发有限公司张家界分公司</w:t>
      </w:r>
      <w:r>
        <w:rPr>
          <w:rFonts w:ascii="宋体" w:hAnsi="宋体"/>
          <w:color w:val="auto"/>
          <w:position w:val="0"/>
          <w:sz w:val="24"/>
          <w:szCs w:val="24"/>
          <w:highlight w:val="none"/>
        </w:rPr>
        <w:t>”</w:t>
      </w:r>
      <w:r>
        <w:rPr>
          <w:rFonts w:hint="eastAsia" w:ascii="宋体" w:hAnsi="宋体"/>
          <w:color w:val="auto"/>
          <w:position w:val="0"/>
          <w:sz w:val="24"/>
          <w:szCs w:val="24"/>
          <w:highlight w:val="none"/>
        </w:rPr>
        <w:t>。</w:t>
      </w:r>
    </w:p>
    <w:p w14:paraId="198DEAF7">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1.1.2.3 承包人：指与发包人签订合同协议书的当事人</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及其合法继承人</w:t>
      </w:r>
      <w:r>
        <w:rPr>
          <w:rFonts w:hint="eastAsia" w:ascii="宋体" w:hAnsi="宋体"/>
          <w:color w:val="auto"/>
          <w:position w:val="0"/>
          <w:sz w:val="24"/>
          <w:szCs w:val="24"/>
          <w:highlight w:val="none"/>
        </w:rPr>
        <w:t>。</w:t>
      </w:r>
    </w:p>
    <w:p w14:paraId="5B373B32">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1.1.2.4 承包人项目负责人：</w:t>
      </w:r>
      <w:r>
        <w:rPr>
          <w:rFonts w:hint="eastAsia" w:ascii="宋体" w:hAnsi="宋体"/>
          <w:color w:val="auto"/>
          <w:position w:val="0"/>
          <w:sz w:val="24"/>
          <w:szCs w:val="24"/>
          <w:highlight w:val="none"/>
          <w:lang w:val="en-US" w:eastAsia="zh-CN"/>
        </w:rPr>
        <w:t>指由承包人任命，代表承包人行使权利和履行义务的全权负责人。</w:t>
      </w:r>
    </w:p>
    <w:p w14:paraId="42A438B5">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1.1.2.5 分包人：指从承包人处分包合同中某一部分工程，并与其签订分包合同的分包人。</w:t>
      </w:r>
    </w:p>
    <w:p w14:paraId="40FB9121">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1.1.2.6 监理人：指受发包人委托对合同履行实施管理的法人或其他组织。本项目</w:t>
      </w:r>
      <w:r>
        <w:rPr>
          <w:rFonts w:ascii="宋体" w:hAnsi="宋体"/>
          <w:color w:val="auto"/>
          <w:position w:val="0"/>
          <w:sz w:val="24"/>
          <w:szCs w:val="24"/>
          <w:highlight w:val="none"/>
        </w:rPr>
        <w:t>监理人</w:t>
      </w:r>
      <w:r>
        <w:rPr>
          <w:rFonts w:hint="eastAsia" w:ascii="宋体" w:hAnsi="宋体"/>
          <w:color w:val="auto"/>
          <w:position w:val="0"/>
          <w:sz w:val="24"/>
          <w:szCs w:val="24"/>
          <w:highlight w:val="none"/>
        </w:rPr>
        <w:t>已由</w:t>
      </w:r>
      <w:r>
        <w:rPr>
          <w:rFonts w:ascii="宋体" w:hAnsi="宋体"/>
          <w:color w:val="auto"/>
          <w:position w:val="0"/>
          <w:sz w:val="24"/>
          <w:szCs w:val="24"/>
          <w:highlight w:val="none"/>
        </w:rPr>
        <w:t>发包人通过公开招标的方式选定。</w:t>
      </w:r>
    </w:p>
    <w:p w14:paraId="17CD9798">
      <w:pPr>
        <w:pStyle w:val="53"/>
        <w:ind w:firstLine="480" w:firstLineChars="200"/>
        <w:rPr>
          <w:color w:val="auto"/>
          <w:highlight w:val="none"/>
        </w:rPr>
      </w:pPr>
      <w:r>
        <w:rPr>
          <w:rFonts w:hint="eastAsia" w:ascii="宋体" w:hAnsi="宋体"/>
          <w:color w:val="auto"/>
          <w:position w:val="0"/>
          <w:sz w:val="24"/>
          <w:szCs w:val="24"/>
          <w:highlight w:val="none"/>
        </w:rPr>
        <w:t>1.1.2.</w:t>
      </w:r>
      <w:r>
        <w:rPr>
          <w:rFonts w:hint="eastAsia" w:ascii="宋体" w:hAnsi="宋体"/>
          <w:color w:val="auto"/>
          <w:position w:val="0"/>
          <w:sz w:val="24"/>
          <w:szCs w:val="24"/>
          <w:highlight w:val="none"/>
          <w:lang w:val="en-US" w:eastAsia="zh-CN"/>
        </w:rPr>
        <w:t>7 行政管理部门：指交通运输主管部门或对本工程依法享有行政监督权的其他政府部门。</w:t>
      </w:r>
    </w:p>
    <w:p w14:paraId="00D2634B">
      <w:pPr>
        <w:ind w:firstLine="480" w:firstLineChars="200"/>
        <w:rPr>
          <w:rFonts w:hint="default" w:eastAsia="宋体"/>
          <w:color w:val="auto"/>
          <w:highlight w:val="none"/>
          <w:lang w:val="en-US" w:eastAsia="zh-CN"/>
        </w:rPr>
      </w:pPr>
      <w:r>
        <w:rPr>
          <w:rFonts w:hint="eastAsia" w:ascii="宋体" w:hAnsi="宋体"/>
          <w:color w:val="auto"/>
          <w:position w:val="0"/>
          <w:sz w:val="24"/>
          <w:szCs w:val="24"/>
          <w:highlight w:val="none"/>
        </w:rPr>
        <w:t>1.1.2.</w:t>
      </w:r>
      <w:r>
        <w:rPr>
          <w:rFonts w:hint="eastAsia" w:ascii="宋体" w:hAnsi="宋体"/>
          <w:color w:val="auto"/>
          <w:position w:val="0"/>
          <w:sz w:val="24"/>
          <w:szCs w:val="24"/>
          <w:highlight w:val="none"/>
          <w:lang w:val="en-US" w:eastAsia="zh-CN"/>
        </w:rPr>
        <w:t>8 第三方：指除发包人、承包人之外与本工程建设相关的其他当事人。</w:t>
      </w:r>
    </w:p>
    <w:p w14:paraId="3670014E">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 工程和设备</w:t>
      </w:r>
    </w:p>
    <w:p w14:paraId="5A2C39F2">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1.1.3.1 工程：为完成项目所实施的一项或若干项永久或临时工程（包括向发包人提供的物资和设备）。</w:t>
      </w:r>
    </w:p>
    <w:p w14:paraId="1A8893D6">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1.1.3.2 永久工程：指按合同约定建造并移交给发包人的工程，包括工程设备。</w:t>
      </w:r>
    </w:p>
    <w:p w14:paraId="49DF3C32">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1.1.3.3 临时工程：指为完成合同约定的永久工程所修建的各类临时性工程。</w:t>
      </w:r>
    </w:p>
    <w:p w14:paraId="4E27D6DD">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1.1.3.4 工程设备：指构成或计划构成永久工程一部分的机电设备、金属结构设备、仪器装置及其他类似的设备和装置。</w:t>
      </w:r>
    </w:p>
    <w:p w14:paraId="75190427">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1.1.3.5 试验检测设备：指为完成合同约定的各项工作所需的设备、器具和其他物品，不包括临时工程和材料。</w:t>
      </w:r>
    </w:p>
    <w:p w14:paraId="4628C904">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w:t>
      </w:r>
      <w:r>
        <w:rPr>
          <w:rFonts w:ascii="宋体" w:hAnsi="宋体"/>
          <w:color w:val="auto"/>
          <w:position w:val="0"/>
          <w:sz w:val="24"/>
          <w:szCs w:val="24"/>
          <w:highlight w:val="none"/>
        </w:rPr>
        <w:t>6</w:t>
      </w:r>
      <w:r>
        <w:rPr>
          <w:rFonts w:hint="eastAsia" w:ascii="宋体" w:hAnsi="宋体"/>
          <w:color w:val="auto"/>
          <w:position w:val="0"/>
          <w:sz w:val="24"/>
          <w:szCs w:val="24"/>
          <w:highlight w:val="none"/>
        </w:rPr>
        <w:t xml:space="preserve"> 承包人设备：指承包人自带的试验检测设备。</w:t>
      </w:r>
    </w:p>
    <w:p w14:paraId="57DDC98E">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1.1.3.</w:t>
      </w:r>
      <w:r>
        <w:rPr>
          <w:rFonts w:ascii="宋体" w:hAnsi="宋体"/>
          <w:color w:val="auto"/>
          <w:position w:val="0"/>
          <w:sz w:val="24"/>
          <w:szCs w:val="24"/>
          <w:highlight w:val="none"/>
        </w:rPr>
        <w:t>7</w:t>
      </w:r>
      <w:r>
        <w:rPr>
          <w:rFonts w:hint="eastAsia" w:ascii="宋体" w:hAnsi="宋体"/>
          <w:color w:val="auto"/>
          <w:position w:val="0"/>
          <w:sz w:val="24"/>
          <w:szCs w:val="24"/>
          <w:highlight w:val="none"/>
        </w:rPr>
        <w:t xml:space="preserve"> 施工场地（或称工地、现场）：指用于合同工程试验检测的场所，以及在合同中指定作为试验检测场地组成部分的其他场所。</w:t>
      </w:r>
    </w:p>
    <w:p w14:paraId="514C9B65">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rPr>
        <w:t>1.1.3.</w:t>
      </w:r>
      <w:r>
        <w:rPr>
          <w:rFonts w:hint="eastAsia" w:ascii="宋体" w:hAnsi="宋体"/>
          <w:color w:val="auto"/>
          <w:position w:val="0"/>
          <w:sz w:val="24"/>
          <w:szCs w:val="24"/>
          <w:highlight w:val="none"/>
          <w:lang w:val="en-US" w:eastAsia="zh-CN"/>
        </w:rPr>
        <w:t>8 施工质量检测：承包人就本项目工程为发包人提供的服务。本合同施工质量检测包括：土建</w:t>
      </w:r>
      <w:r>
        <w:rPr>
          <w:rFonts w:hint="eastAsia" w:ascii="宋体" w:hAnsi="宋体"/>
          <w:color w:val="auto"/>
          <w:position w:val="0"/>
          <w:sz w:val="24"/>
          <w:szCs w:val="24"/>
          <w:highlight w:val="none"/>
          <w:u w:val="single"/>
          <w:lang w:val="en-US" w:eastAsia="zh-CN"/>
        </w:rPr>
        <w:t xml:space="preserve">   </w:t>
      </w:r>
      <w:r>
        <w:rPr>
          <w:rFonts w:hint="eastAsia" w:ascii="宋体" w:hAnsi="宋体"/>
          <w:color w:val="auto"/>
          <w:position w:val="0"/>
          <w:sz w:val="24"/>
          <w:szCs w:val="24"/>
          <w:highlight w:val="none"/>
          <w:lang w:val="en-US" w:eastAsia="zh-CN"/>
        </w:rPr>
        <w:t>标～土建</w:t>
      </w:r>
      <w:r>
        <w:rPr>
          <w:rFonts w:hint="eastAsia" w:ascii="宋体" w:hAnsi="宋体"/>
          <w:color w:val="auto"/>
          <w:position w:val="0"/>
          <w:sz w:val="24"/>
          <w:szCs w:val="24"/>
          <w:highlight w:val="none"/>
          <w:u w:val="single"/>
          <w:lang w:val="en-US" w:eastAsia="zh-CN"/>
        </w:rPr>
        <w:t xml:space="preserve">   </w:t>
      </w:r>
      <w:r>
        <w:rPr>
          <w:rFonts w:hint="eastAsia" w:ascii="宋体" w:hAnsi="宋体"/>
          <w:color w:val="auto"/>
          <w:position w:val="0"/>
          <w:sz w:val="24"/>
          <w:szCs w:val="24"/>
          <w:highlight w:val="none"/>
          <w:lang w:val="en-US" w:eastAsia="zh-CN"/>
        </w:rPr>
        <w:t>标工程范围内</w:t>
      </w:r>
      <w:r>
        <w:rPr>
          <w:rFonts w:hint="eastAsia" w:ascii="宋体" w:hAnsi="宋体"/>
          <w:color w:val="auto"/>
          <w:position w:val="0"/>
          <w:sz w:val="24"/>
          <w:szCs w:val="24"/>
          <w:highlight w:val="none"/>
          <w:u w:val="single"/>
          <w:lang w:val="en-US" w:eastAsia="zh-CN"/>
        </w:rPr>
        <w:t xml:space="preserve">    （安评、环评和职业病三同时咨询服务服务）    </w:t>
      </w:r>
      <w:r>
        <w:rPr>
          <w:rFonts w:hint="eastAsia" w:ascii="宋体" w:hAnsi="宋体"/>
          <w:color w:val="auto"/>
          <w:position w:val="0"/>
          <w:sz w:val="24"/>
          <w:szCs w:val="24"/>
          <w:highlight w:val="none"/>
          <w:lang w:val="en-US" w:eastAsia="zh-CN"/>
        </w:rPr>
        <w:t>。</w:t>
      </w:r>
    </w:p>
    <w:p w14:paraId="32EB738B">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360" w:firstLineChars="200"/>
        <w:textAlignment w:val="auto"/>
        <w:rPr>
          <w:rFonts w:hint="eastAsia" w:ascii="宋体" w:hAnsi="宋体"/>
          <w:color w:val="auto"/>
          <w:position w:val="0"/>
          <w:sz w:val="24"/>
          <w:szCs w:val="24"/>
          <w:highlight w:val="none"/>
          <w:lang w:val="en-US" w:eastAsia="zh-CN"/>
        </w:rPr>
      </w:pPr>
      <w:r>
        <w:rPr>
          <w:rFonts w:hint="eastAsia"/>
          <w:color w:val="auto"/>
          <w:highlight w:val="none"/>
          <w:lang w:val="en-US" w:eastAsia="zh-CN"/>
        </w:rPr>
        <w:t xml:space="preserve"> </w:t>
      </w:r>
      <w:r>
        <w:rPr>
          <w:rFonts w:hint="eastAsia" w:ascii="宋体" w:hAnsi="宋体"/>
          <w:color w:val="auto"/>
          <w:position w:val="0"/>
          <w:sz w:val="24"/>
          <w:szCs w:val="24"/>
          <w:highlight w:val="none"/>
        </w:rPr>
        <w:t>1.1.3.</w:t>
      </w:r>
      <w:r>
        <w:rPr>
          <w:rFonts w:hint="eastAsia" w:ascii="宋体" w:hAnsi="宋体"/>
          <w:color w:val="auto"/>
          <w:position w:val="0"/>
          <w:sz w:val="24"/>
          <w:szCs w:val="24"/>
          <w:highlight w:val="none"/>
          <w:lang w:val="en-US" w:eastAsia="zh-CN"/>
        </w:rPr>
        <w:t xml:space="preserve">9 安评、环评和职业病三同时咨询服务报告：指承包人在履行本合同安评、环评和职业病三同时咨询服务过程中，依据验收结果出具的书面报告、通知、意见等文件。 </w:t>
      </w:r>
    </w:p>
    <w:p w14:paraId="734D1B95">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 日期</w:t>
      </w:r>
    </w:p>
    <w:p w14:paraId="2F0915E6">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eastAsia="宋体" w:cs="Times New Roman"/>
          <w:color w:val="auto"/>
          <w:kern w:val="2"/>
          <w:position w:val="0"/>
          <w:sz w:val="24"/>
          <w:szCs w:val="24"/>
          <w:highlight w:val="none"/>
          <w:lang w:val="en-US" w:eastAsia="zh-CN" w:bidi="ar-SA"/>
        </w:rPr>
        <w:t>1.1.4.1 开始</w:t>
      </w:r>
      <w:r>
        <w:rPr>
          <w:rFonts w:hint="eastAsia" w:ascii="宋体" w:hAnsi="宋体" w:cs="Times New Roman"/>
          <w:color w:val="auto"/>
          <w:kern w:val="2"/>
          <w:position w:val="0"/>
          <w:sz w:val="24"/>
          <w:szCs w:val="24"/>
          <w:highlight w:val="none"/>
          <w:lang w:val="en-US" w:eastAsia="zh-CN" w:bidi="ar-SA"/>
        </w:rPr>
        <w:t>验收</w:t>
      </w:r>
      <w:r>
        <w:rPr>
          <w:rFonts w:hint="eastAsia" w:ascii="宋体" w:hAnsi="宋体" w:eastAsia="宋体" w:cs="Times New Roman"/>
          <w:color w:val="auto"/>
          <w:kern w:val="2"/>
          <w:position w:val="0"/>
          <w:sz w:val="24"/>
          <w:szCs w:val="24"/>
          <w:highlight w:val="none"/>
          <w:lang w:val="en-US" w:eastAsia="zh-CN" w:bidi="ar-SA"/>
        </w:rPr>
        <w:t>通知：指</w:t>
      </w:r>
      <w:r>
        <w:rPr>
          <w:rFonts w:hint="eastAsia" w:ascii="宋体" w:hAnsi="宋体" w:cs="Times New Roman"/>
          <w:color w:val="auto"/>
          <w:kern w:val="2"/>
          <w:position w:val="0"/>
          <w:sz w:val="24"/>
          <w:szCs w:val="24"/>
          <w:highlight w:val="none"/>
          <w:lang w:val="en-US" w:eastAsia="zh-CN" w:bidi="ar-SA"/>
        </w:rPr>
        <w:t>发包人</w:t>
      </w:r>
      <w:r>
        <w:rPr>
          <w:rFonts w:hint="eastAsia" w:ascii="宋体" w:hAnsi="宋体" w:eastAsia="宋体" w:cs="Times New Roman"/>
          <w:color w:val="auto"/>
          <w:kern w:val="2"/>
          <w:position w:val="0"/>
          <w:sz w:val="24"/>
          <w:szCs w:val="24"/>
          <w:highlight w:val="none"/>
          <w:lang w:val="en-US" w:eastAsia="zh-CN" w:bidi="ar-SA"/>
        </w:rPr>
        <w:t>通知</w:t>
      </w:r>
      <w:r>
        <w:rPr>
          <w:rFonts w:hint="eastAsia" w:ascii="宋体" w:hAnsi="宋体" w:cs="Times New Roman"/>
          <w:color w:val="auto"/>
          <w:kern w:val="2"/>
          <w:position w:val="0"/>
          <w:sz w:val="24"/>
          <w:szCs w:val="24"/>
          <w:highlight w:val="none"/>
          <w:lang w:val="en-US" w:eastAsia="zh-CN" w:bidi="ar-SA"/>
        </w:rPr>
        <w:t>承包人</w:t>
      </w:r>
      <w:r>
        <w:rPr>
          <w:rFonts w:hint="eastAsia" w:ascii="宋体" w:hAnsi="宋体" w:eastAsia="宋体" w:cs="Times New Roman"/>
          <w:color w:val="auto"/>
          <w:kern w:val="2"/>
          <w:position w:val="0"/>
          <w:sz w:val="24"/>
          <w:szCs w:val="24"/>
          <w:highlight w:val="none"/>
          <w:lang w:val="en-US" w:eastAsia="zh-CN" w:bidi="ar-SA"/>
        </w:rPr>
        <w:t xml:space="preserve">开始安评、环评和职业病三同时咨询服务的函件。 </w:t>
      </w:r>
    </w:p>
    <w:p w14:paraId="43CB4E17">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Times New Roman"/>
          <w:color w:val="auto"/>
          <w:kern w:val="2"/>
          <w:position w:val="0"/>
          <w:sz w:val="24"/>
          <w:szCs w:val="24"/>
          <w:highlight w:val="none"/>
          <w:lang w:val="en-US" w:eastAsia="zh-CN" w:bidi="ar-SA"/>
        </w:rPr>
      </w:pPr>
      <w:r>
        <w:rPr>
          <w:rFonts w:hint="eastAsia" w:ascii="宋体" w:hAnsi="宋体" w:eastAsia="宋体" w:cs="Times New Roman"/>
          <w:color w:val="auto"/>
          <w:kern w:val="2"/>
          <w:position w:val="0"/>
          <w:sz w:val="24"/>
          <w:szCs w:val="24"/>
          <w:highlight w:val="none"/>
          <w:lang w:val="en-US" w:eastAsia="zh-CN" w:bidi="ar-SA"/>
        </w:rPr>
        <w:t>1.1.4.2 开始</w:t>
      </w:r>
      <w:r>
        <w:rPr>
          <w:rFonts w:hint="eastAsia" w:ascii="宋体" w:hAnsi="宋体" w:cs="Times New Roman"/>
          <w:color w:val="auto"/>
          <w:kern w:val="2"/>
          <w:position w:val="0"/>
          <w:sz w:val="24"/>
          <w:szCs w:val="24"/>
          <w:highlight w:val="none"/>
          <w:lang w:val="en-US" w:eastAsia="zh-CN" w:bidi="ar-SA"/>
        </w:rPr>
        <w:t>验收</w:t>
      </w:r>
      <w:r>
        <w:rPr>
          <w:rFonts w:hint="eastAsia" w:ascii="宋体" w:hAnsi="宋体" w:eastAsia="宋体" w:cs="Times New Roman"/>
          <w:color w:val="auto"/>
          <w:kern w:val="2"/>
          <w:position w:val="0"/>
          <w:sz w:val="24"/>
          <w:szCs w:val="24"/>
          <w:highlight w:val="none"/>
          <w:lang w:val="en-US" w:eastAsia="zh-CN" w:bidi="ar-SA"/>
        </w:rPr>
        <w:t>日期：指</w:t>
      </w:r>
      <w:r>
        <w:rPr>
          <w:rFonts w:hint="eastAsia" w:ascii="宋体" w:hAnsi="宋体" w:cs="Times New Roman"/>
          <w:color w:val="auto"/>
          <w:kern w:val="2"/>
          <w:position w:val="0"/>
          <w:sz w:val="24"/>
          <w:szCs w:val="24"/>
          <w:highlight w:val="none"/>
          <w:lang w:val="en-US" w:eastAsia="zh-CN" w:bidi="ar-SA"/>
        </w:rPr>
        <w:t>发包人</w:t>
      </w:r>
      <w:r>
        <w:rPr>
          <w:rFonts w:hint="eastAsia" w:ascii="宋体" w:hAnsi="宋体" w:eastAsia="宋体" w:cs="Times New Roman"/>
          <w:color w:val="auto"/>
          <w:kern w:val="2"/>
          <w:position w:val="0"/>
          <w:sz w:val="24"/>
          <w:szCs w:val="24"/>
          <w:highlight w:val="none"/>
          <w:lang w:val="en-US" w:eastAsia="zh-CN" w:bidi="ar-SA"/>
        </w:rPr>
        <w:t>通知监理</w:t>
      </w:r>
      <w:r>
        <w:rPr>
          <w:rFonts w:hint="eastAsia" w:ascii="宋体" w:hAnsi="宋体" w:cs="Times New Roman"/>
          <w:color w:val="auto"/>
          <w:kern w:val="2"/>
          <w:position w:val="0"/>
          <w:sz w:val="24"/>
          <w:szCs w:val="24"/>
          <w:highlight w:val="none"/>
          <w:lang w:val="en-US" w:eastAsia="zh-CN" w:bidi="ar-SA"/>
        </w:rPr>
        <w:t>人</w:t>
      </w:r>
      <w:r>
        <w:rPr>
          <w:rFonts w:hint="eastAsia" w:ascii="宋体" w:hAnsi="宋体" w:eastAsia="宋体" w:cs="Times New Roman"/>
          <w:color w:val="auto"/>
          <w:kern w:val="2"/>
          <w:position w:val="0"/>
          <w:sz w:val="24"/>
          <w:szCs w:val="24"/>
          <w:highlight w:val="none"/>
          <w:lang w:val="en-US" w:eastAsia="zh-CN" w:bidi="ar-SA"/>
        </w:rPr>
        <w:t>开始安评、环评和职业病三同时咨询服务验收日期。</w:t>
      </w:r>
    </w:p>
    <w:p w14:paraId="3B1B5C0F">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 xml:space="preserve"> 服务期：指承包人在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函中承诺的完成合同工程所需的期限</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包括延长的安评、环评和职业病三同时咨询服务期限</w:t>
      </w:r>
      <w:r>
        <w:rPr>
          <w:rFonts w:hint="eastAsia" w:ascii="宋体" w:hAnsi="宋体"/>
          <w:color w:val="auto"/>
          <w:position w:val="0"/>
          <w:sz w:val="24"/>
          <w:szCs w:val="24"/>
          <w:highlight w:val="none"/>
        </w:rPr>
        <w:t>。</w:t>
      </w:r>
    </w:p>
    <w:p w14:paraId="4064C336">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default" w:ascii="宋体" w:hAnsi="宋体"/>
          <w:color w:val="auto"/>
          <w:position w:val="0"/>
          <w:sz w:val="24"/>
          <w:szCs w:val="24"/>
          <w:highlight w:val="none"/>
          <w:lang w:val="en-US" w:eastAsia="zh-CN"/>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3.1安评“三同时”：</w:t>
      </w:r>
      <w:r>
        <w:rPr>
          <w:rFonts w:hint="eastAsia" w:ascii="宋体" w:hAnsi="宋体"/>
          <w:color w:val="auto"/>
          <w:sz w:val="24"/>
          <w:highlight w:val="none"/>
        </w:rPr>
        <w:t>自合同签订之日起至项目交（竣）工之日止。其中，自采购人指令下达之日起，1个月内完成新建站点申报、安全预评价和设计专篇上会，并取得相关批复；加油站完成消防验收后，1个月内完成安全验收评价并完成危化证办理。</w:t>
      </w:r>
    </w:p>
    <w:p w14:paraId="38FF8378">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default"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3.2环评“三同时”：</w:t>
      </w:r>
      <w:r>
        <w:rPr>
          <w:rFonts w:hint="eastAsia" w:ascii="宋体" w:hAnsi="宋体"/>
          <w:color w:val="auto"/>
          <w:sz w:val="24"/>
          <w:highlight w:val="none"/>
        </w:rPr>
        <w:t>自合同签订之日起至项目交（竣）工之日止。其中，自危化证办理完成后，1个月内完成环保验收和取得成品油零售许可证。</w:t>
      </w:r>
    </w:p>
    <w:p w14:paraId="4E42D7CB">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olor w:val="auto"/>
          <w:position w:val="0"/>
          <w:sz w:val="24"/>
          <w:szCs w:val="24"/>
          <w:highlight w:val="none"/>
          <w:lang w:eastAsia="zh-CN"/>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3.3职业病“三同时”：</w:t>
      </w:r>
      <w:r>
        <w:rPr>
          <w:rFonts w:hint="eastAsia" w:ascii="宋体" w:hAnsi="宋体"/>
          <w:color w:val="auto"/>
          <w:sz w:val="24"/>
          <w:highlight w:val="none"/>
        </w:rPr>
        <w:t>自合同签订之日起至项目交（竣）工之日止。其中，自营业执照办理完成后，7天内完成加油机检定；加油站营业后1个月内完成职业危害控制效果评价报告</w:t>
      </w:r>
      <w:r>
        <w:rPr>
          <w:rFonts w:hint="eastAsia" w:ascii="宋体" w:hAnsi="宋体"/>
          <w:color w:val="auto"/>
          <w:sz w:val="24"/>
          <w:highlight w:val="none"/>
          <w:lang w:eastAsia="zh-CN"/>
        </w:rPr>
        <w:t>。</w:t>
      </w:r>
    </w:p>
    <w:p w14:paraId="67B14F8D">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 xml:space="preserve">4 </w:t>
      </w:r>
      <w:r>
        <w:rPr>
          <w:rFonts w:hint="eastAsia" w:ascii="宋体" w:hAnsi="宋体"/>
          <w:color w:val="auto"/>
          <w:position w:val="0"/>
          <w:sz w:val="24"/>
          <w:szCs w:val="24"/>
          <w:highlight w:val="none"/>
        </w:rPr>
        <w:t>基准日期：指</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截止时间前28 天的日期。</w:t>
      </w:r>
    </w:p>
    <w:p w14:paraId="175DF047">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1.1.4.</w:t>
      </w:r>
      <w:r>
        <w:rPr>
          <w:rFonts w:hint="eastAsia" w:ascii="宋体" w:hAnsi="宋体"/>
          <w:color w:val="auto"/>
          <w:position w:val="0"/>
          <w:sz w:val="24"/>
          <w:szCs w:val="24"/>
          <w:highlight w:val="none"/>
          <w:lang w:val="en-US" w:eastAsia="zh-CN"/>
        </w:rPr>
        <w:t>5</w:t>
      </w:r>
      <w:r>
        <w:rPr>
          <w:rFonts w:hint="eastAsia" w:ascii="宋体" w:hAnsi="宋体"/>
          <w:color w:val="auto"/>
          <w:position w:val="0"/>
          <w:sz w:val="24"/>
          <w:szCs w:val="24"/>
          <w:highlight w:val="none"/>
        </w:rPr>
        <w:t xml:space="preserve"> 天：除特别指明外，指日历天。合同中按天计算时间的，开始当天不计入，从次日开始计算。期限最后一天的截止时间为当天24:00。</w:t>
      </w:r>
    </w:p>
    <w:p w14:paraId="0253E342">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 合同价格和费用</w:t>
      </w:r>
    </w:p>
    <w:p w14:paraId="2374484B">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1.1.5.1 签约合同价：</w:t>
      </w:r>
      <w:r>
        <w:rPr>
          <w:rFonts w:hint="eastAsia" w:ascii="宋体" w:hAnsi="宋体"/>
          <w:color w:val="auto"/>
          <w:position w:val="0"/>
          <w:sz w:val="24"/>
          <w:szCs w:val="24"/>
          <w:highlight w:val="none"/>
          <w:lang w:val="en-US" w:eastAsia="zh-CN"/>
        </w:rPr>
        <w:t>指签订合同时合同协议书中写明的安评、环评和职业病三同时咨询服务费总金额</w:t>
      </w:r>
      <w:r>
        <w:rPr>
          <w:rFonts w:hint="eastAsia" w:ascii="宋体" w:hAnsi="宋体"/>
          <w:color w:val="auto"/>
          <w:position w:val="0"/>
          <w:sz w:val="24"/>
          <w:szCs w:val="24"/>
          <w:highlight w:val="none"/>
        </w:rPr>
        <w:t>。</w:t>
      </w:r>
    </w:p>
    <w:p w14:paraId="77833A28">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1.1.5.2 合同价格：指承包人按合同约定完成全部承包工作后，发包人应付给承包人的金额。</w:t>
      </w:r>
    </w:p>
    <w:p w14:paraId="662CA348">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1.1.5.3 费用：指为履行合同所发生的或将要发生的所有合理开支，包括管理费和应分摊的其他费用，但不包括利润。</w:t>
      </w:r>
    </w:p>
    <w:p w14:paraId="1F6445E1">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1.1.6 其他</w:t>
      </w:r>
    </w:p>
    <w:p w14:paraId="32AEBC43">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1.1.6.1 书面形式：指合同文件、信函、电报、传真等可以有形地表现所载内容的形式。</w:t>
      </w:r>
    </w:p>
    <w:p w14:paraId="618B60A6">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64" w:name="_Toc237230859"/>
      <w:r>
        <w:rPr>
          <w:rFonts w:hint="eastAsia" w:ascii="黑体" w:hAnsi="黑体" w:eastAsia="黑体" w:cs="黑体"/>
          <w:i w:val="0"/>
          <w:iCs/>
          <w:color w:val="auto"/>
          <w:szCs w:val="24"/>
          <w:highlight w:val="none"/>
        </w:rPr>
        <w:t>1.2 语言文字</w:t>
      </w:r>
      <w:bookmarkEnd w:id="64"/>
    </w:p>
    <w:p w14:paraId="2E69C0EA">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合同使用的语言文字为中文。必要时专用术语应附有中文注释。</w:t>
      </w:r>
    </w:p>
    <w:p w14:paraId="1A0970E6">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65" w:name="_Toc237230860"/>
      <w:r>
        <w:rPr>
          <w:rFonts w:hint="eastAsia" w:ascii="黑体" w:hAnsi="黑体" w:eastAsia="黑体" w:cs="黑体"/>
          <w:i w:val="0"/>
          <w:iCs/>
          <w:color w:val="auto"/>
          <w:szCs w:val="24"/>
          <w:highlight w:val="none"/>
        </w:rPr>
        <w:t>1.3 法律</w:t>
      </w:r>
      <w:bookmarkEnd w:id="65"/>
    </w:p>
    <w:p w14:paraId="480098E1">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适用于合同的法律包括中华人民共和国法律、行政法规、部门规章，以及工程所在地的地方法规、自治条例、单行条例和地方政府规章。</w:t>
      </w:r>
    </w:p>
    <w:p w14:paraId="38887217">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66" w:name="_Toc237230861"/>
      <w:r>
        <w:rPr>
          <w:rFonts w:hint="eastAsia" w:ascii="黑体" w:hAnsi="黑体" w:eastAsia="黑体" w:cs="黑体"/>
          <w:i w:val="0"/>
          <w:iCs/>
          <w:color w:val="auto"/>
          <w:szCs w:val="24"/>
          <w:highlight w:val="none"/>
        </w:rPr>
        <w:t>1.4 合同文件的优先顺序</w:t>
      </w:r>
      <w:bookmarkEnd w:id="66"/>
    </w:p>
    <w:p w14:paraId="62275B73">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组成合同的各项文件应互相解释，互为说明。除专用合同条款另有约定外，解释合同文件的优先顺序如下：</w:t>
      </w:r>
    </w:p>
    <w:p w14:paraId="75C0A68F">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a.本协议书（含补遗书）承诺书及各种合同附件（含评标期间和合同谈判过程中的澄清文件和补充资料）；</w:t>
      </w:r>
    </w:p>
    <w:p w14:paraId="22AA07E1">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b.</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w:t>
      </w:r>
    </w:p>
    <w:p w14:paraId="068C3976">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c.</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函录；</w:t>
      </w:r>
    </w:p>
    <w:p w14:paraId="452E066E">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d.承诺函；</w:t>
      </w:r>
    </w:p>
    <w:p w14:paraId="41A15797">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e.</w:t>
      </w:r>
      <w:r>
        <w:rPr>
          <w:rFonts w:hint="eastAsia" w:ascii="宋体" w:hAnsi="宋体"/>
          <w:color w:val="auto"/>
          <w:position w:val="0"/>
          <w:sz w:val="24"/>
          <w:szCs w:val="24"/>
          <w:highlight w:val="none"/>
          <w:lang w:val="en-US" w:eastAsia="zh-CN"/>
        </w:rPr>
        <w:t>安评、环评和职业病三同时咨询服务</w:t>
      </w:r>
      <w:r>
        <w:rPr>
          <w:rFonts w:hint="eastAsia" w:ascii="宋体" w:hAnsi="宋体"/>
          <w:color w:val="auto"/>
          <w:position w:val="0"/>
          <w:sz w:val="24"/>
          <w:szCs w:val="24"/>
          <w:highlight w:val="none"/>
        </w:rPr>
        <w:t>合同条款及其附件；</w:t>
      </w:r>
    </w:p>
    <w:p w14:paraId="658D5896">
      <w:pPr>
        <w:spacing w:before="78" w:beforeLines="25" w:after="78" w:afterLines="25" w:line="300" w:lineRule="auto"/>
        <w:ind w:firstLine="480" w:firstLineChars="200"/>
        <w:rPr>
          <w:rFonts w:hint="eastAsia" w:ascii="宋体" w:hAnsi="宋体" w:eastAsia="宋体"/>
          <w:color w:val="auto"/>
          <w:position w:val="0"/>
          <w:sz w:val="24"/>
          <w:szCs w:val="24"/>
          <w:highlight w:val="none"/>
          <w:lang w:eastAsia="zh-CN"/>
        </w:rPr>
      </w:pPr>
      <w:r>
        <w:rPr>
          <w:rFonts w:hint="eastAsia" w:ascii="宋体" w:hAnsi="宋体"/>
          <w:color w:val="auto"/>
          <w:position w:val="0"/>
          <w:sz w:val="24"/>
          <w:szCs w:val="24"/>
          <w:highlight w:val="none"/>
        </w:rPr>
        <w:t>f.本项目建设管理办法</w:t>
      </w:r>
      <w:r>
        <w:rPr>
          <w:rFonts w:hint="eastAsia" w:ascii="宋体" w:hAnsi="宋体"/>
          <w:color w:val="auto"/>
          <w:position w:val="0"/>
          <w:sz w:val="24"/>
          <w:szCs w:val="24"/>
          <w:highlight w:val="none"/>
          <w:lang w:eastAsia="zh-CN"/>
        </w:rPr>
        <w:t>（</w:t>
      </w:r>
      <w:r>
        <w:rPr>
          <w:rFonts w:hint="eastAsia" w:ascii="宋体" w:hAnsi="宋体"/>
          <w:color w:val="auto"/>
          <w:position w:val="0"/>
          <w:sz w:val="24"/>
          <w:szCs w:val="24"/>
          <w:highlight w:val="none"/>
          <w:lang w:val="en-US" w:eastAsia="zh-CN"/>
        </w:rPr>
        <w:t>如有</w:t>
      </w:r>
      <w:r>
        <w:rPr>
          <w:rFonts w:hint="eastAsia" w:ascii="宋体" w:hAnsi="宋体"/>
          <w:color w:val="auto"/>
          <w:position w:val="0"/>
          <w:sz w:val="24"/>
          <w:szCs w:val="24"/>
          <w:highlight w:val="none"/>
          <w:lang w:eastAsia="zh-CN"/>
        </w:rPr>
        <w:t>）；</w:t>
      </w:r>
    </w:p>
    <w:p w14:paraId="1C503EC7">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g.相关技术标准、规范、规程；</w:t>
      </w:r>
    </w:p>
    <w:p w14:paraId="311D1304">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h.设计图表；</w:t>
      </w:r>
    </w:p>
    <w:p w14:paraId="04E8F493">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i.</w:t>
      </w:r>
      <w:r>
        <w:rPr>
          <w:rFonts w:hint="eastAsia" w:ascii="宋体" w:hAnsi="宋体"/>
          <w:color w:val="auto"/>
          <w:position w:val="0"/>
          <w:sz w:val="24"/>
          <w:szCs w:val="24"/>
          <w:highlight w:val="none"/>
          <w:lang w:val="en-US" w:eastAsia="zh-CN"/>
        </w:rPr>
        <w:t>安评、环评和职业病三同时咨询服务</w:t>
      </w:r>
      <w:r>
        <w:rPr>
          <w:rFonts w:hint="eastAsia" w:ascii="宋体" w:hAnsi="宋体"/>
          <w:color w:val="auto"/>
          <w:position w:val="0"/>
          <w:sz w:val="24"/>
          <w:szCs w:val="24"/>
          <w:highlight w:val="none"/>
        </w:rPr>
        <w:t>工程量清单；</w:t>
      </w:r>
    </w:p>
    <w:p w14:paraId="397C53BB">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j.承包人有关人员、仪器、设备投入的承诺及</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文件中的详细</w:t>
      </w:r>
      <w:r>
        <w:rPr>
          <w:rFonts w:hint="eastAsia" w:ascii="宋体" w:hAnsi="宋体"/>
          <w:color w:val="auto"/>
          <w:position w:val="0"/>
          <w:sz w:val="24"/>
          <w:szCs w:val="24"/>
          <w:highlight w:val="none"/>
          <w:lang w:val="en-US" w:eastAsia="zh-CN"/>
        </w:rPr>
        <w:t>安评、环评和职业病三同时咨询服务</w:t>
      </w:r>
      <w:r>
        <w:rPr>
          <w:rFonts w:hint="eastAsia" w:ascii="宋体" w:hAnsi="宋体"/>
          <w:color w:val="auto"/>
          <w:position w:val="0"/>
          <w:sz w:val="24"/>
          <w:szCs w:val="24"/>
          <w:highlight w:val="none"/>
        </w:rPr>
        <w:t>技术方案；</w:t>
      </w:r>
      <w:r>
        <w:rPr>
          <w:rFonts w:ascii="宋体" w:hAnsi="宋体"/>
          <w:color w:val="auto"/>
          <w:position w:val="0"/>
          <w:sz w:val="24"/>
          <w:szCs w:val="24"/>
          <w:highlight w:val="none"/>
        </w:rPr>
        <w:t xml:space="preserve"> </w:t>
      </w:r>
    </w:p>
    <w:p w14:paraId="550B81F1">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k.发包人相关试验检测管理制度；</w:t>
      </w:r>
    </w:p>
    <w:p w14:paraId="4D9F43AF">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l</w:t>
      </w:r>
      <w:r>
        <w:rPr>
          <w:rFonts w:hint="eastAsia" w:ascii="宋体" w:hAnsi="宋体"/>
          <w:color w:val="auto"/>
          <w:position w:val="0"/>
          <w:sz w:val="24"/>
          <w:szCs w:val="24"/>
          <w:highlight w:val="none"/>
        </w:rPr>
        <w:t>.其他合同文件。</w:t>
      </w:r>
    </w:p>
    <w:p w14:paraId="091362BA">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ascii="宋体" w:hAnsi="宋体"/>
          <w:color w:val="auto"/>
          <w:position w:val="0"/>
          <w:sz w:val="24"/>
          <w:szCs w:val="24"/>
          <w:highlight w:val="none"/>
        </w:rPr>
        <w:t>对于同一类合同文件，以其最新版本或最新颁发者为准。</w:t>
      </w:r>
    </w:p>
    <w:p w14:paraId="6E637263">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67" w:name="_Toc237230862"/>
      <w:r>
        <w:rPr>
          <w:rFonts w:hint="eastAsia" w:ascii="黑体" w:hAnsi="黑体" w:eastAsia="黑体" w:cs="黑体"/>
          <w:i w:val="0"/>
          <w:iCs/>
          <w:color w:val="auto"/>
          <w:szCs w:val="24"/>
          <w:highlight w:val="none"/>
        </w:rPr>
        <w:t>1.5 合同协议书</w:t>
      </w:r>
      <w:bookmarkEnd w:id="67"/>
    </w:p>
    <w:p w14:paraId="37F4B0BC">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承包人按</w:t>
      </w:r>
      <w:r>
        <w:rPr>
          <w:rFonts w:hint="eastAsia" w:ascii="宋体" w:hAnsi="宋体"/>
          <w:color w:val="auto"/>
          <w:position w:val="0"/>
          <w:sz w:val="24"/>
          <w:szCs w:val="24"/>
          <w:highlight w:val="none"/>
          <w:lang w:eastAsia="zh-CN"/>
        </w:rPr>
        <w:t>成交</w:t>
      </w:r>
      <w:r>
        <w:rPr>
          <w:rFonts w:hint="eastAsia" w:ascii="宋体" w:hAnsi="宋体"/>
          <w:color w:val="auto"/>
          <w:position w:val="0"/>
          <w:sz w:val="24"/>
          <w:szCs w:val="24"/>
          <w:highlight w:val="none"/>
        </w:rPr>
        <w:t>通知书规定的时间与发包人签订合同协议书并提交履约担保。除法律另有规定或合同另有约定外，发包人和承包人的法定代表人或其委托代理人在合同协议书上签字并盖单位章后，合同生效。</w:t>
      </w:r>
    </w:p>
    <w:p w14:paraId="33CC5029">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1.6 相关图纸资料的</w:t>
      </w:r>
    </w:p>
    <w:p w14:paraId="1F09E497">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承包人进场后应向发包人提供完成承包工作所需的图纸资料清单明细，发包人应在14天内将其所拥有的资料提交给承包人，但发包人处没有的资料，承包人应自行收集，发包人对此不负任何责任。</w:t>
      </w:r>
    </w:p>
    <w:p w14:paraId="594E40CF">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68" w:name="_Toc237230864"/>
      <w:r>
        <w:rPr>
          <w:rFonts w:hint="eastAsia" w:ascii="黑体" w:hAnsi="黑体" w:eastAsia="黑体" w:cs="黑体"/>
          <w:i w:val="0"/>
          <w:iCs/>
          <w:color w:val="auto"/>
          <w:szCs w:val="24"/>
          <w:highlight w:val="none"/>
        </w:rPr>
        <w:t>1.7 联络</w:t>
      </w:r>
      <w:bookmarkEnd w:id="68"/>
    </w:p>
    <w:p w14:paraId="0A06E7FB">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1.7.1 与合同有关的通知、批准、证明、证书、指示、要求、请求、同意、意见、确定和决定等，均应采用书面形式。</w:t>
      </w:r>
    </w:p>
    <w:p w14:paraId="4E3C1E6E">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1.7.2 第1.7.1 项中的通知、批准、证明、证书、指示、要求、请求、同意、意见、确定和决定等来往函件，均应在合同约定的期限内送达指定地点和接收人，并办理签收手续。</w:t>
      </w:r>
    </w:p>
    <w:p w14:paraId="73177491">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69" w:name="_Toc237230865"/>
      <w:r>
        <w:rPr>
          <w:rFonts w:hint="eastAsia" w:ascii="黑体" w:hAnsi="黑体" w:eastAsia="黑体" w:cs="黑体"/>
          <w:i w:val="0"/>
          <w:iCs/>
          <w:color w:val="auto"/>
          <w:szCs w:val="24"/>
          <w:highlight w:val="none"/>
        </w:rPr>
        <w:t>1.8 转让</w:t>
      </w:r>
      <w:bookmarkEnd w:id="69"/>
    </w:p>
    <w:p w14:paraId="48B689A6">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除合同另有约定外，未经对方当事人同意，一方当事人不得将合同权利全部或部分转让给第三人，也不得全部或部分转移合同义务。</w:t>
      </w:r>
    </w:p>
    <w:p w14:paraId="1810CCBE">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70" w:name="_Toc237230866"/>
      <w:r>
        <w:rPr>
          <w:rFonts w:hint="eastAsia" w:ascii="黑体" w:hAnsi="黑体" w:eastAsia="黑体" w:cs="黑体"/>
          <w:i w:val="0"/>
          <w:iCs/>
          <w:color w:val="auto"/>
          <w:szCs w:val="24"/>
          <w:highlight w:val="none"/>
        </w:rPr>
        <w:t>1.9 严禁贿赂</w:t>
      </w:r>
      <w:bookmarkEnd w:id="70"/>
    </w:p>
    <w:p w14:paraId="023B5ADB">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合同双方当事人不得以贿赂或变相贿赂的方式，谋取不当利益或损害对方权益。因贿赂造成对方损失的，行为人应赔偿损失，并承担相应的法律责任。</w:t>
      </w:r>
    </w:p>
    <w:p w14:paraId="47EC5D39">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71" w:name="_Toc237230868"/>
      <w:r>
        <w:rPr>
          <w:rFonts w:hint="eastAsia" w:ascii="黑体" w:hAnsi="黑体" w:eastAsia="黑体" w:cs="黑体"/>
          <w:i w:val="0"/>
          <w:iCs/>
          <w:color w:val="auto"/>
          <w:szCs w:val="24"/>
          <w:highlight w:val="none"/>
        </w:rPr>
        <w:t>1.10 专利技术</w:t>
      </w:r>
      <w:bookmarkEnd w:id="71"/>
    </w:p>
    <w:p w14:paraId="0B91EF65">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.1 承包人在使用任何材料、设备、技术，因侵犯专利权或其他知识产权所引起的责任，由承包人承担。</w:t>
      </w:r>
    </w:p>
    <w:p w14:paraId="2E637427">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w:t>
      </w:r>
      <w:r>
        <w:rPr>
          <w:rFonts w:hint="eastAsia" w:ascii="宋体" w:hAnsi="宋体"/>
          <w:color w:val="auto"/>
          <w:position w:val="0"/>
          <w:sz w:val="24"/>
          <w:szCs w:val="24"/>
          <w:highlight w:val="none"/>
          <w:lang w:val="en-US" w:eastAsia="zh-CN"/>
        </w:rPr>
        <w:t>0</w:t>
      </w:r>
      <w:r>
        <w:rPr>
          <w:rFonts w:hint="eastAsia" w:ascii="宋体" w:hAnsi="宋体"/>
          <w:color w:val="auto"/>
          <w:position w:val="0"/>
          <w:sz w:val="24"/>
          <w:szCs w:val="24"/>
          <w:highlight w:val="none"/>
        </w:rPr>
        <w:t>.2 承包人在</w:t>
      </w: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文件中采用专利技术的，专利技术的使用费包含在投标报价（</w:t>
      </w:r>
      <w:r>
        <w:rPr>
          <w:rFonts w:hint="eastAsia" w:ascii="宋体" w:hAnsi="宋体"/>
          <w:color w:val="auto"/>
          <w:position w:val="0"/>
          <w:sz w:val="24"/>
          <w:szCs w:val="24"/>
          <w:highlight w:val="none"/>
          <w:lang w:val="en-US" w:eastAsia="zh-CN"/>
        </w:rPr>
        <w:t>安评、环评和职业病三同时咨询服务</w:t>
      </w:r>
      <w:r>
        <w:rPr>
          <w:rFonts w:ascii="宋体" w:hAnsi="宋体"/>
          <w:color w:val="auto"/>
          <w:position w:val="0"/>
          <w:sz w:val="24"/>
          <w:szCs w:val="24"/>
          <w:highlight w:val="none"/>
        </w:rPr>
        <w:t>服务费）</w:t>
      </w:r>
      <w:r>
        <w:rPr>
          <w:rFonts w:hint="eastAsia" w:ascii="宋体" w:hAnsi="宋体"/>
          <w:color w:val="auto"/>
          <w:position w:val="0"/>
          <w:sz w:val="24"/>
          <w:szCs w:val="24"/>
          <w:highlight w:val="none"/>
        </w:rPr>
        <w:t>内。</w:t>
      </w:r>
    </w:p>
    <w:p w14:paraId="00D19C62">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1.1</w:t>
      </w:r>
      <w:r>
        <w:rPr>
          <w:rFonts w:hint="eastAsia" w:ascii="宋体" w:hAnsi="宋体"/>
          <w:color w:val="auto"/>
          <w:position w:val="0"/>
          <w:sz w:val="24"/>
          <w:szCs w:val="24"/>
          <w:highlight w:val="none"/>
          <w:lang w:val="en-US" w:eastAsia="zh-CN"/>
        </w:rPr>
        <w:t>0</w:t>
      </w:r>
      <w:r>
        <w:rPr>
          <w:rFonts w:hint="eastAsia" w:ascii="宋体" w:hAnsi="宋体"/>
          <w:color w:val="auto"/>
          <w:position w:val="0"/>
          <w:sz w:val="24"/>
          <w:szCs w:val="24"/>
          <w:highlight w:val="none"/>
        </w:rPr>
        <w:t>.3 承包人的技术秘密和声明需要保密的资料和信息，发包人和其他相关人不得为合同以外的目的泄露给他人。</w:t>
      </w:r>
    </w:p>
    <w:p w14:paraId="09FA8022">
      <w:pPr>
        <w:pStyle w:val="4"/>
        <w:spacing w:before="78" w:beforeLines="25" w:after="78" w:afterLines="25" w:line="300" w:lineRule="auto"/>
        <w:rPr>
          <w:rFonts w:hint="eastAsia" w:ascii="黑体" w:hAnsi="黑体" w:eastAsia="黑体"/>
          <w:b w:val="0"/>
          <w:color w:val="auto"/>
          <w:position w:val="0"/>
          <w:szCs w:val="24"/>
          <w:highlight w:val="none"/>
        </w:rPr>
      </w:pPr>
      <w:bookmarkStart w:id="72" w:name="_Toc488236005"/>
      <w:bookmarkStart w:id="73" w:name="_Toc184635099"/>
      <w:bookmarkStart w:id="74" w:name="_Toc237061008"/>
      <w:bookmarkStart w:id="75" w:name="_Toc237230870"/>
      <w:r>
        <w:rPr>
          <w:rFonts w:hint="eastAsia" w:ascii="黑体" w:hAnsi="黑体" w:eastAsia="黑体"/>
          <w:b w:val="0"/>
          <w:color w:val="auto"/>
          <w:position w:val="0"/>
          <w:szCs w:val="24"/>
          <w:highlight w:val="none"/>
        </w:rPr>
        <w:t>2．发包人义务</w:t>
      </w:r>
      <w:bookmarkEnd w:id="72"/>
      <w:bookmarkEnd w:id="73"/>
      <w:bookmarkEnd w:id="74"/>
      <w:bookmarkEnd w:id="75"/>
    </w:p>
    <w:p w14:paraId="6DA805FA">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76" w:name="_Toc237230871"/>
      <w:r>
        <w:rPr>
          <w:rFonts w:hint="eastAsia" w:ascii="黑体" w:hAnsi="黑体" w:eastAsia="黑体" w:cs="黑体"/>
          <w:i w:val="0"/>
          <w:iCs/>
          <w:color w:val="auto"/>
          <w:szCs w:val="24"/>
          <w:highlight w:val="none"/>
        </w:rPr>
        <w:t>2.1 遵守法律</w:t>
      </w:r>
      <w:bookmarkEnd w:id="76"/>
    </w:p>
    <w:p w14:paraId="3283F7E7">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发包人在履行合同过程中应遵守法律，并保证承包人免于承担因发包人违反法律而引起的任何责任。</w:t>
      </w:r>
    </w:p>
    <w:p w14:paraId="059A291E">
      <w:pPr>
        <w:pStyle w:val="53"/>
        <w:ind w:firstLine="480" w:firstLineChars="200"/>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2.2</w:t>
      </w:r>
      <w:r>
        <w:rPr>
          <w:rFonts w:hint="eastAsia" w:ascii="黑体" w:hAnsi="黑体" w:eastAsia="黑体" w:cs="黑体"/>
          <w:color w:val="auto"/>
          <w:sz w:val="24"/>
          <w:szCs w:val="24"/>
          <w:highlight w:val="none"/>
          <w:lang w:val="en-US" w:eastAsia="zh-CN"/>
        </w:rPr>
        <w:t xml:space="preserve"> 提供设备、设施</w:t>
      </w:r>
    </w:p>
    <w:p w14:paraId="7C395300">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黑体" w:hAnsi="黑体" w:eastAsia="黑体" w:cs="黑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w:t>
      </w:r>
      <w:r>
        <w:rPr>
          <w:rFonts w:hint="eastAsia" w:ascii="宋体" w:hAnsi="宋体"/>
          <w:color w:val="auto"/>
          <w:position w:val="0"/>
          <w:sz w:val="24"/>
          <w:szCs w:val="24"/>
          <w:highlight w:val="none"/>
          <w:lang w:val="en-US" w:eastAsia="zh-CN"/>
        </w:rPr>
        <w:t>安评、环评和职业病三同时咨询服务</w:t>
      </w:r>
      <w:r>
        <w:rPr>
          <w:rFonts w:hint="eastAsia" w:ascii="宋体" w:hAnsi="宋体" w:eastAsia="宋体" w:cs="宋体"/>
          <w:color w:val="auto"/>
          <w:sz w:val="24"/>
          <w:szCs w:val="24"/>
          <w:highlight w:val="none"/>
          <w:lang w:val="en-US" w:eastAsia="zh-CN"/>
        </w:rPr>
        <w:t>期间，</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lang w:val="en-US" w:eastAsia="zh-CN"/>
        </w:rPr>
        <w:t>不为</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提供现场人员所需的办公房间、办公桌椅、互联网接口、冷暖设施、生活设施、进出现场交通服务、设备实施和其他便利条件，所产生的费用视为包含在其投标报价中。</w:t>
      </w:r>
    </w:p>
    <w:p w14:paraId="35C42417">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77" w:name="_Toc237230874"/>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3</w:t>
      </w:r>
      <w:r>
        <w:rPr>
          <w:rFonts w:hint="eastAsia" w:ascii="黑体" w:hAnsi="黑体" w:eastAsia="黑体" w:cs="黑体"/>
          <w:i w:val="0"/>
          <w:iCs/>
          <w:color w:val="auto"/>
          <w:szCs w:val="24"/>
          <w:highlight w:val="none"/>
        </w:rPr>
        <w:t xml:space="preserve"> 办理证件和批件</w:t>
      </w:r>
      <w:bookmarkEnd w:id="77"/>
    </w:p>
    <w:p w14:paraId="33139A1E">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 xml:space="preserve">法律规定和（或）合同约定由发包人负责办理的工程建设项目必须履行的各类审批、核准或备案手续，发包人应当按时办理，承包人应给予必要的协助。 </w:t>
      </w:r>
    </w:p>
    <w:p w14:paraId="1F8DC05A">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lang w:val="en-US" w:eastAsia="zh-CN"/>
        </w:rPr>
        <w:t xml:space="preserve">法律规定和（或）合同约定由承包人负责办理所需的证件和批件，发包人应给予必要的协助。 </w:t>
      </w:r>
    </w:p>
    <w:p w14:paraId="62E4A830">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78" w:name="_Toc237230876"/>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4</w:t>
      </w:r>
      <w:r>
        <w:rPr>
          <w:rFonts w:hint="eastAsia" w:ascii="黑体" w:hAnsi="黑体" w:eastAsia="黑体" w:cs="黑体"/>
          <w:i w:val="0"/>
          <w:iCs/>
          <w:color w:val="auto"/>
          <w:szCs w:val="24"/>
          <w:highlight w:val="none"/>
        </w:rPr>
        <w:t xml:space="preserve"> 支付合同价款</w:t>
      </w:r>
      <w:bookmarkEnd w:id="78"/>
    </w:p>
    <w:p w14:paraId="19A307B4">
      <w:pPr>
        <w:spacing w:before="78" w:beforeLines="25" w:after="78" w:afterLines="25" w:line="300" w:lineRule="auto"/>
        <w:ind w:firstLine="480" w:firstLineChars="200"/>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发包人按合同约定向承包人支付合同价款。</w:t>
      </w:r>
    </w:p>
    <w:p w14:paraId="009CA156">
      <w:pPr>
        <w:spacing w:before="78" w:beforeLines="25" w:after="78" w:afterLines="25" w:line="300" w:lineRule="auto"/>
        <w:ind w:firstLine="480" w:firstLineChars="200"/>
        <w:outlineLvl w:val="3"/>
        <w:rPr>
          <w:rFonts w:hint="eastAsia" w:ascii="黑体" w:hAnsi="黑体" w:eastAsia="黑体" w:cs="黑体"/>
          <w:color w:val="auto"/>
          <w:position w:val="0"/>
          <w:sz w:val="24"/>
          <w:szCs w:val="24"/>
          <w:highlight w:val="none"/>
          <w:lang w:val="en-US" w:eastAsia="zh-CN"/>
        </w:rPr>
      </w:pPr>
      <w:r>
        <w:rPr>
          <w:rFonts w:hint="eastAsia" w:ascii="黑体" w:hAnsi="黑体" w:eastAsia="黑体" w:cs="黑体"/>
          <w:color w:val="auto"/>
          <w:position w:val="0"/>
          <w:sz w:val="24"/>
          <w:szCs w:val="24"/>
          <w:highlight w:val="none"/>
          <w:lang w:val="en-US" w:eastAsia="zh-CN"/>
        </w:rPr>
        <w:t>2.5 提供文件和资料</w:t>
      </w:r>
    </w:p>
    <w:p w14:paraId="762CA640">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eastAsia="宋体" w:cs="宋体"/>
          <w:color w:val="auto"/>
          <w:position w:val="0"/>
          <w:sz w:val="24"/>
          <w:szCs w:val="24"/>
          <w:highlight w:val="none"/>
          <w:lang w:val="en-US"/>
        </w:rPr>
      </w:pPr>
      <w:r>
        <w:rPr>
          <w:rFonts w:hint="eastAsia" w:ascii="宋体" w:hAnsi="宋体" w:eastAsia="宋体" w:cs="宋体"/>
          <w:color w:val="auto"/>
          <w:position w:val="0"/>
          <w:sz w:val="24"/>
          <w:szCs w:val="24"/>
          <w:highlight w:val="none"/>
          <w:lang w:val="en-US" w:eastAsia="zh-CN"/>
        </w:rPr>
        <w:t xml:space="preserve">在本合同生效之日起，且在取得相关文件、资料 7 日内，向承包人免费提供下 述文件、资料： </w:t>
      </w:r>
    </w:p>
    <w:p w14:paraId="5F2FF74B">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eastAsia="宋体" w:cs="宋体"/>
          <w:color w:val="auto"/>
          <w:position w:val="0"/>
          <w:sz w:val="24"/>
          <w:szCs w:val="24"/>
          <w:highlight w:val="none"/>
          <w:lang w:val="en-US"/>
        </w:rPr>
      </w:pPr>
      <w:r>
        <w:rPr>
          <w:rFonts w:hint="eastAsia" w:ascii="宋体" w:hAnsi="宋体" w:eastAsia="宋体" w:cs="宋体"/>
          <w:color w:val="auto"/>
          <w:position w:val="0"/>
          <w:sz w:val="24"/>
          <w:szCs w:val="24"/>
          <w:highlight w:val="none"/>
          <w:lang w:val="en-US" w:eastAsia="zh-CN"/>
        </w:rPr>
        <w:t>（1）发包人与</w:t>
      </w:r>
      <w:r>
        <w:rPr>
          <w:rFonts w:hint="eastAsia" w:ascii="宋体" w:hAnsi="宋体" w:cs="宋体"/>
          <w:color w:val="auto"/>
          <w:position w:val="0"/>
          <w:sz w:val="24"/>
          <w:szCs w:val="24"/>
          <w:highlight w:val="none"/>
          <w:lang w:val="en-US" w:eastAsia="zh-CN"/>
        </w:rPr>
        <w:t>施工检测人</w:t>
      </w:r>
      <w:r>
        <w:rPr>
          <w:rFonts w:hint="eastAsia" w:ascii="宋体" w:hAnsi="宋体" w:eastAsia="宋体" w:cs="宋体"/>
          <w:color w:val="auto"/>
          <w:position w:val="0"/>
          <w:sz w:val="24"/>
          <w:szCs w:val="24"/>
          <w:highlight w:val="none"/>
          <w:lang w:val="en-US" w:eastAsia="zh-CN"/>
        </w:rPr>
        <w:t>签订的合同 1 份电子版</w:t>
      </w:r>
      <w:r>
        <w:rPr>
          <w:rFonts w:hint="eastAsia" w:ascii="宋体" w:hAnsi="宋体" w:cs="宋体"/>
          <w:color w:val="auto"/>
          <w:position w:val="0"/>
          <w:sz w:val="24"/>
          <w:szCs w:val="24"/>
          <w:highlight w:val="none"/>
          <w:lang w:val="en-US" w:eastAsia="zh-CN"/>
        </w:rPr>
        <w:t>（如有）</w:t>
      </w:r>
      <w:r>
        <w:rPr>
          <w:rFonts w:hint="eastAsia" w:ascii="宋体" w:hAnsi="宋体" w:eastAsia="宋体" w:cs="宋体"/>
          <w:color w:val="auto"/>
          <w:position w:val="0"/>
          <w:sz w:val="24"/>
          <w:szCs w:val="24"/>
          <w:highlight w:val="none"/>
          <w:lang w:val="en-US" w:eastAsia="zh-CN"/>
        </w:rPr>
        <w:t xml:space="preserve">。 </w:t>
      </w:r>
    </w:p>
    <w:p w14:paraId="70FF95B6">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eastAsia="宋体" w:cs="宋体"/>
          <w:color w:val="auto"/>
          <w:position w:val="0"/>
          <w:sz w:val="24"/>
          <w:szCs w:val="24"/>
          <w:highlight w:val="none"/>
          <w:lang w:val="en-US"/>
        </w:rPr>
      </w:pPr>
      <w:r>
        <w:rPr>
          <w:rFonts w:hint="eastAsia" w:ascii="宋体" w:hAnsi="宋体" w:eastAsia="宋体" w:cs="宋体"/>
          <w:color w:val="auto"/>
          <w:position w:val="0"/>
          <w:sz w:val="24"/>
          <w:szCs w:val="24"/>
          <w:highlight w:val="none"/>
          <w:lang w:val="en-US" w:eastAsia="zh-CN"/>
        </w:rPr>
        <w:t xml:space="preserve">（2）图纸和相关的标准图纸及说明 1 套（电子版）。 </w:t>
      </w:r>
    </w:p>
    <w:p w14:paraId="179D8688">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eastAsia="宋体" w:cs="宋体"/>
          <w:color w:val="auto"/>
          <w:position w:val="0"/>
          <w:sz w:val="24"/>
          <w:szCs w:val="24"/>
          <w:highlight w:val="none"/>
          <w:lang w:val="en-US"/>
        </w:rPr>
      </w:pPr>
      <w:r>
        <w:rPr>
          <w:rFonts w:hint="eastAsia" w:ascii="宋体" w:hAnsi="宋体" w:eastAsia="宋体" w:cs="宋体"/>
          <w:color w:val="auto"/>
          <w:position w:val="0"/>
          <w:sz w:val="24"/>
          <w:szCs w:val="24"/>
          <w:highlight w:val="none"/>
          <w:lang w:val="en-US" w:eastAsia="zh-CN"/>
        </w:rPr>
        <w:t>技术规范、检验评定标准、操作规程、交通运输部和其他行政主管部门颁发的范本、技术规范、规程、标准等由</w:t>
      </w:r>
      <w:r>
        <w:rPr>
          <w:rFonts w:hint="eastAsia" w:ascii="宋体" w:hAnsi="宋体" w:cs="宋体"/>
          <w:color w:val="auto"/>
          <w:position w:val="0"/>
          <w:sz w:val="24"/>
          <w:szCs w:val="24"/>
          <w:highlight w:val="none"/>
          <w:lang w:val="en-US" w:eastAsia="zh-CN"/>
        </w:rPr>
        <w:t>承包人</w:t>
      </w:r>
      <w:r>
        <w:rPr>
          <w:rFonts w:hint="eastAsia" w:ascii="宋体" w:hAnsi="宋体" w:eastAsia="宋体" w:cs="宋体"/>
          <w:color w:val="auto"/>
          <w:position w:val="0"/>
          <w:sz w:val="24"/>
          <w:szCs w:val="24"/>
          <w:highlight w:val="none"/>
          <w:lang w:val="en-US" w:eastAsia="zh-CN"/>
        </w:rPr>
        <w:t xml:space="preserve">自行购买。 </w:t>
      </w:r>
    </w:p>
    <w:p w14:paraId="494E2184">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eastAsia="宋体"/>
          <w:color w:val="auto"/>
          <w:highlight w:val="none"/>
          <w:lang w:eastAsia="zh-CN"/>
        </w:rPr>
      </w:pPr>
      <w:r>
        <w:rPr>
          <w:rFonts w:hint="eastAsia" w:ascii="宋体" w:hAnsi="宋体" w:eastAsia="宋体" w:cs="宋体"/>
          <w:color w:val="auto"/>
          <w:position w:val="0"/>
          <w:sz w:val="24"/>
          <w:szCs w:val="24"/>
          <w:highlight w:val="none"/>
          <w:lang w:val="en-US" w:eastAsia="zh-CN"/>
        </w:rPr>
        <w:t>任何一方当事人发现文件中存在的明显错误或疏忽，均应及时通知对方当事人，并应立即采取适当的措施防止损失扩大</w:t>
      </w:r>
      <w:r>
        <w:rPr>
          <w:rFonts w:hint="eastAsia"/>
          <w:color w:val="auto"/>
          <w:highlight w:val="none"/>
          <w:lang w:eastAsia="zh-CN"/>
        </w:rPr>
        <w:t>。</w:t>
      </w:r>
    </w:p>
    <w:p w14:paraId="619B9237">
      <w:pPr>
        <w:pStyle w:val="53"/>
        <w:keepNext w:val="0"/>
        <w:keepLines w:val="0"/>
        <w:pageBreakBefore w:val="0"/>
        <w:widowControl w:val="0"/>
        <w:kinsoku/>
        <w:wordWrap/>
        <w:overflowPunct/>
        <w:topLinePunct w:val="0"/>
        <w:autoSpaceDE/>
        <w:autoSpaceDN/>
        <w:bidi w:val="0"/>
        <w:adjustRightInd/>
        <w:snapToGrid/>
        <w:spacing w:before="0" w:beforeLines="25" w:after="0" w:afterLines="25" w:line="300" w:lineRule="auto"/>
        <w:ind w:firstLine="480" w:firstLineChars="200"/>
        <w:textAlignment w:val="auto"/>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rPr>
        <w:t>2.</w:t>
      </w:r>
      <w:r>
        <w:rPr>
          <w:rFonts w:hint="eastAsia" w:ascii="黑体" w:hAnsi="黑体" w:eastAsia="黑体" w:cs="黑体"/>
          <w:color w:val="auto"/>
          <w:sz w:val="24"/>
          <w:szCs w:val="24"/>
          <w:highlight w:val="none"/>
          <w:lang w:val="en-US" w:eastAsia="zh-CN"/>
        </w:rPr>
        <w:t xml:space="preserve">6 授权通知 </w:t>
      </w:r>
    </w:p>
    <w:p w14:paraId="75EED507">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color w:val="auto"/>
          <w:highlight w:val="none"/>
        </w:rPr>
      </w:pP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lang w:val="en-US"/>
        </w:rPr>
        <w:t>必须将履行</w:t>
      </w:r>
      <w:r>
        <w:rPr>
          <w:rFonts w:hint="eastAsia" w:ascii="宋体" w:hAnsi="宋体" w:cs="宋体"/>
          <w:color w:val="auto"/>
          <w:sz w:val="24"/>
          <w:szCs w:val="24"/>
          <w:highlight w:val="none"/>
          <w:lang w:val="en-US" w:eastAsia="zh-CN"/>
        </w:rPr>
        <w:t>咨询</w:t>
      </w:r>
      <w:r>
        <w:rPr>
          <w:rFonts w:hint="eastAsia" w:ascii="宋体" w:hAnsi="宋体" w:eastAsia="宋体" w:cs="宋体"/>
          <w:color w:val="auto"/>
          <w:sz w:val="24"/>
          <w:szCs w:val="24"/>
          <w:highlight w:val="none"/>
          <w:lang w:val="en-US"/>
        </w:rPr>
        <w:t>服务的人员及</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lang w:val="en-US"/>
        </w:rPr>
        <w:t>授予</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rPr>
        <w:t>的权力，及时用书面形式通知第三方。</w:t>
      </w:r>
    </w:p>
    <w:p w14:paraId="6D524CCD">
      <w:pPr>
        <w:keepNext w:val="0"/>
        <w:keepLines w:val="0"/>
        <w:pageBreakBefore w:val="0"/>
        <w:widowControl w:val="0"/>
        <w:kinsoku/>
        <w:wordWrap/>
        <w:overflowPunct/>
        <w:topLinePunct w:val="0"/>
        <w:autoSpaceDE/>
        <w:autoSpaceDN/>
        <w:bidi w:val="0"/>
        <w:adjustRightInd/>
        <w:snapToGrid/>
        <w:spacing w:before="0" w:beforeLines="25" w:after="0" w:afterLines="25" w:line="300" w:lineRule="auto"/>
        <w:ind w:firstLine="480" w:firstLineChars="200"/>
        <w:textAlignment w:val="auto"/>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2.7 发包人代表（若有）</w:t>
      </w:r>
    </w:p>
    <w:p w14:paraId="6CE71ECF">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发包人应在合同签订后 14 天内将发包人代表的姓名、职务、联系方式、授权范围和授权期限书面通知承包人，与承包人建立工作联系。更换该代表或变更其授权时，必须提前 7 日通知承包人。</w:t>
      </w:r>
    </w:p>
    <w:p w14:paraId="1E47E12D">
      <w:pPr>
        <w:pStyle w:val="53"/>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 xml:space="preserve">    2.8 决定或答复 </w:t>
      </w:r>
    </w:p>
    <w:p w14:paraId="488FD874">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lang w:val="en-US" w:eastAsia="zh-CN"/>
        </w:rPr>
        <w:t>根据</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有关针对本工程的工期、质量、进度、合同和安全等问题的请示及时予以决定。对上述请示给予书面答复的期限，自收到书面请示之日起最长不超过 7 日，重大问题不得超过 28 日。逾期没有作出答复的，视为已获得</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lang w:val="en-US" w:eastAsia="zh-CN"/>
        </w:rPr>
        <w:t>的批准。</w:t>
      </w:r>
    </w:p>
    <w:p w14:paraId="268B7517">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360" w:firstLineChars="200"/>
        <w:textAlignment w:val="auto"/>
        <w:outlineLvl w:val="3"/>
        <w:rPr>
          <w:rFonts w:hint="eastAsia" w:ascii="黑体" w:hAnsi="黑体" w:eastAsia="黑体" w:cs="黑体"/>
          <w:color w:val="auto"/>
          <w:sz w:val="24"/>
          <w:szCs w:val="24"/>
          <w:highlight w:val="none"/>
          <w:lang w:val="en-US" w:eastAsia="zh-CN"/>
        </w:rPr>
      </w:pPr>
      <w:r>
        <w:rPr>
          <w:rFonts w:hint="eastAsia"/>
          <w:color w:val="auto"/>
          <w:highlight w:val="none"/>
          <w:lang w:val="en-US" w:eastAsia="zh-CN"/>
        </w:rPr>
        <w:t xml:space="preserve"> </w:t>
      </w:r>
      <w:r>
        <w:rPr>
          <w:rFonts w:hint="eastAsia" w:ascii="黑体" w:hAnsi="黑体" w:eastAsia="黑体" w:cs="黑体"/>
          <w:color w:val="auto"/>
          <w:sz w:val="24"/>
          <w:szCs w:val="24"/>
          <w:highlight w:val="none"/>
          <w:lang w:val="en-US" w:eastAsia="zh-CN"/>
        </w:rPr>
        <w:t>2.9 协助</w:t>
      </w:r>
    </w:p>
    <w:p w14:paraId="2C633FA8">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发包人在工程所在地对承包人提供进驻现场的相关条件，协助承包人进场施工现场，解决非承包人原因而发生意外事件时，</w:t>
      </w:r>
      <w:r>
        <w:rPr>
          <w:rFonts w:hint="eastAsia" w:ascii="宋体" w:hAnsi="宋体" w:cs="宋体"/>
          <w:color w:val="auto"/>
          <w:sz w:val="24"/>
          <w:szCs w:val="24"/>
          <w:highlight w:val="none"/>
          <w:lang w:val="en-US" w:eastAsia="zh-CN"/>
        </w:rPr>
        <w:t>验收</w:t>
      </w:r>
      <w:r>
        <w:rPr>
          <w:rFonts w:hint="eastAsia" w:ascii="宋体" w:hAnsi="宋体" w:eastAsia="宋体" w:cs="宋体"/>
          <w:color w:val="auto"/>
          <w:sz w:val="24"/>
          <w:szCs w:val="24"/>
          <w:highlight w:val="none"/>
          <w:lang w:val="en-US" w:eastAsia="zh-CN"/>
        </w:rPr>
        <w:t xml:space="preserve">人员的撤场和相关事宜；并避免承包人根据合同进行服务而导致的第三方的收费(不含税金)。 </w:t>
      </w:r>
    </w:p>
    <w:p w14:paraId="402DD6CC">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79" w:name="_Toc237230878"/>
      <w:r>
        <w:rPr>
          <w:rFonts w:hint="eastAsia" w:ascii="黑体" w:hAnsi="黑体" w:eastAsia="黑体" w:cs="黑体"/>
          <w:i w:val="0"/>
          <w:iCs/>
          <w:color w:val="auto"/>
          <w:szCs w:val="24"/>
          <w:highlight w:val="none"/>
        </w:rPr>
        <w:t>2.</w:t>
      </w:r>
      <w:r>
        <w:rPr>
          <w:rFonts w:hint="eastAsia" w:ascii="黑体" w:hAnsi="黑体" w:eastAsia="黑体" w:cs="黑体"/>
          <w:i w:val="0"/>
          <w:iCs/>
          <w:color w:val="auto"/>
          <w:szCs w:val="24"/>
          <w:highlight w:val="none"/>
          <w:lang w:val="en-US" w:eastAsia="zh-CN"/>
        </w:rPr>
        <w:t>10</w:t>
      </w:r>
      <w:r>
        <w:rPr>
          <w:rFonts w:hint="eastAsia" w:ascii="黑体" w:hAnsi="黑体" w:eastAsia="黑体" w:cs="黑体"/>
          <w:i w:val="0"/>
          <w:iCs/>
          <w:color w:val="auto"/>
          <w:szCs w:val="24"/>
          <w:highlight w:val="none"/>
        </w:rPr>
        <w:t xml:space="preserve"> 其他义务</w:t>
      </w:r>
      <w:bookmarkEnd w:id="79"/>
    </w:p>
    <w:p w14:paraId="55EBD4B8">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.1 对工期、质量、人员、设备、仪器进行监督检查，对不符合《技术要求》的工作，有权要求承包人进行整改直到合格，并由承包人承担相应费用。</w:t>
      </w:r>
    </w:p>
    <w:p w14:paraId="1A78989D">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.2 有权根据设计、施工的需要调整工作内容、范围和工作计划，承包人不得对此有异议。</w:t>
      </w:r>
    </w:p>
    <w:p w14:paraId="01D3ECC8">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w:t>
      </w:r>
      <w:r>
        <w:rPr>
          <w:rFonts w:hint="eastAsia" w:ascii="宋体" w:hAnsi="宋体"/>
          <w:color w:val="auto"/>
          <w:position w:val="0"/>
          <w:sz w:val="24"/>
          <w:szCs w:val="24"/>
          <w:highlight w:val="none"/>
          <w:lang w:val="en-US" w:eastAsia="zh-CN"/>
        </w:rPr>
        <w:t>10</w:t>
      </w:r>
      <w:r>
        <w:rPr>
          <w:rFonts w:hint="eastAsia" w:ascii="宋体" w:hAnsi="宋体"/>
          <w:color w:val="auto"/>
          <w:position w:val="0"/>
          <w:sz w:val="24"/>
          <w:szCs w:val="24"/>
          <w:highlight w:val="none"/>
        </w:rPr>
        <w:t>.3发包人应履行合同约定的其他义务。</w:t>
      </w:r>
    </w:p>
    <w:p w14:paraId="03ED794A">
      <w:pPr>
        <w:pStyle w:val="4"/>
        <w:spacing w:before="78" w:beforeLines="25" w:after="78" w:afterLines="25" w:line="300" w:lineRule="auto"/>
        <w:rPr>
          <w:rFonts w:hint="eastAsia" w:ascii="黑体" w:hAnsi="黑体" w:eastAsia="黑体"/>
          <w:b w:val="0"/>
          <w:color w:val="auto"/>
          <w:position w:val="0"/>
          <w:szCs w:val="24"/>
          <w:highlight w:val="none"/>
        </w:rPr>
      </w:pPr>
      <w:bookmarkStart w:id="80" w:name="_Toc184635101"/>
      <w:bookmarkStart w:id="81" w:name="_Toc237230885"/>
      <w:bookmarkStart w:id="82" w:name="_Toc237061010"/>
      <w:bookmarkStart w:id="83" w:name="_Toc488236006"/>
      <w:r>
        <w:rPr>
          <w:rFonts w:hint="eastAsia" w:ascii="黑体" w:hAnsi="黑体" w:eastAsia="黑体"/>
          <w:b w:val="0"/>
          <w:color w:val="auto"/>
          <w:position w:val="0"/>
          <w:szCs w:val="24"/>
          <w:highlight w:val="none"/>
        </w:rPr>
        <w:t>3．承包人</w:t>
      </w:r>
      <w:bookmarkEnd w:id="80"/>
      <w:bookmarkEnd w:id="81"/>
      <w:bookmarkEnd w:id="82"/>
      <w:r>
        <w:rPr>
          <w:rFonts w:hint="eastAsia" w:ascii="黑体" w:hAnsi="黑体" w:eastAsia="黑体"/>
          <w:b w:val="0"/>
          <w:color w:val="auto"/>
          <w:position w:val="0"/>
          <w:szCs w:val="24"/>
          <w:highlight w:val="none"/>
        </w:rPr>
        <w:t>义务</w:t>
      </w:r>
      <w:bookmarkEnd w:id="83"/>
    </w:p>
    <w:p w14:paraId="662D1982">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84" w:name="_Toc237230886"/>
      <w:r>
        <w:rPr>
          <w:rFonts w:hint="eastAsia" w:ascii="黑体" w:hAnsi="黑体" w:eastAsia="黑体" w:cs="黑体"/>
          <w:i w:val="0"/>
          <w:iCs/>
          <w:color w:val="auto"/>
          <w:szCs w:val="24"/>
          <w:highlight w:val="none"/>
        </w:rPr>
        <w:t>3.1 承包人的一般义务</w:t>
      </w:r>
      <w:bookmarkEnd w:id="84"/>
    </w:p>
    <w:p w14:paraId="42B15A2E">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3.1.1 遵守法律</w:t>
      </w:r>
    </w:p>
    <w:p w14:paraId="51273A2D">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承包人在履行合同过程中应遵守法律，并保证发包人免于承担因承包人违反法律而引起的任何责任。</w:t>
      </w:r>
    </w:p>
    <w:p w14:paraId="30AD1890">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3.1.2 依法纳税</w:t>
      </w:r>
    </w:p>
    <w:p w14:paraId="062428F7">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承包人应按有关法律规定纳税，应缴纳的税金包括在合同价格内。</w:t>
      </w:r>
    </w:p>
    <w:p w14:paraId="679EA087">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3.1.3 完成各项承包工作</w:t>
      </w:r>
    </w:p>
    <w:p w14:paraId="098038B4">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承包人应按合同约定实施、完成全部</w:t>
      </w:r>
      <w:r>
        <w:rPr>
          <w:rFonts w:hint="eastAsia" w:ascii="宋体" w:hAnsi="宋体"/>
          <w:color w:val="auto"/>
          <w:position w:val="0"/>
          <w:sz w:val="24"/>
          <w:szCs w:val="24"/>
          <w:highlight w:val="none"/>
          <w:lang w:val="en-US" w:eastAsia="zh-CN"/>
        </w:rPr>
        <w:t>工作</w:t>
      </w:r>
      <w:r>
        <w:rPr>
          <w:rFonts w:hint="eastAsia" w:ascii="宋体" w:hAnsi="宋体"/>
          <w:color w:val="auto"/>
          <w:position w:val="0"/>
          <w:sz w:val="24"/>
          <w:szCs w:val="24"/>
          <w:highlight w:val="none"/>
        </w:rPr>
        <w:t>，承包人应提供为完成合同工作所需的劳务、材料、施工设备、工程设备和其他物品，并按合同约定负责临时设施的设计、建造、运行、维护、管理和拆除。</w:t>
      </w:r>
    </w:p>
    <w:p w14:paraId="6B7AB4AC">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3.1.4 对作业和方法的完备性负责</w:t>
      </w:r>
    </w:p>
    <w:p w14:paraId="3129D3CC">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承包人应按合同约定的工作内容，</w:t>
      </w:r>
      <w:r>
        <w:rPr>
          <w:rFonts w:hint="eastAsia"/>
          <w:color w:val="auto"/>
          <w:position w:val="0"/>
          <w:sz w:val="24"/>
          <w:highlight w:val="none"/>
        </w:rPr>
        <w:t>按照国家现行的标准、规范、规程，以及《技术要求》进行水土保持设施验收技术</w:t>
      </w:r>
      <w:r>
        <w:rPr>
          <w:rFonts w:hint="eastAsia"/>
          <w:color w:val="auto"/>
          <w:position w:val="0"/>
          <w:sz w:val="24"/>
          <w:highlight w:val="none"/>
          <w:lang w:val="en-US" w:eastAsia="zh-CN"/>
        </w:rPr>
        <w:t>服务</w:t>
      </w:r>
      <w:r>
        <w:rPr>
          <w:rFonts w:hint="eastAsia"/>
          <w:color w:val="auto"/>
          <w:position w:val="0"/>
          <w:sz w:val="24"/>
          <w:highlight w:val="none"/>
        </w:rPr>
        <w:t>，按规定的进度交付成果资料</w:t>
      </w:r>
      <w:r>
        <w:rPr>
          <w:rFonts w:hint="eastAsia" w:ascii="宋体" w:hAnsi="宋体"/>
          <w:color w:val="auto"/>
          <w:position w:val="0"/>
          <w:sz w:val="24"/>
          <w:szCs w:val="24"/>
          <w:highlight w:val="none"/>
        </w:rPr>
        <w:t>，并对所有作业和方法的完备性和安全可靠性负责。</w:t>
      </w:r>
    </w:p>
    <w:p w14:paraId="2DFCE6CF">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3.1.5 保证施工和人员的安全</w:t>
      </w:r>
    </w:p>
    <w:p w14:paraId="27880DFF">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承包人应采取施工安全措施，确保工程及其人员、材料、设备和设施的安全，防止因工程施工造成的人身伤害和财产损失。</w:t>
      </w:r>
    </w:p>
    <w:p w14:paraId="2344DB2A">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3.1.6若本项目工期延长，承包人不得向发包人提出费用索赔。</w:t>
      </w:r>
    </w:p>
    <w:p w14:paraId="422F2EF9">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3.1.7承包人应履行合同约定的其他义务。</w:t>
      </w:r>
    </w:p>
    <w:p w14:paraId="00C7BD55">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textAlignment w:val="auto"/>
        <w:rPr>
          <w:color w:val="auto"/>
          <w:highlight w:val="none"/>
        </w:rPr>
      </w:pPr>
      <w:r>
        <w:rPr>
          <w:rFonts w:hint="eastAsia" w:ascii="宋体" w:hAnsi="宋体" w:eastAsia="宋体" w:cs="宋体"/>
          <w:color w:val="auto"/>
          <w:position w:val="0"/>
          <w:sz w:val="24"/>
          <w:szCs w:val="24"/>
          <w:highlight w:val="none"/>
          <w:lang w:val="en-US" w:eastAsia="zh-CN"/>
        </w:rPr>
        <w:t>3.1.7.1</w:t>
      </w:r>
      <w:r>
        <w:rPr>
          <w:rFonts w:hint="eastAsia" w:ascii="黑体" w:hAnsi="黑体" w:eastAsia="黑体" w:cs="黑体"/>
          <w:color w:val="auto"/>
          <w:position w:val="0"/>
          <w:sz w:val="24"/>
          <w:szCs w:val="24"/>
          <w:highlight w:val="none"/>
          <w:lang w:val="en-US" w:eastAsia="zh-CN"/>
        </w:rPr>
        <w:t xml:space="preserve"> </w:t>
      </w:r>
      <w:r>
        <w:rPr>
          <w:rFonts w:hint="eastAsia" w:ascii="宋体" w:hAnsi="宋体" w:eastAsia="宋体" w:cs="宋体"/>
          <w:color w:val="auto"/>
          <w:position w:val="0"/>
          <w:sz w:val="24"/>
          <w:szCs w:val="24"/>
          <w:highlight w:val="none"/>
          <w:lang w:val="en-US" w:eastAsia="zh-CN"/>
        </w:rPr>
        <w:t>本项目实施智慧工地管理。在检测阶段，承包人应按照发包人要求，实现信息化管理，包括但不限于本项目实施的智慧化工程，室网络自动采集、信息化管理、数据采集系统、档案信息化系统、刷脸考勤系统等等。承包人应配备相应数量及符合运行要求配置的计算机等硬件系统及相应的软件系统，其费用包含在其投标报价中，</w:t>
      </w:r>
      <w:r>
        <w:rPr>
          <w:rFonts w:hint="eastAsia" w:ascii="宋体" w:hAnsi="宋体" w:cs="宋体"/>
          <w:color w:val="auto"/>
          <w:position w:val="0"/>
          <w:sz w:val="24"/>
          <w:szCs w:val="24"/>
          <w:highlight w:val="none"/>
          <w:lang w:val="en-US" w:eastAsia="zh-CN"/>
        </w:rPr>
        <w:t>发包人</w:t>
      </w:r>
      <w:r>
        <w:rPr>
          <w:rFonts w:hint="eastAsia" w:ascii="宋体" w:hAnsi="宋体" w:eastAsia="宋体" w:cs="宋体"/>
          <w:color w:val="auto"/>
          <w:position w:val="0"/>
          <w:sz w:val="24"/>
          <w:szCs w:val="24"/>
          <w:highlight w:val="none"/>
          <w:lang w:val="en-US" w:eastAsia="zh-CN"/>
        </w:rPr>
        <w:t>不另行支付。</w:t>
      </w:r>
    </w:p>
    <w:p w14:paraId="6B5311B3">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 xml:space="preserve">3.2 承包人职责 </w:t>
      </w:r>
    </w:p>
    <w:p w14:paraId="5109E207">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3.2.1</w:t>
      </w:r>
      <w:r>
        <w:rPr>
          <w:rFonts w:hint="eastAsia"/>
          <w:color w:val="auto"/>
          <w:highlight w:val="none"/>
          <w:lang w:val="en-US" w:eastAsia="zh-CN"/>
        </w:rPr>
        <w:t xml:space="preserve"> </w:t>
      </w:r>
      <w:r>
        <w:rPr>
          <w:rFonts w:hint="eastAsia"/>
          <w:color w:val="auto"/>
          <w:sz w:val="24"/>
          <w:szCs w:val="24"/>
          <w:highlight w:val="none"/>
          <w:lang w:val="en-US" w:eastAsia="zh-CN"/>
        </w:rPr>
        <w:t xml:space="preserve">承包人应本着“严格检测、热情服务、秉公办事、一丝不苟”的原则，按照合同的要求，根据适合的专业技术规定和公认的行为工作准则，谨慎而勤奋地履行咨询服务。 </w:t>
      </w:r>
    </w:p>
    <w:p w14:paraId="0AA5D464">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w:t>
      </w:r>
      <w:r>
        <w:rPr>
          <w:rFonts w:hint="eastAsia"/>
          <w:color w:val="auto"/>
          <w:highlight w:val="none"/>
          <w:lang w:val="en-US" w:eastAsia="zh-CN"/>
        </w:rPr>
        <w:t xml:space="preserve"> </w:t>
      </w:r>
      <w:r>
        <w:rPr>
          <w:rFonts w:hint="eastAsia"/>
          <w:color w:val="auto"/>
          <w:sz w:val="24"/>
          <w:szCs w:val="24"/>
          <w:highlight w:val="none"/>
          <w:lang w:val="en-US" w:eastAsia="zh-CN"/>
        </w:rPr>
        <w:t>如果承包人在履行咨询服务过程中行使的权力或所需的授权，来自于发包人和第三方签订的工程合同文件，该合同文件必须成为本验收合同的组成部分，两者之间如出现矛盾，则应编制补充说明文件一并列入合同。此时承包人应：</w:t>
      </w:r>
    </w:p>
    <w:p w14:paraId="29257DF4">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outlineLvl w:val="4"/>
        <w:rPr>
          <w:rFonts w:hint="eastAsia"/>
          <w:color w:val="auto"/>
          <w:highlight w:val="none"/>
          <w:lang w:val="en-US" w:eastAsia="zh-CN"/>
        </w:rPr>
      </w:pPr>
      <w:r>
        <w:rPr>
          <w:rFonts w:hint="eastAsia"/>
          <w:color w:val="auto"/>
          <w:highlight w:val="none"/>
          <w:lang w:val="en-US" w:eastAsia="zh-CN"/>
        </w:rPr>
        <w:t>（1）</w:t>
      </w:r>
      <w:r>
        <w:rPr>
          <w:rFonts w:hint="eastAsia"/>
          <w:color w:val="auto"/>
          <w:sz w:val="24"/>
          <w:szCs w:val="24"/>
          <w:highlight w:val="none"/>
          <w:lang w:val="en-US" w:eastAsia="zh-CN"/>
        </w:rPr>
        <w:t>根据合同文件和工程合同文件履行验收服务；</w:t>
      </w:r>
      <w:r>
        <w:rPr>
          <w:rFonts w:hint="eastAsia"/>
          <w:color w:val="auto"/>
          <w:highlight w:val="none"/>
          <w:lang w:val="en-US" w:eastAsia="zh-CN"/>
        </w:rPr>
        <w:t xml:space="preserve"> </w:t>
      </w:r>
    </w:p>
    <w:p w14:paraId="2181EDE4">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auto"/>
          <w:highlight w:val="none"/>
          <w:lang w:val="en-US" w:eastAsia="zh-CN"/>
        </w:rPr>
      </w:pPr>
      <w:r>
        <w:rPr>
          <w:rFonts w:hint="eastAsia"/>
          <w:color w:val="auto"/>
          <w:highlight w:val="none"/>
          <w:lang w:val="en-US" w:eastAsia="zh-CN"/>
        </w:rPr>
        <w:t>（2）</w:t>
      </w:r>
      <w:r>
        <w:rPr>
          <w:rFonts w:hint="eastAsia"/>
          <w:color w:val="auto"/>
          <w:sz w:val="24"/>
          <w:szCs w:val="24"/>
          <w:highlight w:val="none"/>
          <w:lang w:val="en-US" w:eastAsia="zh-CN"/>
        </w:rPr>
        <w:t>根据职责范围，在发包人和第三方之间独立公正地行使上述合同文件赋予的权力。</w:t>
      </w:r>
      <w:r>
        <w:rPr>
          <w:rFonts w:hint="eastAsia"/>
          <w:color w:val="auto"/>
          <w:highlight w:val="none"/>
          <w:lang w:val="en-US" w:eastAsia="zh-CN"/>
        </w:rPr>
        <w:t xml:space="preserve"> </w:t>
      </w:r>
    </w:p>
    <w:p w14:paraId="562B3833">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3.2.3</w:t>
      </w:r>
      <w:r>
        <w:rPr>
          <w:rFonts w:hint="eastAsia"/>
          <w:color w:val="auto"/>
          <w:highlight w:val="none"/>
          <w:lang w:val="en-US" w:eastAsia="zh-CN"/>
        </w:rPr>
        <w:t xml:space="preserve"> </w:t>
      </w:r>
      <w:r>
        <w:rPr>
          <w:rFonts w:hint="eastAsia"/>
          <w:color w:val="auto"/>
          <w:sz w:val="24"/>
          <w:szCs w:val="24"/>
          <w:highlight w:val="none"/>
          <w:lang w:val="en-US" w:eastAsia="zh-CN"/>
        </w:rPr>
        <w:t xml:space="preserve">承包人应严格执行本咨询服务合同、施工技术规范、补充技术规范、验收规范、设计图纸及湖南省交通运输厅、发包人一切有关该项目的文件、信函、规定和指令。 </w:t>
      </w:r>
    </w:p>
    <w:p w14:paraId="16D7ECDF">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3.2.4</w:t>
      </w:r>
      <w:r>
        <w:rPr>
          <w:rFonts w:hint="eastAsia"/>
          <w:color w:val="auto"/>
          <w:highlight w:val="none"/>
          <w:lang w:val="en-US" w:eastAsia="zh-CN"/>
        </w:rPr>
        <w:t xml:space="preserve"> </w:t>
      </w:r>
      <w:r>
        <w:rPr>
          <w:rFonts w:hint="eastAsia"/>
          <w:color w:val="auto"/>
          <w:sz w:val="24"/>
          <w:szCs w:val="24"/>
          <w:highlight w:val="none"/>
          <w:lang w:val="en-US" w:eastAsia="zh-CN"/>
        </w:rPr>
        <w:t>承包人应服从发包人的监督与管理，执行发包人授权代表的、验收工作指令。认真开展咨询服务工作，及时提供咨询成果与报告，并对其真实性负责，以确保工程质量完全处于受控状态。</w:t>
      </w:r>
      <w:r>
        <w:rPr>
          <w:rFonts w:hint="eastAsia"/>
          <w:color w:val="auto"/>
          <w:highlight w:val="none"/>
          <w:lang w:val="en-US" w:eastAsia="zh-CN"/>
        </w:rPr>
        <w:t xml:space="preserve"> </w:t>
      </w:r>
    </w:p>
    <w:p w14:paraId="6881A5CF">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3.2.5</w:t>
      </w:r>
      <w:r>
        <w:rPr>
          <w:rFonts w:hint="eastAsia"/>
          <w:color w:val="auto"/>
          <w:highlight w:val="none"/>
          <w:lang w:val="en-US" w:eastAsia="zh-CN"/>
        </w:rPr>
        <w:t xml:space="preserve"> </w:t>
      </w:r>
      <w:r>
        <w:rPr>
          <w:rFonts w:hint="eastAsia"/>
          <w:color w:val="auto"/>
          <w:sz w:val="24"/>
          <w:szCs w:val="24"/>
          <w:highlight w:val="none"/>
          <w:lang w:val="en-US" w:eastAsia="zh-CN"/>
        </w:rPr>
        <w:t>承包人应及时、准确地为发包人提供报告、验收分析意见；发包人认为有必要时，可为监理单位提供，作为监理单位实施工程质量控制和评估依据。</w:t>
      </w:r>
      <w:r>
        <w:rPr>
          <w:rFonts w:hint="eastAsia"/>
          <w:color w:val="auto"/>
          <w:highlight w:val="none"/>
          <w:lang w:val="en-US" w:eastAsia="zh-CN"/>
        </w:rPr>
        <w:t xml:space="preserve"> </w:t>
      </w:r>
    </w:p>
    <w:p w14:paraId="70B08383">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2.3.6</w:t>
      </w:r>
      <w:r>
        <w:rPr>
          <w:rFonts w:hint="eastAsia" w:ascii="宋体" w:hAnsi="宋体" w:eastAsia="宋体" w:cs="宋体"/>
          <w:color w:val="auto"/>
          <w:highlight w:val="none"/>
          <w:lang w:val="en-US" w:eastAsia="zh-CN"/>
        </w:rPr>
        <w:t xml:space="preserve"> </w:t>
      </w:r>
      <w:r>
        <w:rPr>
          <w:rFonts w:hint="eastAsia"/>
          <w:color w:val="auto"/>
          <w:sz w:val="24"/>
          <w:szCs w:val="24"/>
          <w:highlight w:val="none"/>
          <w:lang w:val="en-US" w:eastAsia="zh-CN"/>
        </w:rPr>
        <w:t>监理人以工作联系单或其它合适的方式与承包人进行业务联系，承包人应依据监理人的工作计划同步编写有咨询服务工作计划，报送发包人，同时承包人应据此安排好咨询服务工作。</w:t>
      </w:r>
      <w:r>
        <w:rPr>
          <w:rFonts w:hint="eastAsia"/>
          <w:color w:val="auto"/>
          <w:highlight w:val="none"/>
          <w:lang w:val="en-US" w:eastAsia="zh-CN"/>
        </w:rPr>
        <w:t xml:space="preserve"> </w:t>
      </w:r>
    </w:p>
    <w:p w14:paraId="6D6A9355">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 xml:space="preserve">3.2.7 </w:t>
      </w:r>
      <w:r>
        <w:rPr>
          <w:rFonts w:hint="eastAsia" w:ascii="宋体" w:hAnsi="宋体" w:cs="宋体"/>
          <w:color w:val="auto"/>
          <w:sz w:val="24"/>
          <w:szCs w:val="24"/>
          <w:highlight w:val="none"/>
          <w:lang w:val="en-US" w:eastAsia="zh-CN"/>
        </w:rPr>
        <w:t>承包人</w:t>
      </w:r>
      <w:r>
        <w:rPr>
          <w:rFonts w:hint="eastAsia"/>
          <w:color w:val="auto"/>
          <w:sz w:val="24"/>
          <w:szCs w:val="24"/>
          <w:highlight w:val="none"/>
          <w:lang w:val="en-US" w:eastAsia="zh-CN"/>
        </w:rPr>
        <w:t>编制相应的安评、环评和职业病三同时咨询服务细则，报送发包人或发包人代表批准，同时抄送监理人。</w:t>
      </w:r>
      <w:r>
        <w:rPr>
          <w:rFonts w:hint="eastAsia"/>
          <w:color w:val="auto"/>
          <w:highlight w:val="none"/>
          <w:lang w:val="en-US" w:eastAsia="zh-CN"/>
        </w:rPr>
        <w:t xml:space="preserve"> </w:t>
      </w:r>
    </w:p>
    <w:p w14:paraId="1345620C">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3.2.8 </w:t>
      </w:r>
      <w:r>
        <w:rPr>
          <w:rFonts w:hint="eastAsia" w:ascii="宋体" w:hAnsi="宋体" w:cs="宋体"/>
          <w:color w:val="auto"/>
          <w:sz w:val="24"/>
          <w:szCs w:val="24"/>
          <w:highlight w:val="none"/>
          <w:lang w:val="en-US" w:eastAsia="zh-CN"/>
        </w:rPr>
        <w:t>承包人</w:t>
      </w:r>
      <w:r>
        <w:rPr>
          <w:rFonts w:hint="eastAsia"/>
          <w:color w:val="auto"/>
          <w:sz w:val="24"/>
          <w:szCs w:val="24"/>
          <w:highlight w:val="none"/>
          <w:lang w:val="en-US" w:eastAsia="zh-CN"/>
        </w:rPr>
        <w:t xml:space="preserve">及时参加监理人主持召开的工地例会及相关质量专题分析会议。 </w:t>
      </w:r>
    </w:p>
    <w:p w14:paraId="6E1B8273">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2"/>
        <w:textAlignment w:val="auto"/>
        <w:rPr>
          <w:rFonts w:hint="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3.2.9 </w:t>
      </w:r>
      <w:r>
        <w:rPr>
          <w:rFonts w:hint="eastAsia"/>
          <w:color w:val="auto"/>
          <w:sz w:val="24"/>
          <w:szCs w:val="24"/>
          <w:highlight w:val="none"/>
          <w:lang w:val="en-US" w:eastAsia="zh-CN"/>
        </w:rPr>
        <w:t xml:space="preserve">积极配合发包人对质量问题的处理。 </w:t>
      </w:r>
    </w:p>
    <w:p w14:paraId="09BF8A03">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85" w:name="_Toc237230887"/>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3</w:t>
      </w:r>
      <w:r>
        <w:rPr>
          <w:rFonts w:hint="eastAsia" w:ascii="黑体" w:hAnsi="黑体" w:eastAsia="黑体" w:cs="黑体"/>
          <w:i w:val="0"/>
          <w:iCs/>
          <w:color w:val="auto"/>
          <w:szCs w:val="24"/>
          <w:highlight w:val="none"/>
        </w:rPr>
        <w:t xml:space="preserve"> 履约担保</w:t>
      </w:r>
      <w:bookmarkEnd w:id="85"/>
    </w:p>
    <w:p w14:paraId="6A226715">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3</w:t>
      </w:r>
      <w:r>
        <w:rPr>
          <w:rFonts w:hint="eastAsia" w:ascii="宋体" w:hAnsi="宋体"/>
          <w:color w:val="auto"/>
          <w:position w:val="0"/>
          <w:sz w:val="24"/>
          <w:szCs w:val="24"/>
          <w:highlight w:val="none"/>
        </w:rPr>
        <w:t>.1承包人应按规定提交履约担保，并应保证其履约担保在服务工作实质上完工（承包人</w:t>
      </w:r>
      <w:r>
        <w:rPr>
          <w:rFonts w:hint="eastAsia" w:ascii="宋体" w:hAnsi="宋体"/>
          <w:color w:val="auto"/>
          <w:position w:val="0"/>
          <w:sz w:val="24"/>
          <w:szCs w:val="24"/>
          <w:highlight w:val="none"/>
          <w:lang w:eastAsia="zh-CN"/>
        </w:rPr>
        <w:t>验收</w:t>
      </w:r>
      <w:r>
        <w:rPr>
          <w:rFonts w:hint="eastAsia" w:ascii="宋体" w:hAnsi="宋体"/>
          <w:color w:val="auto"/>
          <w:position w:val="0"/>
          <w:sz w:val="24"/>
          <w:szCs w:val="24"/>
          <w:highlight w:val="none"/>
        </w:rPr>
        <w:t>成果全部提交且经发包人验收通过）前一直有效。履约担保在所</w:t>
      </w:r>
      <w:r>
        <w:rPr>
          <w:rFonts w:hint="eastAsia" w:ascii="宋体" w:hAnsi="宋体"/>
          <w:color w:val="auto"/>
          <w:position w:val="0"/>
          <w:sz w:val="24"/>
          <w:szCs w:val="24"/>
          <w:highlight w:val="none"/>
          <w:lang w:eastAsia="zh-CN"/>
        </w:rPr>
        <w:t>验收</w:t>
      </w:r>
      <w:r>
        <w:rPr>
          <w:rFonts w:ascii="宋体" w:hAnsi="宋体"/>
          <w:color w:val="auto"/>
          <w:position w:val="0"/>
          <w:sz w:val="24"/>
          <w:szCs w:val="24"/>
          <w:highlight w:val="none"/>
        </w:rPr>
        <w:t>范围内的</w:t>
      </w:r>
      <w:r>
        <w:rPr>
          <w:rFonts w:hint="eastAsia" w:ascii="宋体" w:hAnsi="宋体"/>
          <w:color w:val="auto"/>
          <w:position w:val="0"/>
          <w:sz w:val="24"/>
          <w:szCs w:val="24"/>
          <w:highlight w:val="none"/>
        </w:rPr>
        <w:t>项目竣工验收且签发竣工验收鉴定书后</w:t>
      </w:r>
      <w:r>
        <w:rPr>
          <w:rFonts w:ascii="宋体" w:hAnsi="宋体"/>
          <w:color w:val="auto"/>
          <w:position w:val="0"/>
          <w:sz w:val="24"/>
          <w:szCs w:val="24"/>
          <w:highlight w:val="none"/>
        </w:rPr>
        <w:t>28</w:t>
      </w:r>
      <w:r>
        <w:rPr>
          <w:rFonts w:hint="eastAsia" w:ascii="宋体" w:hAnsi="宋体"/>
          <w:color w:val="auto"/>
          <w:position w:val="0"/>
          <w:sz w:val="24"/>
          <w:szCs w:val="24"/>
          <w:highlight w:val="none"/>
        </w:rPr>
        <w:t>日内退还承包人。</w:t>
      </w:r>
    </w:p>
    <w:p w14:paraId="3BAA740B">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86" w:name="_Toc237230888"/>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4</w:t>
      </w:r>
      <w:r>
        <w:rPr>
          <w:rFonts w:hint="eastAsia" w:ascii="黑体" w:hAnsi="黑体" w:eastAsia="黑体" w:cs="黑体"/>
          <w:i w:val="0"/>
          <w:iCs/>
          <w:color w:val="auto"/>
          <w:szCs w:val="24"/>
          <w:highlight w:val="none"/>
        </w:rPr>
        <w:t xml:space="preserve"> 分包</w:t>
      </w:r>
      <w:bookmarkEnd w:id="86"/>
    </w:p>
    <w:p w14:paraId="5C79E4DC">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本项目不接受任何形式的分包、转包。</w:t>
      </w:r>
    </w:p>
    <w:p w14:paraId="6E9B601D">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87" w:name="_Toc237230890"/>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5</w:t>
      </w:r>
      <w:r>
        <w:rPr>
          <w:rFonts w:hint="eastAsia" w:ascii="黑体" w:hAnsi="黑体" w:eastAsia="黑体" w:cs="黑体"/>
          <w:i w:val="0"/>
          <w:iCs/>
          <w:color w:val="auto"/>
          <w:szCs w:val="24"/>
          <w:highlight w:val="none"/>
        </w:rPr>
        <w:t xml:space="preserve"> 承包人项目</w:t>
      </w:r>
      <w:bookmarkEnd w:id="87"/>
      <w:r>
        <w:rPr>
          <w:rFonts w:hint="eastAsia" w:ascii="黑体" w:hAnsi="黑体" w:eastAsia="黑体" w:cs="黑体"/>
          <w:i w:val="0"/>
          <w:iCs/>
          <w:color w:val="auto"/>
          <w:szCs w:val="24"/>
          <w:highlight w:val="none"/>
        </w:rPr>
        <w:t>负责人及技术负责人</w:t>
      </w:r>
    </w:p>
    <w:p w14:paraId="2BB14A8D">
      <w:pPr>
        <w:spacing w:before="78" w:beforeLines="25" w:after="78" w:afterLines="25" w:line="300" w:lineRule="auto"/>
        <w:ind w:firstLine="480" w:firstLineChars="200"/>
        <w:rPr>
          <w:rFonts w:ascii="宋体" w:hAnsi="宋体"/>
          <w:color w:val="auto"/>
          <w:position w:val="0"/>
          <w:sz w:val="24"/>
          <w:szCs w:val="24"/>
          <w:highlight w:val="none"/>
        </w:rPr>
      </w:pPr>
      <w:bookmarkStart w:id="88" w:name="_Toc237230891"/>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5</w:t>
      </w:r>
      <w:r>
        <w:rPr>
          <w:rFonts w:hint="eastAsia" w:ascii="宋体" w:hAnsi="宋体"/>
          <w:color w:val="auto"/>
          <w:position w:val="0"/>
          <w:sz w:val="24"/>
          <w:szCs w:val="24"/>
          <w:highlight w:val="none"/>
        </w:rPr>
        <w:t>.1 承包人应按合同约定指派项目负责人及技术负责人，并在约定的期限内到职。承包人更换项目负责人或技术负责人应事先征得发包人同意，并应在更换14天前通知发包人。承包人项目负责人短期离开施工场地，应事先征得发包人同意，并委派代表代行其职责。并按10.</w:t>
      </w:r>
      <w:r>
        <w:rPr>
          <w:rFonts w:ascii="宋体" w:hAnsi="宋体"/>
          <w:color w:val="auto"/>
          <w:position w:val="0"/>
          <w:sz w:val="24"/>
          <w:szCs w:val="24"/>
          <w:highlight w:val="none"/>
        </w:rPr>
        <w:t>1条的规定处理</w:t>
      </w:r>
      <w:r>
        <w:rPr>
          <w:rFonts w:hint="eastAsia" w:ascii="宋体" w:hAnsi="宋体"/>
          <w:color w:val="auto"/>
          <w:position w:val="0"/>
          <w:sz w:val="24"/>
          <w:szCs w:val="24"/>
          <w:highlight w:val="none"/>
        </w:rPr>
        <w:t>。</w:t>
      </w:r>
    </w:p>
    <w:p w14:paraId="3E9CA0E5">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5</w:t>
      </w:r>
      <w:r>
        <w:rPr>
          <w:rFonts w:hint="eastAsia" w:ascii="宋体" w:hAnsi="宋体"/>
          <w:color w:val="auto"/>
          <w:position w:val="0"/>
          <w:sz w:val="24"/>
          <w:szCs w:val="24"/>
          <w:highlight w:val="none"/>
        </w:rPr>
        <w:t>.2 承包人为履行合同发出的一切函件均应盖有承包人授权的施工场地管理机构章，并由承包人项目负责人或其授权代表签字。</w:t>
      </w:r>
    </w:p>
    <w:p w14:paraId="3B2BB53B">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6</w:t>
      </w:r>
      <w:r>
        <w:rPr>
          <w:rFonts w:hint="eastAsia" w:ascii="黑体" w:hAnsi="黑体" w:eastAsia="黑体" w:cs="黑体"/>
          <w:i w:val="0"/>
          <w:iCs/>
          <w:color w:val="auto"/>
          <w:szCs w:val="24"/>
          <w:highlight w:val="none"/>
        </w:rPr>
        <w:t xml:space="preserve"> 承包人人员的管理</w:t>
      </w:r>
      <w:bookmarkEnd w:id="88"/>
    </w:p>
    <w:p w14:paraId="3703AD10">
      <w:pPr>
        <w:spacing w:before="78" w:beforeLines="25" w:after="78" w:afterLines="25" w:line="300" w:lineRule="auto"/>
        <w:ind w:firstLine="480" w:firstLineChars="200"/>
        <w:rPr>
          <w:rFonts w:ascii="宋体" w:hAnsi="宋体"/>
          <w:color w:val="auto"/>
          <w:position w:val="0"/>
          <w:sz w:val="24"/>
          <w:szCs w:val="24"/>
          <w:highlight w:val="none"/>
        </w:rPr>
      </w:pPr>
      <w:bookmarkStart w:id="89" w:name="_Toc237230893"/>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.1承包人应按投标承诺和合同谈判中承诺的人员名单派驻到工地现场，保证所有投标时和合同谈判中承诺配备的人员及时到位，并应相对稳定，若因工作安排或其他原因，需要更换派驻到项目所在地履行</w:t>
      </w:r>
      <w:r>
        <w:rPr>
          <w:rFonts w:hint="eastAsia" w:ascii="宋体" w:hAnsi="宋体"/>
          <w:color w:val="auto"/>
          <w:position w:val="0"/>
          <w:sz w:val="24"/>
          <w:szCs w:val="24"/>
          <w:highlight w:val="none"/>
          <w:lang w:eastAsia="zh-CN"/>
        </w:rPr>
        <w:t>验收</w:t>
      </w:r>
      <w:r>
        <w:rPr>
          <w:rFonts w:hint="eastAsia" w:ascii="宋体" w:hAnsi="宋体"/>
          <w:color w:val="auto"/>
          <w:position w:val="0"/>
          <w:sz w:val="24"/>
          <w:szCs w:val="24"/>
          <w:highlight w:val="none"/>
        </w:rPr>
        <w:t>任务的主要人员时，更换人员资质应不低于原人员资质，并应事先得到发包人的批准，并按10.</w:t>
      </w:r>
      <w:r>
        <w:rPr>
          <w:rFonts w:ascii="宋体" w:hAnsi="宋体"/>
          <w:color w:val="auto"/>
          <w:position w:val="0"/>
          <w:sz w:val="24"/>
          <w:szCs w:val="24"/>
          <w:highlight w:val="none"/>
        </w:rPr>
        <w:t>1条的规定处理</w:t>
      </w:r>
      <w:r>
        <w:rPr>
          <w:rFonts w:hint="eastAsia" w:ascii="宋体" w:hAnsi="宋体"/>
          <w:color w:val="auto"/>
          <w:position w:val="0"/>
          <w:sz w:val="24"/>
          <w:szCs w:val="24"/>
          <w:highlight w:val="none"/>
        </w:rPr>
        <w:t>。</w:t>
      </w:r>
    </w:p>
    <w:p w14:paraId="7C917F8C">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.2 为完成合同约定的各项工作，承包人应向施工场地派遣足够数量的人员常驻现场。每人每月在工地的时间不得少于25天。若出于某种原因需要暂时离开现场时，必须书面申请并经发包人或发包人授权代表批准后方可离开，发包人对此批准而产生的相关风险不承担任何责任。具体批准程序在发包人相关试验检测管理制度中制定。</w:t>
      </w:r>
    </w:p>
    <w:p w14:paraId="4F655578">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.3 特殊岗位的工作人员均应持有相应的资格证明，发包人有权随时检查。</w:t>
      </w:r>
    </w:p>
    <w:p w14:paraId="28181A51">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黑体" w:hAnsi="黑体" w:eastAsia="黑体"/>
          <w:color w:val="auto"/>
          <w:position w:val="0"/>
          <w:sz w:val="24"/>
          <w:szCs w:val="24"/>
          <w:highlight w:val="none"/>
        </w:rPr>
        <w:t>3</w:t>
      </w:r>
      <w:r>
        <w:rPr>
          <w:rFonts w:ascii="黑体" w:hAnsi="黑体" w:eastAsia="黑体"/>
          <w:color w:val="auto"/>
          <w:position w:val="0"/>
          <w:sz w:val="24"/>
          <w:szCs w:val="24"/>
          <w:highlight w:val="none"/>
        </w:rPr>
        <w:t>.</w:t>
      </w:r>
      <w:r>
        <w:rPr>
          <w:rFonts w:hint="eastAsia" w:ascii="黑体" w:hAnsi="黑体" w:eastAsia="黑体"/>
          <w:color w:val="auto"/>
          <w:position w:val="0"/>
          <w:sz w:val="24"/>
          <w:szCs w:val="24"/>
          <w:highlight w:val="none"/>
          <w:lang w:val="en-US" w:eastAsia="zh-CN"/>
        </w:rPr>
        <w:t>6</w:t>
      </w:r>
      <w:r>
        <w:rPr>
          <w:rFonts w:ascii="黑体" w:hAnsi="黑体" w:eastAsia="黑体"/>
          <w:color w:val="auto"/>
          <w:position w:val="0"/>
          <w:sz w:val="24"/>
          <w:szCs w:val="24"/>
          <w:highlight w:val="none"/>
        </w:rPr>
        <w:t>.4</w:t>
      </w:r>
      <w:r>
        <w:rPr>
          <w:rFonts w:hint="eastAsia" w:ascii="黑体" w:hAnsi="黑体" w:eastAsia="黑体"/>
          <w:color w:val="auto"/>
          <w:position w:val="0"/>
          <w:sz w:val="24"/>
          <w:szCs w:val="24"/>
          <w:highlight w:val="none"/>
        </w:rPr>
        <w:t>承包人派驻现场的人员经发包人考核认定不能胜任时，发包人有权要求承包人更换，且</w:t>
      </w:r>
      <w:r>
        <w:rPr>
          <w:rFonts w:ascii="黑体" w:hAnsi="黑体" w:eastAsia="黑体"/>
          <w:color w:val="auto"/>
          <w:position w:val="0"/>
          <w:sz w:val="24"/>
          <w:szCs w:val="24"/>
          <w:highlight w:val="none"/>
        </w:rPr>
        <w:t>按</w:t>
      </w:r>
      <w:r>
        <w:rPr>
          <w:rFonts w:hint="eastAsia" w:ascii="黑体" w:hAnsi="黑体" w:eastAsia="黑体"/>
          <w:color w:val="auto"/>
          <w:position w:val="0"/>
          <w:sz w:val="24"/>
          <w:szCs w:val="24"/>
          <w:highlight w:val="none"/>
        </w:rPr>
        <w:t>“10</w:t>
      </w:r>
      <w:r>
        <w:rPr>
          <w:rFonts w:ascii="黑体" w:hAnsi="黑体" w:eastAsia="黑体"/>
          <w:color w:val="auto"/>
          <w:position w:val="0"/>
          <w:sz w:val="24"/>
          <w:szCs w:val="24"/>
          <w:highlight w:val="none"/>
        </w:rPr>
        <w:t>.1</w:t>
      </w:r>
      <w:r>
        <w:rPr>
          <w:rFonts w:hint="eastAsia" w:ascii="黑体" w:hAnsi="黑体" w:eastAsia="黑体"/>
          <w:color w:val="auto"/>
          <w:position w:val="0"/>
          <w:sz w:val="24"/>
          <w:szCs w:val="24"/>
          <w:highlight w:val="none"/>
        </w:rPr>
        <w:t>条</w:t>
      </w:r>
      <w:r>
        <w:rPr>
          <w:rFonts w:ascii="黑体" w:hAnsi="黑体" w:eastAsia="黑体"/>
          <w:color w:val="auto"/>
          <w:position w:val="0"/>
          <w:sz w:val="24"/>
          <w:szCs w:val="24"/>
          <w:highlight w:val="none"/>
        </w:rPr>
        <w:t>”</w:t>
      </w:r>
      <w:r>
        <w:rPr>
          <w:rFonts w:hint="eastAsia" w:ascii="黑体" w:hAnsi="黑体" w:eastAsia="黑体"/>
          <w:color w:val="auto"/>
          <w:position w:val="0"/>
          <w:sz w:val="24"/>
          <w:szCs w:val="24"/>
          <w:highlight w:val="none"/>
        </w:rPr>
        <w:t>约定</w:t>
      </w:r>
      <w:r>
        <w:rPr>
          <w:rFonts w:ascii="黑体" w:hAnsi="黑体" w:eastAsia="黑体"/>
          <w:color w:val="auto"/>
          <w:position w:val="0"/>
          <w:sz w:val="24"/>
          <w:szCs w:val="24"/>
          <w:highlight w:val="none"/>
        </w:rPr>
        <w:t>的</w:t>
      </w:r>
      <w:r>
        <w:rPr>
          <w:rFonts w:hint="eastAsia" w:ascii="黑体" w:hAnsi="黑体" w:eastAsia="黑体"/>
          <w:color w:val="auto"/>
          <w:position w:val="0"/>
          <w:sz w:val="24"/>
          <w:szCs w:val="24"/>
          <w:highlight w:val="none"/>
        </w:rPr>
        <w:t>违约金</w:t>
      </w:r>
      <w:r>
        <w:rPr>
          <w:rFonts w:ascii="黑体" w:hAnsi="黑体" w:eastAsia="黑体"/>
          <w:color w:val="auto"/>
          <w:position w:val="0"/>
          <w:sz w:val="24"/>
          <w:szCs w:val="24"/>
          <w:highlight w:val="none"/>
        </w:rPr>
        <w:t>对承包人进行处罚</w:t>
      </w:r>
      <w:r>
        <w:rPr>
          <w:rFonts w:hint="eastAsia" w:ascii="黑体" w:hAnsi="黑体" w:eastAsia="黑体"/>
          <w:color w:val="auto"/>
          <w:position w:val="0"/>
          <w:sz w:val="24"/>
          <w:szCs w:val="24"/>
          <w:highlight w:val="none"/>
        </w:rPr>
        <w:t>。</w:t>
      </w:r>
    </w:p>
    <w:p w14:paraId="747370A4">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7</w:t>
      </w:r>
      <w:r>
        <w:rPr>
          <w:rFonts w:hint="eastAsia" w:ascii="黑体" w:hAnsi="黑体" w:eastAsia="黑体" w:cs="黑体"/>
          <w:i w:val="0"/>
          <w:iCs/>
          <w:color w:val="auto"/>
          <w:szCs w:val="24"/>
          <w:highlight w:val="none"/>
        </w:rPr>
        <w:t xml:space="preserve"> 保障承包人人员的合法权益</w:t>
      </w:r>
      <w:bookmarkEnd w:id="89"/>
    </w:p>
    <w:p w14:paraId="5D0024DB">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7</w:t>
      </w:r>
      <w:r>
        <w:rPr>
          <w:rFonts w:hint="eastAsia" w:ascii="宋体" w:hAnsi="宋体"/>
          <w:color w:val="auto"/>
          <w:position w:val="0"/>
          <w:sz w:val="24"/>
          <w:szCs w:val="24"/>
          <w:highlight w:val="none"/>
        </w:rPr>
        <w:t>.1 承包人应与其雇佣的人员签订劳动合同，并按时发放工资。</w:t>
      </w:r>
    </w:p>
    <w:p w14:paraId="5B0AACE5">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7</w:t>
      </w:r>
      <w:r>
        <w:rPr>
          <w:rFonts w:hint="eastAsia" w:ascii="宋体" w:hAnsi="宋体"/>
          <w:color w:val="auto"/>
          <w:position w:val="0"/>
          <w:sz w:val="24"/>
          <w:szCs w:val="24"/>
          <w:highlight w:val="none"/>
        </w:rPr>
        <w:t>.2 承包人应按劳动法的规定安排工作时间，保证其雇佣人员享有休息和休假的权利。因工程施工的特殊需要占用休假日或延长工作时间的，应不超过法律规定的限度，并按法律规定给予补休或</w:t>
      </w:r>
      <w:r>
        <w:rPr>
          <w:rFonts w:hint="eastAsia" w:ascii="宋体" w:hAnsi="宋体"/>
          <w:color w:val="auto"/>
          <w:position w:val="0"/>
          <w:sz w:val="24"/>
          <w:szCs w:val="24"/>
          <w:highlight w:val="none"/>
          <w:lang w:val="en-US" w:eastAsia="zh-CN"/>
        </w:rPr>
        <w:t>报</w:t>
      </w:r>
      <w:r>
        <w:rPr>
          <w:rFonts w:hint="eastAsia" w:ascii="宋体" w:hAnsi="宋体"/>
          <w:color w:val="auto"/>
          <w:position w:val="0"/>
          <w:sz w:val="24"/>
          <w:szCs w:val="24"/>
          <w:highlight w:val="none"/>
        </w:rPr>
        <w:t>酬。</w:t>
      </w:r>
    </w:p>
    <w:p w14:paraId="0C3E1923">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7</w:t>
      </w:r>
      <w:r>
        <w:rPr>
          <w:rFonts w:hint="eastAsia" w:ascii="宋体" w:hAnsi="宋体"/>
          <w:color w:val="auto"/>
          <w:position w:val="0"/>
          <w:sz w:val="24"/>
          <w:szCs w:val="24"/>
          <w:highlight w:val="none"/>
        </w:rPr>
        <w:t>.3 承包人应为其雇佣人员提供必要的食宿条件，以及符合环境保护和卫生要求的生活环境，在远离城镇的施工场地，还应配备必要的伤病防治和急救的医务人员与医疗设施。</w:t>
      </w:r>
    </w:p>
    <w:p w14:paraId="2906C991">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7</w:t>
      </w:r>
      <w:r>
        <w:rPr>
          <w:rFonts w:hint="eastAsia" w:ascii="宋体" w:hAnsi="宋体"/>
          <w:color w:val="auto"/>
          <w:position w:val="0"/>
          <w:sz w:val="24"/>
          <w:szCs w:val="24"/>
          <w:highlight w:val="none"/>
        </w:rPr>
        <w:t>.4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E43CF5E">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7</w:t>
      </w:r>
      <w:r>
        <w:rPr>
          <w:rFonts w:hint="eastAsia" w:ascii="宋体" w:hAnsi="宋体"/>
          <w:color w:val="auto"/>
          <w:position w:val="0"/>
          <w:sz w:val="24"/>
          <w:szCs w:val="24"/>
          <w:highlight w:val="none"/>
        </w:rPr>
        <w:t>.5 承包人应按有关法律规定和合同约定，为其雇佣人员办理保险。</w:t>
      </w:r>
    </w:p>
    <w:p w14:paraId="37793768">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7</w:t>
      </w:r>
      <w:r>
        <w:rPr>
          <w:rFonts w:hint="eastAsia" w:ascii="宋体" w:hAnsi="宋体"/>
          <w:color w:val="auto"/>
          <w:position w:val="0"/>
          <w:sz w:val="24"/>
          <w:szCs w:val="24"/>
          <w:highlight w:val="none"/>
        </w:rPr>
        <w:t>.6 承包人应负责处理其雇佣人员因工伤亡事故的善后事宜。</w:t>
      </w:r>
    </w:p>
    <w:p w14:paraId="20B5CE8C">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90" w:name="_Toc237230894"/>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8</w:t>
      </w:r>
      <w:r>
        <w:rPr>
          <w:rFonts w:hint="eastAsia" w:ascii="黑体" w:hAnsi="黑体" w:eastAsia="黑体" w:cs="黑体"/>
          <w:i w:val="0"/>
          <w:iCs/>
          <w:color w:val="auto"/>
          <w:szCs w:val="24"/>
          <w:highlight w:val="none"/>
        </w:rPr>
        <w:t xml:space="preserve"> 工程价款应专款专用</w:t>
      </w:r>
      <w:bookmarkEnd w:id="90"/>
    </w:p>
    <w:p w14:paraId="3F8D770B">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发包人按合同约定支付给承包人的各项价款应专用于本项目</w:t>
      </w:r>
      <w:r>
        <w:rPr>
          <w:rFonts w:hint="eastAsia" w:ascii="宋体" w:hAnsi="宋体"/>
          <w:color w:val="auto"/>
          <w:position w:val="0"/>
          <w:sz w:val="24"/>
          <w:szCs w:val="24"/>
          <w:highlight w:val="none"/>
          <w:lang w:val="en-US" w:eastAsia="zh-CN"/>
        </w:rPr>
        <w:t>安评、环评和职业病三同时咨询服务工作</w:t>
      </w:r>
      <w:r>
        <w:rPr>
          <w:rFonts w:hint="eastAsia" w:ascii="宋体" w:hAnsi="宋体"/>
          <w:color w:val="auto"/>
          <w:position w:val="0"/>
          <w:sz w:val="24"/>
          <w:szCs w:val="24"/>
          <w:highlight w:val="none"/>
        </w:rPr>
        <w:t>。</w:t>
      </w:r>
    </w:p>
    <w:p w14:paraId="0740147C">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3.</w:t>
      </w:r>
      <w:r>
        <w:rPr>
          <w:rFonts w:hint="eastAsia" w:ascii="黑体" w:hAnsi="黑体" w:eastAsia="黑体" w:cs="黑体"/>
          <w:i w:val="0"/>
          <w:iCs/>
          <w:color w:val="auto"/>
          <w:szCs w:val="24"/>
          <w:highlight w:val="none"/>
          <w:lang w:val="en-US" w:eastAsia="zh-CN"/>
        </w:rPr>
        <w:t>9</w:t>
      </w:r>
      <w:r>
        <w:rPr>
          <w:rFonts w:hint="eastAsia" w:ascii="黑体" w:hAnsi="黑体" w:eastAsia="黑体" w:cs="黑体"/>
          <w:i w:val="0"/>
          <w:iCs/>
          <w:color w:val="auto"/>
          <w:szCs w:val="24"/>
          <w:highlight w:val="none"/>
        </w:rPr>
        <w:t xml:space="preserve"> 接受第三方的管理</w:t>
      </w:r>
    </w:p>
    <w:p w14:paraId="6C9BD1F0">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w:t>
      </w:r>
      <w:r>
        <w:rPr>
          <w:rFonts w:hint="eastAsia" w:ascii="宋体" w:hAnsi="宋体"/>
          <w:color w:val="auto"/>
          <w:position w:val="0"/>
          <w:sz w:val="24"/>
          <w:szCs w:val="24"/>
          <w:highlight w:val="none"/>
          <w:lang w:val="en-US" w:eastAsia="zh-CN"/>
        </w:rPr>
        <w:t>9</w:t>
      </w:r>
      <w:r>
        <w:rPr>
          <w:rFonts w:hint="eastAsia" w:ascii="宋体" w:hAnsi="宋体"/>
          <w:color w:val="auto"/>
          <w:position w:val="0"/>
          <w:sz w:val="24"/>
          <w:szCs w:val="24"/>
          <w:highlight w:val="none"/>
        </w:rPr>
        <w:t>.1合同实施期间，承包人有配合及接受第三</w:t>
      </w:r>
      <w:r>
        <w:rPr>
          <w:rFonts w:hint="eastAsia" w:ascii="宋体" w:hAnsi="宋体"/>
          <w:color w:val="auto"/>
          <w:position w:val="0"/>
          <w:sz w:val="24"/>
          <w:szCs w:val="24"/>
          <w:highlight w:val="none"/>
          <w:lang w:val="en-US" w:eastAsia="zh-CN"/>
        </w:rPr>
        <w:t>方</w:t>
      </w:r>
      <w:r>
        <w:rPr>
          <w:rFonts w:hint="eastAsia" w:ascii="宋体" w:hAnsi="宋体"/>
          <w:color w:val="auto"/>
          <w:position w:val="0"/>
          <w:sz w:val="24"/>
          <w:szCs w:val="24"/>
          <w:highlight w:val="none"/>
        </w:rPr>
        <w:t>（监理人、质量监督部门）管理的义务，并应尽量为第三人的管理工作提供方便。</w:t>
      </w:r>
    </w:p>
    <w:p w14:paraId="2CA5D860">
      <w:pPr>
        <w:pStyle w:val="53"/>
        <w:ind w:firstLine="480" w:firstLineChars="200"/>
        <w:outlineLvl w:val="3"/>
        <w:rPr>
          <w:rFonts w:hint="eastAsia" w:ascii="黑体" w:hAnsi="黑体" w:eastAsia="黑体" w:cs="黑体"/>
          <w:color w:val="auto"/>
          <w:position w:val="0"/>
          <w:sz w:val="24"/>
          <w:szCs w:val="24"/>
          <w:highlight w:val="none"/>
          <w:lang w:val="en-US" w:eastAsia="zh-CN"/>
        </w:rPr>
      </w:pPr>
      <w:r>
        <w:rPr>
          <w:rFonts w:hint="eastAsia" w:ascii="黑体" w:hAnsi="黑体" w:eastAsia="黑体" w:cs="黑体"/>
          <w:color w:val="auto"/>
          <w:position w:val="0"/>
          <w:sz w:val="24"/>
          <w:szCs w:val="24"/>
          <w:highlight w:val="none"/>
          <w:lang w:val="en-US" w:eastAsia="zh-CN"/>
        </w:rPr>
        <w:t>3.10 仪器</w:t>
      </w:r>
    </w:p>
    <w:p w14:paraId="4EEF4EE5">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尽管</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已按计划配置了仪器和设备，但若</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lang w:val="en-US" w:eastAsia="zh-CN"/>
        </w:rPr>
        <w:t>认为上述仪器和设备仍不足以满足</w:t>
      </w:r>
      <w:r>
        <w:rPr>
          <w:rFonts w:hint="eastAsia" w:ascii="宋体" w:hAnsi="宋体" w:cs="宋体"/>
          <w:color w:val="auto"/>
          <w:sz w:val="24"/>
          <w:szCs w:val="24"/>
          <w:highlight w:val="none"/>
          <w:lang w:val="en-US" w:eastAsia="zh-CN"/>
        </w:rPr>
        <w:t>验收</w:t>
      </w:r>
      <w:r>
        <w:rPr>
          <w:rFonts w:hint="eastAsia" w:ascii="宋体" w:hAnsi="宋体" w:eastAsia="宋体" w:cs="宋体"/>
          <w:color w:val="auto"/>
          <w:sz w:val="24"/>
          <w:szCs w:val="24"/>
          <w:highlight w:val="none"/>
          <w:lang w:val="en-US" w:eastAsia="zh-CN"/>
        </w:rPr>
        <w:t>服务的需要而影响了对工程质量、安全及进度的控制时，</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lang w:val="en-US" w:eastAsia="zh-CN"/>
        </w:rPr>
        <w:t>有权要求</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另外增加仪器和设备。</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在接到通知后应在 7 日内执行</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lang w:val="en-US" w:eastAsia="zh-CN"/>
        </w:rPr>
        <w:t>的指示，不得拖延。</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因此增加的费用支出应视为已包括在投标报价中，</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lang w:val="en-US" w:eastAsia="zh-CN"/>
        </w:rPr>
        <w:t>将不另行支付。</w:t>
      </w:r>
    </w:p>
    <w:p w14:paraId="50AFD30D">
      <w:pPr>
        <w:pStyle w:val="53"/>
        <w:ind w:firstLine="480" w:firstLineChars="200"/>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3.11 保密</w:t>
      </w:r>
    </w:p>
    <w:p w14:paraId="01A438EB">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val="en-US" w:eastAsia="zh-CN"/>
        </w:rPr>
        <w:t>承包人</w:t>
      </w:r>
      <w:r>
        <w:rPr>
          <w:rFonts w:hint="default"/>
          <w:color w:val="auto"/>
          <w:sz w:val="24"/>
          <w:szCs w:val="24"/>
          <w:highlight w:val="none"/>
          <w:lang w:val="en-US" w:eastAsia="zh-CN"/>
        </w:rPr>
        <w:t>在服务期间及交工验收交付使用后，未经</w:t>
      </w:r>
      <w:r>
        <w:rPr>
          <w:rFonts w:hint="eastAsia"/>
          <w:color w:val="auto"/>
          <w:sz w:val="24"/>
          <w:szCs w:val="24"/>
          <w:highlight w:val="none"/>
          <w:lang w:val="en-US" w:eastAsia="zh-CN"/>
        </w:rPr>
        <w:t>发包人</w:t>
      </w:r>
      <w:r>
        <w:rPr>
          <w:rFonts w:hint="default"/>
          <w:color w:val="auto"/>
          <w:sz w:val="24"/>
          <w:szCs w:val="24"/>
          <w:highlight w:val="none"/>
          <w:lang w:val="en-US" w:eastAsia="zh-CN"/>
        </w:rPr>
        <w:t>的书面同意，</w:t>
      </w:r>
      <w:r>
        <w:rPr>
          <w:rFonts w:hint="eastAsia"/>
          <w:color w:val="auto"/>
          <w:sz w:val="24"/>
          <w:szCs w:val="24"/>
          <w:highlight w:val="none"/>
          <w:lang w:val="en-US" w:eastAsia="zh-CN"/>
        </w:rPr>
        <w:t>承包人</w:t>
      </w:r>
      <w:r>
        <w:rPr>
          <w:rFonts w:hint="default"/>
          <w:color w:val="auto"/>
          <w:sz w:val="24"/>
          <w:szCs w:val="24"/>
          <w:highlight w:val="none"/>
          <w:lang w:val="en-US" w:eastAsia="zh-CN"/>
        </w:rPr>
        <w:t>不得泄露</w:t>
      </w:r>
      <w:r>
        <w:rPr>
          <w:rFonts w:hint="eastAsia"/>
          <w:color w:val="auto"/>
          <w:sz w:val="24"/>
          <w:szCs w:val="24"/>
          <w:highlight w:val="none"/>
          <w:lang w:val="en-US" w:eastAsia="zh-CN"/>
        </w:rPr>
        <w:t>发包人</w:t>
      </w:r>
      <w:r>
        <w:rPr>
          <w:rFonts w:hint="default"/>
          <w:color w:val="auto"/>
          <w:sz w:val="24"/>
          <w:szCs w:val="24"/>
          <w:highlight w:val="none"/>
          <w:lang w:val="en-US" w:eastAsia="zh-CN"/>
        </w:rPr>
        <w:t>与本项目、本工程、本</w:t>
      </w:r>
      <w:r>
        <w:rPr>
          <w:rFonts w:hint="eastAsia"/>
          <w:color w:val="auto"/>
          <w:sz w:val="24"/>
          <w:szCs w:val="24"/>
          <w:highlight w:val="none"/>
          <w:lang w:val="en-US" w:eastAsia="zh-CN"/>
        </w:rPr>
        <w:t>咨询服务</w:t>
      </w:r>
      <w:r>
        <w:rPr>
          <w:rFonts w:hint="default"/>
          <w:color w:val="auto"/>
          <w:sz w:val="24"/>
          <w:szCs w:val="24"/>
          <w:highlight w:val="none"/>
          <w:lang w:val="en-US" w:eastAsia="zh-CN"/>
        </w:rPr>
        <w:t xml:space="preserve">合同有关的保密资料。 </w:t>
      </w:r>
    </w:p>
    <w:p w14:paraId="48F727DE">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91" w:name="_Toc184635106"/>
      <w:bookmarkStart w:id="92" w:name="_Toc488236007"/>
      <w:bookmarkStart w:id="93" w:name="_Toc237061015"/>
      <w:bookmarkStart w:id="94" w:name="_Toc237230919"/>
      <w:r>
        <w:rPr>
          <w:rFonts w:hint="eastAsia" w:ascii="黑体" w:hAnsi="黑体" w:eastAsia="黑体" w:cs="黑体"/>
          <w:i w:val="0"/>
          <w:iCs/>
          <w:color w:val="auto"/>
          <w:szCs w:val="24"/>
          <w:highlight w:val="none"/>
        </w:rPr>
        <w:t>4．安全和环境保护</w:t>
      </w:r>
      <w:bookmarkEnd w:id="91"/>
      <w:bookmarkEnd w:id="92"/>
      <w:bookmarkEnd w:id="93"/>
      <w:bookmarkEnd w:id="94"/>
    </w:p>
    <w:p w14:paraId="7CB4DC5E">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95" w:name="_Toc237230920"/>
      <w:r>
        <w:rPr>
          <w:rFonts w:hint="eastAsia" w:ascii="黑体" w:hAnsi="黑体" w:eastAsia="黑体" w:cs="黑体"/>
          <w:i w:val="0"/>
          <w:iCs/>
          <w:color w:val="auto"/>
          <w:szCs w:val="24"/>
          <w:highlight w:val="none"/>
        </w:rPr>
        <w:t>4.1 发包人的安全责任</w:t>
      </w:r>
      <w:bookmarkEnd w:id="95"/>
    </w:p>
    <w:p w14:paraId="52202147">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发包人应对其现场机构雇佣的全部人员的工伤事故承担责任，但由于承包人原因造成发包人人员工伤或第三者人身伤亡和财产损失的，应由承包人承担责任。</w:t>
      </w:r>
    </w:p>
    <w:p w14:paraId="199C431E">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96" w:name="_Toc237230921"/>
      <w:r>
        <w:rPr>
          <w:rFonts w:hint="eastAsia" w:ascii="黑体" w:hAnsi="黑体" w:eastAsia="黑体" w:cs="黑体"/>
          <w:i w:val="0"/>
          <w:iCs/>
          <w:color w:val="auto"/>
          <w:szCs w:val="24"/>
          <w:highlight w:val="none"/>
        </w:rPr>
        <w:t>4.2 承包人的安全责任</w:t>
      </w:r>
      <w:bookmarkEnd w:id="96"/>
    </w:p>
    <w:p w14:paraId="49C06B1C">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 xml:space="preserve">4.2.1 承包人应按合同约定履行安全职责，加强施工作业安全管理，严格按照国家安全标准制定施工安全操作规程，配备必要的安全生产和劳动保护设施。 </w:t>
      </w:r>
    </w:p>
    <w:p w14:paraId="198D152D">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4.2.2 合同约定的安全作业环境及安全施工措施所需费用应遵守有关规定，并包括在相关工作的合同价格中。</w:t>
      </w:r>
    </w:p>
    <w:p w14:paraId="0D251933">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4.2.3 承包人应对其履行合同所雇佣的全部人员的工伤事故承担责任，但由于发包人原因造成承包人人员工伤事故的，应由发包人承担责任。</w:t>
      </w:r>
    </w:p>
    <w:p w14:paraId="38DFD220">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4.2.4 由于承包人原因在施工场地内及其毗邻地带造成的第三者人员伤亡和财产损失，由承包人负责赔偿。</w:t>
      </w:r>
    </w:p>
    <w:p w14:paraId="6A1BF678">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97" w:name="_Toc237230924"/>
      <w:r>
        <w:rPr>
          <w:rFonts w:hint="eastAsia" w:ascii="黑体" w:hAnsi="黑体" w:eastAsia="黑体" w:cs="黑体"/>
          <w:i w:val="0"/>
          <w:iCs/>
          <w:color w:val="auto"/>
          <w:szCs w:val="24"/>
          <w:highlight w:val="none"/>
        </w:rPr>
        <w:t>4.3 事故处理</w:t>
      </w:r>
      <w:bookmarkEnd w:id="97"/>
    </w:p>
    <w:p w14:paraId="0563FEE3">
      <w:pPr>
        <w:keepNext w:val="0"/>
        <w:keepLines w:val="0"/>
        <w:pageBreakBefore w:val="0"/>
        <w:widowControl w:val="0"/>
        <w:kinsoku/>
        <w:wordWrap/>
        <w:overflowPunct/>
        <w:topLinePunct w:val="0"/>
        <w:autoSpaceDE/>
        <w:autoSpaceDN/>
        <w:bidi w:val="0"/>
        <w:adjustRightInd/>
        <w:snapToGrid/>
        <w:spacing w:before="78" w:beforeLines="25" w:after="78" w:afterLines="25" w:line="300" w:lineRule="auto"/>
        <w:ind w:firstLine="480" w:firstLineChars="200"/>
        <w:textAlignment w:val="auto"/>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工程施工过程中发生事故的，承包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19CFC16E">
      <w:pPr>
        <w:pStyle w:val="4"/>
        <w:spacing w:before="78" w:beforeLines="25" w:after="78" w:afterLines="25" w:line="300" w:lineRule="auto"/>
        <w:rPr>
          <w:rFonts w:hint="eastAsia" w:ascii="黑体" w:hAnsi="黑体" w:eastAsia="黑体"/>
          <w:b w:val="0"/>
          <w:color w:val="auto"/>
          <w:position w:val="0"/>
          <w:szCs w:val="24"/>
          <w:highlight w:val="none"/>
        </w:rPr>
      </w:pPr>
      <w:bookmarkStart w:id="98" w:name="_Toc237230928"/>
      <w:bookmarkStart w:id="99" w:name="_Toc184635108"/>
      <w:bookmarkStart w:id="100" w:name="_Toc237061017"/>
      <w:bookmarkStart w:id="101" w:name="_Toc488236008"/>
      <w:r>
        <w:rPr>
          <w:rFonts w:hint="eastAsia" w:ascii="黑体" w:hAnsi="黑体" w:eastAsia="黑体"/>
          <w:b w:val="0"/>
          <w:color w:val="auto"/>
          <w:position w:val="0"/>
          <w:szCs w:val="24"/>
          <w:highlight w:val="none"/>
        </w:rPr>
        <w:t>5．</w:t>
      </w:r>
      <w:bookmarkEnd w:id="98"/>
      <w:bookmarkEnd w:id="99"/>
      <w:bookmarkEnd w:id="100"/>
      <w:r>
        <w:rPr>
          <w:rFonts w:hint="eastAsia" w:ascii="黑体" w:hAnsi="黑体" w:eastAsia="黑体"/>
          <w:b w:val="0"/>
          <w:color w:val="auto"/>
          <w:position w:val="0"/>
          <w:szCs w:val="24"/>
          <w:highlight w:val="none"/>
          <w:lang w:eastAsia="zh-CN"/>
        </w:rPr>
        <w:t>咨询服务</w:t>
      </w:r>
      <w:r>
        <w:rPr>
          <w:rFonts w:hint="eastAsia" w:ascii="黑体" w:hAnsi="黑体" w:eastAsia="黑体"/>
          <w:b w:val="0"/>
          <w:color w:val="auto"/>
          <w:position w:val="0"/>
          <w:szCs w:val="24"/>
          <w:highlight w:val="none"/>
        </w:rPr>
        <w:t>工作条件</w:t>
      </w:r>
      <w:bookmarkEnd w:id="101"/>
    </w:p>
    <w:p w14:paraId="25323B17">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102" w:name="_Toc237230931"/>
      <w:r>
        <w:rPr>
          <w:rFonts w:hint="eastAsia" w:ascii="黑体" w:hAnsi="黑体" w:eastAsia="黑体" w:cs="黑体"/>
          <w:i w:val="0"/>
          <w:iCs/>
          <w:color w:val="auto"/>
          <w:szCs w:val="24"/>
          <w:highlight w:val="none"/>
        </w:rPr>
        <w:t xml:space="preserve">5.1 </w:t>
      </w:r>
      <w:bookmarkEnd w:id="102"/>
      <w:r>
        <w:rPr>
          <w:rFonts w:hint="eastAsia" w:ascii="黑体" w:hAnsi="黑体" w:eastAsia="黑体" w:cs="黑体"/>
          <w:i w:val="0"/>
          <w:iCs/>
          <w:color w:val="auto"/>
          <w:szCs w:val="24"/>
          <w:highlight w:val="none"/>
          <w:lang w:eastAsia="zh-CN"/>
        </w:rPr>
        <w:t>咨询服务</w:t>
      </w:r>
      <w:r>
        <w:rPr>
          <w:rFonts w:hint="eastAsia" w:ascii="黑体" w:hAnsi="黑体" w:eastAsia="黑体" w:cs="黑体"/>
          <w:i w:val="0"/>
          <w:iCs/>
          <w:color w:val="auto"/>
          <w:szCs w:val="24"/>
          <w:highlight w:val="none"/>
        </w:rPr>
        <w:t>工作条件</w:t>
      </w:r>
    </w:p>
    <w:p w14:paraId="4ADA65C6">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安评、环评和职业病三同时咨询服务</w:t>
      </w:r>
      <w:r>
        <w:rPr>
          <w:rFonts w:hint="eastAsia" w:ascii="宋体" w:hAnsi="宋体"/>
          <w:color w:val="auto"/>
          <w:position w:val="0"/>
          <w:sz w:val="24"/>
          <w:szCs w:val="24"/>
          <w:highlight w:val="none"/>
        </w:rPr>
        <w:t>系本项目业务工作，其工作环境会受到土建施工承包人等一些交叉作业的影响，发包人将尽力为</w:t>
      </w:r>
      <w:r>
        <w:rPr>
          <w:rFonts w:hint="eastAsia" w:ascii="宋体" w:hAnsi="宋体"/>
          <w:color w:val="auto"/>
          <w:position w:val="0"/>
          <w:sz w:val="24"/>
          <w:szCs w:val="24"/>
          <w:highlight w:val="none"/>
          <w:lang w:eastAsia="zh-CN"/>
        </w:rPr>
        <w:t>验收</w:t>
      </w:r>
      <w:r>
        <w:rPr>
          <w:rFonts w:hint="eastAsia" w:ascii="宋体" w:hAnsi="宋体"/>
          <w:color w:val="auto"/>
          <w:position w:val="0"/>
          <w:sz w:val="24"/>
          <w:szCs w:val="24"/>
          <w:highlight w:val="none"/>
        </w:rPr>
        <w:t>工作创造好</w:t>
      </w:r>
      <w:r>
        <w:rPr>
          <w:rFonts w:ascii="宋体" w:hAnsi="宋体"/>
          <w:color w:val="auto"/>
          <w:position w:val="0"/>
          <w:sz w:val="24"/>
          <w:szCs w:val="24"/>
          <w:highlight w:val="none"/>
        </w:rPr>
        <w:t>的</w:t>
      </w:r>
      <w:r>
        <w:rPr>
          <w:rFonts w:hint="eastAsia" w:ascii="宋体" w:hAnsi="宋体"/>
          <w:color w:val="auto"/>
          <w:position w:val="0"/>
          <w:sz w:val="24"/>
          <w:szCs w:val="24"/>
          <w:highlight w:val="none"/>
        </w:rPr>
        <w:t>工作环境及条件，但</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承包人应充分估计</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工作环境的困难和制约，并在投标和</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过程中予以充分考虑。</w:t>
      </w:r>
    </w:p>
    <w:p w14:paraId="77D56B08">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w:t>
      </w:r>
      <w:r>
        <w:rPr>
          <w:rFonts w:ascii="宋体" w:hAnsi="宋体"/>
          <w:color w:val="auto"/>
          <w:position w:val="0"/>
          <w:sz w:val="24"/>
          <w:szCs w:val="24"/>
          <w:highlight w:val="none"/>
        </w:rPr>
        <w:t>2</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承包人必须紧密跟踪土建工程施工承包人的施工进展情况，编制并及时修订</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工作计划，确保</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工作合同的有效履行。</w:t>
      </w:r>
    </w:p>
    <w:p w14:paraId="5B78483F">
      <w:pPr>
        <w:pStyle w:val="4"/>
        <w:spacing w:before="78" w:beforeLines="25" w:after="78" w:afterLines="25" w:line="300" w:lineRule="auto"/>
        <w:rPr>
          <w:rFonts w:hint="eastAsia" w:ascii="黑体" w:hAnsi="黑体" w:eastAsia="黑体"/>
          <w:b w:val="0"/>
          <w:color w:val="auto"/>
          <w:position w:val="0"/>
          <w:szCs w:val="24"/>
          <w:highlight w:val="none"/>
        </w:rPr>
      </w:pPr>
      <w:bookmarkStart w:id="103" w:name="_Toc237230941"/>
      <w:bookmarkStart w:id="104" w:name="_Toc237061019"/>
      <w:bookmarkStart w:id="105" w:name="_Toc184635110"/>
      <w:bookmarkStart w:id="106" w:name="_Toc488236009"/>
      <w:r>
        <w:rPr>
          <w:rFonts w:hint="eastAsia" w:ascii="黑体" w:hAnsi="黑体" w:eastAsia="黑体"/>
          <w:b w:val="0"/>
          <w:color w:val="auto"/>
          <w:position w:val="0"/>
          <w:szCs w:val="24"/>
          <w:highlight w:val="none"/>
        </w:rPr>
        <w:t>6．</w:t>
      </w:r>
      <w:bookmarkEnd w:id="103"/>
      <w:bookmarkEnd w:id="104"/>
      <w:bookmarkEnd w:id="105"/>
      <w:r>
        <w:rPr>
          <w:rFonts w:hint="eastAsia" w:ascii="黑体" w:hAnsi="黑体" w:eastAsia="黑体"/>
          <w:b w:val="0"/>
          <w:color w:val="auto"/>
          <w:position w:val="0"/>
          <w:szCs w:val="24"/>
          <w:highlight w:val="none"/>
          <w:lang w:eastAsia="zh-CN"/>
        </w:rPr>
        <w:t>咨询服务</w:t>
      </w:r>
      <w:r>
        <w:rPr>
          <w:rFonts w:hint="eastAsia" w:ascii="黑体" w:hAnsi="黑体" w:eastAsia="黑体"/>
          <w:b w:val="0"/>
          <w:color w:val="auto"/>
          <w:position w:val="0"/>
          <w:szCs w:val="24"/>
          <w:highlight w:val="none"/>
        </w:rPr>
        <w:t>工作要求</w:t>
      </w:r>
      <w:bookmarkEnd w:id="106"/>
    </w:p>
    <w:p w14:paraId="0D652ED6">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 xml:space="preserve">6.1 </w:t>
      </w:r>
      <w:r>
        <w:rPr>
          <w:rFonts w:hint="eastAsia" w:ascii="黑体" w:hAnsi="黑体" w:eastAsia="黑体" w:cs="黑体"/>
          <w:i w:val="0"/>
          <w:iCs/>
          <w:color w:val="auto"/>
          <w:szCs w:val="24"/>
          <w:highlight w:val="none"/>
          <w:lang w:eastAsia="zh-CN"/>
        </w:rPr>
        <w:t>咨询服务</w:t>
      </w:r>
      <w:r>
        <w:rPr>
          <w:rFonts w:hint="eastAsia" w:ascii="黑体" w:hAnsi="黑体" w:eastAsia="黑体" w:cs="黑体"/>
          <w:i w:val="0"/>
          <w:iCs/>
          <w:color w:val="auto"/>
          <w:szCs w:val="24"/>
          <w:highlight w:val="none"/>
        </w:rPr>
        <w:t>工作要求</w:t>
      </w:r>
    </w:p>
    <w:p w14:paraId="79EED001">
      <w:pPr>
        <w:ind w:firstLine="480" w:firstLineChars="200"/>
        <w:outlineLvl w:val="4"/>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6.1.1 咨询服务范围</w:t>
      </w:r>
    </w:p>
    <w:p w14:paraId="61070A05">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default"/>
          <w:color w:val="auto"/>
          <w:highlight w:val="none"/>
          <w:lang w:val="en-US" w:eastAsia="zh-CN"/>
        </w:rPr>
      </w:pPr>
      <w:r>
        <w:rPr>
          <w:rFonts w:hint="eastAsia"/>
          <w:color w:val="auto"/>
          <w:sz w:val="24"/>
          <w:szCs w:val="24"/>
          <w:highlight w:val="none"/>
          <w:lang w:val="en-US" w:eastAsia="zh-CN"/>
        </w:rPr>
        <w:t>承包人咨询服务</w:t>
      </w:r>
      <w:r>
        <w:rPr>
          <w:rFonts w:hint="default"/>
          <w:color w:val="auto"/>
          <w:sz w:val="24"/>
          <w:szCs w:val="24"/>
          <w:highlight w:val="none"/>
          <w:lang w:val="en-US" w:eastAsia="zh-CN"/>
        </w:rPr>
        <w:t>服务范围包括</w:t>
      </w:r>
      <w:r>
        <w:rPr>
          <w:rFonts w:hint="eastAsia"/>
          <w:color w:val="auto"/>
          <w:sz w:val="24"/>
          <w:szCs w:val="24"/>
          <w:highlight w:val="none"/>
          <w:lang w:val="en-US" w:eastAsia="zh-CN"/>
        </w:rPr>
        <w:t>对</w:t>
      </w:r>
      <w:r>
        <w:rPr>
          <w:rFonts w:hint="default"/>
          <w:color w:val="auto"/>
          <w:sz w:val="24"/>
          <w:szCs w:val="24"/>
          <w:highlight w:val="none"/>
          <w:u w:val="single"/>
          <w:lang w:val="en-US" w:eastAsia="zh-CN"/>
        </w:rPr>
        <w:t xml:space="preserve"> </w:t>
      </w:r>
      <w:r>
        <w:rPr>
          <w:rFonts w:hint="eastAsia"/>
          <w:color w:val="auto"/>
          <w:sz w:val="24"/>
          <w:szCs w:val="24"/>
          <w:highlight w:val="none"/>
          <w:u w:val="single"/>
          <w:lang w:val="en-US" w:eastAsia="zh-CN"/>
        </w:rPr>
        <w:t xml:space="preserve">     </w:t>
      </w:r>
      <w:r>
        <w:rPr>
          <w:rFonts w:hint="default"/>
          <w:color w:val="auto"/>
          <w:sz w:val="24"/>
          <w:szCs w:val="24"/>
          <w:highlight w:val="none"/>
          <w:u w:val="single"/>
          <w:lang w:val="en-US" w:eastAsia="zh-CN"/>
        </w:rPr>
        <w:t>（安评、环评和职业病三同时咨询服务内容）</w:t>
      </w:r>
      <w:r>
        <w:rPr>
          <w:rFonts w:hint="eastAsia"/>
          <w:color w:val="auto"/>
          <w:sz w:val="24"/>
          <w:szCs w:val="24"/>
          <w:highlight w:val="none"/>
          <w:u w:val="single"/>
          <w:lang w:val="en-US" w:eastAsia="zh-CN"/>
        </w:rPr>
        <w:t xml:space="preserve">      </w:t>
      </w:r>
      <w:r>
        <w:rPr>
          <w:rFonts w:hint="default"/>
          <w:color w:val="auto"/>
          <w:sz w:val="24"/>
          <w:szCs w:val="24"/>
          <w:highlight w:val="none"/>
          <w:lang w:val="en-US" w:eastAsia="zh-CN"/>
        </w:rPr>
        <w:t xml:space="preserve"> 进行</w:t>
      </w:r>
      <w:r>
        <w:rPr>
          <w:rFonts w:hint="eastAsia"/>
          <w:color w:val="auto"/>
          <w:sz w:val="24"/>
          <w:szCs w:val="24"/>
          <w:highlight w:val="none"/>
          <w:lang w:val="en-US" w:eastAsia="zh-CN"/>
        </w:rPr>
        <w:t>咨询服务</w:t>
      </w:r>
      <w:r>
        <w:rPr>
          <w:rFonts w:hint="default"/>
          <w:color w:val="auto"/>
          <w:sz w:val="24"/>
          <w:szCs w:val="24"/>
          <w:highlight w:val="none"/>
          <w:lang w:val="en-US" w:eastAsia="zh-CN"/>
        </w:rPr>
        <w:t>，形成整个项目</w:t>
      </w:r>
      <w:r>
        <w:rPr>
          <w:rFonts w:hint="eastAsia"/>
          <w:color w:val="auto"/>
          <w:sz w:val="24"/>
          <w:szCs w:val="24"/>
          <w:highlight w:val="none"/>
          <w:lang w:val="en-US" w:eastAsia="zh-CN"/>
        </w:rPr>
        <w:t>咨询服务</w:t>
      </w:r>
      <w:r>
        <w:rPr>
          <w:rFonts w:hint="default"/>
          <w:color w:val="auto"/>
          <w:sz w:val="24"/>
          <w:szCs w:val="24"/>
          <w:highlight w:val="none"/>
          <w:lang w:val="en-US" w:eastAsia="zh-CN"/>
        </w:rPr>
        <w:t>报告。具体</w:t>
      </w:r>
      <w:r>
        <w:rPr>
          <w:rFonts w:hint="eastAsia"/>
          <w:color w:val="auto"/>
          <w:sz w:val="24"/>
          <w:szCs w:val="24"/>
          <w:highlight w:val="none"/>
          <w:lang w:val="en-US" w:eastAsia="zh-CN"/>
        </w:rPr>
        <w:t>验收</w:t>
      </w:r>
      <w:r>
        <w:rPr>
          <w:rFonts w:hint="default"/>
          <w:color w:val="auto"/>
          <w:sz w:val="24"/>
          <w:szCs w:val="24"/>
          <w:highlight w:val="none"/>
          <w:lang w:val="en-US" w:eastAsia="zh-CN"/>
        </w:rPr>
        <w:t>范围详见合同附件。</w:t>
      </w:r>
      <w:r>
        <w:rPr>
          <w:rFonts w:hint="default"/>
          <w:color w:val="auto"/>
          <w:highlight w:val="none"/>
          <w:lang w:val="en-US" w:eastAsia="zh-CN"/>
        </w:rPr>
        <w:t xml:space="preserve"> </w:t>
      </w:r>
    </w:p>
    <w:p w14:paraId="582AF94E">
      <w:pPr>
        <w:pStyle w:val="53"/>
        <w:keepNext w:val="0"/>
        <w:keepLines w:val="0"/>
        <w:pageBreakBefore w:val="0"/>
        <w:widowControl w:val="0"/>
        <w:kinsoku/>
        <w:wordWrap/>
        <w:overflowPunct/>
        <w:topLinePunct w:val="0"/>
        <w:autoSpaceDE/>
        <w:autoSpaceDN/>
        <w:bidi w:val="0"/>
        <w:adjustRightInd/>
        <w:snapToGrid/>
        <w:ind w:firstLine="480" w:firstLineChars="200"/>
        <w:textAlignment w:val="auto"/>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6.2 咨询服务依据</w:t>
      </w:r>
    </w:p>
    <w:p w14:paraId="54C3BD94">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（1）适用的法律、行政法规及部门规章。 </w:t>
      </w:r>
    </w:p>
    <w:p w14:paraId="7C9AAA76">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（2）国家和行业有关标准、规范、规程。 </w:t>
      </w:r>
    </w:p>
    <w:p w14:paraId="2FF09E8B">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咨询</w:t>
      </w:r>
      <w:r>
        <w:rPr>
          <w:rFonts w:hint="eastAsia" w:ascii="宋体" w:hAnsi="宋体" w:eastAsia="宋体" w:cs="宋体"/>
          <w:color w:val="auto"/>
          <w:sz w:val="24"/>
          <w:szCs w:val="24"/>
          <w:highlight w:val="none"/>
          <w:lang w:val="en-US" w:eastAsia="zh-CN"/>
        </w:rPr>
        <w:t xml:space="preserve">服务合同。 </w:t>
      </w:r>
    </w:p>
    <w:p w14:paraId="5BAAE299">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（4）施工合同。 </w:t>
      </w:r>
    </w:p>
    <w:p w14:paraId="07B39002">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（5）工程前期有关文件。 </w:t>
      </w:r>
    </w:p>
    <w:p w14:paraId="02CAE47E">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（6）工程设计文件和图纸。 </w:t>
      </w:r>
    </w:p>
    <w:p w14:paraId="5FC5269A">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（7）工程实施过程中有关的函件。 </w:t>
      </w:r>
    </w:p>
    <w:p w14:paraId="24CB2797">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outlineLvl w:val="3"/>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6.3 咨询服务内容</w:t>
      </w:r>
    </w:p>
    <w:p w14:paraId="57192584">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default"/>
          <w:color w:val="auto"/>
          <w:sz w:val="24"/>
          <w:szCs w:val="24"/>
          <w:highlight w:val="none"/>
          <w:lang w:val="en-US" w:eastAsia="zh-CN"/>
        </w:rPr>
      </w:pPr>
      <w:r>
        <w:rPr>
          <w:rFonts w:hint="default"/>
          <w:color w:val="auto"/>
          <w:sz w:val="24"/>
          <w:szCs w:val="24"/>
          <w:highlight w:val="none"/>
          <w:lang w:val="en-US" w:eastAsia="zh-CN"/>
        </w:rPr>
        <w:t>本合同</w:t>
      </w:r>
      <w:r>
        <w:rPr>
          <w:rFonts w:hint="eastAsia"/>
          <w:color w:val="auto"/>
          <w:sz w:val="24"/>
          <w:szCs w:val="24"/>
          <w:highlight w:val="none"/>
          <w:lang w:val="en-US" w:eastAsia="zh-CN"/>
        </w:rPr>
        <w:t>咨询服务</w:t>
      </w:r>
      <w:r>
        <w:rPr>
          <w:rFonts w:hint="default"/>
          <w:color w:val="auto"/>
          <w:sz w:val="24"/>
          <w:szCs w:val="24"/>
          <w:highlight w:val="none"/>
          <w:lang w:val="en-US" w:eastAsia="zh-CN"/>
        </w:rPr>
        <w:t>内容：</w:t>
      </w:r>
      <w:r>
        <w:rPr>
          <w:rFonts w:hint="default"/>
          <w:i w:val="0"/>
          <w:iCs w:val="0"/>
          <w:color w:val="auto"/>
          <w:sz w:val="24"/>
          <w:szCs w:val="24"/>
          <w:highlight w:val="none"/>
          <w:u w:val="single"/>
          <w:lang w:val="en-US" w:eastAsia="zh-CN"/>
        </w:rPr>
        <w:t xml:space="preserve"> </w:t>
      </w:r>
      <w:r>
        <w:rPr>
          <w:rFonts w:hint="eastAsia"/>
          <w:i w:val="0"/>
          <w:iCs w:val="0"/>
          <w:color w:val="auto"/>
          <w:sz w:val="24"/>
          <w:szCs w:val="24"/>
          <w:highlight w:val="none"/>
          <w:u w:val="single"/>
          <w:lang w:val="en-US" w:eastAsia="zh-CN"/>
        </w:rPr>
        <w:t xml:space="preserve">        </w:t>
      </w:r>
      <w:r>
        <w:rPr>
          <w:rFonts w:hint="default"/>
          <w:i w:val="0"/>
          <w:iCs w:val="0"/>
          <w:color w:val="auto"/>
          <w:sz w:val="24"/>
          <w:szCs w:val="24"/>
          <w:highlight w:val="none"/>
          <w:u w:val="single"/>
          <w:lang w:val="en-US" w:eastAsia="zh-CN"/>
        </w:rPr>
        <w:t>（检</w:t>
      </w:r>
      <w:r>
        <w:rPr>
          <w:rFonts w:hint="eastAsia"/>
          <w:i w:val="0"/>
          <w:iCs w:val="0"/>
          <w:color w:val="auto"/>
          <w:sz w:val="24"/>
          <w:szCs w:val="24"/>
          <w:highlight w:val="none"/>
          <w:u w:val="single"/>
          <w:lang w:val="en-US" w:eastAsia="zh-CN"/>
        </w:rPr>
        <w:t>查</w:t>
      </w:r>
      <w:r>
        <w:rPr>
          <w:rFonts w:hint="default"/>
          <w:i w:val="0"/>
          <w:iCs w:val="0"/>
          <w:color w:val="auto"/>
          <w:sz w:val="24"/>
          <w:szCs w:val="24"/>
          <w:highlight w:val="none"/>
          <w:u w:val="single"/>
          <w:lang w:val="en-US" w:eastAsia="zh-CN"/>
        </w:rPr>
        <w:t>内容、频率</w:t>
      </w:r>
      <w:r>
        <w:rPr>
          <w:rFonts w:hint="eastAsia"/>
          <w:i w:val="0"/>
          <w:iCs w:val="0"/>
          <w:color w:val="auto"/>
          <w:sz w:val="24"/>
          <w:szCs w:val="24"/>
          <w:highlight w:val="none"/>
          <w:u w:val="single"/>
          <w:lang w:val="en-US" w:eastAsia="zh-CN"/>
        </w:rPr>
        <w:t>等</w:t>
      </w:r>
      <w:r>
        <w:rPr>
          <w:rFonts w:hint="default"/>
          <w:i w:val="0"/>
          <w:iCs w:val="0"/>
          <w:color w:val="auto"/>
          <w:sz w:val="24"/>
          <w:szCs w:val="24"/>
          <w:highlight w:val="none"/>
          <w:u w:val="single"/>
          <w:lang w:val="en-US" w:eastAsia="zh-CN"/>
        </w:rPr>
        <w:t>）</w:t>
      </w:r>
      <w:r>
        <w:rPr>
          <w:rFonts w:hint="eastAsia"/>
          <w:i w:val="0"/>
          <w:iCs w:val="0"/>
          <w:color w:val="auto"/>
          <w:sz w:val="24"/>
          <w:szCs w:val="24"/>
          <w:highlight w:val="none"/>
          <w:u w:val="single"/>
          <w:lang w:val="en-US" w:eastAsia="zh-CN"/>
        </w:rPr>
        <w:t xml:space="preserve">      </w:t>
      </w:r>
      <w:r>
        <w:rPr>
          <w:rFonts w:hint="default"/>
          <w:color w:val="auto"/>
          <w:sz w:val="24"/>
          <w:szCs w:val="24"/>
          <w:highlight w:val="none"/>
          <w:lang w:val="en-US" w:eastAsia="zh-CN"/>
        </w:rPr>
        <w:t xml:space="preserve"> 。</w:t>
      </w:r>
    </w:p>
    <w:p w14:paraId="0A6D55EB">
      <w:pPr>
        <w:pStyle w:val="53"/>
        <w:ind w:firstLine="480" w:firstLineChars="200"/>
        <w:outlineLvl w:val="3"/>
        <w:rPr>
          <w:rFonts w:hint="default"/>
          <w:color w:val="auto"/>
          <w:highlight w:val="none"/>
          <w:lang w:val="en-US" w:eastAsia="zh-CN"/>
        </w:rPr>
      </w:pPr>
      <w:r>
        <w:rPr>
          <w:rFonts w:hint="eastAsia" w:ascii="黑体" w:hAnsi="黑体" w:eastAsia="黑体" w:cs="黑体"/>
          <w:color w:val="auto"/>
          <w:sz w:val="24"/>
          <w:szCs w:val="24"/>
          <w:highlight w:val="none"/>
          <w:lang w:val="en-US" w:eastAsia="zh-CN"/>
        </w:rPr>
        <w:t>6.4 其他要求</w:t>
      </w:r>
    </w:p>
    <w:p w14:paraId="0E925DBD">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工作必须接受</w:t>
      </w:r>
      <w:r>
        <w:rPr>
          <w:rFonts w:hint="eastAsia" w:ascii="宋体" w:hAnsi="宋体"/>
          <w:color w:val="auto"/>
          <w:position w:val="0"/>
          <w:sz w:val="24"/>
          <w:szCs w:val="24"/>
          <w:highlight w:val="none"/>
          <w:lang w:val="en-US" w:eastAsia="zh-CN"/>
        </w:rPr>
        <w:t>发包人</w:t>
      </w:r>
      <w:r>
        <w:rPr>
          <w:rFonts w:hint="eastAsia" w:ascii="宋体" w:hAnsi="宋体"/>
          <w:color w:val="auto"/>
          <w:position w:val="0"/>
          <w:sz w:val="24"/>
          <w:szCs w:val="24"/>
          <w:highlight w:val="none"/>
        </w:rPr>
        <w:t>的</w:t>
      </w:r>
      <w:r>
        <w:rPr>
          <w:rFonts w:hint="eastAsia" w:ascii="宋体" w:hAnsi="宋体"/>
          <w:color w:val="auto"/>
          <w:position w:val="0"/>
          <w:sz w:val="24"/>
          <w:szCs w:val="24"/>
          <w:highlight w:val="none"/>
          <w:lang w:eastAsia="zh-CN"/>
        </w:rPr>
        <w:t>管</w:t>
      </w:r>
      <w:r>
        <w:rPr>
          <w:rFonts w:hint="eastAsia" w:ascii="宋体" w:hAnsi="宋体"/>
          <w:color w:val="auto"/>
          <w:position w:val="0"/>
          <w:sz w:val="24"/>
          <w:szCs w:val="24"/>
          <w:highlight w:val="none"/>
        </w:rPr>
        <w:t>理。</w:t>
      </w:r>
    </w:p>
    <w:p w14:paraId="3DDF3241">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（2）必须严格执行技术规范、规程和检测标准。</w:t>
      </w:r>
    </w:p>
    <w:p w14:paraId="06BF959B">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（3）检测仪器的灵敏度、精度必须满足规范要求。检测前应对仪器设备进行检查，性能正常方可使用。数据采集必须准确、真实、可靠，必须做到计算精确，评定如实，确保</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质量。</w:t>
      </w:r>
    </w:p>
    <w:p w14:paraId="5476EAB7">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4</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承包人必须本着“秉公办事、一丝不苟、严肃认真、实事求是，对</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结论高度负责”的原则，认真履行</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合同，及时按规定向业主方管理部门提交</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报告。</w:t>
      </w:r>
    </w:p>
    <w:p w14:paraId="6A55F957">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5</w:t>
      </w: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承包人提交的</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报告，必须真实、客观、准确反映被检结构物实际，如承包人与施工单位串通存在数据造假的行为，由此产生的一切后果和损失由承包人承担，且发包人将根据相关条款，对承包人进行处罚，并视情节严重程度，最终上报交通行政主管部门给予通报，如出现重大偏差导致事故，承包人必须承担由此造成的赔偿责任和法律责任。</w:t>
      </w:r>
    </w:p>
    <w:p w14:paraId="19FF240A">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w:t>
      </w:r>
      <w:r>
        <w:rPr>
          <w:rFonts w:hint="eastAsia" w:ascii="宋体" w:hAnsi="宋体"/>
          <w:color w:val="auto"/>
          <w:position w:val="0"/>
          <w:sz w:val="24"/>
          <w:szCs w:val="24"/>
          <w:highlight w:val="none"/>
          <w:lang w:val="en-US" w:eastAsia="zh-CN"/>
        </w:rPr>
        <w:t>6</w:t>
      </w:r>
      <w:r>
        <w:rPr>
          <w:rFonts w:hint="eastAsia" w:ascii="宋体" w:hAnsi="宋体"/>
          <w:color w:val="auto"/>
          <w:position w:val="0"/>
          <w:sz w:val="24"/>
          <w:szCs w:val="24"/>
          <w:highlight w:val="none"/>
        </w:rPr>
        <w:t>）承包人需在收到发包人书面下达</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任务书后，在任务范围内开展</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工作，超出任务书内容的工作发包人不予支付费用。</w:t>
      </w:r>
    </w:p>
    <w:p w14:paraId="260C8765">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textAlignment w:val="auto"/>
        <w:rPr>
          <w:rFonts w:hint="eastAsia" w:ascii="宋体" w:hAnsi="宋体"/>
          <w:color w:val="auto"/>
          <w:position w:val="0"/>
          <w:sz w:val="24"/>
          <w:szCs w:val="24"/>
          <w:highlight w:val="none"/>
          <w:lang w:val="en-US" w:eastAsia="zh-CN"/>
        </w:rPr>
      </w:pPr>
      <w:r>
        <w:rPr>
          <w:rFonts w:hint="eastAsia" w:ascii="宋体" w:hAnsi="宋体"/>
          <w:color w:val="auto"/>
          <w:position w:val="0"/>
          <w:sz w:val="24"/>
          <w:szCs w:val="24"/>
          <w:highlight w:val="none"/>
          <w:lang w:val="en-US" w:eastAsia="zh-CN"/>
        </w:rPr>
        <w:t>（7）咨询服务目标：全过程、全方位开展安评、环评和职业病三同时咨询服务</w:t>
      </w:r>
      <w:r>
        <w:rPr>
          <w:rFonts w:hint="eastAsia" w:ascii="宋体" w:hAnsi="宋体"/>
          <w:color w:val="auto"/>
          <w:position w:val="0"/>
          <w:sz w:val="24"/>
          <w:szCs w:val="24"/>
          <w:highlight w:val="none"/>
          <w:lang w:eastAsia="zh-CN"/>
        </w:rPr>
        <w:t>工作</w:t>
      </w:r>
      <w:r>
        <w:rPr>
          <w:rFonts w:hint="eastAsia" w:ascii="宋体" w:hAnsi="宋体"/>
          <w:color w:val="auto"/>
          <w:position w:val="0"/>
          <w:sz w:val="24"/>
          <w:szCs w:val="24"/>
          <w:highlight w:val="none"/>
          <w:lang w:val="en-US" w:eastAsia="zh-CN"/>
        </w:rPr>
        <w:t>，确保工程质量达到交工验收合格标准，竣工验收优良，确保各项验收包括但不限于（环保、水保验收、档案验收等）通过。</w:t>
      </w:r>
    </w:p>
    <w:p w14:paraId="7204558E">
      <w:pPr>
        <w:pStyle w:val="4"/>
        <w:spacing w:before="78" w:beforeLines="25" w:after="78" w:afterLines="25" w:line="300" w:lineRule="auto"/>
        <w:rPr>
          <w:rFonts w:hint="eastAsia" w:ascii="黑体" w:hAnsi="黑体" w:eastAsia="黑体"/>
          <w:b w:val="0"/>
          <w:color w:val="auto"/>
          <w:position w:val="0"/>
          <w:szCs w:val="24"/>
          <w:highlight w:val="none"/>
        </w:rPr>
      </w:pPr>
      <w:bookmarkStart w:id="107" w:name="_Toc237230964"/>
      <w:bookmarkStart w:id="108" w:name="_Toc237061023"/>
      <w:bookmarkStart w:id="109" w:name="_Toc184635114"/>
      <w:bookmarkStart w:id="110" w:name="_Toc488236010"/>
      <w:r>
        <w:rPr>
          <w:rFonts w:hint="eastAsia" w:ascii="黑体" w:hAnsi="黑体" w:eastAsia="黑体"/>
          <w:b w:val="0"/>
          <w:color w:val="auto"/>
          <w:position w:val="0"/>
          <w:szCs w:val="24"/>
          <w:highlight w:val="none"/>
        </w:rPr>
        <w:t>7．</w:t>
      </w:r>
      <w:bookmarkEnd w:id="107"/>
      <w:bookmarkEnd w:id="108"/>
      <w:bookmarkEnd w:id="109"/>
      <w:r>
        <w:rPr>
          <w:rFonts w:hint="eastAsia" w:ascii="黑体" w:hAnsi="黑体" w:eastAsia="黑体"/>
          <w:b w:val="0"/>
          <w:color w:val="auto"/>
          <w:position w:val="0"/>
          <w:szCs w:val="24"/>
          <w:highlight w:val="none"/>
          <w:lang w:eastAsia="zh-CN"/>
        </w:rPr>
        <w:t>咨询</w:t>
      </w:r>
      <w:r>
        <w:rPr>
          <w:rFonts w:hint="eastAsia" w:ascii="黑体" w:hAnsi="黑体" w:eastAsia="黑体"/>
          <w:b w:val="0"/>
          <w:color w:val="auto"/>
          <w:position w:val="0"/>
          <w:szCs w:val="24"/>
          <w:highlight w:val="none"/>
        </w:rPr>
        <w:t>服务的费用与支付</w:t>
      </w:r>
      <w:bookmarkEnd w:id="110"/>
    </w:p>
    <w:p w14:paraId="3B6621ED">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111" w:name="_Toc381196239"/>
      <w:bookmarkStart w:id="112" w:name="_Toc237230966"/>
      <w:bookmarkStart w:id="113" w:name="_Toc237230988"/>
      <w:bookmarkStart w:id="114" w:name="_Toc184635117"/>
      <w:bookmarkStart w:id="115" w:name="_Toc237061026"/>
      <w:r>
        <w:rPr>
          <w:rFonts w:hint="eastAsia" w:ascii="黑体" w:hAnsi="黑体" w:eastAsia="黑体" w:cs="黑体"/>
          <w:i w:val="0"/>
          <w:iCs/>
          <w:color w:val="auto"/>
          <w:szCs w:val="24"/>
          <w:highlight w:val="none"/>
        </w:rPr>
        <w:t>7.1</w:t>
      </w:r>
      <w:r>
        <w:rPr>
          <w:rFonts w:hint="eastAsia" w:ascii="黑体" w:hAnsi="黑体" w:eastAsia="黑体" w:cs="黑体"/>
          <w:i w:val="0"/>
          <w:iCs/>
          <w:color w:val="auto"/>
          <w:szCs w:val="24"/>
          <w:highlight w:val="none"/>
          <w:lang w:eastAsia="zh-CN"/>
        </w:rPr>
        <w:t>咨询</w:t>
      </w:r>
      <w:r>
        <w:rPr>
          <w:rFonts w:hint="eastAsia" w:ascii="黑体" w:hAnsi="黑体" w:eastAsia="黑体" w:cs="黑体"/>
          <w:i w:val="0"/>
          <w:iCs/>
          <w:color w:val="auto"/>
          <w:szCs w:val="24"/>
          <w:highlight w:val="none"/>
        </w:rPr>
        <w:t>服务费用</w:t>
      </w:r>
      <w:bookmarkEnd w:id="111"/>
      <w:bookmarkEnd w:id="112"/>
    </w:p>
    <w:p w14:paraId="451F3621">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7.1.1</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费。</w:t>
      </w:r>
    </w:p>
    <w:p w14:paraId="0B92DCE2">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w:t>
      </w:r>
      <w:r>
        <w:rPr>
          <w:rFonts w:hint="eastAsia" w:ascii="宋体" w:hAnsi="宋体"/>
          <w:color w:val="auto"/>
          <w:position w:val="0"/>
          <w:sz w:val="24"/>
          <w:szCs w:val="24"/>
          <w:highlight w:val="none"/>
          <w:lang w:val="en-US" w:eastAsia="zh-CN"/>
        </w:rPr>
        <w:t xml:space="preserve">根据承包人在响应文件中填报各项目的单价与实际完成的工作量计算。 </w:t>
      </w:r>
    </w:p>
    <w:p w14:paraId="770BB485">
      <w:pPr>
        <w:spacing w:before="78" w:beforeLines="25" w:after="78" w:afterLines="25" w:line="300" w:lineRule="auto"/>
        <w:ind w:firstLine="480" w:firstLineChars="200"/>
        <w:rPr>
          <w:rFonts w:hint="eastAsia" w:ascii="宋体" w:hAnsi="宋体" w:eastAsia="宋体" w:cs="宋体"/>
          <w:b/>
          <w:bCs/>
          <w:color w:val="auto"/>
          <w:position w:val="0"/>
          <w:sz w:val="24"/>
          <w:szCs w:val="24"/>
          <w:highlight w:val="none"/>
        </w:rPr>
      </w:pPr>
      <w:r>
        <w:rPr>
          <w:rFonts w:hint="eastAsia" w:ascii="宋体" w:hAnsi="宋体"/>
          <w:color w:val="auto"/>
          <w:position w:val="0"/>
          <w:sz w:val="24"/>
          <w:szCs w:val="24"/>
          <w:highlight w:val="none"/>
        </w:rPr>
        <w:t>7.1.2</w:t>
      </w:r>
      <w:r>
        <w:rPr>
          <w:rFonts w:hint="eastAsia" w:ascii="宋体" w:hAnsi="宋体" w:cs="宋体"/>
          <w:b/>
          <w:bCs/>
          <w:color w:val="auto"/>
          <w:position w:val="0"/>
          <w:sz w:val="24"/>
          <w:szCs w:val="24"/>
          <w:highlight w:val="none"/>
          <w:lang w:eastAsia="zh-CN"/>
        </w:rPr>
        <w:t>咨询服务</w:t>
      </w:r>
      <w:r>
        <w:rPr>
          <w:rFonts w:hint="eastAsia" w:ascii="宋体" w:hAnsi="宋体" w:eastAsia="宋体" w:cs="宋体"/>
          <w:b/>
          <w:bCs/>
          <w:color w:val="auto"/>
          <w:position w:val="0"/>
          <w:sz w:val="24"/>
          <w:szCs w:val="24"/>
          <w:highlight w:val="none"/>
        </w:rPr>
        <w:t>工程量以发包人书面下达的</w:t>
      </w:r>
      <w:r>
        <w:rPr>
          <w:rFonts w:hint="eastAsia" w:ascii="宋体" w:hAnsi="宋体" w:cs="宋体"/>
          <w:b/>
          <w:bCs/>
          <w:color w:val="auto"/>
          <w:position w:val="0"/>
          <w:sz w:val="24"/>
          <w:szCs w:val="24"/>
          <w:highlight w:val="none"/>
          <w:lang w:eastAsia="zh-CN"/>
        </w:rPr>
        <w:t>咨询</w:t>
      </w:r>
      <w:r>
        <w:rPr>
          <w:rFonts w:hint="eastAsia" w:ascii="宋体" w:hAnsi="宋体" w:eastAsia="宋体" w:cs="宋体"/>
          <w:b/>
          <w:bCs/>
          <w:color w:val="auto"/>
          <w:position w:val="0"/>
          <w:sz w:val="24"/>
          <w:szCs w:val="24"/>
          <w:highlight w:val="none"/>
        </w:rPr>
        <w:t>任务书和符合要求的</w:t>
      </w:r>
      <w:r>
        <w:rPr>
          <w:rFonts w:hint="eastAsia" w:ascii="宋体" w:hAnsi="宋体" w:cs="宋体"/>
          <w:b/>
          <w:bCs/>
          <w:color w:val="auto"/>
          <w:position w:val="0"/>
          <w:sz w:val="24"/>
          <w:szCs w:val="24"/>
          <w:highlight w:val="none"/>
          <w:lang w:eastAsia="zh-CN"/>
        </w:rPr>
        <w:t>技术咨询</w:t>
      </w:r>
      <w:r>
        <w:rPr>
          <w:rFonts w:hint="eastAsia" w:ascii="宋体" w:hAnsi="宋体" w:eastAsia="宋体" w:cs="宋体"/>
          <w:b/>
          <w:bCs/>
          <w:color w:val="auto"/>
          <w:position w:val="0"/>
          <w:sz w:val="24"/>
          <w:szCs w:val="24"/>
          <w:highlight w:val="none"/>
        </w:rPr>
        <w:t>成果报告为依据。</w:t>
      </w:r>
    </w:p>
    <w:p w14:paraId="5D6C1028">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7.1.3承包人应根据自身企业的服务能力、管理水平自主填报</w:t>
      </w:r>
      <w:r>
        <w:rPr>
          <w:rFonts w:hint="eastAsia" w:ascii="宋体" w:hAnsi="宋体"/>
          <w:color w:val="auto"/>
          <w:position w:val="0"/>
          <w:sz w:val="24"/>
          <w:szCs w:val="24"/>
          <w:highlight w:val="none"/>
          <w:lang w:eastAsia="zh-CN"/>
        </w:rPr>
        <w:t>咨询服务</w:t>
      </w:r>
      <w:r>
        <w:rPr>
          <w:rFonts w:hint="eastAsia" w:ascii="宋体" w:hAnsi="宋体"/>
          <w:color w:val="auto"/>
          <w:position w:val="0"/>
          <w:sz w:val="24"/>
          <w:szCs w:val="24"/>
          <w:highlight w:val="none"/>
        </w:rPr>
        <w:t>项目的工程量清单综合单价。工程量清单综合单价不因物价，国家政策、法律法规的变化，工期延长而调整。工程量清单中工程量清单综合单价包括但不限于以下：</w:t>
      </w:r>
    </w:p>
    <w:p w14:paraId="4CBA46EC">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a.</w:t>
      </w:r>
      <w:r>
        <w:rPr>
          <w:rFonts w:hint="eastAsia" w:ascii="宋体" w:hAnsi="宋体"/>
          <w:color w:val="auto"/>
          <w:position w:val="0"/>
          <w:sz w:val="24"/>
          <w:szCs w:val="24"/>
          <w:highlight w:val="none"/>
          <w:lang w:eastAsia="zh-CN"/>
        </w:rPr>
        <w:t>咨询</w:t>
      </w:r>
      <w:r>
        <w:rPr>
          <w:rFonts w:hint="eastAsia" w:ascii="宋体" w:hAnsi="宋体"/>
          <w:color w:val="auto"/>
          <w:position w:val="0"/>
          <w:sz w:val="24"/>
          <w:szCs w:val="24"/>
          <w:highlight w:val="none"/>
        </w:rPr>
        <w:t>人员服务费：包含</w:t>
      </w:r>
      <w:r>
        <w:rPr>
          <w:rFonts w:hint="eastAsia" w:ascii="宋体" w:hAnsi="宋体"/>
          <w:color w:val="auto"/>
          <w:position w:val="0"/>
          <w:sz w:val="24"/>
          <w:szCs w:val="24"/>
          <w:highlight w:val="none"/>
          <w:lang w:eastAsia="zh-CN"/>
        </w:rPr>
        <w:t>咨询</w:t>
      </w:r>
      <w:r>
        <w:rPr>
          <w:rFonts w:hint="eastAsia" w:ascii="宋体" w:hAnsi="宋体"/>
          <w:color w:val="auto"/>
          <w:position w:val="0"/>
          <w:sz w:val="24"/>
          <w:szCs w:val="24"/>
          <w:highlight w:val="none"/>
        </w:rPr>
        <w:t>人员的工资、加班费（含承包人为按期完工而在国家规定的公休日、节假日及正常工作时间以外工作的加班）、培训费、咨询费、生活伙食费、差旅费、各种劳保费用、各种人身保险费、奖金及各种补贴等一切费用在内。</w:t>
      </w:r>
    </w:p>
    <w:p w14:paraId="5AB873C2">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b.办公设施费：履行</w:t>
      </w:r>
      <w:r>
        <w:rPr>
          <w:rFonts w:hint="eastAsia" w:ascii="宋体" w:hAnsi="宋体"/>
          <w:color w:val="auto"/>
          <w:position w:val="0"/>
          <w:sz w:val="24"/>
          <w:szCs w:val="24"/>
          <w:highlight w:val="none"/>
          <w:lang w:eastAsia="zh-CN"/>
        </w:rPr>
        <w:t>咨询</w:t>
      </w:r>
      <w:r>
        <w:rPr>
          <w:rFonts w:hint="eastAsia" w:ascii="宋体" w:hAnsi="宋体"/>
          <w:color w:val="auto"/>
          <w:position w:val="0"/>
          <w:sz w:val="24"/>
          <w:szCs w:val="24"/>
          <w:highlight w:val="none"/>
        </w:rPr>
        <w:t>服务合同所需的一切办公用品及设施的费用均包含在工程量清单综合单价内。</w:t>
      </w:r>
    </w:p>
    <w:p w14:paraId="11339DBC">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c.交通设施费（含燃料、消耗等费用）：履行</w:t>
      </w:r>
      <w:r>
        <w:rPr>
          <w:rFonts w:hint="eastAsia" w:ascii="宋体" w:hAnsi="宋体"/>
          <w:color w:val="auto"/>
          <w:position w:val="0"/>
          <w:sz w:val="24"/>
          <w:szCs w:val="24"/>
          <w:highlight w:val="none"/>
          <w:lang w:eastAsia="zh-CN"/>
        </w:rPr>
        <w:t>咨询</w:t>
      </w:r>
      <w:r>
        <w:rPr>
          <w:rFonts w:hint="eastAsia" w:ascii="宋体" w:hAnsi="宋体"/>
          <w:color w:val="auto"/>
          <w:position w:val="0"/>
          <w:sz w:val="24"/>
          <w:szCs w:val="24"/>
          <w:highlight w:val="none"/>
        </w:rPr>
        <w:t>服务合同所需的一切交通设施（含燃料、消耗等）的费用均包含在工程量清单综合单价内。</w:t>
      </w:r>
    </w:p>
    <w:p w14:paraId="62B887AA">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d.检测设施费：履行</w:t>
      </w:r>
      <w:r>
        <w:rPr>
          <w:rFonts w:hint="eastAsia" w:ascii="宋体" w:hAnsi="宋体"/>
          <w:color w:val="auto"/>
          <w:position w:val="0"/>
          <w:sz w:val="24"/>
          <w:szCs w:val="24"/>
          <w:highlight w:val="none"/>
          <w:lang w:eastAsia="zh-CN"/>
        </w:rPr>
        <w:t>咨询</w:t>
      </w:r>
      <w:r>
        <w:rPr>
          <w:rFonts w:hint="eastAsia" w:ascii="宋体" w:hAnsi="宋体"/>
          <w:color w:val="auto"/>
          <w:position w:val="0"/>
          <w:sz w:val="24"/>
          <w:szCs w:val="24"/>
          <w:highlight w:val="none"/>
        </w:rPr>
        <w:t>服务合同所需的检测仪器、设备的费用均包含在工程量清单综合单价内。</w:t>
      </w:r>
    </w:p>
    <w:p w14:paraId="58DE3FEB">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e.生活设施费：履行</w:t>
      </w:r>
      <w:r>
        <w:rPr>
          <w:rFonts w:hint="eastAsia" w:ascii="宋体" w:hAnsi="宋体"/>
          <w:color w:val="auto"/>
          <w:position w:val="0"/>
          <w:sz w:val="24"/>
          <w:szCs w:val="24"/>
          <w:highlight w:val="none"/>
          <w:lang w:eastAsia="zh-CN"/>
        </w:rPr>
        <w:t>咨询</w:t>
      </w:r>
      <w:r>
        <w:rPr>
          <w:rFonts w:hint="eastAsia" w:ascii="宋体" w:hAnsi="宋体"/>
          <w:color w:val="auto"/>
          <w:position w:val="0"/>
          <w:sz w:val="24"/>
          <w:szCs w:val="24"/>
          <w:highlight w:val="none"/>
        </w:rPr>
        <w:t>服务合同所需的一切居住条件、煤气、水电、防暑降温或取暖等全部费用均包含在工程量清单综合单价内。</w:t>
      </w:r>
    </w:p>
    <w:p w14:paraId="304AC911">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f.承包人因完成本项目</w:t>
      </w:r>
      <w:r>
        <w:rPr>
          <w:rFonts w:hint="eastAsia" w:ascii="宋体" w:hAnsi="宋体"/>
          <w:color w:val="auto"/>
          <w:position w:val="0"/>
          <w:sz w:val="24"/>
          <w:szCs w:val="24"/>
          <w:highlight w:val="none"/>
          <w:lang w:eastAsia="zh-CN"/>
        </w:rPr>
        <w:t>咨询</w:t>
      </w:r>
      <w:r>
        <w:rPr>
          <w:rFonts w:hint="eastAsia" w:ascii="宋体" w:hAnsi="宋体"/>
          <w:color w:val="auto"/>
          <w:position w:val="0"/>
          <w:sz w:val="24"/>
          <w:szCs w:val="24"/>
          <w:highlight w:val="none"/>
        </w:rPr>
        <w:t>服务需缴纳的一切税费由承包人承担，并包含在所报的各项工程量清单综合单价内，发包人不单独支付。</w:t>
      </w:r>
    </w:p>
    <w:p w14:paraId="14B954F1">
      <w:pPr>
        <w:spacing w:before="25" w:after="25" w:line="300" w:lineRule="auto"/>
        <w:ind w:firstLine="480" w:firstLineChars="200"/>
        <w:rPr>
          <w:rFonts w:hint="eastAsia" w:ascii="宋体" w:hAnsi="宋体"/>
          <w:color w:val="auto"/>
          <w:position w:val="0"/>
          <w:sz w:val="24"/>
          <w:highlight w:val="none"/>
        </w:rPr>
      </w:pPr>
      <w:r>
        <w:rPr>
          <w:rFonts w:hint="eastAsia" w:ascii="宋体" w:hAnsi="宋体"/>
          <w:color w:val="auto"/>
          <w:position w:val="0"/>
          <w:sz w:val="24"/>
          <w:highlight w:val="none"/>
        </w:rPr>
        <w:t>g.报价应包括</w:t>
      </w:r>
      <w:r>
        <w:rPr>
          <w:rFonts w:hint="eastAsia" w:ascii="宋体" w:hAnsi="宋体"/>
          <w:color w:val="auto"/>
          <w:position w:val="0"/>
          <w:sz w:val="24"/>
          <w:highlight w:val="none"/>
          <w:lang w:eastAsia="zh-CN"/>
        </w:rPr>
        <w:t>响应</w:t>
      </w:r>
      <w:r>
        <w:rPr>
          <w:rFonts w:hint="eastAsia" w:ascii="宋体" w:hAnsi="宋体"/>
          <w:color w:val="auto"/>
          <w:position w:val="0"/>
          <w:sz w:val="24"/>
          <w:highlight w:val="none"/>
        </w:rPr>
        <w:t>人为完成招标文件规定</w:t>
      </w:r>
      <w:r>
        <w:rPr>
          <w:rFonts w:hint="eastAsia" w:ascii="宋体" w:hAnsi="宋体"/>
          <w:color w:val="auto"/>
          <w:position w:val="0"/>
          <w:sz w:val="24"/>
          <w:highlight w:val="none"/>
          <w:lang w:eastAsia="zh-CN"/>
        </w:rPr>
        <w:t>咨询服务</w:t>
      </w:r>
      <w:r>
        <w:rPr>
          <w:rFonts w:hint="eastAsia" w:ascii="宋体" w:hAnsi="宋体"/>
          <w:color w:val="auto"/>
          <w:position w:val="0"/>
          <w:sz w:val="24"/>
          <w:highlight w:val="none"/>
        </w:rPr>
        <w:t>工作所需开支的一切费用，如人员工资、差旅费、交通费、进出场费、食宿费、通讯费、设备费、材料费、管理费、保险费、加班费、交叉作业影响费、安全措施费、安全生产费、利润、税费、检测报告出版费等，同时包含检测单位在节假日或正常工作时间以外人员的加班费用，以及合同文件明示或未明示的完成本合同的所有责任、义务和风险。</w:t>
      </w:r>
    </w:p>
    <w:p w14:paraId="60DDEACF">
      <w:pPr>
        <w:spacing w:before="78" w:beforeLines="25" w:after="78" w:afterLines="25" w:line="300" w:lineRule="auto"/>
        <w:ind w:firstLine="482" w:firstLineChars="200"/>
        <w:rPr>
          <w:rFonts w:hint="eastAsia" w:ascii="宋体" w:hAnsi="宋体"/>
          <w:color w:val="auto"/>
          <w:position w:val="0"/>
          <w:sz w:val="24"/>
          <w:szCs w:val="24"/>
          <w:highlight w:val="none"/>
        </w:rPr>
      </w:pPr>
      <w:bookmarkStart w:id="116" w:name="_Toc450637663"/>
      <w:bookmarkStart w:id="117" w:name="_Toc450628145"/>
      <w:r>
        <w:rPr>
          <w:rFonts w:hint="eastAsia" w:ascii="宋体" w:hAnsi="宋体"/>
          <w:b/>
          <w:color w:val="auto"/>
          <w:position w:val="0"/>
          <w:sz w:val="24"/>
          <w:szCs w:val="24"/>
          <w:highlight w:val="none"/>
        </w:rPr>
        <w:t>7</w:t>
      </w:r>
      <w:r>
        <w:rPr>
          <w:rFonts w:ascii="宋体" w:hAnsi="宋体"/>
          <w:b/>
          <w:color w:val="auto"/>
          <w:position w:val="0"/>
          <w:sz w:val="24"/>
          <w:szCs w:val="24"/>
          <w:highlight w:val="none"/>
        </w:rPr>
        <w:t>.</w:t>
      </w:r>
      <w:r>
        <w:rPr>
          <w:rFonts w:hint="eastAsia" w:ascii="宋体" w:hAnsi="宋体"/>
          <w:b/>
          <w:color w:val="auto"/>
          <w:position w:val="0"/>
          <w:sz w:val="24"/>
          <w:szCs w:val="24"/>
          <w:highlight w:val="none"/>
        </w:rPr>
        <w:t>1</w:t>
      </w:r>
      <w:r>
        <w:rPr>
          <w:rFonts w:ascii="宋体" w:hAnsi="宋体"/>
          <w:b/>
          <w:color w:val="auto"/>
          <w:position w:val="0"/>
          <w:sz w:val="24"/>
          <w:szCs w:val="24"/>
          <w:highlight w:val="none"/>
        </w:rPr>
        <w:t>.</w:t>
      </w:r>
      <w:r>
        <w:rPr>
          <w:rFonts w:hint="eastAsia" w:ascii="宋体" w:hAnsi="宋体"/>
          <w:b/>
          <w:color w:val="auto"/>
          <w:position w:val="0"/>
          <w:sz w:val="24"/>
          <w:szCs w:val="24"/>
          <w:highlight w:val="none"/>
        </w:rPr>
        <w:t>4</w:t>
      </w:r>
      <w:r>
        <w:rPr>
          <w:rFonts w:hint="eastAsia" w:ascii="宋体" w:hAnsi="宋体"/>
          <w:b/>
          <w:bCs/>
          <w:color w:val="auto"/>
          <w:position w:val="0"/>
          <w:sz w:val="24"/>
          <w:szCs w:val="24"/>
          <w:highlight w:val="none"/>
        </w:rPr>
        <w:t>暂定金额指暂时未定的，包括在合同中，用于进行本工程可能发生的检测工作或作为不可预见费用。暂列金由发包人管理，按发包人的书面指示全部或部分使用或根本不使用。</w:t>
      </w:r>
      <w:bookmarkEnd w:id="116"/>
      <w:bookmarkEnd w:id="117"/>
      <w:bookmarkStart w:id="118" w:name="_Toc379712064"/>
      <w:bookmarkStart w:id="119" w:name="_Toc450628146"/>
      <w:bookmarkStart w:id="120" w:name="_Toc450637664"/>
      <w:bookmarkStart w:id="121" w:name="_Toc477904572"/>
      <w:bookmarkStart w:id="122" w:name="_Toc478124241"/>
    </w:p>
    <w:p w14:paraId="0B860CDD">
      <w:pPr>
        <w:spacing w:before="78" w:beforeLines="25" w:after="78" w:afterLines="25" w:line="300" w:lineRule="auto"/>
        <w:ind w:firstLine="480" w:firstLineChars="200"/>
        <w:outlineLvl w:val="3"/>
        <w:rPr>
          <w:rFonts w:hint="eastAsia" w:ascii="宋体" w:hAnsi="宋体"/>
          <w:color w:val="auto"/>
          <w:position w:val="0"/>
          <w:sz w:val="24"/>
          <w:szCs w:val="24"/>
          <w:highlight w:val="none"/>
        </w:rPr>
      </w:pPr>
      <w:r>
        <w:rPr>
          <w:rFonts w:hint="eastAsia" w:ascii="宋体" w:hAnsi="宋体"/>
          <w:color w:val="auto"/>
          <w:position w:val="0"/>
          <w:sz w:val="24"/>
          <w:szCs w:val="24"/>
          <w:highlight w:val="none"/>
        </w:rPr>
        <w:t>7.2支付</w:t>
      </w:r>
      <w:bookmarkEnd w:id="118"/>
      <w:bookmarkEnd w:id="119"/>
      <w:bookmarkEnd w:id="120"/>
      <w:bookmarkEnd w:id="121"/>
      <w:bookmarkEnd w:id="122"/>
    </w:p>
    <w:p w14:paraId="2DC91DF9">
      <w:pPr>
        <w:spacing w:before="78" w:beforeLines="25" w:after="78" w:afterLines="25" w:line="300" w:lineRule="auto"/>
        <w:ind w:firstLine="480" w:firstLineChars="200"/>
        <w:rPr>
          <w:rFonts w:hint="eastAsia" w:ascii="黑体" w:hAnsi="黑体" w:eastAsia="黑体"/>
          <w:color w:val="auto"/>
          <w:position w:val="0"/>
          <w:sz w:val="24"/>
          <w:szCs w:val="24"/>
          <w:highlight w:val="none"/>
        </w:rPr>
      </w:pPr>
      <w:r>
        <w:rPr>
          <w:rFonts w:hint="eastAsia" w:ascii="黑体" w:hAnsi="黑体" w:eastAsia="黑体"/>
          <w:color w:val="auto"/>
          <w:position w:val="0"/>
          <w:sz w:val="24"/>
          <w:szCs w:val="24"/>
          <w:highlight w:val="none"/>
        </w:rPr>
        <w:t>7.2.1本项目不支付动员预付款。</w:t>
      </w:r>
    </w:p>
    <w:p w14:paraId="77DB0A7A">
      <w:pPr>
        <w:pStyle w:val="53"/>
        <w:ind w:firstLine="480"/>
        <w:rPr>
          <w:rFonts w:hint="eastAsia" w:ascii="黑体" w:hAnsi="黑体" w:eastAsia="黑体"/>
          <w:color w:val="auto"/>
          <w:position w:val="0"/>
          <w:sz w:val="24"/>
          <w:szCs w:val="24"/>
          <w:highlight w:val="none"/>
        </w:rPr>
      </w:pPr>
      <w:r>
        <w:rPr>
          <w:rFonts w:hint="eastAsia" w:ascii="黑体" w:hAnsi="黑体" w:eastAsia="黑体"/>
          <w:color w:val="auto"/>
          <w:position w:val="0"/>
          <w:sz w:val="24"/>
          <w:szCs w:val="24"/>
          <w:highlight w:val="none"/>
        </w:rPr>
        <w:t>7.2.2</w:t>
      </w:r>
      <w:r>
        <w:rPr>
          <w:rFonts w:hint="eastAsia" w:ascii="黑体" w:hAnsi="黑体" w:eastAsia="黑体"/>
          <w:color w:val="auto"/>
          <w:position w:val="0"/>
          <w:sz w:val="24"/>
          <w:szCs w:val="24"/>
          <w:highlight w:val="none"/>
          <w:lang w:eastAsia="zh-CN"/>
        </w:rPr>
        <w:t>咨询服务费</w:t>
      </w:r>
      <w:r>
        <w:rPr>
          <w:rFonts w:hint="eastAsia" w:ascii="黑体" w:hAnsi="黑体" w:eastAsia="黑体"/>
          <w:color w:val="auto"/>
          <w:position w:val="0"/>
          <w:sz w:val="24"/>
          <w:szCs w:val="24"/>
          <w:highlight w:val="none"/>
        </w:rPr>
        <w:t>按以下方式支付：</w:t>
      </w:r>
    </w:p>
    <w:p w14:paraId="2122D945">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outlineLvl w:val="4"/>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7.2.2.1 进度支付申请</w:t>
      </w:r>
    </w:p>
    <w:p w14:paraId="74EE5301">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应在计量当季度向</w:t>
      </w:r>
      <w:r>
        <w:rPr>
          <w:rFonts w:hint="eastAsia" w:ascii="宋体" w:hAnsi="宋体" w:cs="宋体"/>
          <w:color w:val="auto"/>
          <w:sz w:val="24"/>
          <w:szCs w:val="24"/>
          <w:highlight w:val="none"/>
          <w:lang w:val="en-US" w:eastAsia="zh-CN"/>
        </w:rPr>
        <w:t>发包人</w:t>
      </w:r>
      <w:r>
        <w:rPr>
          <w:rFonts w:hint="eastAsia" w:ascii="宋体" w:hAnsi="宋体" w:eastAsia="宋体" w:cs="宋体"/>
          <w:color w:val="auto"/>
          <w:sz w:val="24"/>
          <w:szCs w:val="24"/>
          <w:highlight w:val="none"/>
          <w:lang w:val="en-US" w:eastAsia="zh-CN"/>
        </w:rPr>
        <w:t>提交由其项目负责人签署的进度支付申请，经监理人审核，并附相应的支持性证明文件。</w:t>
      </w:r>
      <w:r>
        <w:rPr>
          <w:rFonts w:hint="eastAsia" w:ascii="宋体" w:hAnsi="宋体" w:cs="宋体"/>
          <w:color w:val="auto"/>
          <w:sz w:val="24"/>
          <w:szCs w:val="24"/>
          <w:highlight w:val="none"/>
          <w:lang w:val="en-US" w:eastAsia="zh-CN"/>
        </w:rPr>
        <w:t>承包人</w:t>
      </w:r>
      <w:r>
        <w:rPr>
          <w:rFonts w:hint="eastAsia" w:ascii="宋体" w:hAnsi="宋体" w:eastAsia="宋体" w:cs="宋体"/>
          <w:color w:val="auto"/>
          <w:sz w:val="24"/>
          <w:szCs w:val="24"/>
          <w:highlight w:val="none"/>
          <w:lang w:val="en-US" w:eastAsia="zh-CN"/>
        </w:rPr>
        <w:t xml:space="preserve">应在支付申请中填报如下内容： </w:t>
      </w:r>
    </w:p>
    <w:p w14:paraId="507A75C3">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（1）自开工截至本期末止已完成的工作量或者工作内容； </w:t>
      </w:r>
    </w:p>
    <w:p w14:paraId="07BB4F89">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（2）本期完成的工作量或者工作内容； </w:t>
      </w:r>
    </w:p>
    <w:p w14:paraId="15C0DC12">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（3）本期应支付的金额价款； </w:t>
      </w:r>
    </w:p>
    <w:p w14:paraId="5C660386">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（4）根据合同规定，本期应扣除的其他款项； </w:t>
      </w:r>
    </w:p>
    <w:p w14:paraId="6B4173EC">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（5）根据合同规定，本期应结算的其他款项。 </w:t>
      </w:r>
    </w:p>
    <w:p w14:paraId="475D9266">
      <w:pPr>
        <w:spacing w:before="78" w:beforeLines="25" w:after="78" w:afterLines="25" w:line="300" w:lineRule="auto"/>
        <w:ind w:firstLine="480" w:firstLineChars="200"/>
        <w:outlineLvl w:val="4"/>
        <w:rPr>
          <w:rFonts w:hint="eastAsia" w:ascii="黑体" w:hAnsi="黑体" w:eastAsia="黑体" w:cs="黑体"/>
          <w:b w:val="0"/>
          <w:bCs w:val="0"/>
          <w:color w:val="auto"/>
          <w:position w:val="0"/>
          <w:sz w:val="24"/>
          <w:szCs w:val="24"/>
          <w:highlight w:val="none"/>
          <w:lang w:val="en-US" w:eastAsia="zh-CN"/>
        </w:rPr>
      </w:pPr>
      <w:r>
        <w:rPr>
          <w:rFonts w:hint="eastAsia" w:ascii="黑体" w:hAnsi="黑体" w:eastAsia="黑体" w:cs="黑体"/>
          <w:b w:val="0"/>
          <w:bCs w:val="0"/>
          <w:color w:val="auto"/>
          <w:position w:val="0"/>
          <w:sz w:val="24"/>
          <w:szCs w:val="24"/>
          <w:highlight w:val="none"/>
          <w:lang w:val="en-US" w:eastAsia="zh-CN"/>
        </w:rPr>
        <w:t xml:space="preserve">7.2.2.2 支付 </w:t>
      </w:r>
    </w:p>
    <w:p w14:paraId="31FF119B">
      <w:pPr>
        <w:spacing w:before="78" w:beforeLines="25" w:after="78" w:afterLines="25" w:line="300" w:lineRule="auto"/>
        <w:ind w:firstLine="480" w:firstLineChars="200"/>
        <w:outlineLvl w:val="4"/>
        <w:rPr>
          <w:rFonts w:hint="eastAsia" w:ascii="黑体" w:hAnsi="黑体" w:eastAsia="黑体" w:cs="黑体"/>
          <w:b w:val="0"/>
          <w:bCs w:val="0"/>
          <w:color w:val="auto"/>
          <w:position w:val="0"/>
          <w:sz w:val="24"/>
          <w:szCs w:val="24"/>
          <w:highlight w:val="none"/>
          <w:lang w:val="en-US" w:eastAsia="zh-CN"/>
        </w:rPr>
      </w:pPr>
      <w:r>
        <w:rPr>
          <w:rFonts w:hint="eastAsia" w:ascii="黑体" w:hAnsi="黑体" w:eastAsia="黑体" w:cs="黑体"/>
          <w:b w:val="0"/>
          <w:bCs w:val="0"/>
          <w:color w:val="auto"/>
          <w:position w:val="0"/>
          <w:sz w:val="24"/>
          <w:szCs w:val="24"/>
          <w:highlight w:val="none"/>
          <w:lang w:val="en-US" w:eastAsia="zh-CN"/>
        </w:rPr>
        <w:t>（1）本合同签订后，甲乙双方凭借合同办理中间结算，甲方在收到乙方提供的合格增值税专用发票后，甲方支付总咨询服务费用的40%；</w:t>
      </w:r>
    </w:p>
    <w:p w14:paraId="2F007B2C">
      <w:pPr>
        <w:spacing w:before="78" w:beforeLines="25" w:after="78" w:afterLines="25" w:line="300" w:lineRule="auto"/>
        <w:ind w:firstLine="480" w:firstLineChars="200"/>
        <w:outlineLvl w:val="4"/>
        <w:rPr>
          <w:rFonts w:hint="eastAsia" w:ascii="黑体" w:hAnsi="黑体" w:eastAsia="黑体" w:cs="黑体"/>
          <w:b w:val="0"/>
          <w:bCs w:val="0"/>
          <w:color w:val="auto"/>
          <w:position w:val="0"/>
          <w:sz w:val="24"/>
          <w:szCs w:val="24"/>
          <w:highlight w:val="none"/>
          <w:lang w:val="en-US" w:eastAsia="zh-CN"/>
        </w:rPr>
      </w:pPr>
      <w:r>
        <w:rPr>
          <w:rFonts w:hint="eastAsia" w:ascii="黑体" w:hAnsi="黑体" w:eastAsia="黑体" w:cs="黑体"/>
          <w:b w:val="0"/>
          <w:bCs w:val="0"/>
          <w:color w:val="auto"/>
          <w:position w:val="0"/>
          <w:sz w:val="24"/>
          <w:szCs w:val="24"/>
          <w:highlight w:val="none"/>
          <w:lang w:val="en-US" w:eastAsia="zh-CN"/>
        </w:rPr>
        <w:t>（2）完成加油站安全预评价报告、环评三同时、职业病三同时预评价报告，甲乙双方凭借预评价报告办理中间结算，甲方在收到乙方提供的合格增值税专用发票后，甲方支付总咨询服务费用的40%；</w:t>
      </w:r>
    </w:p>
    <w:p w14:paraId="3ABB841D">
      <w:pPr>
        <w:spacing w:before="78" w:beforeLines="25" w:after="78" w:afterLines="25" w:line="300" w:lineRule="auto"/>
        <w:ind w:firstLine="480" w:firstLineChars="200"/>
        <w:outlineLvl w:val="4"/>
        <w:rPr>
          <w:rFonts w:hint="eastAsia" w:ascii="黑体" w:hAnsi="黑体" w:eastAsia="黑体" w:cs="黑体"/>
          <w:b w:val="0"/>
          <w:bCs w:val="0"/>
          <w:color w:val="auto"/>
          <w:position w:val="0"/>
          <w:sz w:val="24"/>
          <w:szCs w:val="24"/>
          <w:highlight w:val="none"/>
          <w:lang w:val="en-US" w:eastAsia="zh-CN"/>
        </w:rPr>
      </w:pPr>
      <w:r>
        <w:rPr>
          <w:rFonts w:hint="eastAsia" w:ascii="黑体" w:hAnsi="黑体" w:eastAsia="黑体" w:cs="黑体"/>
          <w:b w:val="0"/>
          <w:bCs w:val="0"/>
          <w:color w:val="auto"/>
          <w:position w:val="0"/>
          <w:sz w:val="24"/>
          <w:szCs w:val="24"/>
          <w:highlight w:val="none"/>
          <w:lang w:val="en-US" w:eastAsia="zh-CN"/>
        </w:rPr>
        <w:t>（3）乙方提交验收合格的成果报告，并经甲方认可，甲乙双方凭借成果报告办理中间结算，甲方在收到乙方提供的合格增值税专用发票后，甲方支付总咨询服务费用的20%。</w:t>
      </w:r>
    </w:p>
    <w:p w14:paraId="36D32939">
      <w:pPr>
        <w:spacing w:before="78" w:beforeLines="25" w:after="78" w:afterLines="25" w:line="300" w:lineRule="auto"/>
        <w:ind w:firstLine="480" w:firstLineChars="200"/>
        <w:outlineLvl w:val="4"/>
        <w:rPr>
          <w:rFonts w:hint="default" w:ascii="黑体" w:hAnsi="黑体" w:eastAsia="黑体" w:cs="黑体"/>
          <w:b w:val="0"/>
          <w:bCs w:val="0"/>
          <w:color w:val="auto"/>
          <w:position w:val="0"/>
          <w:sz w:val="24"/>
          <w:szCs w:val="24"/>
          <w:highlight w:val="none"/>
          <w:lang w:val="en-US" w:eastAsia="zh-CN"/>
        </w:rPr>
      </w:pPr>
      <w:r>
        <w:rPr>
          <w:rFonts w:hint="eastAsia" w:ascii="黑体" w:hAnsi="黑体" w:eastAsia="黑体" w:cs="黑体"/>
          <w:b w:val="0"/>
          <w:bCs w:val="0"/>
          <w:color w:val="auto"/>
          <w:position w:val="0"/>
          <w:sz w:val="24"/>
          <w:szCs w:val="24"/>
          <w:highlight w:val="none"/>
          <w:lang w:val="en-US" w:eastAsia="zh-CN"/>
        </w:rPr>
        <w:t>（4）乙方按照甲方要求提供合法有效的税率为6%的增值税专用发票。</w:t>
      </w:r>
    </w:p>
    <w:p w14:paraId="51C10840">
      <w:pPr>
        <w:spacing w:before="78" w:beforeLines="25" w:after="78" w:afterLines="25" w:line="300" w:lineRule="auto"/>
        <w:ind w:firstLine="480" w:firstLineChars="200"/>
        <w:outlineLvl w:val="4"/>
        <w:rPr>
          <w:rFonts w:ascii="黑体" w:hAnsi="黑体" w:eastAsia="黑体"/>
          <w:color w:val="auto"/>
          <w:position w:val="0"/>
          <w:sz w:val="24"/>
          <w:szCs w:val="24"/>
          <w:highlight w:val="none"/>
        </w:rPr>
      </w:pPr>
      <w:r>
        <w:rPr>
          <w:rFonts w:hint="eastAsia" w:ascii="黑体" w:hAnsi="黑体" w:eastAsia="黑体"/>
          <w:color w:val="auto"/>
          <w:position w:val="0"/>
          <w:sz w:val="24"/>
          <w:szCs w:val="24"/>
          <w:highlight w:val="none"/>
        </w:rPr>
        <w:t>7.2.3若发包人未在规定的期限内支付</w:t>
      </w:r>
      <w:r>
        <w:rPr>
          <w:rFonts w:hint="eastAsia" w:ascii="黑体" w:hAnsi="黑体" w:eastAsia="黑体"/>
          <w:color w:val="auto"/>
          <w:position w:val="0"/>
          <w:sz w:val="24"/>
          <w:szCs w:val="24"/>
          <w:highlight w:val="none"/>
          <w:lang w:eastAsia="zh-CN"/>
        </w:rPr>
        <w:t>咨询服务</w:t>
      </w:r>
      <w:r>
        <w:rPr>
          <w:rFonts w:hint="eastAsia" w:ascii="黑体" w:hAnsi="黑体" w:eastAsia="黑体"/>
          <w:color w:val="auto"/>
          <w:position w:val="0"/>
          <w:sz w:val="24"/>
          <w:szCs w:val="24"/>
          <w:highlight w:val="none"/>
        </w:rPr>
        <w:t>费</w:t>
      </w:r>
      <w:r>
        <w:rPr>
          <w:rFonts w:ascii="黑体" w:hAnsi="黑体" w:eastAsia="黑体"/>
          <w:color w:val="auto"/>
          <w:position w:val="0"/>
          <w:sz w:val="24"/>
          <w:szCs w:val="24"/>
          <w:highlight w:val="none"/>
        </w:rPr>
        <w:t>，</w:t>
      </w:r>
      <w:r>
        <w:rPr>
          <w:rFonts w:hint="eastAsia" w:ascii="黑体" w:hAnsi="黑体" w:eastAsia="黑体"/>
          <w:color w:val="auto"/>
          <w:position w:val="0"/>
          <w:sz w:val="24"/>
          <w:szCs w:val="24"/>
          <w:highlight w:val="none"/>
        </w:rPr>
        <w:t>承包人</w:t>
      </w:r>
      <w:r>
        <w:rPr>
          <w:rFonts w:hint="eastAsia" w:ascii="黑体" w:hAnsi="黑体" w:eastAsia="黑体"/>
          <w:bCs/>
          <w:color w:val="auto"/>
          <w:position w:val="0"/>
          <w:sz w:val="24"/>
          <w:szCs w:val="24"/>
          <w:highlight w:val="none"/>
        </w:rPr>
        <w:t>自愿表示理解，放弃要求</w:t>
      </w:r>
      <w:r>
        <w:rPr>
          <w:rFonts w:hint="eastAsia" w:ascii="黑体" w:hAnsi="黑体" w:eastAsia="黑体"/>
          <w:bCs/>
          <w:color w:val="auto"/>
          <w:position w:val="0"/>
          <w:sz w:val="24"/>
          <w:szCs w:val="24"/>
          <w:highlight w:val="none"/>
          <w:lang w:eastAsia="zh-CN"/>
        </w:rPr>
        <w:t>发包人</w:t>
      </w:r>
      <w:r>
        <w:rPr>
          <w:rFonts w:hint="eastAsia" w:ascii="黑体" w:hAnsi="黑体" w:eastAsia="黑体"/>
          <w:bCs/>
          <w:color w:val="auto"/>
          <w:position w:val="0"/>
          <w:sz w:val="24"/>
          <w:szCs w:val="24"/>
          <w:highlight w:val="none"/>
        </w:rPr>
        <w:t>支付逾期付款利息和任何违约金的权利</w:t>
      </w:r>
      <w:r>
        <w:rPr>
          <w:rFonts w:hint="eastAsia" w:ascii="黑体" w:hAnsi="黑体" w:eastAsia="黑体"/>
          <w:color w:val="auto"/>
          <w:position w:val="0"/>
          <w:sz w:val="24"/>
          <w:szCs w:val="24"/>
          <w:highlight w:val="none"/>
        </w:rPr>
        <w:t>。</w:t>
      </w:r>
    </w:p>
    <w:p w14:paraId="3C36E3E7">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7.2.4发包人对承包人要求支付的款项中的任何部分有异议，应在</w:t>
      </w:r>
      <w:r>
        <w:rPr>
          <w:rFonts w:ascii="宋体" w:hAnsi="宋体"/>
          <w:color w:val="auto"/>
          <w:position w:val="0"/>
          <w:sz w:val="24"/>
          <w:szCs w:val="24"/>
          <w:highlight w:val="none"/>
        </w:rPr>
        <w:t>7</w:t>
      </w:r>
      <w:r>
        <w:rPr>
          <w:rFonts w:hint="eastAsia" w:ascii="宋体" w:hAnsi="宋体"/>
          <w:color w:val="auto"/>
          <w:position w:val="0"/>
          <w:sz w:val="24"/>
          <w:szCs w:val="24"/>
          <w:highlight w:val="none"/>
        </w:rPr>
        <w:t>日内发出书面通知说明理由，但不得借此延误对承包人其他应得款项的支付。本合同条款第</w:t>
      </w:r>
      <w:r>
        <w:rPr>
          <w:rFonts w:ascii="宋体" w:hAnsi="宋体"/>
          <w:color w:val="auto"/>
          <w:position w:val="0"/>
          <w:sz w:val="24"/>
          <w:szCs w:val="24"/>
          <w:highlight w:val="none"/>
        </w:rPr>
        <w:t>6</w:t>
      </w:r>
      <w:r>
        <w:rPr>
          <w:rFonts w:hint="eastAsia" w:ascii="宋体" w:hAnsi="宋体"/>
          <w:color w:val="auto"/>
          <w:position w:val="0"/>
          <w:sz w:val="24"/>
          <w:szCs w:val="24"/>
          <w:highlight w:val="none"/>
        </w:rPr>
        <w:t>.2.1条的规定，适用于最终支付给承包人的一切曾经有过争议的款项。</w:t>
      </w:r>
    </w:p>
    <w:p w14:paraId="461C3DD1">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7.2.5发包人按合同约定支付给承包人的各项价款应专项用于合同服务项目。发包人支付的合同款应为本服务项目的专项专用资金，不得转移或用于其他项目。发包人及其派出机构有权不定期对承包人工程资金使用情况进行检查，发现问题及时责令承包人限期改正，否则，将终止下一期支付，直至承包人改正为止。</w:t>
      </w:r>
    </w:p>
    <w:p w14:paraId="4908F50B">
      <w:pPr>
        <w:spacing w:before="78" w:beforeLines="25" w:after="78" w:afterLines="25" w:line="300" w:lineRule="auto"/>
        <w:ind w:firstLine="480" w:firstLineChars="200"/>
        <w:rPr>
          <w:rFonts w:hint="eastAsia" w:ascii="宋体" w:hAnsi="宋体"/>
          <w:color w:val="auto"/>
          <w:position w:val="0"/>
          <w:sz w:val="24"/>
          <w:szCs w:val="24"/>
          <w:highlight w:val="none"/>
        </w:rPr>
      </w:pPr>
      <w:bookmarkStart w:id="123" w:name="_Toc526072727"/>
      <w:r>
        <w:rPr>
          <w:rFonts w:ascii="宋体" w:hAnsi="宋体"/>
          <w:color w:val="auto"/>
          <w:position w:val="0"/>
          <w:sz w:val="24"/>
          <w:szCs w:val="24"/>
          <w:highlight w:val="none"/>
        </w:rPr>
        <w:t>7</w:t>
      </w:r>
      <w:r>
        <w:rPr>
          <w:rFonts w:hint="eastAsia" w:ascii="宋体" w:hAnsi="宋体"/>
          <w:color w:val="auto"/>
          <w:position w:val="0"/>
          <w:sz w:val="24"/>
          <w:szCs w:val="24"/>
          <w:highlight w:val="none"/>
        </w:rPr>
        <w:t>.</w:t>
      </w:r>
      <w:r>
        <w:rPr>
          <w:rFonts w:ascii="宋体" w:hAnsi="宋体"/>
          <w:color w:val="auto"/>
          <w:position w:val="0"/>
          <w:sz w:val="24"/>
          <w:szCs w:val="24"/>
          <w:highlight w:val="none"/>
        </w:rPr>
        <w:t>2</w:t>
      </w:r>
      <w:r>
        <w:rPr>
          <w:rFonts w:hint="eastAsia" w:ascii="宋体" w:hAnsi="宋体"/>
          <w:color w:val="auto"/>
          <w:position w:val="0"/>
          <w:sz w:val="24"/>
          <w:szCs w:val="24"/>
          <w:highlight w:val="none"/>
        </w:rPr>
        <w:t>.6承包人应在发包人支付</w:t>
      </w:r>
      <w:r>
        <w:rPr>
          <w:rFonts w:hint="eastAsia" w:ascii="宋体" w:hAnsi="宋体"/>
          <w:color w:val="auto"/>
          <w:position w:val="0"/>
          <w:sz w:val="24"/>
          <w:szCs w:val="24"/>
          <w:highlight w:val="none"/>
          <w:lang w:eastAsia="zh-CN"/>
        </w:rPr>
        <w:t>咨询</w:t>
      </w:r>
      <w:r>
        <w:rPr>
          <w:rFonts w:hint="eastAsia" w:ascii="宋体" w:hAnsi="宋体"/>
          <w:color w:val="auto"/>
          <w:position w:val="0"/>
          <w:sz w:val="24"/>
          <w:szCs w:val="24"/>
          <w:highlight w:val="none"/>
        </w:rPr>
        <w:t>服务费用前开具并交付相应的增值税专用发票，发包人取得相应发票并确认无误后办理支付。</w:t>
      </w:r>
    </w:p>
    <w:p w14:paraId="6994A472">
      <w:pPr>
        <w:spacing w:before="78" w:beforeLines="25" w:after="78" w:afterLines="25" w:line="300" w:lineRule="auto"/>
        <w:ind w:firstLine="480" w:firstLineChars="200"/>
        <w:outlineLvl w:val="3"/>
        <w:rPr>
          <w:rFonts w:ascii="宋体" w:hAnsi="宋体"/>
          <w:color w:val="auto"/>
          <w:position w:val="0"/>
          <w:sz w:val="24"/>
          <w:szCs w:val="24"/>
          <w:highlight w:val="none"/>
        </w:rPr>
      </w:pPr>
      <w:r>
        <w:rPr>
          <w:rFonts w:hint="eastAsia" w:ascii="宋体" w:hAnsi="宋体"/>
          <w:color w:val="auto"/>
          <w:position w:val="0"/>
          <w:sz w:val="24"/>
          <w:szCs w:val="24"/>
          <w:highlight w:val="none"/>
        </w:rPr>
        <w:t>7.3货币</w:t>
      </w:r>
      <w:bookmarkEnd w:id="123"/>
    </w:p>
    <w:p w14:paraId="5E7434DA">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lang w:eastAsia="zh-CN"/>
        </w:rPr>
        <w:t>响应</w:t>
      </w:r>
      <w:r>
        <w:rPr>
          <w:rFonts w:hint="eastAsia" w:ascii="宋体" w:hAnsi="宋体"/>
          <w:color w:val="auto"/>
          <w:position w:val="0"/>
          <w:sz w:val="24"/>
          <w:szCs w:val="24"/>
          <w:highlight w:val="none"/>
        </w:rPr>
        <w:t>文件的报价为人民币，发包人支付承包人履行</w:t>
      </w:r>
      <w:r>
        <w:rPr>
          <w:rFonts w:hint="eastAsia" w:ascii="宋体" w:hAnsi="宋体"/>
          <w:color w:val="auto"/>
          <w:position w:val="0"/>
          <w:sz w:val="24"/>
          <w:szCs w:val="24"/>
          <w:highlight w:val="none"/>
          <w:lang w:eastAsia="zh-CN"/>
        </w:rPr>
        <w:t>咨询</w:t>
      </w:r>
      <w:r>
        <w:rPr>
          <w:rFonts w:hint="eastAsia" w:ascii="宋体" w:hAnsi="宋体"/>
          <w:color w:val="auto"/>
          <w:position w:val="0"/>
          <w:sz w:val="24"/>
          <w:szCs w:val="24"/>
          <w:highlight w:val="none"/>
        </w:rPr>
        <w:t>服务的费用的货币为人民币。</w:t>
      </w:r>
    </w:p>
    <w:p w14:paraId="4B0E52EA">
      <w:pPr>
        <w:pStyle w:val="4"/>
        <w:spacing w:before="78" w:beforeLines="25" w:after="78" w:afterLines="25" w:line="300" w:lineRule="auto"/>
        <w:rPr>
          <w:rFonts w:hint="eastAsia" w:ascii="黑体" w:hAnsi="黑体" w:eastAsia="黑体"/>
          <w:b w:val="0"/>
          <w:color w:val="auto"/>
          <w:position w:val="0"/>
          <w:szCs w:val="24"/>
          <w:highlight w:val="none"/>
        </w:rPr>
      </w:pPr>
      <w:bookmarkStart w:id="124" w:name="_Toc488236011"/>
      <w:r>
        <w:rPr>
          <w:rFonts w:ascii="黑体" w:hAnsi="黑体" w:eastAsia="黑体"/>
          <w:b w:val="0"/>
          <w:color w:val="auto"/>
          <w:position w:val="0"/>
          <w:szCs w:val="24"/>
          <w:highlight w:val="none"/>
        </w:rPr>
        <w:t>8</w:t>
      </w:r>
      <w:r>
        <w:rPr>
          <w:rFonts w:hint="eastAsia" w:ascii="黑体" w:hAnsi="黑体" w:eastAsia="黑体"/>
          <w:b w:val="0"/>
          <w:color w:val="auto"/>
          <w:position w:val="0"/>
          <w:szCs w:val="24"/>
          <w:highlight w:val="none"/>
        </w:rPr>
        <w:t>．保险</w:t>
      </w:r>
      <w:bookmarkEnd w:id="113"/>
      <w:bookmarkEnd w:id="114"/>
      <w:bookmarkEnd w:id="115"/>
      <w:bookmarkEnd w:id="124"/>
    </w:p>
    <w:p w14:paraId="282EE108">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承包本工程所需的一切保险均由承包人自行办理及支付，发包人不另行</w:t>
      </w:r>
      <w:r>
        <w:rPr>
          <w:rFonts w:ascii="宋体" w:hAnsi="宋体"/>
          <w:color w:val="auto"/>
          <w:position w:val="0"/>
          <w:sz w:val="24"/>
          <w:szCs w:val="24"/>
          <w:highlight w:val="none"/>
        </w:rPr>
        <w:t>支付</w:t>
      </w:r>
      <w:r>
        <w:rPr>
          <w:rFonts w:hint="eastAsia" w:ascii="宋体" w:hAnsi="宋体"/>
          <w:color w:val="auto"/>
          <w:position w:val="0"/>
          <w:sz w:val="24"/>
          <w:szCs w:val="24"/>
          <w:highlight w:val="none"/>
        </w:rPr>
        <w:t>。</w:t>
      </w:r>
    </w:p>
    <w:p w14:paraId="21EB09BA">
      <w:pPr>
        <w:pStyle w:val="4"/>
        <w:spacing w:before="78" w:beforeLines="25" w:after="78" w:afterLines="25" w:line="300" w:lineRule="auto"/>
        <w:rPr>
          <w:rFonts w:hint="eastAsia" w:ascii="黑体" w:hAnsi="黑体" w:eastAsia="黑体"/>
          <w:b w:val="0"/>
          <w:color w:val="auto"/>
          <w:position w:val="0"/>
          <w:szCs w:val="24"/>
          <w:highlight w:val="none"/>
        </w:rPr>
      </w:pPr>
      <w:bookmarkStart w:id="125" w:name="_Toc237230995"/>
      <w:bookmarkStart w:id="126" w:name="_Toc237061027"/>
      <w:bookmarkStart w:id="127" w:name="_Toc184635118"/>
      <w:bookmarkStart w:id="128" w:name="_Toc488236012"/>
      <w:r>
        <w:rPr>
          <w:rFonts w:ascii="黑体" w:hAnsi="黑体" w:eastAsia="黑体"/>
          <w:b w:val="0"/>
          <w:color w:val="auto"/>
          <w:position w:val="0"/>
          <w:szCs w:val="24"/>
          <w:highlight w:val="none"/>
        </w:rPr>
        <w:t>9</w:t>
      </w:r>
      <w:r>
        <w:rPr>
          <w:rFonts w:hint="eastAsia" w:ascii="黑体" w:hAnsi="黑体" w:eastAsia="黑体"/>
          <w:b w:val="0"/>
          <w:color w:val="auto"/>
          <w:position w:val="0"/>
          <w:szCs w:val="24"/>
          <w:highlight w:val="none"/>
        </w:rPr>
        <w:t>．不可抗力</w:t>
      </w:r>
      <w:bookmarkEnd w:id="125"/>
      <w:bookmarkEnd w:id="126"/>
      <w:bookmarkEnd w:id="127"/>
      <w:bookmarkEnd w:id="128"/>
    </w:p>
    <w:p w14:paraId="6FEAC5D7">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129" w:name="_Toc237230996"/>
      <w:r>
        <w:rPr>
          <w:rFonts w:hint="eastAsia" w:ascii="黑体" w:hAnsi="黑体" w:eastAsia="黑体" w:cs="黑体"/>
          <w:i w:val="0"/>
          <w:iCs/>
          <w:color w:val="auto"/>
          <w:szCs w:val="24"/>
          <w:highlight w:val="none"/>
        </w:rPr>
        <w:t>9.1 不可抗力的确认</w:t>
      </w:r>
      <w:bookmarkEnd w:id="129"/>
    </w:p>
    <w:p w14:paraId="1BF80505">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ascii="宋体" w:hAnsi="宋体"/>
          <w:color w:val="auto"/>
          <w:position w:val="0"/>
          <w:sz w:val="24"/>
          <w:szCs w:val="24"/>
          <w:highlight w:val="none"/>
        </w:rPr>
        <w:t>9</w:t>
      </w:r>
      <w:r>
        <w:rPr>
          <w:rFonts w:hint="eastAsia" w:ascii="宋体" w:hAnsi="宋体"/>
          <w:color w:val="auto"/>
          <w:position w:val="0"/>
          <w:sz w:val="24"/>
          <w:szCs w:val="24"/>
          <w:highlight w:val="none"/>
        </w:rPr>
        <w:t>.1.1不可抗力是指承包人和发包人在订立合同时不可预见，在工程施工过程中不可避免发生并不能克服的自然灾害和社会性突发事件，不可抗力可以包括（但不限于）下列情况：</w:t>
      </w:r>
    </w:p>
    <w:p w14:paraId="581AE244">
      <w:pPr>
        <w:spacing w:before="78" w:beforeLines="25" w:after="78" w:afterLines="25" w:line="300" w:lineRule="auto"/>
        <w:ind w:firstLine="480" w:firstLineChars="200"/>
        <w:rPr>
          <w:rFonts w:hint="eastAsia" w:ascii="宋体" w:hAnsi="宋体"/>
          <w:color w:val="auto"/>
          <w:position w:val="0"/>
          <w:sz w:val="24"/>
          <w:szCs w:val="24"/>
          <w:highlight w:val="none"/>
        </w:rPr>
      </w:pPr>
      <w:bookmarkStart w:id="130" w:name="_Toc450637668"/>
      <w:bookmarkStart w:id="131" w:name="_Toc381089211"/>
      <w:bookmarkStart w:id="132" w:name="_Toc380522730"/>
      <w:bookmarkStart w:id="133" w:name="_Toc363476332"/>
      <w:bookmarkStart w:id="134" w:name="_Toc478124245"/>
      <w:bookmarkStart w:id="135" w:name="_Toc364521960"/>
      <w:bookmarkStart w:id="136" w:name="_Toc381196595"/>
      <w:bookmarkStart w:id="137" w:name="_Toc305096502"/>
      <w:bookmarkStart w:id="138" w:name="_Toc377567169"/>
      <w:bookmarkStart w:id="139" w:name="_Toc305020881"/>
      <w:bookmarkStart w:id="140" w:name="_Toc450628150"/>
      <w:bookmarkStart w:id="141" w:name="_Toc477904576"/>
      <w:r>
        <w:rPr>
          <w:rFonts w:hint="eastAsia" w:ascii="宋体" w:hAnsi="宋体"/>
          <w:color w:val="auto"/>
          <w:position w:val="0"/>
          <w:sz w:val="24"/>
          <w:szCs w:val="24"/>
          <w:highlight w:val="none"/>
        </w:rPr>
        <w:t>（1）战争、敌对行动（不论宣战与否）、入侵、外敌行动；</w:t>
      </w:r>
      <w:bookmarkEnd w:id="130"/>
      <w:bookmarkEnd w:id="131"/>
      <w:bookmarkEnd w:id="132"/>
      <w:bookmarkEnd w:id="133"/>
      <w:bookmarkEnd w:id="134"/>
      <w:bookmarkEnd w:id="135"/>
      <w:bookmarkEnd w:id="136"/>
      <w:bookmarkEnd w:id="137"/>
      <w:bookmarkEnd w:id="138"/>
      <w:bookmarkEnd w:id="139"/>
      <w:bookmarkEnd w:id="140"/>
      <w:bookmarkEnd w:id="141"/>
    </w:p>
    <w:p w14:paraId="3622898E">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（2）叛乱、革命、暴动或军事政变或内战；</w:t>
      </w:r>
    </w:p>
    <w:p w14:paraId="5E8B81B8">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（3）暴乱、骚乱或混乱，但对于局限在承包人和承包人雇佣人员内部并且是由于从事工程而发生的事件除外；</w:t>
      </w:r>
    </w:p>
    <w:p w14:paraId="59B1BBF3">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bookmarkStart w:id="142" w:name="_Toc381089212"/>
      <w:bookmarkStart w:id="143" w:name="_Toc365921770"/>
      <w:bookmarkStart w:id="144" w:name="_Toc450637669"/>
      <w:bookmarkStart w:id="145" w:name="_Toc380522731"/>
      <w:bookmarkStart w:id="146" w:name="_Toc381196596"/>
      <w:bookmarkStart w:id="147" w:name="_Toc305096503"/>
      <w:bookmarkStart w:id="148" w:name="_Toc305020882"/>
      <w:bookmarkStart w:id="149" w:name="_Toc478124246"/>
      <w:bookmarkStart w:id="150" w:name="_Toc363476333"/>
      <w:bookmarkStart w:id="151" w:name="_Toc477904577"/>
      <w:bookmarkStart w:id="152" w:name="_Toc377567170"/>
      <w:bookmarkStart w:id="153" w:name="_Toc450628151"/>
      <w:bookmarkStart w:id="154" w:name="_Toc364521961"/>
      <w:r>
        <w:rPr>
          <w:rFonts w:hint="eastAsia" w:ascii="宋体" w:hAnsi="宋体"/>
          <w:color w:val="auto"/>
          <w:position w:val="0"/>
          <w:sz w:val="24"/>
          <w:szCs w:val="24"/>
          <w:highlight w:val="none"/>
        </w:rPr>
        <w:t>（4）核聚变、核裂变、核武器、核材料、核辐射及放射性污染；</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68EA7C21">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（5）以音速或超音速飞行的飞机或其他飞行装置产生的压力波，飞行器坠落；</w:t>
      </w:r>
    </w:p>
    <w:p w14:paraId="46603856">
      <w:pPr>
        <w:spacing w:before="78" w:beforeLines="25" w:after="78" w:afterLines="25" w:line="300" w:lineRule="auto"/>
        <w:ind w:firstLine="480" w:firstLineChars="200"/>
        <w:outlineLvl w:val="4"/>
        <w:rPr>
          <w:rFonts w:hint="eastAsia" w:ascii="宋体" w:hAnsi="宋体"/>
          <w:color w:val="auto"/>
          <w:position w:val="0"/>
          <w:sz w:val="24"/>
          <w:szCs w:val="24"/>
          <w:highlight w:val="none"/>
        </w:rPr>
      </w:pPr>
      <w:r>
        <w:rPr>
          <w:rFonts w:hint="eastAsia" w:ascii="宋体" w:hAnsi="宋体"/>
          <w:color w:val="auto"/>
          <w:position w:val="0"/>
          <w:sz w:val="24"/>
          <w:szCs w:val="24"/>
          <w:highlight w:val="none"/>
        </w:rPr>
        <w:t>（6）自然灾害（地震、洪水、海啸、飓风、台风、火山活动等）。</w:t>
      </w:r>
    </w:p>
    <w:p w14:paraId="6DC9F86A">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ascii="宋体" w:hAnsi="宋体"/>
          <w:color w:val="auto"/>
          <w:position w:val="0"/>
          <w:sz w:val="24"/>
          <w:szCs w:val="24"/>
          <w:highlight w:val="none"/>
        </w:rPr>
        <w:t>9</w:t>
      </w:r>
      <w:r>
        <w:rPr>
          <w:rFonts w:hint="eastAsia" w:ascii="宋体" w:hAnsi="宋体"/>
          <w:color w:val="auto"/>
          <w:position w:val="0"/>
          <w:sz w:val="24"/>
          <w:szCs w:val="24"/>
          <w:highlight w:val="none"/>
        </w:rPr>
        <w:t>.1.2如果发生不可抗力因素，致使本合同不能如期履行时，本合同应自动顺延履行，且双方不被视为违约，但双方应尽一切努力终止或减少上述因素的影响。上述因素一旦消失，双方应立即采取措施继续履行本合同。</w:t>
      </w:r>
    </w:p>
    <w:p w14:paraId="332C3DCB">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155" w:name="_Toc237230998"/>
      <w:r>
        <w:rPr>
          <w:rFonts w:hint="eastAsia" w:ascii="黑体" w:hAnsi="黑体" w:eastAsia="黑体" w:cs="黑体"/>
          <w:i w:val="0"/>
          <w:iCs/>
          <w:color w:val="auto"/>
          <w:szCs w:val="24"/>
          <w:highlight w:val="none"/>
        </w:rPr>
        <w:t>9.2 不可抗力后果及其处理</w:t>
      </w:r>
      <w:bookmarkEnd w:id="155"/>
    </w:p>
    <w:p w14:paraId="0DBC4F37">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如果发生上述9.1条不可抗力事件，致使本合同不能如期履行时，本合同应自动顺延履行，且双方不被视为违约，但双方应尽一切努力终止或减少上述因素的影响。上述因素一旦消失，双方应立即采取措施继续履行本合同。</w:t>
      </w:r>
    </w:p>
    <w:p w14:paraId="507BD6E0">
      <w:pPr>
        <w:pStyle w:val="4"/>
        <w:spacing w:before="78" w:beforeLines="25" w:after="78" w:afterLines="25" w:line="300" w:lineRule="auto"/>
        <w:rPr>
          <w:rFonts w:hint="eastAsia" w:ascii="黑体" w:hAnsi="黑体" w:eastAsia="黑体"/>
          <w:b w:val="0"/>
          <w:color w:val="auto"/>
          <w:position w:val="0"/>
          <w:szCs w:val="24"/>
          <w:highlight w:val="none"/>
        </w:rPr>
      </w:pPr>
      <w:bookmarkStart w:id="156" w:name="_Toc237230999"/>
      <w:bookmarkStart w:id="157" w:name="_Toc184635119"/>
      <w:bookmarkStart w:id="158" w:name="_Toc237061028"/>
      <w:bookmarkStart w:id="159" w:name="_Toc488236013"/>
      <w:r>
        <w:rPr>
          <w:rFonts w:hint="eastAsia" w:ascii="黑体" w:hAnsi="黑体" w:eastAsia="黑体"/>
          <w:b w:val="0"/>
          <w:color w:val="auto"/>
          <w:position w:val="0"/>
          <w:szCs w:val="24"/>
          <w:highlight w:val="none"/>
        </w:rPr>
        <w:t>1</w:t>
      </w:r>
      <w:r>
        <w:rPr>
          <w:rFonts w:ascii="黑体" w:hAnsi="黑体" w:eastAsia="黑体"/>
          <w:b w:val="0"/>
          <w:color w:val="auto"/>
          <w:position w:val="0"/>
          <w:szCs w:val="24"/>
          <w:highlight w:val="none"/>
        </w:rPr>
        <w:t>0</w:t>
      </w:r>
      <w:r>
        <w:rPr>
          <w:rFonts w:hint="eastAsia" w:ascii="黑体" w:hAnsi="黑体" w:eastAsia="黑体"/>
          <w:b w:val="0"/>
          <w:color w:val="auto"/>
          <w:position w:val="0"/>
          <w:szCs w:val="24"/>
          <w:highlight w:val="none"/>
        </w:rPr>
        <w:t>．违约</w:t>
      </w:r>
      <w:bookmarkEnd w:id="156"/>
      <w:bookmarkEnd w:id="157"/>
      <w:bookmarkEnd w:id="158"/>
      <w:r>
        <w:rPr>
          <w:rFonts w:hint="eastAsia" w:ascii="黑体" w:hAnsi="黑体" w:eastAsia="黑体"/>
          <w:b w:val="0"/>
          <w:color w:val="auto"/>
          <w:position w:val="0"/>
          <w:szCs w:val="24"/>
          <w:highlight w:val="none"/>
        </w:rPr>
        <w:t>情况及责任</w:t>
      </w:r>
      <w:bookmarkEnd w:id="159"/>
    </w:p>
    <w:p w14:paraId="792DB67B">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160" w:name="_Toc184635120"/>
      <w:bookmarkStart w:id="161" w:name="_Toc237061029"/>
      <w:bookmarkStart w:id="162" w:name="_Toc237231003"/>
      <w:bookmarkStart w:id="163" w:name="_Toc237231008"/>
      <w:bookmarkStart w:id="164" w:name="_Toc237061030"/>
      <w:bookmarkStart w:id="165" w:name="_Toc184635121"/>
      <w:r>
        <w:rPr>
          <w:rFonts w:hint="eastAsia" w:ascii="黑体" w:hAnsi="黑体" w:eastAsia="黑体" w:cs="黑体"/>
          <w:i w:val="0"/>
          <w:iCs/>
          <w:color w:val="auto"/>
          <w:szCs w:val="24"/>
          <w:highlight w:val="none"/>
        </w:rPr>
        <w:t>10.1违约及赔偿责任</w:t>
      </w:r>
    </w:p>
    <w:p w14:paraId="2D49A131">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10.1.1合同生效后，若承包人不按合同约定履行职责，发包人有权终止合同关系；并按下述规定对承包人的违约进行处罚：</w:t>
      </w:r>
    </w:p>
    <w:p w14:paraId="2611E7DA">
      <w:pPr>
        <w:spacing w:line="360" w:lineRule="auto"/>
        <w:ind w:firstLine="540" w:firstLineChars="225"/>
        <w:rPr>
          <w:rFonts w:ascii="黑体" w:hAnsi="黑体" w:eastAsia="黑体"/>
          <w:color w:val="auto"/>
          <w:sz w:val="24"/>
          <w:szCs w:val="22"/>
          <w:highlight w:val="none"/>
        </w:rPr>
      </w:pPr>
      <w:r>
        <w:rPr>
          <w:rFonts w:hint="eastAsia" w:ascii="黑体" w:hAnsi="黑体" w:eastAsia="黑体"/>
          <w:color w:val="auto"/>
          <w:sz w:val="24"/>
          <w:szCs w:val="22"/>
          <w:highlight w:val="none"/>
        </w:rPr>
        <w:t>（1）承包人违反合同的约定，将承包工作的任何部分转包或分包的：发包人将向承包人发出书面通知要求承包人限期改正，并视情况课以</w:t>
      </w:r>
      <w:r>
        <w:rPr>
          <w:rFonts w:ascii="黑体" w:hAnsi="黑体" w:eastAsia="黑体"/>
          <w:color w:val="auto"/>
          <w:sz w:val="24"/>
          <w:szCs w:val="22"/>
          <w:highlight w:val="none"/>
        </w:rPr>
        <w:t>2</w:t>
      </w:r>
      <w:r>
        <w:rPr>
          <w:rFonts w:hint="eastAsia" w:ascii="黑体" w:hAnsi="黑体" w:eastAsia="黑体"/>
          <w:color w:val="auto"/>
          <w:sz w:val="24"/>
          <w:szCs w:val="22"/>
          <w:highlight w:val="none"/>
        </w:rPr>
        <w:t>0万元以内</w:t>
      </w:r>
      <w:r>
        <w:rPr>
          <w:rFonts w:ascii="黑体" w:hAnsi="黑体" w:eastAsia="黑体"/>
          <w:color w:val="auto"/>
          <w:sz w:val="24"/>
          <w:szCs w:val="22"/>
          <w:highlight w:val="none"/>
        </w:rPr>
        <w:t>的违约金</w:t>
      </w:r>
      <w:r>
        <w:rPr>
          <w:rFonts w:hint="eastAsia" w:ascii="黑体" w:hAnsi="黑体" w:eastAsia="黑体"/>
          <w:color w:val="auto"/>
          <w:sz w:val="24"/>
          <w:szCs w:val="22"/>
          <w:highlight w:val="none"/>
        </w:rPr>
        <w:t>；情节严重时发包人可直接终止合同，由此造成的损失由承包人承担。</w:t>
      </w:r>
    </w:p>
    <w:p w14:paraId="42F9F49E">
      <w:pPr>
        <w:spacing w:line="360" w:lineRule="auto"/>
        <w:ind w:firstLine="540" w:firstLineChars="225"/>
        <w:rPr>
          <w:rFonts w:hint="eastAsia" w:ascii="黑体" w:hAnsi="黑体" w:eastAsia="黑体"/>
          <w:color w:val="auto"/>
          <w:sz w:val="24"/>
          <w:szCs w:val="22"/>
          <w:highlight w:val="none"/>
        </w:rPr>
      </w:pPr>
      <w:r>
        <w:rPr>
          <w:rFonts w:hint="eastAsia" w:ascii="黑体" w:hAnsi="黑体" w:eastAsia="黑体"/>
          <w:color w:val="auto"/>
          <w:sz w:val="24"/>
          <w:szCs w:val="22"/>
          <w:highlight w:val="none"/>
        </w:rPr>
        <w:t>（2）承包人拟投入的人员应与</w:t>
      </w:r>
      <w:r>
        <w:rPr>
          <w:rFonts w:hint="eastAsia" w:ascii="黑体" w:hAnsi="黑体" w:eastAsia="黑体"/>
          <w:color w:val="auto"/>
          <w:sz w:val="24"/>
          <w:szCs w:val="22"/>
          <w:highlight w:val="none"/>
          <w:lang w:eastAsia="zh-CN"/>
        </w:rPr>
        <w:t>响应</w:t>
      </w:r>
      <w:r>
        <w:rPr>
          <w:rFonts w:hint="eastAsia" w:ascii="黑体" w:hAnsi="黑体" w:eastAsia="黑体"/>
          <w:color w:val="auto"/>
          <w:sz w:val="24"/>
          <w:szCs w:val="22"/>
          <w:highlight w:val="none"/>
        </w:rPr>
        <w:t>文件承诺的一致，不得更换；若承包人因特殊原因，需要更换派驻到项目所在地履行合同的主要人员时，更换人员的资格不应低于原人员的资格，并应事先得到发包人的批准；</w:t>
      </w:r>
    </w:p>
    <w:p w14:paraId="0AB97BE8">
      <w:pPr>
        <w:spacing w:line="360" w:lineRule="auto"/>
        <w:ind w:firstLine="540" w:firstLineChars="225"/>
        <w:rPr>
          <w:rFonts w:ascii="黑体" w:hAnsi="黑体" w:eastAsia="黑体"/>
          <w:color w:val="auto"/>
          <w:sz w:val="24"/>
          <w:szCs w:val="22"/>
          <w:highlight w:val="none"/>
        </w:rPr>
      </w:pPr>
      <w:r>
        <w:rPr>
          <w:rFonts w:hint="eastAsia" w:ascii="黑体" w:hAnsi="黑体" w:eastAsia="黑体"/>
          <w:color w:val="auto"/>
          <w:sz w:val="24"/>
          <w:szCs w:val="22"/>
          <w:highlight w:val="none"/>
        </w:rPr>
        <w:t>对不能胜任本职工作的人员，承包人应按发包人要求及时更换，若未及时更换，将处罚。</w:t>
      </w:r>
    </w:p>
    <w:p w14:paraId="5661E5B5">
      <w:pPr>
        <w:numPr>
          <w:ilvl w:val="0"/>
          <w:numId w:val="18"/>
        </w:numPr>
        <w:spacing w:line="360" w:lineRule="auto"/>
        <w:ind w:left="-60" w:leftChars="0" w:firstLine="480" w:firstLineChars="0"/>
        <w:rPr>
          <w:rFonts w:hint="eastAsia" w:ascii="黑体" w:hAnsi="黑体" w:eastAsia="黑体"/>
          <w:color w:val="auto"/>
          <w:sz w:val="24"/>
          <w:szCs w:val="22"/>
          <w:highlight w:val="none"/>
        </w:rPr>
      </w:pPr>
      <w:r>
        <w:rPr>
          <w:rFonts w:hint="eastAsia" w:ascii="黑体" w:hAnsi="黑体" w:eastAsia="黑体"/>
          <w:color w:val="auto"/>
          <w:sz w:val="24"/>
          <w:szCs w:val="22"/>
          <w:highlight w:val="none"/>
        </w:rPr>
        <w:t>承包人未尽到职责，造成工程质量、安全事故时，承包人承担因此造成发包人直接损失的30%赔偿责任（赔偿额不超过本标段</w:t>
      </w:r>
      <w:r>
        <w:rPr>
          <w:rFonts w:hint="eastAsia" w:ascii="黑体" w:hAnsi="黑体" w:eastAsia="黑体"/>
          <w:color w:val="auto"/>
          <w:sz w:val="24"/>
          <w:szCs w:val="22"/>
          <w:highlight w:val="none"/>
          <w:lang w:eastAsia="zh-CN"/>
        </w:rPr>
        <w:t>咨询服务</w:t>
      </w:r>
      <w:r>
        <w:rPr>
          <w:rFonts w:hint="eastAsia" w:ascii="黑体" w:hAnsi="黑体" w:eastAsia="黑体"/>
          <w:color w:val="auto"/>
          <w:sz w:val="24"/>
          <w:szCs w:val="22"/>
          <w:highlight w:val="none"/>
        </w:rPr>
        <w:t>费总额扣除税费后的值）；涉及民事、刑事责任时，民事、刑事责任按有关机构的认定自行承担。</w:t>
      </w:r>
    </w:p>
    <w:p w14:paraId="31B01802">
      <w:pPr>
        <w:numPr>
          <w:ilvl w:val="0"/>
          <w:numId w:val="18"/>
        </w:numPr>
        <w:spacing w:line="360" w:lineRule="auto"/>
        <w:ind w:left="-60" w:leftChars="0" w:firstLine="480" w:firstLineChars="0"/>
        <w:rPr>
          <w:rFonts w:hint="eastAsia" w:ascii="黑体" w:hAnsi="黑体" w:eastAsia="黑体"/>
          <w:color w:val="auto"/>
          <w:sz w:val="24"/>
          <w:szCs w:val="22"/>
          <w:highlight w:val="none"/>
        </w:rPr>
      </w:pPr>
      <w:r>
        <w:rPr>
          <w:rFonts w:hint="eastAsia" w:ascii="黑体" w:hAnsi="黑体" w:eastAsia="黑体"/>
          <w:color w:val="auto"/>
          <w:sz w:val="24"/>
          <w:szCs w:val="22"/>
          <w:highlight w:val="none"/>
          <w:lang w:eastAsia="zh-CN"/>
        </w:rPr>
        <w:t>承包人</w:t>
      </w:r>
      <w:r>
        <w:rPr>
          <w:rFonts w:hint="eastAsia" w:ascii="黑体" w:hAnsi="黑体" w:eastAsia="黑体"/>
          <w:color w:val="auto"/>
          <w:sz w:val="24"/>
          <w:szCs w:val="22"/>
          <w:highlight w:val="none"/>
        </w:rPr>
        <w:t>必须按时</w:t>
      </w:r>
      <w:r>
        <w:rPr>
          <w:rFonts w:hint="eastAsia" w:ascii="黑体" w:hAnsi="黑体" w:eastAsia="黑体"/>
          <w:color w:val="auto"/>
          <w:sz w:val="24"/>
          <w:szCs w:val="22"/>
          <w:highlight w:val="none"/>
          <w:lang w:eastAsia="zh-CN"/>
        </w:rPr>
        <w:t>出具</w:t>
      </w:r>
      <w:r>
        <w:rPr>
          <w:rFonts w:hint="eastAsia" w:ascii="黑体" w:hAnsi="黑体" w:eastAsia="黑体"/>
          <w:color w:val="auto"/>
          <w:sz w:val="24"/>
          <w:szCs w:val="22"/>
          <w:highlight w:val="none"/>
        </w:rPr>
        <w:t>各种</w:t>
      </w:r>
      <w:r>
        <w:rPr>
          <w:rFonts w:hint="eastAsia" w:ascii="黑体" w:hAnsi="黑体" w:eastAsia="黑体"/>
          <w:color w:val="auto"/>
          <w:sz w:val="24"/>
          <w:szCs w:val="22"/>
          <w:highlight w:val="none"/>
          <w:lang w:eastAsia="zh-CN"/>
        </w:rPr>
        <w:t>咨询</w:t>
      </w:r>
      <w:r>
        <w:rPr>
          <w:rFonts w:hint="eastAsia" w:ascii="黑体" w:hAnsi="黑体" w:eastAsia="黑体"/>
          <w:color w:val="auto"/>
          <w:sz w:val="24"/>
          <w:szCs w:val="22"/>
          <w:highlight w:val="none"/>
        </w:rPr>
        <w:t>报告或</w:t>
      </w:r>
      <w:r>
        <w:rPr>
          <w:rFonts w:hint="eastAsia" w:ascii="黑体" w:hAnsi="黑体" w:eastAsia="黑体"/>
          <w:color w:val="auto"/>
          <w:sz w:val="24"/>
          <w:szCs w:val="22"/>
          <w:highlight w:val="none"/>
          <w:lang w:eastAsia="zh-CN"/>
        </w:rPr>
        <w:t>咨询</w:t>
      </w:r>
      <w:r>
        <w:rPr>
          <w:rFonts w:hint="eastAsia" w:ascii="黑体" w:hAnsi="黑体" w:eastAsia="黑体"/>
          <w:color w:val="auto"/>
          <w:sz w:val="24"/>
          <w:szCs w:val="22"/>
          <w:highlight w:val="none"/>
        </w:rPr>
        <w:t>结果。不按时</w:t>
      </w:r>
      <w:r>
        <w:rPr>
          <w:rFonts w:hint="eastAsia" w:ascii="黑体" w:hAnsi="黑体" w:eastAsia="黑体"/>
          <w:color w:val="auto"/>
          <w:sz w:val="24"/>
          <w:szCs w:val="22"/>
          <w:highlight w:val="none"/>
          <w:lang w:eastAsia="zh-CN"/>
        </w:rPr>
        <w:t>出具</w:t>
      </w:r>
      <w:r>
        <w:rPr>
          <w:rFonts w:hint="eastAsia" w:ascii="黑体" w:hAnsi="黑体" w:eastAsia="黑体"/>
          <w:color w:val="auto"/>
          <w:sz w:val="24"/>
          <w:szCs w:val="22"/>
          <w:highlight w:val="none"/>
        </w:rPr>
        <w:t>，每拖延一天</w:t>
      </w:r>
      <w:r>
        <w:rPr>
          <w:rFonts w:hint="eastAsia" w:ascii="黑体" w:hAnsi="黑体" w:eastAsia="黑体"/>
          <w:color w:val="auto"/>
          <w:sz w:val="24"/>
          <w:szCs w:val="22"/>
          <w:highlight w:val="none"/>
          <w:lang w:eastAsia="zh-CN"/>
        </w:rPr>
        <w:t>，发包人对承包人课以</w:t>
      </w:r>
      <w:r>
        <w:rPr>
          <w:rFonts w:hint="eastAsia" w:ascii="黑体" w:hAnsi="黑体" w:eastAsia="黑体"/>
          <w:color w:val="auto"/>
          <w:sz w:val="24"/>
          <w:szCs w:val="22"/>
          <w:highlight w:val="none"/>
        </w:rPr>
        <w:t>500元</w:t>
      </w:r>
      <w:r>
        <w:rPr>
          <w:rFonts w:hint="eastAsia" w:ascii="黑体" w:hAnsi="黑体" w:eastAsia="黑体"/>
          <w:color w:val="auto"/>
          <w:sz w:val="24"/>
          <w:szCs w:val="22"/>
          <w:highlight w:val="none"/>
          <w:lang w:val="en-US" w:eastAsia="zh-CN"/>
        </w:rPr>
        <w:t>/天的</w:t>
      </w:r>
      <w:r>
        <w:rPr>
          <w:rFonts w:hint="eastAsia" w:ascii="黑体" w:hAnsi="黑体" w:eastAsia="黑体"/>
          <w:color w:val="auto"/>
          <w:sz w:val="24"/>
          <w:szCs w:val="22"/>
          <w:highlight w:val="none"/>
        </w:rPr>
        <w:t>违约金。</w:t>
      </w:r>
    </w:p>
    <w:p w14:paraId="42050DB0">
      <w:pPr>
        <w:numPr>
          <w:ilvl w:val="0"/>
          <w:numId w:val="18"/>
        </w:numPr>
        <w:spacing w:line="360" w:lineRule="auto"/>
        <w:ind w:left="-60" w:leftChars="0" w:firstLine="480" w:firstLineChars="0"/>
        <w:rPr>
          <w:rFonts w:hint="eastAsia" w:ascii="黑体" w:hAnsi="黑体" w:eastAsia="黑体"/>
          <w:color w:val="auto"/>
          <w:sz w:val="24"/>
          <w:szCs w:val="22"/>
          <w:highlight w:val="none"/>
          <w:lang w:eastAsia="zh-CN"/>
        </w:rPr>
      </w:pPr>
      <w:r>
        <w:rPr>
          <w:rFonts w:hint="eastAsia" w:ascii="黑体" w:hAnsi="黑体" w:eastAsia="黑体"/>
          <w:color w:val="auto"/>
          <w:sz w:val="24"/>
          <w:szCs w:val="22"/>
          <w:highlight w:val="none"/>
          <w:lang w:eastAsia="zh-CN"/>
        </w:rPr>
        <w:t>承包所检测的试验检测数据要真实。原始记录不得有涂抹现象。否则视为试验检测数据弄虚作假，发包人对承包人课以</w:t>
      </w:r>
      <w:r>
        <w:rPr>
          <w:rFonts w:hint="eastAsia" w:ascii="黑体" w:hAnsi="黑体" w:eastAsia="黑体"/>
          <w:color w:val="auto"/>
          <w:sz w:val="24"/>
          <w:szCs w:val="22"/>
          <w:highlight w:val="none"/>
        </w:rPr>
        <w:t>500元</w:t>
      </w:r>
      <w:r>
        <w:rPr>
          <w:rFonts w:hint="eastAsia" w:ascii="黑体" w:hAnsi="黑体" w:eastAsia="黑体"/>
          <w:color w:val="auto"/>
          <w:sz w:val="24"/>
          <w:szCs w:val="22"/>
          <w:highlight w:val="none"/>
          <w:lang w:eastAsia="zh-CN"/>
        </w:rPr>
        <w:t>～2000元</w:t>
      </w:r>
      <w:r>
        <w:rPr>
          <w:rFonts w:hint="eastAsia" w:ascii="黑体" w:hAnsi="黑体" w:eastAsia="黑体"/>
          <w:color w:val="auto"/>
          <w:sz w:val="24"/>
          <w:szCs w:val="22"/>
          <w:highlight w:val="none"/>
          <w:lang w:val="en-US" w:eastAsia="zh-CN"/>
        </w:rPr>
        <w:t>/份的</w:t>
      </w:r>
      <w:r>
        <w:rPr>
          <w:rFonts w:hint="eastAsia" w:ascii="黑体" w:hAnsi="黑体" w:eastAsia="黑体"/>
          <w:color w:val="auto"/>
          <w:sz w:val="24"/>
          <w:szCs w:val="22"/>
          <w:highlight w:val="none"/>
        </w:rPr>
        <w:t>违约金。</w:t>
      </w:r>
    </w:p>
    <w:p w14:paraId="037579D2">
      <w:pPr>
        <w:numPr>
          <w:ilvl w:val="0"/>
          <w:numId w:val="18"/>
        </w:numPr>
        <w:spacing w:line="360" w:lineRule="auto"/>
        <w:ind w:left="-60" w:leftChars="0" w:firstLine="480" w:firstLineChars="0"/>
        <w:rPr>
          <w:rFonts w:hint="eastAsia" w:ascii="黑体" w:hAnsi="黑体" w:eastAsia="黑体"/>
          <w:color w:val="auto"/>
          <w:sz w:val="24"/>
          <w:szCs w:val="22"/>
          <w:highlight w:val="none"/>
          <w:lang w:eastAsia="zh-CN"/>
        </w:rPr>
      </w:pPr>
      <w:r>
        <w:rPr>
          <w:rFonts w:hint="eastAsia" w:ascii="黑体" w:hAnsi="黑体" w:eastAsia="黑体"/>
          <w:color w:val="auto"/>
          <w:sz w:val="24"/>
          <w:szCs w:val="22"/>
          <w:highlight w:val="none"/>
          <w:lang w:eastAsia="zh-CN"/>
        </w:rPr>
        <w:t>承包人必须配备足够的咨询服务人员、设备，及时对各施工承包人的</w:t>
      </w:r>
      <w:r>
        <w:rPr>
          <w:rFonts w:hint="eastAsia" w:ascii="黑体" w:hAnsi="黑体" w:eastAsia="黑体"/>
          <w:color w:val="auto"/>
          <w:sz w:val="24"/>
          <w:szCs w:val="22"/>
          <w:highlight w:val="none"/>
          <w:lang w:val="en-US" w:eastAsia="zh-CN"/>
        </w:rPr>
        <w:t>合同约定的</w:t>
      </w:r>
      <w:r>
        <w:rPr>
          <w:rFonts w:hint="eastAsia" w:ascii="黑体" w:hAnsi="黑体" w:eastAsia="黑体"/>
          <w:color w:val="auto"/>
          <w:sz w:val="24"/>
          <w:szCs w:val="22"/>
          <w:highlight w:val="none"/>
          <w:lang w:eastAsia="zh-CN"/>
        </w:rPr>
        <w:t>咨询项目进行咨询服务，不得影响承包人的施工进度。否则，发包人对承包人课以</w:t>
      </w:r>
      <w:r>
        <w:rPr>
          <w:rFonts w:hint="eastAsia" w:ascii="黑体" w:hAnsi="黑体" w:eastAsia="黑体"/>
          <w:color w:val="auto"/>
          <w:sz w:val="24"/>
          <w:szCs w:val="22"/>
          <w:highlight w:val="none"/>
          <w:lang w:val="en-US" w:eastAsia="zh-CN"/>
        </w:rPr>
        <w:t>1</w:t>
      </w:r>
      <w:r>
        <w:rPr>
          <w:rFonts w:hint="eastAsia" w:ascii="黑体" w:hAnsi="黑体" w:eastAsia="黑体"/>
          <w:color w:val="auto"/>
          <w:sz w:val="24"/>
          <w:szCs w:val="22"/>
          <w:highlight w:val="none"/>
          <w:lang w:eastAsia="zh-CN"/>
        </w:rPr>
        <w:t>000元</w:t>
      </w:r>
      <w:r>
        <w:rPr>
          <w:rFonts w:hint="eastAsia" w:ascii="黑体" w:hAnsi="黑体" w:eastAsia="黑体"/>
          <w:color w:val="auto"/>
          <w:sz w:val="24"/>
          <w:szCs w:val="22"/>
          <w:highlight w:val="none"/>
          <w:lang w:val="en-US" w:eastAsia="zh-CN"/>
        </w:rPr>
        <w:t>/天的</w:t>
      </w:r>
      <w:r>
        <w:rPr>
          <w:rFonts w:hint="eastAsia" w:ascii="黑体" w:hAnsi="黑体" w:eastAsia="黑体"/>
          <w:color w:val="auto"/>
          <w:sz w:val="24"/>
          <w:szCs w:val="22"/>
          <w:highlight w:val="none"/>
        </w:rPr>
        <w:t>违约金。</w:t>
      </w:r>
    </w:p>
    <w:p w14:paraId="2B1D1C1D">
      <w:pPr>
        <w:numPr>
          <w:ilvl w:val="0"/>
          <w:numId w:val="18"/>
        </w:numPr>
        <w:spacing w:line="360" w:lineRule="auto"/>
        <w:ind w:left="-60" w:leftChars="0" w:firstLine="480" w:firstLineChars="0"/>
        <w:rPr>
          <w:rFonts w:hint="eastAsia" w:ascii="黑体" w:hAnsi="黑体" w:eastAsia="黑体"/>
          <w:color w:val="auto"/>
          <w:sz w:val="24"/>
          <w:szCs w:val="22"/>
          <w:highlight w:val="none"/>
          <w:lang w:val="en-US" w:eastAsia="zh-CN"/>
        </w:rPr>
      </w:pPr>
      <w:r>
        <w:rPr>
          <w:rFonts w:hint="eastAsia" w:ascii="黑体" w:hAnsi="黑体" w:eastAsia="黑体"/>
          <w:color w:val="auto"/>
          <w:sz w:val="24"/>
          <w:szCs w:val="22"/>
          <w:highlight w:val="none"/>
          <w:lang w:eastAsia="zh-CN"/>
        </w:rPr>
        <w:t>承包人必须为发包人负责，认真对</w:t>
      </w:r>
      <w:r>
        <w:rPr>
          <w:rFonts w:hint="eastAsia" w:ascii="黑体" w:hAnsi="黑体" w:eastAsia="黑体"/>
          <w:color w:val="auto"/>
          <w:sz w:val="24"/>
          <w:szCs w:val="22"/>
          <w:highlight w:val="none"/>
          <w:lang w:val="en-US" w:eastAsia="zh-CN"/>
        </w:rPr>
        <w:t>合同约定的</w:t>
      </w:r>
      <w:r>
        <w:rPr>
          <w:rFonts w:hint="eastAsia" w:ascii="黑体" w:hAnsi="黑体" w:eastAsia="黑体"/>
          <w:color w:val="auto"/>
          <w:sz w:val="24"/>
          <w:szCs w:val="22"/>
          <w:highlight w:val="none"/>
          <w:lang w:eastAsia="zh-CN"/>
        </w:rPr>
        <w:t>项目进行咨询服务，反映工程真实的状况，禁止与承包人勾结，弄虚作假，单独协商质量缺陷的处理措施，欺骗发包人。一经发现，发包人对承包人课以</w:t>
      </w:r>
      <w:r>
        <w:rPr>
          <w:rFonts w:hint="eastAsia" w:ascii="黑体" w:hAnsi="黑体" w:eastAsia="黑体"/>
          <w:color w:val="auto"/>
          <w:sz w:val="24"/>
          <w:szCs w:val="22"/>
          <w:highlight w:val="none"/>
          <w:lang w:val="en-US" w:eastAsia="zh-CN"/>
        </w:rPr>
        <w:t>1</w:t>
      </w:r>
      <w:r>
        <w:rPr>
          <w:rFonts w:hint="eastAsia" w:ascii="黑体" w:hAnsi="黑体" w:eastAsia="黑体"/>
          <w:color w:val="auto"/>
          <w:sz w:val="24"/>
          <w:szCs w:val="22"/>
          <w:highlight w:val="none"/>
          <w:lang w:eastAsia="zh-CN"/>
        </w:rPr>
        <w:t>000</w:t>
      </w:r>
      <w:r>
        <w:rPr>
          <w:rFonts w:hint="eastAsia" w:ascii="黑体" w:hAnsi="黑体" w:eastAsia="黑体"/>
          <w:color w:val="auto"/>
          <w:sz w:val="24"/>
          <w:szCs w:val="22"/>
          <w:highlight w:val="none"/>
          <w:lang w:val="en-US" w:eastAsia="zh-CN"/>
        </w:rPr>
        <w:t>0</w:t>
      </w:r>
      <w:r>
        <w:rPr>
          <w:rFonts w:hint="eastAsia" w:ascii="黑体" w:hAnsi="黑体" w:eastAsia="黑体"/>
          <w:color w:val="auto"/>
          <w:sz w:val="24"/>
          <w:szCs w:val="22"/>
          <w:highlight w:val="none"/>
          <w:lang w:eastAsia="zh-CN"/>
        </w:rPr>
        <w:t>元～50000元</w:t>
      </w:r>
      <w:r>
        <w:rPr>
          <w:rFonts w:hint="eastAsia" w:ascii="黑体" w:hAnsi="黑体" w:eastAsia="黑体"/>
          <w:color w:val="auto"/>
          <w:sz w:val="24"/>
          <w:szCs w:val="22"/>
          <w:highlight w:val="none"/>
          <w:lang w:val="en-US" w:eastAsia="zh-CN"/>
        </w:rPr>
        <w:t>/次的</w:t>
      </w:r>
      <w:r>
        <w:rPr>
          <w:rFonts w:hint="eastAsia" w:ascii="黑体" w:hAnsi="黑体" w:eastAsia="黑体"/>
          <w:color w:val="auto"/>
          <w:sz w:val="24"/>
          <w:szCs w:val="22"/>
          <w:highlight w:val="none"/>
        </w:rPr>
        <w:t>违约金</w:t>
      </w:r>
      <w:r>
        <w:rPr>
          <w:rFonts w:hint="eastAsia" w:ascii="黑体" w:hAnsi="黑体" w:eastAsia="黑体"/>
          <w:color w:val="auto"/>
          <w:sz w:val="24"/>
          <w:szCs w:val="22"/>
          <w:highlight w:val="none"/>
          <w:lang w:eastAsia="zh-CN"/>
        </w:rPr>
        <w:t>，并给</w:t>
      </w:r>
      <w:r>
        <w:rPr>
          <w:rFonts w:hint="eastAsia" w:ascii="黑体" w:hAnsi="黑体" w:eastAsia="黑体"/>
          <w:color w:val="auto"/>
          <w:sz w:val="24"/>
          <w:szCs w:val="22"/>
          <w:highlight w:val="none"/>
          <w:lang w:val="en-US" w:eastAsia="zh-CN"/>
        </w:rPr>
        <w:t>予</w:t>
      </w:r>
      <w:r>
        <w:rPr>
          <w:rFonts w:hint="eastAsia" w:ascii="黑体" w:hAnsi="黑体" w:eastAsia="黑体"/>
          <w:color w:val="auto"/>
          <w:sz w:val="24"/>
          <w:szCs w:val="22"/>
          <w:highlight w:val="none"/>
          <w:lang w:eastAsia="zh-CN"/>
        </w:rPr>
        <w:t>警告。若发生两次以上此项违约行为或情节严重，发包人有权终止合同，</w:t>
      </w:r>
      <w:r>
        <w:rPr>
          <w:rFonts w:hint="eastAsia" w:ascii="黑体" w:hAnsi="黑体" w:eastAsia="黑体"/>
          <w:color w:val="auto"/>
          <w:sz w:val="24"/>
          <w:szCs w:val="22"/>
          <w:highlight w:val="none"/>
          <w:lang w:val="en-US" w:eastAsia="zh-CN"/>
        </w:rPr>
        <w:t>并将上述违约行为上报省级交通主管部门，作为不良记录纳入公路建设市场信用信息管理系统。</w:t>
      </w:r>
    </w:p>
    <w:p w14:paraId="28E71562">
      <w:pPr>
        <w:pStyle w:val="53"/>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firstLine="480" w:firstLineChars="200"/>
        <w:jc w:val="left"/>
        <w:textAlignment w:val="auto"/>
        <w:rPr>
          <w:rFonts w:hint="eastAsia" w:ascii="黑体" w:hAnsi="黑体" w:eastAsia="黑体"/>
          <w:color w:val="auto"/>
          <w:sz w:val="24"/>
          <w:szCs w:val="22"/>
          <w:highlight w:val="none"/>
          <w:lang w:val="en-US" w:eastAsia="zh-CN"/>
        </w:rPr>
      </w:pPr>
      <w:r>
        <w:rPr>
          <w:rFonts w:hint="eastAsia" w:ascii="黑体" w:hAnsi="黑体" w:eastAsia="黑体"/>
          <w:color w:val="auto"/>
          <w:sz w:val="24"/>
          <w:szCs w:val="22"/>
          <w:highlight w:val="none"/>
          <w:lang w:val="en-US" w:eastAsia="zh-CN"/>
        </w:rPr>
        <w:t>（6）发生工程安全事故、质量事故隐瞒不报、谎报或者拖延报告期限的，对直接负责的项目负责人和技术负责人给予通报批评或清退出场处理，同时，对其咨询服务人课以 10000 元/次～30000 元/次违约金。</w:t>
      </w:r>
    </w:p>
    <w:p w14:paraId="2E3226A6">
      <w:pPr>
        <w:keepNext w:val="0"/>
        <w:keepLines w:val="0"/>
        <w:pageBreakBefore w:val="0"/>
        <w:widowControl w:val="0"/>
        <w:kinsoku/>
        <w:wordWrap/>
        <w:overflowPunct/>
        <w:topLinePunct w:val="0"/>
        <w:autoSpaceDE/>
        <w:autoSpaceDN/>
        <w:bidi w:val="0"/>
        <w:adjustRightInd/>
        <w:snapToGrid/>
        <w:spacing w:before="79" w:beforeLines="25" w:after="79" w:afterLines="25" w:line="300" w:lineRule="auto"/>
        <w:ind w:left="0" w:leftChars="0" w:firstLine="480" w:firstLineChars="200"/>
        <w:jc w:val="left"/>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（7）咨询服务人员未遵守廉洁纪律，向施工检测人进行索拿卡要、介绍材料、施工队伍、设备采购的，发包人有权更换相关人员，触犯国家法律的，依法移交司法机关处理</w:t>
      </w:r>
    </w:p>
    <w:p w14:paraId="1F790514">
      <w:pPr>
        <w:spacing w:line="360" w:lineRule="auto"/>
        <w:ind w:firstLine="480" w:firstLineChars="200"/>
        <w:rPr>
          <w:rFonts w:hint="eastAsia" w:ascii="黑体" w:hAnsi="黑体" w:eastAsia="黑体"/>
          <w:color w:val="auto"/>
          <w:sz w:val="24"/>
          <w:szCs w:val="22"/>
          <w:highlight w:val="none"/>
        </w:rPr>
      </w:pPr>
      <w:r>
        <w:rPr>
          <w:rFonts w:hint="eastAsia" w:ascii="黑体" w:hAnsi="黑体" w:eastAsia="黑体"/>
          <w:color w:val="auto"/>
          <w:sz w:val="24"/>
          <w:szCs w:val="22"/>
          <w:highlight w:val="none"/>
        </w:rPr>
        <w:t>（</w:t>
      </w:r>
      <w:r>
        <w:rPr>
          <w:rFonts w:hint="eastAsia" w:ascii="黑体" w:hAnsi="黑体" w:eastAsia="黑体"/>
          <w:color w:val="auto"/>
          <w:sz w:val="24"/>
          <w:szCs w:val="22"/>
          <w:highlight w:val="none"/>
          <w:lang w:val="en-US" w:eastAsia="zh-CN"/>
        </w:rPr>
        <w:t>8</w:t>
      </w:r>
      <w:r>
        <w:rPr>
          <w:rFonts w:hint="eastAsia" w:ascii="黑体" w:hAnsi="黑体" w:eastAsia="黑体"/>
          <w:color w:val="auto"/>
          <w:sz w:val="24"/>
          <w:szCs w:val="22"/>
          <w:highlight w:val="none"/>
        </w:rPr>
        <w:t>）承包人的其他违约责任按</w:t>
      </w:r>
      <w:r>
        <w:rPr>
          <w:rFonts w:hint="eastAsia" w:ascii="黑体" w:hAnsi="黑体" w:eastAsia="黑体"/>
          <w:bCs/>
          <w:color w:val="auto"/>
          <w:sz w:val="24"/>
          <w:szCs w:val="22"/>
          <w:highlight w:val="none"/>
        </w:rPr>
        <w:t>发包人相关试验检测管理制度有关规定执行。</w:t>
      </w:r>
    </w:p>
    <w:p w14:paraId="734186DE">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10.1.2合同生效后，由于工程停建或因发包人原因而终止合同，发包人应向承包人支付已完成工作量的费用。</w:t>
      </w:r>
    </w:p>
    <w:bookmarkEnd w:id="160"/>
    <w:bookmarkEnd w:id="161"/>
    <w:bookmarkEnd w:id="162"/>
    <w:p w14:paraId="51A61231">
      <w:pPr>
        <w:pStyle w:val="4"/>
        <w:spacing w:before="78" w:beforeLines="25" w:after="78" w:afterLines="25" w:line="300" w:lineRule="auto"/>
        <w:rPr>
          <w:rFonts w:hint="eastAsia" w:ascii="黑体" w:hAnsi="黑体" w:eastAsia="黑体"/>
          <w:b w:val="0"/>
          <w:color w:val="auto"/>
          <w:position w:val="0"/>
          <w:szCs w:val="24"/>
          <w:highlight w:val="none"/>
        </w:rPr>
      </w:pPr>
      <w:bookmarkStart w:id="166" w:name="_Toc488236014"/>
      <w:r>
        <w:rPr>
          <w:rFonts w:hint="eastAsia" w:ascii="黑体" w:hAnsi="黑体" w:eastAsia="黑体"/>
          <w:b w:val="0"/>
          <w:color w:val="auto"/>
          <w:position w:val="0"/>
          <w:szCs w:val="24"/>
          <w:highlight w:val="none"/>
        </w:rPr>
        <w:t>1</w:t>
      </w:r>
      <w:r>
        <w:rPr>
          <w:rFonts w:ascii="黑体" w:hAnsi="黑体" w:eastAsia="黑体"/>
          <w:b w:val="0"/>
          <w:color w:val="auto"/>
          <w:position w:val="0"/>
          <w:szCs w:val="24"/>
          <w:highlight w:val="none"/>
        </w:rPr>
        <w:t>1</w:t>
      </w:r>
      <w:r>
        <w:rPr>
          <w:rFonts w:hint="eastAsia" w:ascii="黑体" w:hAnsi="黑体" w:eastAsia="黑体"/>
          <w:b w:val="0"/>
          <w:color w:val="auto"/>
          <w:position w:val="0"/>
          <w:szCs w:val="24"/>
          <w:highlight w:val="none"/>
        </w:rPr>
        <w:t>．争议的解决</w:t>
      </w:r>
      <w:bookmarkEnd w:id="163"/>
      <w:bookmarkEnd w:id="164"/>
      <w:bookmarkEnd w:id="165"/>
      <w:bookmarkEnd w:id="166"/>
    </w:p>
    <w:p w14:paraId="6D7F6C52">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bookmarkStart w:id="167" w:name="_Toc237231009"/>
      <w:r>
        <w:rPr>
          <w:rFonts w:hint="eastAsia" w:ascii="黑体" w:hAnsi="黑体" w:eastAsia="黑体" w:cs="黑体"/>
          <w:i w:val="0"/>
          <w:iCs/>
          <w:color w:val="auto"/>
          <w:szCs w:val="24"/>
          <w:highlight w:val="none"/>
        </w:rPr>
        <w:t>11.1 争议的解决方式</w:t>
      </w:r>
      <w:bookmarkEnd w:id="167"/>
    </w:p>
    <w:p w14:paraId="0C7506DA">
      <w:pPr>
        <w:spacing w:before="78" w:beforeLines="25" w:after="78" w:afterLines="25" w:line="300" w:lineRule="auto"/>
        <w:ind w:firstLine="480" w:firstLineChars="200"/>
        <w:rPr>
          <w:rFonts w:hint="eastAsia" w:ascii="宋体" w:hAnsi="宋体"/>
          <w:color w:val="auto"/>
          <w:position w:val="0"/>
          <w:sz w:val="24"/>
          <w:szCs w:val="24"/>
          <w:highlight w:val="none"/>
        </w:rPr>
      </w:pPr>
      <w:bookmarkStart w:id="168" w:name="_Toc237231010"/>
      <w:r>
        <w:rPr>
          <w:rFonts w:ascii="宋体" w:hAnsi="宋体"/>
          <w:color w:val="auto"/>
          <w:position w:val="0"/>
          <w:sz w:val="24"/>
          <w:szCs w:val="24"/>
          <w:highlight w:val="none"/>
        </w:rPr>
        <w:t>双方在履行本</w:t>
      </w:r>
      <w:r>
        <w:rPr>
          <w:rFonts w:hint="eastAsia" w:ascii="宋体" w:hAnsi="宋体"/>
          <w:color w:val="auto"/>
          <w:position w:val="0"/>
          <w:sz w:val="24"/>
          <w:szCs w:val="24"/>
          <w:highlight w:val="none"/>
          <w:lang w:eastAsia="zh-CN"/>
        </w:rPr>
        <w:t>咨询服务</w:t>
      </w:r>
      <w:r>
        <w:rPr>
          <w:rFonts w:ascii="宋体" w:hAnsi="宋体"/>
          <w:color w:val="auto"/>
          <w:position w:val="0"/>
          <w:sz w:val="24"/>
          <w:szCs w:val="24"/>
          <w:highlight w:val="none"/>
        </w:rPr>
        <w:t>合同过程中发生争端时，应本着友好协商的原则解决问题，或通过上级主管部门进行调解。若经过协商或调解仍不能达成一致时，双方约定</w:t>
      </w:r>
      <w:r>
        <w:rPr>
          <w:rFonts w:hint="eastAsia" w:ascii="宋体" w:hAnsi="宋体"/>
          <w:color w:val="auto"/>
          <w:position w:val="0"/>
          <w:sz w:val="24"/>
          <w:szCs w:val="24"/>
          <w:highlight w:val="none"/>
        </w:rPr>
        <w:t>：向</w:t>
      </w:r>
      <w:r>
        <w:rPr>
          <w:rFonts w:hint="eastAsia" w:ascii="宋体" w:hAnsi="宋体"/>
          <w:color w:val="auto"/>
          <w:position w:val="0"/>
          <w:sz w:val="24"/>
          <w:szCs w:val="24"/>
          <w:highlight w:val="none"/>
          <w:lang w:val="en-US" w:eastAsia="zh-CN"/>
        </w:rPr>
        <w:t>发包人</w:t>
      </w:r>
      <w:r>
        <w:rPr>
          <w:rFonts w:hint="eastAsia" w:ascii="宋体" w:hAnsi="宋体"/>
          <w:color w:val="auto"/>
          <w:position w:val="0"/>
          <w:sz w:val="24"/>
          <w:szCs w:val="24"/>
          <w:highlight w:val="none"/>
        </w:rPr>
        <w:t>所在地具有管辖权的人民法院提起诉讼。</w:t>
      </w:r>
    </w:p>
    <w:p w14:paraId="174B0433">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11.2 友好解决</w:t>
      </w:r>
      <w:bookmarkEnd w:id="168"/>
    </w:p>
    <w:p w14:paraId="2D5AAA00">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在提请争议评审、仲裁前，以及在争议评审、仲裁过程中，发包人和承包人均可共同努力友好协商解决争议。</w:t>
      </w:r>
    </w:p>
    <w:p w14:paraId="3A17025E">
      <w:pPr>
        <w:pStyle w:val="4"/>
        <w:spacing w:before="78" w:beforeLines="25" w:after="78" w:afterLines="25" w:line="300" w:lineRule="auto"/>
        <w:rPr>
          <w:rFonts w:hint="eastAsia" w:ascii="黑体" w:hAnsi="黑体" w:eastAsia="黑体"/>
          <w:b w:val="0"/>
          <w:color w:val="auto"/>
          <w:position w:val="0"/>
          <w:szCs w:val="24"/>
          <w:highlight w:val="none"/>
        </w:rPr>
      </w:pPr>
      <w:bookmarkStart w:id="169" w:name="_Toc488236015"/>
      <w:r>
        <w:rPr>
          <w:rFonts w:hint="eastAsia" w:ascii="黑体" w:hAnsi="黑体" w:eastAsia="黑体"/>
          <w:b w:val="0"/>
          <w:color w:val="auto"/>
          <w:position w:val="0"/>
          <w:szCs w:val="24"/>
          <w:highlight w:val="none"/>
        </w:rPr>
        <w:t>12．其他</w:t>
      </w:r>
      <w:bookmarkEnd w:id="169"/>
    </w:p>
    <w:p w14:paraId="7EE2CBA7">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12.1 退出机制</w:t>
      </w:r>
    </w:p>
    <w:p w14:paraId="5522F132">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12.1.1承包人人员变动、工作失误及违规导致施工现场发生重大质量、安全事故以及重大工程经济损失和工期延误。</w:t>
      </w:r>
    </w:p>
    <w:p w14:paraId="45F86BA1">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12.1.2经查实承包人有挂靠行为。</w:t>
      </w:r>
    </w:p>
    <w:p w14:paraId="4CE40500">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hint="eastAsia" w:ascii="宋体" w:hAnsi="宋体"/>
          <w:color w:val="auto"/>
          <w:position w:val="0"/>
          <w:sz w:val="24"/>
          <w:szCs w:val="24"/>
          <w:highlight w:val="none"/>
        </w:rPr>
        <w:t>12.1.3经查实承包人重大违纪。</w:t>
      </w:r>
    </w:p>
    <w:p w14:paraId="2A49752C">
      <w:pPr>
        <w:spacing w:before="78" w:beforeLines="25" w:after="78" w:afterLines="25" w:line="300" w:lineRule="auto"/>
        <w:ind w:firstLine="480" w:firstLineChars="200"/>
        <w:rPr>
          <w:rFonts w:ascii="宋体" w:hAnsi="宋体"/>
          <w:color w:val="auto"/>
          <w:position w:val="0"/>
          <w:sz w:val="24"/>
          <w:szCs w:val="24"/>
          <w:highlight w:val="none"/>
        </w:rPr>
      </w:pPr>
      <w:r>
        <w:rPr>
          <w:rFonts w:hint="eastAsia" w:ascii="宋体" w:hAnsi="宋体"/>
          <w:color w:val="auto"/>
          <w:position w:val="0"/>
          <w:sz w:val="24"/>
          <w:szCs w:val="24"/>
          <w:highlight w:val="none"/>
        </w:rPr>
        <w:t>12.1.4</w:t>
      </w:r>
      <w:bookmarkStart w:id="170" w:name="_Hlk488234419"/>
      <w:r>
        <w:rPr>
          <w:rFonts w:hint="eastAsia" w:ascii="宋体" w:hAnsi="宋体"/>
          <w:color w:val="auto"/>
          <w:position w:val="0"/>
          <w:sz w:val="24"/>
          <w:szCs w:val="24"/>
          <w:highlight w:val="none"/>
        </w:rPr>
        <w:t>违反发包人相关试验检测管理制度退出机制规定的情况</w:t>
      </w:r>
      <w:bookmarkEnd w:id="170"/>
      <w:r>
        <w:rPr>
          <w:rFonts w:hint="eastAsia" w:ascii="宋体" w:hAnsi="宋体"/>
          <w:color w:val="auto"/>
          <w:position w:val="0"/>
          <w:sz w:val="24"/>
          <w:szCs w:val="24"/>
          <w:highlight w:val="none"/>
        </w:rPr>
        <w:t>。</w:t>
      </w:r>
    </w:p>
    <w:p w14:paraId="5C5EE444">
      <w:pPr>
        <w:pStyle w:val="5"/>
        <w:spacing w:before="78" w:beforeLines="25" w:after="78" w:afterLines="25" w:line="300" w:lineRule="auto"/>
        <w:ind w:firstLine="562" w:firstLineChars="200"/>
        <w:rPr>
          <w:rFonts w:hint="eastAsia" w:ascii="黑体" w:hAnsi="黑体" w:eastAsia="黑体" w:cs="黑体"/>
          <w:i w:val="0"/>
          <w:iCs/>
          <w:color w:val="auto"/>
          <w:szCs w:val="24"/>
          <w:highlight w:val="none"/>
        </w:rPr>
      </w:pPr>
      <w:r>
        <w:rPr>
          <w:rFonts w:hint="eastAsia" w:ascii="黑体" w:hAnsi="黑体" w:eastAsia="黑体" w:cs="黑体"/>
          <w:i w:val="0"/>
          <w:iCs/>
          <w:color w:val="auto"/>
          <w:szCs w:val="24"/>
          <w:highlight w:val="none"/>
        </w:rPr>
        <w:t>12.2 廉洁从业要求</w:t>
      </w:r>
    </w:p>
    <w:p w14:paraId="1F4E2B8B">
      <w:pPr>
        <w:spacing w:before="78" w:beforeLines="25" w:after="78" w:afterLines="25" w:line="300" w:lineRule="auto"/>
        <w:ind w:firstLine="480" w:firstLineChars="200"/>
        <w:rPr>
          <w:rFonts w:hint="eastAsia" w:ascii="宋体" w:hAnsi="宋体"/>
          <w:color w:val="auto"/>
          <w:position w:val="0"/>
          <w:sz w:val="24"/>
          <w:szCs w:val="24"/>
          <w:highlight w:val="none"/>
        </w:rPr>
      </w:pPr>
      <w:r>
        <w:rPr>
          <w:rFonts w:ascii="宋体" w:hAnsi="宋体"/>
          <w:color w:val="auto"/>
          <w:position w:val="0"/>
          <w:sz w:val="24"/>
          <w:szCs w:val="24"/>
          <w:highlight w:val="none"/>
        </w:rPr>
        <w:t>发包人与</w:t>
      </w:r>
      <w:r>
        <w:rPr>
          <w:rFonts w:hint="eastAsia" w:ascii="宋体" w:hAnsi="宋体"/>
          <w:color w:val="auto"/>
          <w:position w:val="0"/>
          <w:sz w:val="24"/>
          <w:szCs w:val="24"/>
          <w:highlight w:val="none"/>
        </w:rPr>
        <w:t>承包</w:t>
      </w:r>
      <w:r>
        <w:rPr>
          <w:rFonts w:ascii="宋体" w:hAnsi="宋体"/>
          <w:color w:val="auto"/>
          <w:position w:val="0"/>
          <w:sz w:val="24"/>
          <w:szCs w:val="24"/>
          <w:highlight w:val="none"/>
        </w:rPr>
        <w:t>人的</w:t>
      </w:r>
      <w:r>
        <w:rPr>
          <w:rFonts w:hint="eastAsia" w:ascii="宋体" w:hAnsi="宋体"/>
          <w:color w:val="auto"/>
          <w:position w:val="0"/>
          <w:sz w:val="24"/>
          <w:szCs w:val="24"/>
          <w:highlight w:val="none"/>
          <w:lang w:eastAsia="zh-CN"/>
        </w:rPr>
        <w:t>咨询服务</w:t>
      </w:r>
      <w:r>
        <w:rPr>
          <w:rFonts w:ascii="宋体" w:hAnsi="宋体"/>
          <w:color w:val="auto"/>
          <w:position w:val="0"/>
          <w:sz w:val="24"/>
          <w:szCs w:val="24"/>
          <w:highlight w:val="none"/>
        </w:rPr>
        <w:t>人员在合同执行过程中，保持最高的道德水准。</w:t>
      </w:r>
      <w:r>
        <w:rPr>
          <w:rFonts w:hint="eastAsia" w:ascii="宋体" w:hAnsi="宋体"/>
          <w:color w:val="auto"/>
          <w:position w:val="0"/>
          <w:sz w:val="24"/>
          <w:szCs w:val="24"/>
          <w:highlight w:val="none"/>
        </w:rPr>
        <w:t>承包</w:t>
      </w:r>
      <w:r>
        <w:rPr>
          <w:rFonts w:ascii="宋体" w:hAnsi="宋体"/>
          <w:color w:val="auto"/>
          <w:position w:val="0"/>
          <w:sz w:val="24"/>
          <w:szCs w:val="24"/>
          <w:highlight w:val="none"/>
        </w:rPr>
        <w:t>人的</w:t>
      </w:r>
      <w:r>
        <w:rPr>
          <w:rFonts w:hint="eastAsia" w:ascii="宋体" w:hAnsi="宋体"/>
          <w:color w:val="auto"/>
          <w:position w:val="0"/>
          <w:sz w:val="24"/>
          <w:szCs w:val="24"/>
          <w:highlight w:val="none"/>
          <w:lang w:eastAsia="zh-CN"/>
        </w:rPr>
        <w:t>咨询服务</w:t>
      </w:r>
      <w:r>
        <w:rPr>
          <w:rFonts w:ascii="宋体" w:hAnsi="宋体"/>
          <w:color w:val="auto"/>
          <w:position w:val="0"/>
          <w:sz w:val="24"/>
          <w:szCs w:val="24"/>
          <w:highlight w:val="none"/>
        </w:rPr>
        <w:t>人员不得接受或索取施工承包人或供货人任何有价物品；不得参与施工承包人邀请的有可能影响</w:t>
      </w:r>
      <w:r>
        <w:rPr>
          <w:rFonts w:hint="eastAsia" w:ascii="宋体" w:hAnsi="宋体"/>
          <w:color w:val="auto"/>
          <w:position w:val="0"/>
          <w:sz w:val="24"/>
          <w:szCs w:val="24"/>
          <w:highlight w:val="none"/>
          <w:lang w:eastAsia="zh-CN"/>
        </w:rPr>
        <w:t>咨询服务</w:t>
      </w:r>
      <w:r>
        <w:rPr>
          <w:rFonts w:ascii="宋体" w:hAnsi="宋体"/>
          <w:color w:val="auto"/>
          <w:position w:val="0"/>
          <w:sz w:val="24"/>
          <w:szCs w:val="24"/>
          <w:highlight w:val="none"/>
        </w:rPr>
        <w:t>公正</w:t>
      </w:r>
      <w:r>
        <w:rPr>
          <w:rFonts w:hint="eastAsia" w:ascii="宋体" w:hAnsi="宋体"/>
          <w:color w:val="auto"/>
          <w:position w:val="0"/>
          <w:sz w:val="24"/>
          <w:szCs w:val="24"/>
          <w:highlight w:val="none"/>
        </w:rPr>
        <w:t>性</w:t>
      </w:r>
      <w:r>
        <w:rPr>
          <w:rFonts w:ascii="宋体" w:hAnsi="宋体"/>
          <w:color w:val="auto"/>
          <w:position w:val="0"/>
          <w:sz w:val="24"/>
          <w:szCs w:val="24"/>
          <w:highlight w:val="none"/>
        </w:rPr>
        <w:t>的任何活动；也不得私自向施工承包人要求安排个人亲朋好友工作或购买推荐材料；更不得获取超出合同规定以外的额外费用。一经发现和查实上述情况，发包人有权要求</w:t>
      </w:r>
      <w:r>
        <w:rPr>
          <w:rFonts w:hint="eastAsia" w:ascii="宋体" w:hAnsi="宋体"/>
          <w:color w:val="auto"/>
          <w:position w:val="0"/>
          <w:sz w:val="24"/>
          <w:szCs w:val="24"/>
          <w:highlight w:val="none"/>
        </w:rPr>
        <w:t>承包</w:t>
      </w:r>
      <w:r>
        <w:rPr>
          <w:rFonts w:ascii="宋体" w:hAnsi="宋体"/>
          <w:color w:val="auto"/>
          <w:position w:val="0"/>
          <w:sz w:val="24"/>
          <w:szCs w:val="24"/>
          <w:highlight w:val="none"/>
        </w:rPr>
        <w:t>人按照有关法纪严肃处理当事人。对于因上述行为给发包人所造成的工程损害及经济损失，发包人将要求</w:t>
      </w:r>
      <w:r>
        <w:rPr>
          <w:rFonts w:hint="eastAsia" w:ascii="宋体" w:hAnsi="宋体"/>
          <w:color w:val="auto"/>
          <w:position w:val="0"/>
          <w:sz w:val="24"/>
          <w:szCs w:val="24"/>
          <w:highlight w:val="none"/>
        </w:rPr>
        <w:t>承包</w:t>
      </w:r>
      <w:r>
        <w:rPr>
          <w:rFonts w:ascii="宋体" w:hAnsi="宋体"/>
          <w:color w:val="auto"/>
          <w:position w:val="0"/>
          <w:sz w:val="24"/>
          <w:szCs w:val="24"/>
          <w:highlight w:val="none"/>
        </w:rPr>
        <w:t>人按照有关合同条款予以赔偿，直至终止</w:t>
      </w:r>
      <w:r>
        <w:rPr>
          <w:rFonts w:hint="eastAsia" w:ascii="宋体" w:hAnsi="宋体"/>
          <w:color w:val="auto"/>
          <w:position w:val="0"/>
          <w:sz w:val="24"/>
          <w:szCs w:val="24"/>
          <w:highlight w:val="none"/>
        </w:rPr>
        <w:t>承包</w:t>
      </w:r>
      <w:r>
        <w:rPr>
          <w:rFonts w:ascii="宋体" w:hAnsi="宋体"/>
          <w:color w:val="auto"/>
          <w:position w:val="0"/>
          <w:sz w:val="24"/>
          <w:szCs w:val="24"/>
          <w:highlight w:val="none"/>
        </w:rPr>
        <w:t>人的</w:t>
      </w:r>
      <w:r>
        <w:rPr>
          <w:rFonts w:hint="eastAsia" w:ascii="宋体" w:hAnsi="宋体"/>
          <w:color w:val="auto"/>
          <w:position w:val="0"/>
          <w:sz w:val="24"/>
          <w:szCs w:val="24"/>
          <w:highlight w:val="none"/>
          <w:lang w:eastAsia="zh-CN"/>
        </w:rPr>
        <w:t>咨询服务</w:t>
      </w:r>
      <w:r>
        <w:rPr>
          <w:rFonts w:ascii="宋体" w:hAnsi="宋体"/>
          <w:color w:val="auto"/>
          <w:position w:val="0"/>
          <w:sz w:val="24"/>
          <w:szCs w:val="24"/>
          <w:highlight w:val="none"/>
        </w:rPr>
        <w:t>合同。</w:t>
      </w:r>
    </w:p>
    <w:p w14:paraId="3FB932A0">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03436015">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717EC2E7">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28561DD8">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552E6C4D">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087C1E0E">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265B8AA1">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1D6FBC0B">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0FAFF034">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3434F8ED">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1F06C10D">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348DA2A0">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7EF9A58E">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285E4651">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1845CCF4">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220500BD">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3C871637">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42FAF87F">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2E93CF85">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3880F7B3">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6AA3D337">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50898D48">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6080310F">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30D0AEFF">
      <w:pPr>
        <w:pStyle w:val="2"/>
        <w:spacing w:before="240" w:after="240" w:line="440" w:lineRule="atLeast"/>
        <w:jc w:val="center"/>
        <w:rPr>
          <w:rFonts w:eastAsia="黑体"/>
          <w:b w:val="0"/>
          <w:color w:val="auto"/>
          <w:sz w:val="42"/>
          <w:szCs w:val="42"/>
          <w:highlight w:val="none"/>
        </w:rPr>
      </w:pPr>
      <w:bookmarkStart w:id="171" w:name="_Toc510015787"/>
      <w:r>
        <w:rPr>
          <w:rFonts w:eastAsia="黑体"/>
          <w:b w:val="0"/>
          <w:color w:val="auto"/>
          <w:sz w:val="42"/>
          <w:szCs w:val="42"/>
          <w:highlight w:val="none"/>
        </w:rPr>
        <w:t>第三节  合同附件格式</w:t>
      </w:r>
      <w:bookmarkEnd w:id="62"/>
      <w:bookmarkEnd w:id="171"/>
    </w:p>
    <w:p w14:paraId="0926BF3C">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61D8C65C">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1B4ADDD8">
      <w:pPr>
        <w:pStyle w:val="182"/>
        <w:tabs>
          <w:tab w:val="left" w:pos="6720"/>
        </w:tabs>
        <w:spacing w:before="0" w:after="0" w:line="440" w:lineRule="atLeast"/>
        <w:ind w:firstLine="484" w:firstLineChars="200"/>
        <w:rPr>
          <w:rFonts w:ascii="Times New Roman" w:hAnsi="Times New Roman" w:eastAsia="宋体"/>
          <w:color w:val="auto"/>
          <w:spacing w:val="1"/>
          <w:sz w:val="24"/>
          <w:szCs w:val="24"/>
          <w:highlight w:val="none"/>
          <w:lang w:eastAsia="zh-CN"/>
        </w:rPr>
      </w:pPr>
    </w:p>
    <w:p w14:paraId="355D3298">
      <w:pPr>
        <w:pStyle w:val="160"/>
        <w:spacing w:before="260" w:after="260" w:line="440" w:lineRule="atLeast"/>
        <w:jc w:val="center"/>
        <w:outlineLvl w:val="1"/>
        <w:rPr>
          <w:rFonts w:ascii="Times New Roman" w:hAnsi="Times New Roman" w:eastAsia="黑体"/>
          <w:color w:val="auto"/>
          <w:sz w:val="24"/>
          <w:szCs w:val="24"/>
          <w:highlight w:val="none"/>
          <w:lang w:eastAsia="zh-CN"/>
        </w:rPr>
      </w:pPr>
      <w:r>
        <w:rPr>
          <w:rFonts w:ascii="Times New Roman" w:hAnsi="Times New Roman" w:eastAsia="黑体"/>
          <w:color w:val="auto"/>
          <w:sz w:val="24"/>
          <w:szCs w:val="24"/>
          <w:highlight w:val="none"/>
          <w:lang w:eastAsia="zh-CN"/>
        </w:rPr>
        <w:br w:type="page"/>
      </w:r>
      <w:bookmarkStart w:id="172" w:name="_Toc510015788"/>
      <w:bookmarkStart w:id="173" w:name="_Toc234833231"/>
    </w:p>
    <w:p w14:paraId="2756AA12">
      <w:pPr>
        <w:pStyle w:val="160"/>
        <w:spacing w:before="260" w:after="260" w:line="440" w:lineRule="atLeast"/>
        <w:ind w:firstLine="117" w:firstLineChars="49"/>
        <w:outlineLvl w:val="2"/>
        <w:rPr>
          <w:rFonts w:ascii="Times New Roman" w:hAnsi="Times New Roman" w:eastAsia="黑体"/>
          <w:color w:val="auto"/>
          <w:sz w:val="24"/>
          <w:szCs w:val="24"/>
          <w:highlight w:val="none"/>
          <w:lang w:eastAsia="zh-CN"/>
        </w:rPr>
      </w:pPr>
      <w:bookmarkStart w:id="174" w:name="_Toc508201398"/>
      <w:bookmarkStart w:id="175" w:name="_Toc508200460"/>
      <w:bookmarkStart w:id="176" w:name="_Toc499646507"/>
      <w:bookmarkStart w:id="177" w:name="_Toc506006182"/>
      <w:r>
        <w:rPr>
          <w:rFonts w:ascii="Times New Roman" w:hAnsi="Times New Roman" w:eastAsia="黑体"/>
          <w:color w:val="auto"/>
          <w:sz w:val="24"/>
          <w:szCs w:val="24"/>
          <w:highlight w:val="none"/>
          <w:lang w:eastAsia="zh-CN"/>
        </w:rPr>
        <w:t>附件一：合同协议书</w:t>
      </w:r>
      <w:bookmarkEnd w:id="174"/>
      <w:bookmarkEnd w:id="175"/>
      <w:bookmarkEnd w:id="176"/>
      <w:bookmarkEnd w:id="177"/>
    </w:p>
    <w:p w14:paraId="438096BA">
      <w:pPr>
        <w:pStyle w:val="184"/>
        <w:spacing w:beforeLines="50" w:after="120" w:afterLines="50" w:line="440" w:lineRule="atLeast"/>
        <w:ind w:left="3617"/>
        <w:jc w:val="left"/>
        <w:rPr>
          <w:rFonts w:ascii="Times New Roman" w:hAnsi="Times New Roman" w:eastAsia="黑体"/>
          <w:color w:val="auto"/>
          <w:sz w:val="32"/>
          <w:szCs w:val="32"/>
          <w:highlight w:val="none"/>
          <w:lang w:eastAsia="zh-CN"/>
        </w:rPr>
      </w:pPr>
      <w:r>
        <w:rPr>
          <w:rFonts w:ascii="Times New Roman" w:hAnsi="Times New Roman" w:eastAsia="黑体"/>
          <w:color w:val="auto"/>
          <w:sz w:val="32"/>
          <w:szCs w:val="32"/>
          <w:highlight w:val="none"/>
          <w:lang w:eastAsia="zh-CN"/>
        </w:rPr>
        <w:t>合同协议书</w:t>
      </w:r>
    </w:p>
    <w:p w14:paraId="57F1F7DC">
      <w:pPr>
        <w:pStyle w:val="184"/>
        <w:spacing w:before="0" w:after="0" w:line="440" w:lineRule="atLeast"/>
        <w:ind w:firstLine="484" w:firstLineChars="200"/>
        <w:jc w:val="left"/>
        <w:rPr>
          <w:rFonts w:ascii="Times New Roman" w:hAnsi="Times New Roman" w:eastAsia="宋体"/>
          <w:color w:val="auto"/>
          <w:spacing w:val="1"/>
          <w:sz w:val="24"/>
          <w:szCs w:val="24"/>
          <w:highlight w:val="none"/>
          <w:lang w:eastAsia="zh-CN"/>
        </w:rPr>
      </w:pPr>
    </w:p>
    <w:p w14:paraId="20E2C7D3">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（委托人名称，以下简称</w:t>
      </w:r>
      <w:r>
        <w:rPr>
          <w:rFonts w:ascii="Times New Roman" w:hAnsi="Times New Roman"/>
          <w:color w:val="auto"/>
          <w:sz w:val="24"/>
          <w:szCs w:val="24"/>
          <w:highlight w:val="none"/>
          <w:lang w:eastAsia="zh-CN"/>
        </w:rPr>
        <w:t>“</w:t>
      </w:r>
      <w:r>
        <w:rPr>
          <w:rFonts w:ascii="Times New Roman" w:hAnsi="Times New Roman" w:eastAsia="宋体"/>
          <w:color w:val="auto"/>
          <w:spacing w:val="1"/>
          <w:sz w:val="24"/>
          <w:szCs w:val="24"/>
          <w:highlight w:val="none"/>
          <w:lang w:eastAsia="zh-CN"/>
        </w:rPr>
        <w:t>委托人</w:t>
      </w:r>
      <w:r>
        <w:rPr>
          <w:rFonts w:ascii="Times New Roman" w:hAnsi="Times New Roman"/>
          <w:color w:val="auto"/>
          <w:sz w:val="24"/>
          <w:szCs w:val="24"/>
          <w:highlight w:val="none"/>
          <w:lang w:eastAsia="zh-CN"/>
        </w:rPr>
        <w:t>”</w:t>
      </w:r>
      <w:r>
        <w:rPr>
          <w:rFonts w:ascii="Times New Roman" w:hAnsi="Times New Roman" w:eastAsia="宋体"/>
          <w:color w:val="auto"/>
          <w:sz w:val="24"/>
          <w:szCs w:val="24"/>
          <w:highlight w:val="none"/>
          <w:lang w:eastAsia="zh-CN"/>
        </w:rPr>
        <w:t>）为实施</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（项目</w:t>
      </w:r>
      <w:r>
        <w:rPr>
          <w:rFonts w:ascii="Times New Roman" w:hAnsi="Times New Roman" w:eastAsia="宋体"/>
          <w:color w:val="auto"/>
          <w:spacing w:val="-14"/>
          <w:sz w:val="24"/>
          <w:szCs w:val="24"/>
          <w:highlight w:val="none"/>
          <w:lang w:eastAsia="zh-CN"/>
        </w:rPr>
        <w:t>名称），已接受</w:t>
      </w:r>
      <w:r>
        <w:rPr>
          <w:rFonts w:ascii="Times New Roman" w:hAnsi="Times New Roman" w:eastAsia="宋体"/>
          <w:color w:val="auto"/>
          <w:spacing w:val="1"/>
          <w:sz w:val="24"/>
          <w:szCs w:val="24"/>
          <w:highlight w:val="none"/>
          <w:lang w:eastAsia="zh-CN"/>
        </w:rPr>
        <w:t>_________（咨询人名称，以下简称</w:t>
      </w:r>
      <w:r>
        <w:rPr>
          <w:rFonts w:ascii="Times New Roman" w:hAnsi="Times New Roman"/>
          <w:color w:val="auto"/>
          <w:sz w:val="24"/>
          <w:szCs w:val="24"/>
          <w:highlight w:val="none"/>
          <w:lang w:eastAsia="zh-CN"/>
        </w:rPr>
        <w:t>“</w:t>
      </w:r>
      <w:r>
        <w:rPr>
          <w:rFonts w:ascii="Times New Roman" w:hAnsi="Times New Roman" w:eastAsia="宋体"/>
          <w:color w:val="auto"/>
          <w:spacing w:val="1"/>
          <w:sz w:val="24"/>
          <w:szCs w:val="24"/>
          <w:highlight w:val="none"/>
          <w:lang w:eastAsia="zh-CN"/>
        </w:rPr>
        <w:t>咨询人</w:t>
      </w:r>
      <w:r>
        <w:rPr>
          <w:rFonts w:ascii="Times New Roman" w:hAnsi="Times New Roman"/>
          <w:color w:val="auto"/>
          <w:sz w:val="24"/>
          <w:szCs w:val="24"/>
          <w:highlight w:val="none"/>
          <w:lang w:eastAsia="zh-CN"/>
        </w:rPr>
        <w:t>”</w:t>
      </w:r>
      <w:r>
        <w:rPr>
          <w:rFonts w:ascii="Times New Roman" w:hAnsi="Times New Roman" w:eastAsia="宋体"/>
          <w:color w:val="auto"/>
          <w:spacing w:val="1"/>
          <w:sz w:val="24"/>
          <w:szCs w:val="24"/>
          <w:highlight w:val="none"/>
          <w:lang w:eastAsia="zh-CN"/>
        </w:rPr>
        <w:t>）对该项目咨询服务投标。</w:t>
      </w:r>
      <w:r>
        <w:rPr>
          <w:rFonts w:ascii="Times New Roman" w:hAnsi="Times New Roman" w:eastAsia="宋体"/>
          <w:color w:val="auto"/>
          <w:sz w:val="24"/>
          <w:szCs w:val="24"/>
          <w:highlight w:val="none"/>
          <w:lang w:eastAsia="zh-CN"/>
        </w:rPr>
        <w:t>委托人和咨询人共同达成如下协议。</w:t>
      </w:r>
    </w:p>
    <w:p w14:paraId="0A01F240">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1. </w:t>
      </w:r>
      <w:r>
        <w:rPr>
          <w:rFonts w:ascii="Times New Roman" w:hAnsi="Times New Roman" w:eastAsia="宋体"/>
          <w:color w:val="auto"/>
          <w:sz w:val="24"/>
          <w:szCs w:val="24"/>
          <w:highlight w:val="none"/>
          <w:lang w:eastAsia="zh-CN"/>
        </w:rPr>
        <w:t>下列文件一起构成合同文件：</w:t>
      </w:r>
    </w:p>
    <w:p w14:paraId="59802B2B">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1</w:t>
      </w:r>
      <w:r>
        <w:rPr>
          <w:rFonts w:ascii="Times New Roman" w:hAnsi="Times New Roman" w:eastAsia="宋体"/>
          <w:color w:val="auto"/>
          <w:sz w:val="24"/>
          <w:szCs w:val="24"/>
          <w:highlight w:val="none"/>
          <w:lang w:eastAsia="zh-CN"/>
        </w:rPr>
        <w:t>）合同协议书；</w:t>
      </w:r>
    </w:p>
    <w:p w14:paraId="4A8CE468">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2</w:t>
      </w:r>
      <w:r>
        <w:rPr>
          <w:rFonts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eastAsia="zh-CN"/>
        </w:rPr>
        <w:t>成交</w:t>
      </w:r>
      <w:r>
        <w:rPr>
          <w:rFonts w:ascii="Times New Roman" w:hAnsi="Times New Roman" w:eastAsia="宋体"/>
          <w:color w:val="auto"/>
          <w:sz w:val="24"/>
          <w:szCs w:val="24"/>
          <w:highlight w:val="none"/>
          <w:lang w:eastAsia="zh-CN"/>
        </w:rPr>
        <w:t>通知书；</w:t>
      </w:r>
    </w:p>
    <w:p w14:paraId="1B37E276">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3</w:t>
      </w:r>
      <w:r>
        <w:rPr>
          <w:rFonts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eastAsia="zh-CN"/>
        </w:rPr>
        <w:t>响应</w:t>
      </w:r>
      <w:r>
        <w:rPr>
          <w:rFonts w:ascii="Times New Roman" w:hAnsi="Times New Roman" w:eastAsia="宋体"/>
          <w:color w:val="auto"/>
          <w:sz w:val="24"/>
          <w:szCs w:val="24"/>
          <w:highlight w:val="none"/>
          <w:lang w:eastAsia="zh-CN"/>
        </w:rPr>
        <w:t>函；</w:t>
      </w:r>
    </w:p>
    <w:p w14:paraId="22E51B9F">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4</w:t>
      </w:r>
      <w:r>
        <w:rPr>
          <w:rFonts w:ascii="Times New Roman" w:hAnsi="Times New Roman" w:eastAsia="宋体"/>
          <w:color w:val="auto"/>
          <w:sz w:val="24"/>
          <w:szCs w:val="24"/>
          <w:highlight w:val="none"/>
          <w:lang w:eastAsia="zh-CN"/>
        </w:rPr>
        <w:t>）专用合同条款；</w:t>
      </w:r>
    </w:p>
    <w:p w14:paraId="4C8CEA0A">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5</w:t>
      </w:r>
      <w:r>
        <w:rPr>
          <w:rFonts w:ascii="Times New Roman" w:hAnsi="Times New Roman" w:eastAsia="宋体"/>
          <w:color w:val="auto"/>
          <w:sz w:val="24"/>
          <w:szCs w:val="24"/>
          <w:highlight w:val="none"/>
          <w:lang w:eastAsia="zh-CN"/>
        </w:rPr>
        <w:t>）通用合同条款；</w:t>
      </w:r>
    </w:p>
    <w:p w14:paraId="56512992">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6</w:t>
      </w:r>
      <w:r>
        <w:rPr>
          <w:rFonts w:ascii="Times New Roman" w:hAnsi="Times New Roman" w:eastAsia="宋体"/>
          <w:color w:val="auto"/>
          <w:sz w:val="24"/>
          <w:szCs w:val="24"/>
          <w:highlight w:val="none"/>
          <w:lang w:eastAsia="zh-CN"/>
        </w:rPr>
        <w:t>）委托人要求；</w:t>
      </w:r>
    </w:p>
    <w:p w14:paraId="64D45F2B">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7</w:t>
      </w:r>
      <w:r>
        <w:rPr>
          <w:rFonts w:ascii="Times New Roman" w:hAnsi="Times New Roman" w:eastAsia="宋体"/>
          <w:color w:val="auto"/>
          <w:sz w:val="24"/>
          <w:szCs w:val="24"/>
          <w:highlight w:val="none"/>
          <w:lang w:eastAsia="zh-CN"/>
        </w:rPr>
        <w:t>）咨询服务费用清单；</w:t>
      </w:r>
    </w:p>
    <w:p w14:paraId="2CED53EC">
      <w:pPr>
        <w:pStyle w:val="184"/>
        <w:spacing w:before="0" w:after="0" w:line="440" w:lineRule="atLeast"/>
        <w:ind w:firstLine="484" w:firstLineChars="200"/>
        <w:jc w:val="left"/>
        <w:rPr>
          <w:rFonts w:ascii="Times New Roman" w:hAnsi="Times New Roman" w:eastAsia="宋体"/>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8</w:t>
      </w:r>
      <w:r>
        <w:rPr>
          <w:rFonts w:ascii="Times New Roman" w:hAnsi="Times New Roman" w:eastAsia="宋体"/>
          <w:color w:val="auto"/>
          <w:sz w:val="24"/>
          <w:szCs w:val="24"/>
          <w:highlight w:val="none"/>
          <w:lang w:eastAsia="zh-CN"/>
        </w:rPr>
        <w:t>）咨询服务方案；</w:t>
      </w:r>
    </w:p>
    <w:p w14:paraId="154B1CB0">
      <w:pPr>
        <w:pStyle w:val="184"/>
        <w:spacing w:before="0" w:after="0" w:line="440" w:lineRule="atLeast"/>
        <w:ind w:firstLine="484" w:firstLineChars="200"/>
        <w:jc w:val="left"/>
        <w:rPr>
          <w:rFonts w:ascii="Times New Roman" w:hAnsi="Times New Roman" w:eastAsia="宋体"/>
          <w:color w:val="auto"/>
          <w:sz w:val="24"/>
          <w:szCs w:val="24"/>
          <w:highlight w:val="none"/>
          <w:lang w:eastAsia="zh-CN"/>
        </w:rPr>
      </w:pPr>
      <w:r>
        <w:rPr>
          <w:rFonts w:ascii="Times New Roman" w:hAnsi="Times New Roman" w:eastAsia="宋体"/>
          <w:color w:val="auto"/>
          <w:spacing w:val="1"/>
          <w:sz w:val="24"/>
          <w:szCs w:val="24"/>
          <w:highlight w:val="none"/>
          <w:lang w:eastAsia="zh-CN"/>
        </w:rPr>
        <w:t>（</w:t>
      </w:r>
      <w:r>
        <w:rPr>
          <w:rFonts w:ascii="Times New Roman" w:hAnsi="Times New Roman"/>
          <w:color w:val="auto"/>
          <w:spacing w:val="1"/>
          <w:sz w:val="24"/>
          <w:szCs w:val="24"/>
          <w:highlight w:val="none"/>
          <w:lang w:eastAsia="zh-CN"/>
        </w:rPr>
        <w:t>9</w:t>
      </w:r>
      <w:r>
        <w:rPr>
          <w:rFonts w:ascii="Times New Roman" w:hAnsi="Times New Roman" w:eastAsia="宋体"/>
          <w:color w:val="auto"/>
          <w:sz w:val="24"/>
          <w:szCs w:val="24"/>
          <w:highlight w:val="none"/>
          <w:lang w:eastAsia="zh-CN"/>
        </w:rPr>
        <w:t>）附录，即：</w:t>
      </w:r>
    </w:p>
    <w:p w14:paraId="09399F74">
      <w:pPr>
        <w:pStyle w:val="184"/>
        <w:spacing w:before="0" w:after="0" w:line="440" w:lineRule="atLeast"/>
        <w:ind w:firstLine="1132" w:firstLineChars="472"/>
        <w:jc w:val="left"/>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附录A  咨询服务相关工作的范围和内容</w:t>
      </w:r>
    </w:p>
    <w:p w14:paraId="0F1CF1DC">
      <w:pPr>
        <w:pStyle w:val="184"/>
        <w:spacing w:before="0" w:after="0" w:line="440" w:lineRule="atLeast"/>
        <w:ind w:firstLine="1132" w:firstLineChars="472"/>
        <w:jc w:val="left"/>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附录B  委托人提供的资料</w:t>
      </w:r>
    </w:p>
    <w:p w14:paraId="6B006484">
      <w:pPr>
        <w:pStyle w:val="184"/>
        <w:spacing w:before="0" w:after="0" w:line="440" w:lineRule="atLeast"/>
        <w:ind w:firstLine="1132" w:firstLineChars="472"/>
        <w:jc w:val="left"/>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附录C  咨询人</w:t>
      </w:r>
      <w:bookmarkStart w:id="178" w:name="_Hlk513455213"/>
      <w:r>
        <w:rPr>
          <w:rFonts w:ascii="Times New Roman" w:hAnsi="Times New Roman" w:eastAsia="宋体"/>
          <w:color w:val="auto"/>
          <w:sz w:val="24"/>
          <w:szCs w:val="24"/>
          <w:highlight w:val="none"/>
          <w:lang w:eastAsia="zh-CN"/>
        </w:rPr>
        <w:t>项目负责人及其他</w:t>
      </w:r>
      <w:bookmarkEnd w:id="178"/>
      <w:r>
        <w:rPr>
          <w:rFonts w:ascii="Times New Roman" w:hAnsi="Times New Roman" w:eastAsia="宋体"/>
          <w:color w:val="auto"/>
          <w:sz w:val="24"/>
          <w:szCs w:val="24"/>
          <w:highlight w:val="none"/>
          <w:lang w:eastAsia="zh-CN"/>
        </w:rPr>
        <w:t>主要人员配置表</w:t>
      </w:r>
    </w:p>
    <w:p w14:paraId="77297F47">
      <w:pPr>
        <w:pStyle w:val="184"/>
        <w:spacing w:before="0" w:after="0" w:line="440" w:lineRule="atLeast"/>
        <w:ind w:firstLine="480" w:firstLineChars="200"/>
        <w:jc w:val="left"/>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（10）合同其他附件。</w:t>
      </w:r>
    </w:p>
    <w:p w14:paraId="4664F348">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2. </w:t>
      </w:r>
      <w:r>
        <w:rPr>
          <w:rFonts w:ascii="Times New Roman" w:hAnsi="Times New Roman" w:eastAsia="宋体"/>
          <w:color w:val="auto"/>
          <w:spacing w:val="-1"/>
          <w:sz w:val="24"/>
          <w:szCs w:val="24"/>
          <w:highlight w:val="none"/>
          <w:lang w:eastAsia="zh-CN"/>
        </w:rPr>
        <w:t>上述合同文件互相补充和解释。如果合同文件之间存在矛盾或不一致之处，以上述文件</w:t>
      </w:r>
      <w:r>
        <w:rPr>
          <w:rFonts w:ascii="Times New Roman" w:hAnsi="Times New Roman" w:eastAsia="宋体"/>
          <w:color w:val="auto"/>
          <w:sz w:val="24"/>
          <w:szCs w:val="24"/>
          <w:highlight w:val="none"/>
          <w:lang w:eastAsia="zh-CN"/>
        </w:rPr>
        <w:t>的排列顺序在先者为准。</w:t>
      </w:r>
    </w:p>
    <w:p w14:paraId="12694CA8">
      <w:pPr>
        <w:pStyle w:val="184"/>
        <w:spacing w:before="0" w:after="0" w:line="440" w:lineRule="atLeast"/>
        <w:ind w:firstLine="484" w:firstLineChars="200"/>
        <w:jc w:val="left"/>
        <w:rPr>
          <w:rFonts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3. </w:t>
      </w:r>
      <w:r>
        <w:rPr>
          <w:rFonts w:ascii="Times New Roman" w:hAnsi="Times New Roman" w:eastAsia="宋体"/>
          <w:color w:val="auto"/>
          <w:sz w:val="24"/>
          <w:szCs w:val="24"/>
          <w:highlight w:val="none"/>
          <w:lang w:eastAsia="zh-CN"/>
        </w:rPr>
        <w:t>签约合同价：</w:t>
      </w:r>
      <w:bookmarkStart w:id="179" w:name="_Hlk513490029"/>
      <w:r>
        <w:rPr>
          <w:rFonts w:ascii="Times New Roman" w:hAnsi="Times New Roman" w:eastAsia="宋体"/>
          <w:color w:val="auto"/>
          <w:sz w:val="24"/>
          <w:szCs w:val="24"/>
          <w:highlight w:val="none"/>
          <w:lang w:eastAsia="zh-CN"/>
        </w:rPr>
        <w:t>人民币（大写）</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金额为含税金额。其中，不含税金额为人民币（大写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），增值税税率为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%，税款为人民币（大写）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（税率如遇国家政策调整按调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lang w:eastAsia="zh-CN"/>
        </w:rPr>
        <w:t>后政策执行）</w:t>
      </w:r>
    </w:p>
    <w:bookmarkEnd w:id="179"/>
    <w:p w14:paraId="5FF5152E">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4. </w:t>
      </w:r>
      <w:r>
        <w:rPr>
          <w:rFonts w:ascii="Times New Roman" w:hAnsi="Times New Roman" w:eastAsia="宋体"/>
          <w:color w:val="auto"/>
          <w:sz w:val="24"/>
          <w:szCs w:val="24"/>
          <w:highlight w:val="none"/>
          <w:lang w:eastAsia="zh-CN"/>
        </w:rPr>
        <w:t>项目负责人：</w:t>
      </w:r>
      <w:r>
        <w:rPr>
          <w:rFonts w:ascii="Times New Roman" w:hAnsi="Times New Roman" w:eastAsia="宋体"/>
          <w:color w:val="auto"/>
          <w:kern w:val="2"/>
          <w:sz w:val="24"/>
          <w:szCs w:val="24"/>
          <w:highlight w:val="none"/>
          <w:lang w:eastAsia="zh-CN"/>
        </w:rPr>
        <w:t>姓名</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kern w:val="2"/>
          <w:sz w:val="24"/>
          <w:szCs w:val="24"/>
          <w:highlight w:val="none"/>
          <w:lang w:eastAsia="zh-CN"/>
        </w:rPr>
        <w:t>，身份证号</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kern w:val="2"/>
          <w:sz w:val="24"/>
          <w:szCs w:val="24"/>
          <w:highlight w:val="none"/>
          <w:lang w:eastAsia="zh-CN"/>
        </w:rPr>
        <w:t>，注册号</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w:t>
      </w:r>
    </w:p>
    <w:p w14:paraId="251BAD75">
      <w:pPr>
        <w:pStyle w:val="184"/>
        <w:spacing w:before="0" w:after="0" w:line="440" w:lineRule="atLeast"/>
        <w:ind w:firstLine="484" w:firstLineChars="200"/>
        <w:jc w:val="left"/>
        <w:rPr>
          <w:rFonts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5. </w:t>
      </w:r>
      <w:r>
        <w:rPr>
          <w:rFonts w:ascii="Times New Roman" w:hAnsi="Times New Roman" w:eastAsia="宋体"/>
          <w:color w:val="auto"/>
          <w:sz w:val="24"/>
          <w:szCs w:val="24"/>
          <w:highlight w:val="none"/>
          <w:lang w:eastAsia="zh-CN"/>
        </w:rPr>
        <w:t>咨询服务工作质量符合的标准和要求：</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w:t>
      </w:r>
    </w:p>
    <w:p w14:paraId="4B75F759">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6. </w:t>
      </w:r>
      <w:r>
        <w:rPr>
          <w:rFonts w:ascii="Times New Roman" w:hAnsi="Times New Roman" w:eastAsia="宋体"/>
          <w:color w:val="auto"/>
          <w:sz w:val="24"/>
          <w:szCs w:val="24"/>
          <w:highlight w:val="none"/>
          <w:lang w:eastAsia="zh-CN"/>
        </w:rPr>
        <w:t>咨询人承诺按合同约定承担工程的咨询服务工作。</w:t>
      </w:r>
    </w:p>
    <w:p w14:paraId="5114930D">
      <w:pPr>
        <w:pStyle w:val="184"/>
        <w:spacing w:before="0" w:after="0" w:line="440" w:lineRule="atLeast"/>
        <w:ind w:firstLine="484" w:firstLineChars="200"/>
        <w:jc w:val="left"/>
        <w:rPr>
          <w:rFonts w:ascii="Times New Roman" w:hAnsi="Times New Roman" w:eastAsia="宋体"/>
          <w:color w:val="auto"/>
          <w:spacing w:val="1"/>
          <w:sz w:val="24"/>
          <w:szCs w:val="24"/>
          <w:highlight w:val="none"/>
          <w:lang w:eastAsia="zh-CN"/>
        </w:rPr>
      </w:pPr>
      <w:r>
        <w:rPr>
          <w:rFonts w:ascii="Times New Roman" w:hAnsi="Times New Roman"/>
          <w:color w:val="auto"/>
          <w:spacing w:val="1"/>
          <w:sz w:val="24"/>
          <w:szCs w:val="24"/>
          <w:highlight w:val="none"/>
          <w:lang w:eastAsia="zh-CN"/>
        </w:rPr>
        <w:t xml:space="preserve">7. </w:t>
      </w:r>
      <w:r>
        <w:rPr>
          <w:rFonts w:ascii="Times New Roman" w:hAnsi="Times New Roman" w:eastAsia="宋体"/>
          <w:color w:val="auto"/>
          <w:spacing w:val="1"/>
          <w:sz w:val="24"/>
          <w:szCs w:val="24"/>
          <w:highlight w:val="none"/>
          <w:lang w:eastAsia="zh-CN"/>
        </w:rPr>
        <w:t>委托人承诺按合同约定的条件、时间和方式向咨询人支付合同价款。</w:t>
      </w:r>
    </w:p>
    <w:p w14:paraId="523475CC">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8. </w:t>
      </w:r>
      <w:r>
        <w:rPr>
          <w:rFonts w:ascii="Times New Roman" w:hAnsi="Times New Roman" w:eastAsia="宋体"/>
          <w:color w:val="auto"/>
          <w:spacing w:val="1"/>
          <w:sz w:val="24"/>
          <w:szCs w:val="24"/>
          <w:highlight w:val="none"/>
          <w:lang w:eastAsia="zh-CN"/>
        </w:rPr>
        <w:t>咨询人计划开始咨询服务日期：_________，实际日期按照委托人在开始咨询服务通知中载明的开始咨询服务日期为准。</w:t>
      </w:r>
      <w:r>
        <w:rPr>
          <w:rFonts w:ascii="Times New Roman" w:hAnsi="Times New Roman" w:eastAsia="宋体"/>
          <w:color w:val="auto"/>
          <w:sz w:val="24"/>
          <w:szCs w:val="24"/>
          <w:highlight w:val="none"/>
          <w:lang w:eastAsia="zh-CN"/>
        </w:rPr>
        <w:t>咨询服务期限为</w:t>
      </w:r>
      <w:r>
        <w:rPr>
          <w:rFonts w:ascii="Times New Roman" w:hAnsi="Times New Roman" w:eastAsia="宋体"/>
          <w:color w:val="auto"/>
          <w:spacing w:val="1"/>
          <w:sz w:val="24"/>
          <w:szCs w:val="24"/>
          <w:highlight w:val="none"/>
          <w:lang w:eastAsia="zh-CN"/>
        </w:rPr>
        <w:t>_________天。</w:t>
      </w:r>
    </w:p>
    <w:p w14:paraId="601CC974">
      <w:pPr>
        <w:pStyle w:val="184"/>
        <w:spacing w:before="0" w:after="0" w:line="440" w:lineRule="atLeast"/>
        <w:ind w:firstLine="484" w:firstLineChars="200"/>
        <w:jc w:val="left"/>
        <w:rPr>
          <w:rFonts w:ascii="Times New Roman" w:hAnsi="Times New Roman"/>
          <w:color w:val="auto"/>
          <w:sz w:val="24"/>
          <w:szCs w:val="24"/>
          <w:highlight w:val="none"/>
          <w:lang w:eastAsia="zh-CN"/>
        </w:rPr>
      </w:pPr>
      <w:r>
        <w:rPr>
          <w:rFonts w:ascii="Times New Roman" w:hAnsi="Times New Roman"/>
          <w:color w:val="auto"/>
          <w:spacing w:val="1"/>
          <w:sz w:val="24"/>
          <w:szCs w:val="24"/>
          <w:highlight w:val="none"/>
          <w:lang w:eastAsia="zh-CN"/>
        </w:rPr>
        <w:t xml:space="preserve">9. </w:t>
      </w:r>
      <w:r>
        <w:rPr>
          <w:rFonts w:ascii="Times New Roman" w:hAnsi="Times New Roman" w:eastAsia="宋体"/>
          <w:color w:val="auto"/>
          <w:sz w:val="24"/>
          <w:szCs w:val="24"/>
          <w:highlight w:val="none"/>
          <w:lang w:eastAsia="zh-CN"/>
        </w:rPr>
        <w:t>本合同协议书</w:t>
      </w:r>
      <w:bookmarkStart w:id="180" w:name="_Hlk513490320"/>
      <w:r>
        <w:rPr>
          <w:rFonts w:ascii="Times New Roman" w:hAnsi="Times New Roman" w:eastAsia="宋体"/>
          <w:color w:val="auto"/>
          <w:sz w:val="24"/>
          <w:szCs w:val="24"/>
          <w:highlight w:val="none"/>
          <w:lang w:eastAsia="zh-CN"/>
        </w:rPr>
        <w:t>一式</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份，合同双方各执</w:t>
      </w:r>
      <w:bookmarkStart w:id="181" w:name="_Hlk513490284"/>
      <w:bookmarkEnd w:id="181"/>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份</w:t>
      </w:r>
      <w:bookmarkEnd w:id="180"/>
      <w:r>
        <w:rPr>
          <w:rFonts w:ascii="Times New Roman" w:hAnsi="Times New Roman" w:eastAsia="宋体"/>
          <w:color w:val="auto"/>
          <w:spacing w:val="-1"/>
          <w:sz w:val="24"/>
          <w:szCs w:val="24"/>
          <w:highlight w:val="none"/>
          <w:lang w:eastAsia="zh-CN"/>
        </w:rPr>
        <w:t>。</w:t>
      </w:r>
    </w:p>
    <w:p w14:paraId="1AD872B3">
      <w:pPr>
        <w:pStyle w:val="184"/>
        <w:spacing w:before="0" w:after="0" w:line="440" w:lineRule="atLeast"/>
        <w:ind w:firstLine="484" w:firstLineChars="200"/>
        <w:jc w:val="left"/>
        <w:rPr>
          <w:rFonts w:ascii="Times New Roman" w:hAnsi="Times New Roman" w:eastAsia="宋体"/>
          <w:color w:val="auto"/>
          <w:sz w:val="24"/>
          <w:szCs w:val="24"/>
          <w:highlight w:val="none"/>
          <w:lang w:eastAsia="zh-CN"/>
        </w:rPr>
      </w:pPr>
      <w:r>
        <w:rPr>
          <w:rFonts w:ascii="Times New Roman" w:hAnsi="Times New Roman"/>
          <w:color w:val="auto"/>
          <w:spacing w:val="1"/>
          <w:sz w:val="24"/>
          <w:szCs w:val="24"/>
          <w:highlight w:val="none"/>
          <w:lang w:eastAsia="zh-CN"/>
        </w:rPr>
        <w:t xml:space="preserve">10. </w:t>
      </w:r>
      <w:r>
        <w:rPr>
          <w:rFonts w:ascii="Times New Roman" w:hAnsi="Times New Roman" w:eastAsia="宋体"/>
          <w:color w:val="auto"/>
          <w:sz w:val="24"/>
          <w:szCs w:val="24"/>
          <w:highlight w:val="none"/>
          <w:lang w:eastAsia="zh-CN"/>
        </w:rPr>
        <w:t>合同未尽事宜，双方另行签订补充协议。补充协议是合同的组成部分。</w:t>
      </w:r>
    </w:p>
    <w:p w14:paraId="5057415A">
      <w:pPr>
        <w:pStyle w:val="184"/>
        <w:spacing w:before="0" w:after="0" w:line="440" w:lineRule="atLeast"/>
        <w:ind w:firstLine="480" w:firstLineChars="200"/>
        <w:jc w:val="left"/>
        <w:rPr>
          <w:rFonts w:ascii="Times New Roman" w:hAnsi="Times New Roman" w:eastAsia="宋体"/>
          <w:color w:val="auto"/>
          <w:sz w:val="24"/>
          <w:szCs w:val="24"/>
          <w:highlight w:val="none"/>
          <w:lang w:eastAsia="zh-CN"/>
        </w:rPr>
      </w:pPr>
    </w:p>
    <w:p w14:paraId="030EC401">
      <w:pPr>
        <w:pStyle w:val="184"/>
        <w:spacing w:before="0" w:after="0" w:line="440" w:lineRule="atLeast"/>
        <w:ind w:firstLine="480" w:firstLineChars="200"/>
        <w:jc w:val="left"/>
        <w:rPr>
          <w:rFonts w:ascii="Times New Roman" w:hAnsi="Times New Roman"/>
          <w:color w:val="auto"/>
          <w:sz w:val="24"/>
          <w:szCs w:val="24"/>
          <w:highlight w:val="none"/>
          <w:lang w:eastAsia="zh-CN"/>
        </w:rPr>
      </w:pPr>
    </w:p>
    <w:p w14:paraId="05BC32B6">
      <w:pPr>
        <w:pStyle w:val="183"/>
        <w:spacing w:before="0" w:after="0" w:line="440" w:lineRule="atLeast"/>
        <w:jc w:val="left"/>
        <w:rPr>
          <w:rFonts w:ascii="Times New Roman" w:hAnsi="Times New Roman"/>
          <w:color w:val="auto"/>
          <w:sz w:val="24"/>
          <w:szCs w:val="24"/>
          <w:highlight w:val="none"/>
          <w:lang w:eastAsia="zh-CN"/>
        </w:rPr>
      </w:pPr>
      <w:r>
        <w:rPr>
          <w:rFonts w:ascii="Times New Roman" w:hAnsi="Times New Roman" w:eastAsia="宋体"/>
          <w:color w:val="auto"/>
          <w:sz w:val="24"/>
          <w:szCs w:val="24"/>
          <w:highlight w:val="none"/>
          <w:lang w:eastAsia="zh-CN"/>
        </w:rPr>
        <w:t>委托人：</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（盖单位章）              咨询人：</w:t>
      </w:r>
      <w:r>
        <w:rPr>
          <w:rFonts w:ascii="Times New Roman" w:hAnsi="Times New Roman" w:eastAsia="宋体"/>
          <w:color w:val="auto"/>
          <w:spacing w:val="1"/>
          <w:sz w:val="24"/>
          <w:szCs w:val="24"/>
          <w:highlight w:val="none"/>
          <w:lang w:eastAsia="zh-CN"/>
        </w:rPr>
        <w:t>_________</w:t>
      </w:r>
      <w:r>
        <w:rPr>
          <w:rFonts w:ascii="Times New Roman" w:hAnsi="Times New Roman" w:eastAsia="宋体"/>
          <w:color w:val="auto"/>
          <w:sz w:val="24"/>
          <w:szCs w:val="24"/>
          <w:highlight w:val="none"/>
          <w:lang w:eastAsia="zh-CN"/>
        </w:rPr>
        <w:t>（盖单位章）</w:t>
      </w:r>
    </w:p>
    <w:p w14:paraId="642EA772">
      <w:pPr>
        <w:pStyle w:val="183"/>
        <w:spacing w:before="0" w:after="0" w:line="440" w:lineRule="atLeast"/>
        <w:jc w:val="left"/>
        <w:rPr>
          <w:rFonts w:ascii="Times New Roman" w:hAnsi="Times New Roman"/>
          <w:color w:val="auto"/>
          <w:sz w:val="24"/>
          <w:szCs w:val="24"/>
          <w:highlight w:val="none"/>
          <w:lang w:eastAsia="zh-CN"/>
        </w:rPr>
      </w:pPr>
      <w:r>
        <w:rPr>
          <w:rFonts w:ascii="Times New Roman" w:hAnsi="Times New Roman" w:eastAsia="宋体"/>
          <w:color w:val="auto"/>
          <w:sz w:val="24"/>
          <w:szCs w:val="24"/>
          <w:highlight w:val="none"/>
          <w:lang w:eastAsia="zh-CN"/>
        </w:rPr>
        <w:t>法定代表人或其委托代理人：___（签字）     法定代表人或其委托代理人：___（签字）</w:t>
      </w:r>
    </w:p>
    <w:p w14:paraId="29571FBD">
      <w:pPr>
        <w:pStyle w:val="33"/>
        <w:spacing w:line="440" w:lineRule="atLeast"/>
        <w:ind w:firstLine="2520" w:firstLineChars="1050"/>
        <w:rPr>
          <w:color w:val="auto"/>
          <w:sz w:val="24"/>
          <w:highlight w:val="none"/>
        </w:rPr>
      </w:pPr>
      <w:r>
        <w:rPr>
          <w:color w:val="auto"/>
          <w:sz w:val="24"/>
          <w:highlight w:val="none"/>
        </w:rPr>
        <w:t>___年___月___日                  ___年___月___日</w:t>
      </w:r>
    </w:p>
    <w:p w14:paraId="2CD8F7B3">
      <w:pPr>
        <w:pStyle w:val="33"/>
        <w:spacing w:line="440" w:lineRule="atLeast"/>
        <w:rPr>
          <w:color w:val="auto"/>
          <w:sz w:val="24"/>
          <w:highlight w:val="none"/>
        </w:rPr>
      </w:pPr>
      <w:r>
        <w:rPr>
          <w:color w:val="auto"/>
          <w:sz w:val="24"/>
          <w:highlight w:val="none"/>
        </w:rPr>
        <w:br w:type="page"/>
      </w:r>
    </w:p>
    <w:p w14:paraId="0410825D">
      <w:pPr>
        <w:pStyle w:val="450"/>
        <w:adjustRightInd w:val="0"/>
        <w:snapToGrid w:val="0"/>
        <w:spacing w:line="440" w:lineRule="atLeast"/>
        <w:jc w:val="center"/>
        <w:outlineLvl w:val="3"/>
        <w:rPr>
          <w:b/>
          <w:color w:val="auto"/>
          <w:sz w:val="24"/>
          <w:highlight w:val="none"/>
        </w:rPr>
      </w:pPr>
      <w:r>
        <w:rPr>
          <w:color w:val="auto"/>
          <w:sz w:val="24"/>
          <w:highlight w:val="none"/>
        </w:rPr>
        <w:t>附录A  咨询服务相关工作的范围和内容</w:t>
      </w:r>
    </w:p>
    <w:p w14:paraId="103CAB74">
      <w:pPr>
        <w:pStyle w:val="184"/>
        <w:spacing w:beforeLines="50" w:after="120" w:afterLines="50" w:line="440" w:lineRule="atLeast"/>
        <w:jc w:val="center"/>
        <w:outlineLvl w:val="3"/>
        <w:rPr>
          <w:rFonts w:ascii="Times New Roman" w:hAnsi="Times New Roman" w:eastAsia="宋体"/>
          <w:color w:val="auto"/>
          <w:kern w:val="2"/>
          <w:sz w:val="24"/>
          <w:szCs w:val="24"/>
          <w:highlight w:val="none"/>
          <w:lang w:eastAsia="zh-CN"/>
        </w:rPr>
      </w:pPr>
      <w:r>
        <w:rPr>
          <w:rFonts w:ascii="Times New Roman" w:hAnsi="Times New Roman" w:eastAsia="宋体"/>
          <w:color w:val="auto"/>
          <w:kern w:val="2"/>
          <w:sz w:val="24"/>
          <w:szCs w:val="24"/>
          <w:highlight w:val="none"/>
          <w:lang w:eastAsia="zh-CN"/>
        </w:rPr>
        <w:t>附录B  委托人提供的资料</w:t>
      </w:r>
    </w:p>
    <w:p w14:paraId="6A3E62FF">
      <w:pPr>
        <w:pStyle w:val="184"/>
        <w:spacing w:beforeLines="50" w:after="120" w:afterLines="50" w:line="440" w:lineRule="atLeast"/>
        <w:jc w:val="center"/>
        <w:outlineLvl w:val="3"/>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附录C  咨询人项目负责人及其他主要人员配置表</w:t>
      </w:r>
    </w:p>
    <w:p w14:paraId="3D5EB21C">
      <w:pPr>
        <w:pStyle w:val="184"/>
        <w:spacing w:beforeLines="50" w:after="120" w:afterLines="50" w:line="440" w:lineRule="atLeast"/>
        <w:jc w:val="both"/>
        <w:outlineLvl w:val="3"/>
        <w:rPr>
          <w:rFonts w:ascii="Times New Roman" w:hAnsi="Times New Roman" w:eastAsia="宋体"/>
          <w:color w:val="auto"/>
          <w:sz w:val="24"/>
          <w:szCs w:val="24"/>
          <w:highlight w:val="none"/>
          <w:lang w:eastAsia="zh-CN"/>
        </w:rPr>
      </w:pPr>
    </w:p>
    <w:p w14:paraId="26BD387E">
      <w:pPr>
        <w:pStyle w:val="2"/>
        <w:spacing w:before="0" w:after="0" w:line="380" w:lineRule="atLeast"/>
        <w:rPr>
          <w:rFonts w:eastAsia="黑体"/>
          <w:b w:val="0"/>
          <w:color w:val="auto"/>
          <w:sz w:val="24"/>
          <w:szCs w:val="24"/>
          <w:highlight w:val="none"/>
        </w:rPr>
      </w:pPr>
      <w:r>
        <w:rPr>
          <w:color w:val="auto"/>
          <w:highlight w:val="none"/>
        </w:rPr>
        <w:br w:type="page"/>
      </w:r>
      <w:bookmarkEnd w:id="172"/>
      <w:bookmarkEnd w:id="173"/>
      <w:bookmarkStart w:id="182" w:name="_Toc509993927"/>
      <w:bookmarkStart w:id="183" w:name="_Toc234833232"/>
      <w:bookmarkStart w:id="184" w:name="_Toc510015792"/>
      <w:r>
        <w:rPr>
          <w:rFonts w:eastAsia="黑体"/>
          <w:b w:val="0"/>
          <w:color w:val="auto"/>
          <w:sz w:val="24"/>
          <w:szCs w:val="24"/>
          <w:highlight w:val="none"/>
        </w:rPr>
        <w:t>附件二 廉政合同</w:t>
      </w:r>
      <w:bookmarkEnd w:id="182"/>
      <w:bookmarkEnd w:id="183"/>
    </w:p>
    <w:p w14:paraId="432BB3D5">
      <w:pPr>
        <w:spacing w:line="440" w:lineRule="exact"/>
        <w:jc w:val="center"/>
        <w:rPr>
          <w:rFonts w:eastAsia="黑体"/>
          <w:color w:val="auto"/>
          <w:sz w:val="28"/>
          <w:szCs w:val="28"/>
          <w:highlight w:val="none"/>
        </w:rPr>
      </w:pPr>
      <w:r>
        <w:rPr>
          <w:rFonts w:eastAsia="黑体"/>
          <w:color w:val="auto"/>
          <w:sz w:val="28"/>
          <w:szCs w:val="28"/>
          <w:highlight w:val="none"/>
        </w:rPr>
        <w:t>廉 政 合 同</w:t>
      </w:r>
    </w:p>
    <w:p w14:paraId="61F262BB">
      <w:pPr>
        <w:spacing w:line="400" w:lineRule="atLeast"/>
        <w:rPr>
          <w:rFonts w:eastAsia="黑体"/>
          <w:b/>
          <w:color w:val="auto"/>
          <w:spacing w:val="30"/>
          <w:sz w:val="24"/>
          <w:highlight w:val="none"/>
        </w:rPr>
      </w:pPr>
    </w:p>
    <w:p w14:paraId="4CA28536">
      <w:pPr>
        <w:spacing w:line="400" w:lineRule="atLeast"/>
        <w:ind w:firstLine="616" w:firstLineChars="257"/>
        <w:rPr>
          <w:color w:val="auto"/>
          <w:sz w:val="24"/>
          <w:highlight w:val="none"/>
        </w:rPr>
      </w:pPr>
      <w:r>
        <w:rPr>
          <w:color w:val="auto"/>
          <w:sz w:val="24"/>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color w:val="auto"/>
          <w:sz w:val="24"/>
          <w:highlight w:val="none"/>
          <w:u w:val="single"/>
        </w:rPr>
        <w:t xml:space="preserve">              </w:t>
      </w:r>
      <w:r>
        <w:rPr>
          <w:color w:val="auto"/>
          <w:sz w:val="24"/>
          <w:highlight w:val="none"/>
        </w:rPr>
        <w:t>（项目名称）的项目法人</w:t>
      </w:r>
      <w:r>
        <w:rPr>
          <w:color w:val="auto"/>
          <w:sz w:val="24"/>
          <w:highlight w:val="none"/>
          <w:u w:val="single"/>
        </w:rPr>
        <w:t xml:space="preserve">           </w:t>
      </w:r>
      <w:r>
        <w:rPr>
          <w:color w:val="auto"/>
          <w:sz w:val="24"/>
          <w:highlight w:val="none"/>
        </w:rPr>
        <w:t>（项目法人名称，以下简称“委托人”）与该项目</w:t>
      </w:r>
      <w:r>
        <w:rPr>
          <w:color w:val="auto"/>
          <w:sz w:val="24"/>
          <w:highlight w:val="none"/>
          <w:u w:val="single"/>
        </w:rPr>
        <w:t xml:space="preserve">     </w:t>
      </w:r>
      <w:r>
        <w:rPr>
          <w:color w:val="auto"/>
          <w:sz w:val="24"/>
          <w:highlight w:val="none"/>
        </w:rPr>
        <w:t>标段的</w:t>
      </w:r>
      <w:r>
        <w:rPr>
          <w:rFonts w:hint="eastAsia"/>
          <w:color w:val="auto"/>
          <w:sz w:val="24"/>
          <w:highlight w:val="none"/>
        </w:rPr>
        <w:t>咨询服务</w:t>
      </w:r>
      <w:r>
        <w:rPr>
          <w:color w:val="auto"/>
          <w:sz w:val="24"/>
          <w:highlight w:val="none"/>
        </w:rPr>
        <w:t>单位</w:t>
      </w:r>
      <w:r>
        <w:rPr>
          <w:color w:val="auto"/>
          <w:sz w:val="24"/>
          <w:highlight w:val="none"/>
          <w:u w:val="single"/>
        </w:rPr>
        <w:t xml:space="preserve">              </w:t>
      </w:r>
      <w:r>
        <w:rPr>
          <w:color w:val="auto"/>
          <w:sz w:val="24"/>
          <w:highlight w:val="none"/>
        </w:rPr>
        <w:t>（</w:t>
      </w:r>
      <w:r>
        <w:rPr>
          <w:rFonts w:hint="eastAsia"/>
          <w:color w:val="auto"/>
          <w:sz w:val="24"/>
          <w:highlight w:val="none"/>
        </w:rPr>
        <w:t>咨询服务</w:t>
      </w:r>
      <w:r>
        <w:rPr>
          <w:color w:val="auto"/>
          <w:sz w:val="24"/>
          <w:highlight w:val="none"/>
        </w:rPr>
        <w:t>单位名称，以下简称“咨询人”），特订立如下合同。</w:t>
      </w:r>
    </w:p>
    <w:p w14:paraId="074E5D2F">
      <w:pPr>
        <w:spacing w:line="400" w:lineRule="atLeast"/>
        <w:ind w:firstLine="616" w:firstLineChars="257"/>
        <w:rPr>
          <w:rFonts w:eastAsia="黑体"/>
          <w:color w:val="auto"/>
          <w:sz w:val="24"/>
          <w:highlight w:val="none"/>
        </w:rPr>
      </w:pPr>
      <w:r>
        <w:rPr>
          <w:rFonts w:eastAsia="黑体"/>
          <w:color w:val="auto"/>
          <w:sz w:val="24"/>
          <w:highlight w:val="none"/>
        </w:rPr>
        <w:t>1. 委托人和咨询人双方的权利和义务</w:t>
      </w:r>
    </w:p>
    <w:p w14:paraId="3D1B3540">
      <w:pPr>
        <w:spacing w:line="400" w:lineRule="atLeast"/>
        <w:ind w:firstLine="616" w:firstLineChars="257"/>
        <w:rPr>
          <w:color w:val="auto"/>
          <w:sz w:val="24"/>
          <w:highlight w:val="none"/>
        </w:rPr>
      </w:pPr>
      <w:r>
        <w:rPr>
          <w:color w:val="auto"/>
          <w:sz w:val="24"/>
          <w:highlight w:val="none"/>
        </w:rPr>
        <w:t>（1）严格遵守党的政策规定和国家有关法律法规及交通运输部的有关规定。</w:t>
      </w:r>
    </w:p>
    <w:p w14:paraId="264438FB">
      <w:pPr>
        <w:spacing w:line="400" w:lineRule="atLeast"/>
        <w:ind w:firstLine="616" w:firstLineChars="257"/>
        <w:rPr>
          <w:color w:val="auto"/>
          <w:sz w:val="24"/>
          <w:highlight w:val="none"/>
        </w:rPr>
      </w:pPr>
      <w:r>
        <w:rPr>
          <w:color w:val="auto"/>
          <w:sz w:val="24"/>
          <w:highlight w:val="none"/>
        </w:rPr>
        <w:t>（2）严格执行</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w:t>
      </w:r>
      <w:r>
        <w:rPr>
          <w:rFonts w:hint="eastAsia"/>
          <w:color w:val="auto"/>
          <w:sz w:val="24"/>
          <w:highlight w:val="none"/>
        </w:rPr>
        <w:t>咨询服务</w:t>
      </w:r>
      <w:r>
        <w:rPr>
          <w:color w:val="auto"/>
          <w:sz w:val="24"/>
          <w:highlight w:val="none"/>
        </w:rPr>
        <w:t>合同文件，自觉按合同办事。</w:t>
      </w:r>
    </w:p>
    <w:p w14:paraId="10D98F25">
      <w:pPr>
        <w:spacing w:line="400" w:lineRule="atLeast"/>
        <w:ind w:firstLine="616" w:firstLineChars="257"/>
        <w:rPr>
          <w:color w:val="auto"/>
          <w:sz w:val="24"/>
          <w:highlight w:val="none"/>
        </w:rPr>
      </w:pPr>
      <w:r>
        <w:rPr>
          <w:color w:val="auto"/>
          <w:sz w:val="24"/>
          <w:highlight w:val="none"/>
        </w:rPr>
        <w:t>（3）双方的业务活动坚持公开、公正、诚信、透明的原则（法律认定的商业秘密和合同文件另有规定除外），不得损害国家和集体利益，不得违反工程建设管理规章制度。</w:t>
      </w:r>
    </w:p>
    <w:p w14:paraId="42E3EF62">
      <w:pPr>
        <w:spacing w:line="400" w:lineRule="atLeast"/>
        <w:ind w:firstLine="616" w:firstLineChars="257"/>
        <w:rPr>
          <w:color w:val="auto"/>
          <w:sz w:val="24"/>
          <w:highlight w:val="none"/>
        </w:rPr>
      </w:pPr>
      <w:r>
        <w:rPr>
          <w:color w:val="auto"/>
          <w:sz w:val="24"/>
          <w:highlight w:val="none"/>
        </w:rPr>
        <w:t>（4）建立健全廉政制度，开展廉政教育，设立廉政告示牌，公布举报电话，监督并认真查处违法违纪行为。</w:t>
      </w:r>
    </w:p>
    <w:p w14:paraId="791CFE79">
      <w:pPr>
        <w:spacing w:line="400" w:lineRule="atLeast"/>
        <w:ind w:firstLine="616" w:firstLineChars="257"/>
        <w:rPr>
          <w:color w:val="auto"/>
          <w:sz w:val="24"/>
          <w:highlight w:val="none"/>
        </w:rPr>
      </w:pPr>
      <w:r>
        <w:rPr>
          <w:color w:val="auto"/>
          <w:sz w:val="24"/>
          <w:highlight w:val="none"/>
        </w:rPr>
        <w:t>（5）发现对方在业务活动中有违反廉政规定的行为，有及时提醒对方纠正的权利和义务。</w:t>
      </w:r>
    </w:p>
    <w:p w14:paraId="08ECB662">
      <w:pPr>
        <w:spacing w:line="400" w:lineRule="atLeast"/>
        <w:ind w:firstLine="616" w:firstLineChars="257"/>
        <w:rPr>
          <w:color w:val="auto"/>
          <w:sz w:val="24"/>
          <w:highlight w:val="none"/>
        </w:rPr>
      </w:pPr>
      <w:r>
        <w:rPr>
          <w:color w:val="auto"/>
          <w:sz w:val="24"/>
          <w:highlight w:val="none"/>
        </w:rPr>
        <w:t>（6）发现对方严重违反本合同义务条款的行为，有向其上级有关部门举报、建议给予处理并要求告知处理结果的权利。</w:t>
      </w:r>
    </w:p>
    <w:p w14:paraId="57D57E20">
      <w:pPr>
        <w:spacing w:line="400" w:lineRule="atLeast"/>
        <w:ind w:firstLine="616" w:firstLineChars="257"/>
        <w:rPr>
          <w:rFonts w:eastAsia="黑体"/>
          <w:color w:val="auto"/>
          <w:sz w:val="24"/>
          <w:highlight w:val="none"/>
        </w:rPr>
      </w:pPr>
      <w:r>
        <w:rPr>
          <w:rFonts w:eastAsia="黑体"/>
          <w:color w:val="auto"/>
          <w:sz w:val="24"/>
          <w:highlight w:val="none"/>
        </w:rPr>
        <w:t>2. 委托人的义务</w:t>
      </w:r>
    </w:p>
    <w:p w14:paraId="1D640146">
      <w:pPr>
        <w:spacing w:line="400" w:lineRule="atLeast"/>
        <w:ind w:firstLine="616" w:firstLineChars="257"/>
        <w:rPr>
          <w:color w:val="auto"/>
          <w:sz w:val="24"/>
          <w:highlight w:val="none"/>
        </w:rPr>
      </w:pPr>
      <w:r>
        <w:rPr>
          <w:color w:val="auto"/>
          <w:sz w:val="24"/>
          <w:highlight w:val="none"/>
        </w:rPr>
        <w:t>（1）委托人及其工作人员不得索要或接受咨询人的礼金、有价证券和贵重物品，不得让咨询人报销任何应由委托人或委托人工作人员个人支付的费用等。</w:t>
      </w:r>
    </w:p>
    <w:p w14:paraId="7E742085">
      <w:pPr>
        <w:spacing w:line="400" w:lineRule="atLeast"/>
        <w:ind w:firstLine="616" w:firstLineChars="257"/>
        <w:rPr>
          <w:color w:val="auto"/>
          <w:sz w:val="24"/>
          <w:highlight w:val="none"/>
        </w:rPr>
      </w:pPr>
      <w:r>
        <w:rPr>
          <w:color w:val="auto"/>
          <w:sz w:val="24"/>
          <w:highlight w:val="none"/>
        </w:rPr>
        <w:t>（2）委托人工作人员不得参加咨询人安排的超标准宴请和娱乐活动；不得接受咨询人提供的通信工具、交通工具和高档办公用品等。</w:t>
      </w:r>
    </w:p>
    <w:p w14:paraId="454041AE">
      <w:pPr>
        <w:spacing w:line="400" w:lineRule="atLeast"/>
        <w:ind w:firstLine="616" w:firstLineChars="257"/>
        <w:rPr>
          <w:color w:val="auto"/>
          <w:sz w:val="24"/>
          <w:highlight w:val="none"/>
        </w:rPr>
      </w:pPr>
      <w:r>
        <w:rPr>
          <w:color w:val="auto"/>
          <w:sz w:val="24"/>
          <w:highlight w:val="none"/>
        </w:rPr>
        <w:t>（3）委托人及其工作人员不得要求或者接受咨询人为其住房装修、婚丧嫁娶活动、配偶子女的工作安排以及出国出境、旅游等提供方便等。</w:t>
      </w:r>
    </w:p>
    <w:p w14:paraId="318E26AC">
      <w:pPr>
        <w:spacing w:line="400" w:lineRule="atLeast"/>
        <w:ind w:firstLine="616" w:firstLineChars="257"/>
        <w:rPr>
          <w:color w:val="auto"/>
          <w:sz w:val="24"/>
          <w:highlight w:val="none"/>
        </w:rPr>
      </w:pPr>
      <w:r>
        <w:rPr>
          <w:color w:val="auto"/>
          <w:sz w:val="24"/>
          <w:highlight w:val="none"/>
        </w:rPr>
        <w:t>（4）委托人工作人员及其配偶、子女、亲属不得从事与本</w:t>
      </w:r>
      <w:r>
        <w:rPr>
          <w:rFonts w:hint="eastAsia"/>
          <w:color w:val="auto"/>
          <w:sz w:val="24"/>
          <w:highlight w:val="none"/>
        </w:rPr>
        <w:t>咨询服务</w:t>
      </w:r>
      <w:r>
        <w:rPr>
          <w:color w:val="auto"/>
          <w:sz w:val="24"/>
          <w:highlight w:val="none"/>
        </w:rPr>
        <w:t>合同有关的</w:t>
      </w:r>
      <w:r>
        <w:rPr>
          <w:rFonts w:hint="eastAsia"/>
          <w:color w:val="auto"/>
          <w:sz w:val="24"/>
          <w:highlight w:val="none"/>
        </w:rPr>
        <w:t>咨询服务</w:t>
      </w:r>
      <w:r>
        <w:rPr>
          <w:color w:val="auto"/>
          <w:sz w:val="24"/>
          <w:highlight w:val="none"/>
        </w:rPr>
        <w:t>业务等活动。不得以任何理由要求咨询人和相关单位在设计中使用某种产品、材料和设备。</w:t>
      </w:r>
    </w:p>
    <w:p w14:paraId="4A194C85">
      <w:pPr>
        <w:spacing w:line="400" w:lineRule="atLeast"/>
        <w:ind w:firstLine="616" w:firstLineChars="257"/>
        <w:rPr>
          <w:color w:val="auto"/>
          <w:sz w:val="24"/>
          <w:highlight w:val="none"/>
        </w:rPr>
      </w:pPr>
      <w:r>
        <w:rPr>
          <w:color w:val="auto"/>
          <w:sz w:val="24"/>
          <w:highlight w:val="none"/>
        </w:rPr>
        <w:t>（5）委托人工作人员要秉公办事，不准营私舞弊，不准利用职权从事各种个人有偿中介活动和安排个人</w:t>
      </w:r>
      <w:r>
        <w:rPr>
          <w:rFonts w:hint="eastAsia"/>
          <w:color w:val="auto"/>
          <w:sz w:val="24"/>
          <w:highlight w:val="none"/>
        </w:rPr>
        <w:t>咨询服务</w:t>
      </w:r>
      <w:r>
        <w:rPr>
          <w:color w:val="auto"/>
          <w:sz w:val="24"/>
          <w:highlight w:val="none"/>
        </w:rPr>
        <w:t>队伍。</w:t>
      </w:r>
    </w:p>
    <w:p w14:paraId="4D747B92">
      <w:pPr>
        <w:spacing w:line="400" w:lineRule="atLeast"/>
        <w:ind w:firstLine="616" w:firstLineChars="257"/>
        <w:rPr>
          <w:rFonts w:eastAsia="黑体"/>
          <w:color w:val="auto"/>
          <w:sz w:val="24"/>
          <w:highlight w:val="none"/>
        </w:rPr>
      </w:pPr>
      <w:r>
        <w:rPr>
          <w:color w:val="auto"/>
          <w:sz w:val="24"/>
          <w:highlight w:val="none"/>
        </w:rPr>
        <w:br w:type="page"/>
      </w:r>
      <w:r>
        <w:rPr>
          <w:rFonts w:eastAsia="黑体"/>
          <w:color w:val="auto"/>
          <w:sz w:val="24"/>
          <w:highlight w:val="none"/>
        </w:rPr>
        <w:t>3. 咨询人的义务</w:t>
      </w:r>
    </w:p>
    <w:p w14:paraId="3F24C49C">
      <w:pPr>
        <w:spacing w:line="400" w:lineRule="atLeast"/>
        <w:ind w:firstLine="616" w:firstLineChars="257"/>
        <w:rPr>
          <w:color w:val="auto"/>
          <w:sz w:val="24"/>
          <w:highlight w:val="none"/>
        </w:rPr>
      </w:pPr>
      <w:r>
        <w:rPr>
          <w:color w:val="auto"/>
          <w:sz w:val="24"/>
          <w:highlight w:val="none"/>
        </w:rPr>
        <w:t>（1）咨询人不得以任何理由向委托人及其工作人员行贿或馈赠礼金、有价证券、贵重礼品。</w:t>
      </w:r>
    </w:p>
    <w:p w14:paraId="2A50A03D">
      <w:pPr>
        <w:spacing w:line="400" w:lineRule="atLeast"/>
        <w:ind w:firstLine="616" w:firstLineChars="257"/>
        <w:rPr>
          <w:color w:val="auto"/>
          <w:sz w:val="24"/>
          <w:highlight w:val="none"/>
        </w:rPr>
      </w:pPr>
      <w:r>
        <w:rPr>
          <w:color w:val="auto"/>
          <w:sz w:val="24"/>
          <w:highlight w:val="none"/>
        </w:rPr>
        <w:t>（2）咨询人不得以任何名义为委托人及其工作人员报销应由委托人单位或个人支付的任何费用。</w:t>
      </w:r>
    </w:p>
    <w:p w14:paraId="6A7DFAD1">
      <w:pPr>
        <w:spacing w:line="400" w:lineRule="atLeast"/>
        <w:ind w:firstLine="616" w:firstLineChars="257"/>
        <w:rPr>
          <w:color w:val="auto"/>
          <w:sz w:val="24"/>
          <w:highlight w:val="none"/>
        </w:rPr>
      </w:pPr>
      <w:r>
        <w:rPr>
          <w:color w:val="auto"/>
          <w:sz w:val="24"/>
          <w:highlight w:val="none"/>
        </w:rPr>
        <w:t>（3）咨询人不得以任何理由安排委托人工作人员参加超标准宴请及娱乐活动。</w:t>
      </w:r>
    </w:p>
    <w:p w14:paraId="2BB28536">
      <w:pPr>
        <w:spacing w:line="400" w:lineRule="atLeast"/>
        <w:ind w:firstLine="616" w:firstLineChars="257"/>
        <w:rPr>
          <w:color w:val="auto"/>
          <w:sz w:val="24"/>
          <w:highlight w:val="none"/>
        </w:rPr>
      </w:pPr>
      <w:r>
        <w:rPr>
          <w:color w:val="auto"/>
          <w:sz w:val="24"/>
          <w:highlight w:val="none"/>
        </w:rPr>
        <w:t>（4）咨询人不得为委托人单位和个人购置或提供通信工具、交通工具和高档办公用品等。</w:t>
      </w:r>
    </w:p>
    <w:p w14:paraId="7E5AE931">
      <w:pPr>
        <w:spacing w:line="400" w:lineRule="atLeast"/>
        <w:ind w:firstLine="616" w:firstLineChars="257"/>
        <w:rPr>
          <w:rFonts w:eastAsia="黑体"/>
          <w:color w:val="auto"/>
          <w:sz w:val="24"/>
          <w:highlight w:val="none"/>
        </w:rPr>
      </w:pPr>
      <w:r>
        <w:rPr>
          <w:rFonts w:eastAsia="黑体"/>
          <w:color w:val="auto"/>
          <w:sz w:val="24"/>
          <w:highlight w:val="none"/>
        </w:rPr>
        <w:t>4. 违约责任</w:t>
      </w:r>
    </w:p>
    <w:p w14:paraId="25AD6321">
      <w:pPr>
        <w:spacing w:line="400" w:lineRule="atLeast"/>
        <w:ind w:firstLine="616" w:firstLineChars="257"/>
        <w:rPr>
          <w:color w:val="auto"/>
          <w:sz w:val="24"/>
          <w:highlight w:val="none"/>
        </w:rPr>
      </w:pPr>
      <w:r>
        <w:rPr>
          <w:color w:val="auto"/>
          <w:sz w:val="24"/>
          <w:highlight w:val="none"/>
        </w:rPr>
        <w:t>（1）委托人及其工作人员违反本合同第1、2条，按管理权限，依据有关规定给予党纪、政纪或组织处理；涉嫌犯罪的，移交司法机关追究刑事责任；给咨询人单位造成经济损失的，应予以赔偿。</w:t>
      </w:r>
    </w:p>
    <w:p w14:paraId="30466764">
      <w:pPr>
        <w:spacing w:line="400" w:lineRule="atLeast"/>
        <w:ind w:firstLine="616" w:firstLineChars="257"/>
        <w:rPr>
          <w:color w:val="auto"/>
          <w:sz w:val="24"/>
          <w:highlight w:val="none"/>
        </w:rPr>
      </w:pPr>
      <w:r>
        <w:rPr>
          <w:color w:val="auto"/>
          <w:sz w:val="24"/>
          <w:highlight w:val="none"/>
        </w:rPr>
        <w:t>（2）咨询人及其工作人员违反本合同第1、3条，按管理权限，依据有关规定给予党纪、政纪或组织处理；给委托人单位造成经济损失的，应予以赔偿；情节严重的，委托人建议交通运输主管部门给予咨询人一至三年内不得进入其主管的公路建设市场的处罚。</w:t>
      </w:r>
    </w:p>
    <w:p w14:paraId="79C2715C">
      <w:pPr>
        <w:spacing w:line="400" w:lineRule="atLeast"/>
        <w:ind w:firstLine="616" w:firstLineChars="257"/>
        <w:rPr>
          <w:color w:val="auto"/>
          <w:sz w:val="24"/>
          <w:highlight w:val="none"/>
        </w:rPr>
      </w:pPr>
      <w:r>
        <w:rPr>
          <w:rFonts w:eastAsia="黑体"/>
          <w:color w:val="auto"/>
          <w:sz w:val="24"/>
          <w:highlight w:val="none"/>
        </w:rPr>
        <w:t>5.</w:t>
      </w:r>
      <w:r>
        <w:rPr>
          <w:color w:val="auto"/>
          <w:sz w:val="24"/>
          <w:highlight w:val="none"/>
        </w:rPr>
        <w:t xml:space="preserve"> 双方约定：本合同由双方或双方上级单位的纪检监察部门负责监督执行。由委托人或委托人上级单位的纪检监察部门约请咨询人或咨询人上级单位纪检监察部门对本合同执行情况进行检查，提出在本合同规定范围内的裁定意见。</w:t>
      </w:r>
    </w:p>
    <w:p w14:paraId="1EAEE6C6">
      <w:pPr>
        <w:spacing w:line="400" w:lineRule="atLeast"/>
        <w:ind w:firstLine="616" w:firstLineChars="257"/>
        <w:rPr>
          <w:color w:val="auto"/>
          <w:sz w:val="24"/>
          <w:highlight w:val="none"/>
        </w:rPr>
      </w:pPr>
      <w:r>
        <w:rPr>
          <w:rFonts w:eastAsia="黑体"/>
          <w:color w:val="auto"/>
          <w:sz w:val="24"/>
          <w:highlight w:val="none"/>
        </w:rPr>
        <w:t xml:space="preserve">6. </w:t>
      </w:r>
      <w:r>
        <w:rPr>
          <w:color w:val="auto"/>
          <w:sz w:val="24"/>
          <w:highlight w:val="none"/>
        </w:rPr>
        <w:t>本合同有效期为合同双方签署之日起至</w:t>
      </w:r>
      <w:r>
        <w:rPr>
          <w:rFonts w:hint="eastAsia"/>
          <w:color w:val="auto"/>
          <w:sz w:val="24"/>
          <w:highlight w:val="none"/>
        </w:rPr>
        <w:t>咨询服务</w:t>
      </w:r>
      <w:r>
        <w:rPr>
          <w:color w:val="auto"/>
          <w:sz w:val="24"/>
          <w:highlight w:val="none"/>
        </w:rPr>
        <w:t>合同失效日止。</w:t>
      </w:r>
    </w:p>
    <w:p w14:paraId="64A0D1A7">
      <w:pPr>
        <w:spacing w:line="400" w:lineRule="atLeast"/>
        <w:ind w:firstLine="616" w:firstLineChars="257"/>
        <w:rPr>
          <w:color w:val="auto"/>
          <w:sz w:val="24"/>
          <w:highlight w:val="none"/>
        </w:rPr>
      </w:pPr>
      <w:r>
        <w:rPr>
          <w:rFonts w:eastAsia="黑体"/>
          <w:color w:val="auto"/>
          <w:sz w:val="24"/>
          <w:highlight w:val="none"/>
        </w:rPr>
        <w:t xml:space="preserve">7. </w:t>
      </w:r>
      <w:r>
        <w:rPr>
          <w:color w:val="auto"/>
          <w:sz w:val="24"/>
          <w:highlight w:val="none"/>
        </w:rPr>
        <w:t>本合同作为</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w:t>
      </w:r>
      <w:r>
        <w:rPr>
          <w:rFonts w:hint="eastAsia"/>
          <w:color w:val="auto"/>
          <w:sz w:val="24"/>
          <w:highlight w:val="none"/>
        </w:rPr>
        <w:t>咨询服务</w:t>
      </w:r>
      <w:r>
        <w:rPr>
          <w:color w:val="auto"/>
          <w:sz w:val="24"/>
          <w:highlight w:val="none"/>
        </w:rPr>
        <w:t>合同的附件，</w:t>
      </w:r>
      <w:bookmarkStart w:id="185" w:name="_Hlk12837718"/>
      <w:r>
        <w:rPr>
          <w:color w:val="auto"/>
          <w:sz w:val="24"/>
          <w:highlight w:val="none"/>
        </w:rPr>
        <w:t>与</w:t>
      </w:r>
      <w:r>
        <w:rPr>
          <w:rFonts w:hint="eastAsia"/>
          <w:color w:val="auto"/>
          <w:sz w:val="24"/>
          <w:highlight w:val="none"/>
        </w:rPr>
        <w:t>咨询服务</w:t>
      </w:r>
      <w:r>
        <w:rPr>
          <w:color w:val="auto"/>
          <w:sz w:val="24"/>
          <w:highlight w:val="none"/>
        </w:rPr>
        <w:t>合同具有同等的法律效力，</w:t>
      </w:r>
      <w:bookmarkEnd w:id="185"/>
      <w:r>
        <w:rPr>
          <w:rFonts w:hint="eastAsia"/>
          <w:color w:val="auto"/>
          <w:sz w:val="24"/>
          <w:highlight w:val="none"/>
        </w:rPr>
        <w:t>自合同双方法定代表人或其委托代理人签字并加盖单位公章之日起生效。</w:t>
      </w:r>
    </w:p>
    <w:p w14:paraId="71567EA2">
      <w:pPr>
        <w:spacing w:line="400" w:lineRule="atLeast"/>
        <w:ind w:firstLine="616" w:firstLineChars="257"/>
        <w:rPr>
          <w:color w:val="auto"/>
          <w:sz w:val="24"/>
          <w:highlight w:val="none"/>
        </w:rPr>
      </w:pPr>
      <w:r>
        <w:rPr>
          <w:rFonts w:eastAsia="黑体"/>
          <w:color w:val="auto"/>
          <w:sz w:val="24"/>
          <w:highlight w:val="none"/>
        </w:rPr>
        <w:t>8.</w:t>
      </w:r>
      <w:r>
        <w:rPr>
          <w:color w:val="auto"/>
          <w:sz w:val="24"/>
          <w:highlight w:val="none"/>
        </w:rPr>
        <w:t xml:space="preserve"> 本合同一式</w:t>
      </w:r>
      <w:r>
        <w:rPr>
          <w:rFonts w:hint="eastAsia"/>
          <w:color w:val="auto"/>
          <w:sz w:val="24"/>
          <w:highlight w:val="none"/>
          <w:lang w:val="en-US" w:eastAsia="zh-CN"/>
        </w:rPr>
        <w:t xml:space="preserve">  </w:t>
      </w:r>
      <w:r>
        <w:rPr>
          <w:color w:val="auto"/>
          <w:sz w:val="24"/>
          <w:highlight w:val="none"/>
        </w:rPr>
        <w:t>份，由委托人和咨询人各执</w:t>
      </w:r>
      <w:r>
        <w:rPr>
          <w:rFonts w:hint="eastAsia"/>
          <w:color w:val="auto"/>
          <w:sz w:val="24"/>
          <w:highlight w:val="none"/>
          <w:lang w:val="en-US" w:eastAsia="zh-CN"/>
        </w:rPr>
        <w:t xml:space="preserve">   </w:t>
      </w:r>
      <w:r>
        <w:rPr>
          <w:color w:val="auto"/>
          <w:sz w:val="24"/>
          <w:highlight w:val="none"/>
        </w:rPr>
        <w:t>份，送交委托人和咨询人的监督单位各一份。</w:t>
      </w:r>
    </w:p>
    <w:p w14:paraId="676A436D">
      <w:pPr>
        <w:spacing w:line="400" w:lineRule="atLeast"/>
        <w:rPr>
          <w:color w:val="auto"/>
          <w:sz w:val="24"/>
          <w:highlight w:val="none"/>
        </w:rPr>
      </w:pPr>
    </w:p>
    <w:p w14:paraId="108AC55E">
      <w:pPr>
        <w:spacing w:line="440" w:lineRule="exact"/>
        <w:rPr>
          <w:color w:val="auto"/>
          <w:sz w:val="24"/>
          <w:highlight w:val="none"/>
        </w:rPr>
      </w:pPr>
      <w:r>
        <w:rPr>
          <w:color w:val="auto"/>
          <w:sz w:val="24"/>
          <w:highlight w:val="none"/>
        </w:rPr>
        <w:t>委托人：</w:t>
      </w:r>
      <w:r>
        <w:rPr>
          <w:color w:val="auto"/>
          <w:sz w:val="24"/>
          <w:highlight w:val="none"/>
          <w:u w:val="single"/>
        </w:rPr>
        <w:t xml:space="preserve">               </w:t>
      </w:r>
      <w:r>
        <w:rPr>
          <w:color w:val="auto"/>
          <w:sz w:val="24"/>
          <w:highlight w:val="none"/>
        </w:rPr>
        <w:t>（盖单位章）     咨询人：</w:t>
      </w:r>
      <w:r>
        <w:rPr>
          <w:color w:val="auto"/>
          <w:sz w:val="24"/>
          <w:highlight w:val="none"/>
          <w:u w:val="single"/>
        </w:rPr>
        <w:t xml:space="preserve">              </w:t>
      </w:r>
      <w:r>
        <w:rPr>
          <w:color w:val="auto"/>
          <w:sz w:val="24"/>
          <w:highlight w:val="none"/>
        </w:rPr>
        <w:t>（盖单位章）</w:t>
      </w:r>
    </w:p>
    <w:p w14:paraId="1BD4D26B">
      <w:pPr>
        <w:spacing w:line="440" w:lineRule="exact"/>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  法定代表人或其委托代理人：</w:t>
      </w:r>
      <w:r>
        <w:rPr>
          <w:color w:val="auto"/>
          <w:sz w:val="24"/>
          <w:highlight w:val="none"/>
          <w:u w:val="single"/>
        </w:rPr>
        <w:t xml:space="preserve">   </w:t>
      </w:r>
      <w:r>
        <w:rPr>
          <w:color w:val="auto"/>
          <w:sz w:val="24"/>
          <w:highlight w:val="none"/>
        </w:rPr>
        <w:t>（签字）</w:t>
      </w:r>
    </w:p>
    <w:p w14:paraId="0F5F15E8">
      <w:pPr>
        <w:spacing w:line="440" w:lineRule="exact"/>
        <w:ind w:firstLine="360" w:firstLineChars="150"/>
        <w:rPr>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         </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 xml:space="preserve"> 日</w:t>
      </w:r>
    </w:p>
    <w:p w14:paraId="393F6386">
      <w:pPr>
        <w:spacing w:line="440" w:lineRule="exact"/>
        <w:ind w:firstLine="360" w:firstLineChars="150"/>
        <w:rPr>
          <w:color w:val="auto"/>
          <w:sz w:val="24"/>
          <w:highlight w:val="none"/>
        </w:rPr>
      </w:pPr>
    </w:p>
    <w:p w14:paraId="3A70DA62">
      <w:pPr>
        <w:spacing w:line="400" w:lineRule="atLeast"/>
        <w:rPr>
          <w:color w:val="auto"/>
          <w:sz w:val="24"/>
          <w:highlight w:val="none"/>
          <w:u w:val="single"/>
        </w:rPr>
      </w:pPr>
    </w:p>
    <w:p w14:paraId="5A0CC749">
      <w:pPr>
        <w:spacing w:line="400" w:lineRule="atLeast"/>
        <w:rPr>
          <w:color w:val="auto"/>
          <w:sz w:val="24"/>
          <w:highlight w:val="none"/>
        </w:rPr>
      </w:pPr>
    </w:p>
    <w:p w14:paraId="7E6B02D9">
      <w:pPr>
        <w:pStyle w:val="160"/>
        <w:spacing w:before="260" w:after="260" w:line="440" w:lineRule="atLeast"/>
        <w:ind w:firstLine="117" w:firstLineChars="49"/>
        <w:outlineLvl w:val="2"/>
        <w:rPr>
          <w:rFonts w:ascii="Times New Roman" w:hAnsi="Times New Roman" w:eastAsia="黑体"/>
          <w:color w:val="auto"/>
          <w:sz w:val="24"/>
          <w:szCs w:val="24"/>
          <w:highlight w:val="none"/>
          <w:lang w:eastAsia="zh-CN"/>
        </w:rPr>
      </w:pPr>
      <w:r>
        <w:rPr>
          <w:rFonts w:ascii="Times New Roman" w:hAnsi="Times New Roman"/>
          <w:color w:val="auto"/>
          <w:sz w:val="24"/>
          <w:highlight w:val="none"/>
          <w:lang w:eastAsia="zh-CN"/>
        </w:rPr>
        <w:br w:type="page"/>
      </w:r>
      <w:r>
        <w:rPr>
          <w:rFonts w:ascii="Times New Roman" w:hAnsi="Times New Roman" w:eastAsia="黑体"/>
          <w:color w:val="auto"/>
          <w:sz w:val="24"/>
          <w:szCs w:val="24"/>
          <w:highlight w:val="none"/>
          <w:lang w:eastAsia="zh-CN"/>
        </w:rPr>
        <w:t>附件三 履约保证金格式</w:t>
      </w:r>
      <w:bookmarkEnd w:id="184"/>
    </w:p>
    <w:p w14:paraId="59FFA75B">
      <w:pPr>
        <w:spacing w:line="440" w:lineRule="atLeast"/>
        <w:jc w:val="left"/>
        <w:rPr>
          <w:color w:val="auto"/>
          <w:sz w:val="24"/>
          <w:highlight w:val="none"/>
        </w:rPr>
      </w:pPr>
      <w:r>
        <w:rPr>
          <w:color w:val="auto"/>
          <w:sz w:val="24"/>
          <w:highlight w:val="none"/>
        </w:rPr>
        <w:t>如采用银行保函，格式如下。</w:t>
      </w:r>
    </w:p>
    <w:p w14:paraId="5B0D91FD">
      <w:pPr>
        <w:spacing w:line="440" w:lineRule="atLeast"/>
        <w:jc w:val="center"/>
        <w:rPr>
          <w:rFonts w:eastAsia="黑体"/>
          <w:color w:val="auto"/>
          <w:sz w:val="28"/>
          <w:szCs w:val="28"/>
          <w:highlight w:val="none"/>
        </w:rPr>
      </w:pPr>
      <w:r>
        <w:rPr>
          <w:rFonts w:eastAsia="黑体"/>
          <w:color w:val="auto"/>
          <w:sz w:val="28"/>
          <w:szCs w:val="28"/>
          <w:highlight w:val="none"/>
        </w:rPr>
        <w:t>履约保证金</w:t>
      </w:r>
    </w:p>
    <w:p w14:paraId="68376850">
      <w:pPr>
        <w:spacing w:line="440" w:lineRule="atLeast"/>
        <w:rPr>
          <w:color w:val="auto"/>
          <w:sz w:val="24"/>
          <w:highlight w:val="none"/>
        </w:rPr>
      </w:pPr>
    </w:p>
    <w:p w14:paraId="06CA6DEE">
      <w:pPr>
        <w:spacing w:line="440" w:lineRule="atLeast"/>
        <w:rPr>
          <w:color w:val="auto"/>
          <w:sz w:val="24"/>
          <w:highlight w:val="none"/>
        </w:rPr>
      </w:pPr>
      <w:r>
        <w:rPr>
          <w:color w:val="auto"/>
          <w:sz w:val="24"/>
          <w:highlight w:val="none"/>
        </w:rPr>
        <w:t xml:space="preserve"> </w:t>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rPr>
        <w:t>（委托人名称）：</w:t>
      </w:r>
    </w:p>
    <w:p w14:paraId="66F6F414">
      <w:pPr>
        <w:spacing w:line="440" w:lineRule="atLeast"/>
        <w:rPr>
          <w:color w:val="auto"/>
          <w:sz w:val="24"/>
          <w:highlight w:val="none"/>
        </w:rPr>
      </w:pPr>
    </w:p>
    <w:p w14:paraId="028A76F8">
      <w:pPr>
        <w:spacing w:line="440" w:lineRule="atLeast"/>
        <w:ind w:firstLine="600" w:firstLineChars="250"/>
        <w:rPr>
          <w:color w:val="auto"/>
          <w:sz w:val="24"/>
          <w:highlight w:val="none"/>
        </w:rPr>
      </w:pPr>
      <w:r>
        <w:rPr>
          <w:color w:val="auto"/>
          <w:sz w:val="24"/>
          <w:highlight w:val="none"/>
        </w:rPr>
        <w:t>鉴于</w:t>
      </w:r>
      <w:r>
        <w:rPr>
          <w:color w:val="auto"/>
          <w:sz w:val="24"/>
          <w:highlight w:val="none"/>
          <w:u w:val="single"/>
        </w:rPr>
        <w:t xml:space="preserve">                </w:t>
      </w:r>
      <w:r>
        <w:rPr>
          <w:color w:val="auto"/>
          <w:sz w:val="24"/>
          <w:highlight w:val="none"/>
        </w:rPr>
        <w:t>（委托人名称，以下简称“委托人”）接受</w:t>
      </w:r>
      <w:r>
        <w:rPr>
          <w:color w:val="auto"/>
          <w:sz w:val="24"/>
          <w:highlight w:val="none"/>
          <w:u w:val="single"/>
        </w:rPr>
        <w:t xml:space="preserve">        </w:t>
      </w:r>
      <w:r>
        <w:rPr>
          <w:color w:val="auto"/>
          <w:sz w:val="24"/>
          <w:highlight w:val="none"/>
        </w:rPr>
        <w:t>（咨询人名称）（以下称“咨询人”）于</w:t>
      </w: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日参加</w:t>
      </w:r>
      <w:r>
        <w:rPr>
          <w:color w:val="auto"/>
          <w:sz w:val="24"/>
          <w:highlight w:val="none"/>
          <w:u w:val="single"/>
        </w:rPr>
        <w:t xml:space="preserve">         </w:t>
      </w:r>
      <w:r>
        <w:rPr>
          <w:color w:val="auto"/>
          <w:sz w:val="24"/>
          <w:highlight w:val="none"/>
        </w:rPr>
        <w:t>（项目名称）</w:t>
      </w:r>
      <w:r>
        <w:rPr>
          <w:color w:val="auto"/>
          <w:sz w:val="24"/>
          <w:highlight w:val="none"/>
          <w:u w:val="single"/>
        </w:rPr>
        <w:t xml:space="preserve">    </w:t>
      </w:r>
      <w:r>
        <w:rPr>
          <w:color w:val="auto"/>
          <w:sz w:val="24"/>
          <w:highlight w:val="none"/>
        </w:rPr>
        <w:t>标段咨询服务的投标。我方愿意无条件地、不可撤销地就咨询人履行与你方订立的合同，向你方提供担保。</w:t>
      </w:r>
    </w:p>
    <w:p w14:paraId="603ECDB7">
      <w:pPr>
        <w:spacing w:line="440" w:lineRule="atLeast"/>
        <w:ind w:firstLine="480" w:firstLineChars="200"/>
        <w:rPr>
          <w:color w:val="auto"/>
          <w:sz w:val="24"/>
          <w:highlight w:val="none"/>
        </w:rPr>
      </w:pPr>
      <w:r>
        <w:rPr>
          <w:color w:val="auto"/>
          <w:sz w:val="24"/>
          <w:highlight w:val="none"/>
        </w:rPr>
        <w:t>1. 担保金额人民币（大写）</w:t>
      </w:r>
      <w:r>
        <w:rPr>
          <w:color w:val="auto"/>
          <w:sz w:val="24"/>
          <w:highlight w:val="none"/>
          <w:u w:val="single"/>
        </w:rPr>
        <w:t xml:space="preserve">                </w:t>
      </w:r>
      <w:r>
        <w:rPr>
          <w:color w:val="auto"/>
          <w:sz w:val="24"/>
          <w:highlight w:val="none"/>
        </w:rPr>
        <w:t xml:space="preserve"> 元（¥</w:t>
      </w:r>
      <w:r>
        <w:rPr>
          <w:color w:val="auto"/>
          <w:sz w:val="24"/>
          <w:highlight w:val="none"/>
          <w:u w:val="single"/>
        </w:rPr>
        <w:t xml:space="preserve">             </w:t>
      </w:r>
      <w:r>
        <w:rPr>
          <w:color w:val="auto"/>
          <w:sz w:val="24"/>
          <w:highlight w:val="none"/>
        </w:rPr>
        <w:t>）。</w:t>
      </w:r>
    </w:p>
    <w:p w14:paraId="226D9BC8">
      <w:pPr>
        <w:spacing w:line="440" w:lineRule="atLeast"/>
        <w:ind w:firstLine="480" w:firstLineChars="200"/>
        <w:rPr>
          <w:color w:val="auto"/>
          <w:sz w:val="24"/>
          <w:highlight w:val="none"/>
        </w:rPr>
      </w:pPr>
      <w:r>
        <w:rPr>
          <w:color w:val="auto"/>
          <w:sz w:val="24"/>
          <w:highlight w:val="none"/>
        </w:rPr>
        <w:t>2. 担保有效期自委托人与咨询人签订的合同生效之日起至委托人签发交工验收证书且咨询人按照合同约定提交缺陷责任期保函之日止。</w:t>
      </w:r>
      <w:r>
        <w:rPr>
          <w:rStyle w:val="143"/>
          <w:rFonts w:eastAsia="黑体"/>
          <w:color w:val="auto"/>
          <w:sz w:val="28"/>
          <w:szCs w:val="28"/>
          <w:highlight w:val="none"/>
        </w:rPr>
        <w:footnoteReference w:id="0"/>
      </w:r>
    </w:p>
    <w:p w14:paraId="7A262D29">
      <w:pPr>
        <w:spacing w:line="440" w:lineRule="atLeast"/>
        <w:ind w:firstLine="480" w:firstLineChars="200"/>
        <w:rPr>
          <w:color w:val="auto"/>
          <w:sz w:val="24"/>
          <w:highlight w:val="none"/>
        </w:rPr>
      </w:pPr>
      <w:r>
        <w:rPr>
          <w:color w:val="auto"/>
          <w:sz w:val="24"/>
          <w:highlight w:val="none"/>
        </w:rPr>
        <w:t>3. 在本担保有效期内，因咨询人违反合同约定的义务给你方造成经济损失时，我方在收到你方以书面形式提出的在担保金额内的赔偿要求后，在7天内无条件支付，无须你方出具证明或陈述理由。</w:t>
      </w:r>
    </w:p>
    <w:p w14:paraId="24AAD6FE">
      <w:pPr>
        <w:spacing w:line="440" w:lineRule="atLeast"/>
        <w:ind w:firstLine="480" w:firstLineChars="200"/>
        <w:rPr>
          <w:color w:val="auto"/>
          <w:sz w:val="24"/>
          <w:highlight w:val="none"/>
        </w:rPr>
      </w:pPr>
      <w:r>
        <w:rPr>
          <w:color w:val="auto"/>
          <w:sz w:val="24"/>
          <w:highlight w:val="none"/>
        </w:rPr>
        <w:t>4. 委托人和咨询人按合同条款变更合同时，我方承担本担保规定的义务不变。</w:t>
      </w:r>
    </w:p>
    <w:p w14:paraId="47E887BA">
      <w:pPr>
        <w:spacing w:line="440" w:lineRule="atLeast"/>
        <w:rPr>
          <w:color w:val="auto"/>
          <w:sz w:val="24"/>
          <w:highlight w:val="none"/>
        </w:rPr>
      </w:pPr>
    </w:p>
    <w:p w14:paraId="296366FE">
      <w:pPr>
        <w:spacing w:line="440" w:lineRule="atLeast"/>
        <w:rPr>
          <w:color w:val="auto"/>
          <w:sz w:val="24"/>
          <w:highlight w:val="none"/>
        </w:rPr>
      </w:pPr>
    </w:p>
    <w:p w14:paraId="559FE66B">
      <w:pPr>
        <w:spacing w:line="440" w:lineRule="atLeast"/>
        <w:ind w:firstLine="3496" w:firstLineChars="1457"/>
        <w:rPr>
          <w:color w:val="auto"/>
          <w:sz w:val="24"/>
          <w:highlight w:val="none"/>
        </w:rPr>
      </w:pPr>
      <w:r>
        <w:rPr>
          <w:color w:val="auto"/>
          <w:sz w:val="24"/>
          <w:highlight w:val="none"/>
        </w:rPr>
        <w:t>担 保 人：</w:t>
      </w:r>
      <w:r>
        <w:rPr>
          <w:color w:val="auto"/>
          <w:sz w:val="24"/>
          <w:highlight w:val="none"/>
          <w:u w:val="single"/>
        </w:rPr>
        <w:t xml:space="preserve">                       </w:t>
      </w:r>
      <w:r>
        <w:rPr>
          <w:color w:val="auto"/>
          <w:sz w:val="24"/>
          <w:highlight w:val="none"/>
        </w:rPr>
        <w:t>（盖单位章）</w:t>
      </w:r>
    </w:p>
    <w:p w14:paraId="6DA33C35">
      <w:pPr>
        <w:spacing w:line="440" w:lineRule="atLeast"/>
        <w:ind w:firstLine="3496" w:firstLineChars="1457"/>
        <w:rPr>
          <w:color w:val="auto"/>
          <w:sz w:val="24"/>
          <w:highlight w:val="none"/>
        </w:rPr>
      </w:pPr>
      <w:r>
        <w:rPr>
          <w:color w:val="auto"/>
          <w:sz w:val="24"/>
          <w:highlight w:val="none"/>
        </w:rPr>
        <w:t>法定代表人或其委托代理人：</w:t>
      </w:r>
      <w:r>
        <w:rPr>
          <w:color w:val="auto"/>
          <w:sz w:val="24"/>
          <w:highlight w:val="none"/>
          <w:u w:val="single"/>
        </w:rPr>
        <w:t xml:space="preserve">           </w:t>
      </w:r>
      <w:r>
        <w:rPr>
          <w:color w:val="auto"/>
          <w:sz w:val="24"/>
          <w:highlight w:val="none"/>
        </w:rPr>
        <w:t>（签字）</w:t>
      </w:r>
    </w:p>
    <w:p w14:paraId="27412B2F">
      <w:pPr>
        <w:spacing w:line="440" w:lineRule="atLeast"/>
        <w:ind w:firstLine="3496" w:firstLineChars="1457"/>
        <w:rPr>
          <w:color w:val="auto"/>
          <w:sz w:val="24"/>
          <w:highlight w:val="none"/>
        </w:rPr>
      </w:pPr>
      <w:r>
        <w:rPr>
          <w:color w:val="auto"/>
          <w:sz w:val="24"/>
          <w:highlight w:val="none"/>
        </w:rPr>
        <w:t>地    址：</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 xml:space="preserve">            </w:t>
      </w:r>
      <w:r>
        <w:rPr>
          <w:color w:val="auto"/>
          <w:sz w:val="24"/>
          <w:highlight w:val="none"/>
          <w:u w:val="single"/>
        </w:rPr>
        <w:tab/>
      </w:r>
      <w:r>
        <w:rPr>
          <w:color w:val="auto"/>
          <w:sz w:val="24"/>
          <w:highlight w:val="none"/>
          <w:u w:val="single"/>
        </w:rPr>
        <w:tab/>
      </w:r>
      <w:r>
        <w:rPr>
          <w:color w:val="auto"/>
          <w:sz w:val="24"/>
          <w:highlight w:val="none"/>
          <w:u w:val="single"/>
        </w:rPr>
        <w:tab/>
      </w:r>
    </w:p>
    <w:p w14:paraId="1594450B">
      <w:pPr>
        <w:spacing w:line="440" w:lineRule="atLeast"/>
        <w:ind w:firstLine="3496" w:firstLineChars="1457"/>
        <w:rPr>
          <w:color w:val="auto"/>
          <w:sz w:val="24"/>
          <w:highlight w:val="none"/>
        </w:rPr>
      </w:pPr>
      <w:r>
        <w:rPr>
          <w:color w:val="auto"/>
          <w:sz w:val="24"/>
          <w:highlight w:val="none"/>
        </w:rPr>
        <w:t>邮政编码：</w:t>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r>
        <w:rPr>
          <w:color w:val="auto"/>
          <w:sz w:val="24"/>
          <w:highlight w:val="none"/>
          <w:u w:val="single"/>
        </w:rPr>
        <w:tab/>
      </w:r>
    </w:p>
    <w:p w14:paraId="6F38057A">
      <w:pPr>
        <w:spacing w:line="440" w:lineRule="atLeast"/>
        <w:ind w:firstLine="3496" w:firstLineChars="1457"/>
        <w:rPr>
          <w:color w:val="auto"/>
          <w:sz w:val="24"/>
          <w:highlight w:val="none"/>
        </w:rPr>
      </w:pPr>
      <w:r>
        <w:rPr>
          <w:color w:val="auto"/>
          <w:sz w:val="24"/>
          <w:highlight w:val="none"/>
        </w:rPr>
        <w:t>电    话：</w:t>
      </w:r>
      <w:r>
        <w:rPr>
          <w:color w:val="auto"/>
          <w:sz w:val="24"/>
          <w:highlight w:val="none"/>
          <w:u w:val="single"/>
        </w:rPr>
        <w:t xml:space="preserve">                                </w:t>
      </w:r>
      <w:r>
        <w:rPr>
          <w:color w:val="auto"/>
          <w:sz w:val="24"/>
          <w:highlight w:val="none"/>
        </w:rPr>
        <w:t xml:space="preserve"> </w:t>
      </w:r>
    </w:p>
    <w:p w14:paraId="1028BFDD">
      <w:pPr>
        <w:spacing w:line="440" w:lineRule="atLeast"/>
        <w:ind w:firstLine="3496" w:firstLineChars="1457"/>
        <w:rPr>
          <w:color w:val="auto"/>
          <w:sz w:val="24"/>
          <w:highlight w:val="none"/>
        </w:rPr>
      </w:pPr>
      <w:r>
        <w:rPr>
          <w:color w:val="auto"/>
          <w:sz w:val="24"/>
          <w:highlight w:val="none"/>
        </w:rPr>
        <w:t>传    真：</w:t>
      </w:r>
      <w:r>
        <w:rPr>
          <w:color w:val="auto"/>
          <w:sz w:val="24"/>
          <w:highlight w:val="none"/>
          <w:u w:val="single"/>
        </w:rPr>
        <w:t xml:space="preserve">                                </w:t>
      </w:r>
      <w:r>
        <w:rPr>
          <w:color w:val="auto"/>
          <w:sz w:val="24"/>
          <w:highlight w:val="none"/>
        </w:rPr>
        <w:t xml:space="preserve"> </w:t>
      </w:r>
    </w:p>
    <w:p w14:paraId="5CFEF50B">
      <w:pPr>
        <w:jc w:val="right"/>
        <w:rPr>
          <w:color w:val="auto"/>
          <w:highlight w:val="none"/>
        </w:rPr>
      </w:pPr>
      <w:r>
        <w:rPr>
          <w:color w:val="auto"/>
          <w:sz w:val="24"/>
          <w:highlight w:val="none"/>
          <w:u w:val="single"/>
        </w:rPr>
        <w:t xml:space="preserve">       </w:t>
      </w:r>
      <w:r>
        <w:rPr>
          <w:color w:val="auto"/>
          <w:sz w:val="24"/>
          <w:highlight w:val="none"/>
        </w:rPr>
        <w:t xml:space="preserve"> 年</w:t>
      </w:r>
      <w:r>
        <w:rPr>
          <w:color w:val="auto"/>
          <w:sz w:val="24"/>
          <w:highlight w:val="none"/>
          <w:u w:val="single"/>
        </w:rPr>
        <w:t xml:space="preserve">      </w:t>
      </w:r>
      <w:r>
        <w:rPr>
          <w:color w:val="auto"/>
          <w:sz w:val="24"/>
          <w:highlight w:val="none"/>
        </w:rPr>
        <w:t xml:space="preserve">月 </w:t>
      </w:r>
      <w:r>
        <w:rPr>
          <w:color w:val="auto"/>
          <w:sz w:val="24"/>
          <w:highlight w:val="none"/>
          <w:u w:val="single"/>
        </w:rPr>
        <w:t xml:space="preserve">     </w:t>
      </w:r>
      <w:r>
        <w:rPr>
          <w:color w:val="auto"/>
          <w:sz w:val="24"/>
          <w:highlight w:val="none"/>
        </w:rPr>
        <w:t>日</w:t>
      </w:r>
    </w:p>
    <w:p w14:paraId="13AF3190">
      <w:pPr>
        <w:pStyle w:val="33"/>
        <w:spacing w:before="5" w:line="360" w:lineRule="auto"/>
        <w:ind w:firstLine="321" w:firstLineChars="100"/>
        <w:jc w:val="center"/>
        <w:rPr>
          <w:rFonts w:ascii="Microsoft JhengHei"/>
          <w:b/>
          <w:color w:val="auto"/>
          <w:sz w:val="32"/>
          <w:szCs w:val="32"/>
          <w:highlight w:val="none"/>
        </w:rPr>
      </w:pPr>
    </w:p>
    <w:p w14:paraId="218B5AF8">
      <w:pPr>
        <w:rPr>
          <w:rFonts w:eastAsia="黑体"/>
          <w:color w:val="auto"/>
          <w:sz w:val="24"/>
          <w:highlight w:val="none"/>
        </w:rPr>
      </w:pPr>
      <w:r>
        <w:rPr>
          <w:rFonts w:eastAsia="黑体"/>
          <w:color w:val="auto"/>
          <w:sz w:val="24"/>
          <w:highlight w:val="none"/>
        </w:rPr>
        <w:br w:type="page"/>
      </w:r>
    </w:p>
    <w:p w14:paraId="66C756E1">
      <w:pPr>
        <w:rPr>
          <w:color w:val="auto"/>
          <w:highlight w:val="none"/>
        </w:rPr>
      </w:pPr>
    </w:p>
    <w:p w14:paraId="1B51F2D6">
      <w:pPr>
        <w:pStyle w:val="85"/>
        <w:rPr>
          <w:color w:val="auto"/>
          <w:highlight w:val="none"/>
        </w:rPr>
      </w:pPr>
    </w:p>
    <w:p w14:paraId="45C9C0D0">
      <w:pPr>
        <w:pStyle w:val="83"/>
        <w:spacing w:line="440" w:lineRule="atLeast"/>
        <w:ind w:firstLine="720"/>
        <w:rPr>
          <w:rFonts w:hint="eastAsia" w:ascii="宋体" w:hAnsi="宋体" w:cs="宋体"/>
          <w:color w:val="auto"/>
          <w:sz w:val="56"/>
          <w:szCs w:val="56"/>
          <w:highlight w:val="none"/>
        </w:rPr>
      </w:pPr>
      <w:bookmarkStart w:id="186" w:name="_Toc461179552"/>
      <w:bookmarkStart w:id="187" w:name="_Toc267901496"/>
      <w:bookmarkStart w:id="188" w:name="_Toc510015793"/>
    </w:p>
    <w:p w14:paraId="20FF1063">
      <w:pPr>
        <w:pStyle w:val="83"/>
        <w:spacing w:line="440" w:lineRule="atLeast"/>
        <w:ind w:firstLine="720"/>
        <w:rPr>
          <w:rFonts w:hint="eastAsia" w:ascii="宋体" w:hAnsi="宋体" w:cs="宋体"/>
          <w:color w:val="auto"/>
          <w:sz w:val="56"/>
          <w:szCs w:val="56"/>
          <w:highlight w:val="none"/>
        </w:rPr>
      </w:pPr>
    </w:p>
    <w:p w14:paraId="5E658138">
      <w:pPr>
        <w:pStyle w:val="83"/>
        <w:spacing w:line="440" w:lineRule="atLeast"/>
        <w:ind w:firstLine="720"/>
        <w:rPr>
          <w:rFonts w:hint="eastAsia" w:ascii="宋体" w:hAnsi="宋体" w:cs="宋体"/>
          <w:color w:val="auto"/>
          <w:sz w:val="56"/>
          <w:szCs w:val="56"/>
          <w:highlight w:val="none"/>
        </w:rPr>
      </w:pPr>
    </w:p>
    <w:p w14:paraId="356C92AA">
      <w:pPr>
        <w:pStyle w:val="83"/>
        <w:spacing w:line="440" w:lineRule="atLeast"/>
        <w:ind w:firstLine="720"/>
        <w:rPr>
          <w:rFonts w:hint="eastAsia" w:ascii="宋体" w:hAnsi="宋体" w:cs="宋体"/>
          <w:color w:val="auto"/>
          <w:sz w:val="36"/>
          <w:szCs w:val="36"/>
          <w:highlight w:val="none"/>
        </w:rPr>
      </w:pPr>
      <w:r>
        <w:rPr>
          <w:rFonts w:hint="eastAsia" w:ascii="宋体" w:hAnsi="宋体" w:cs="宋体"/>
          <w:color w:val="auto"/>
          <w:sz w:val="56"/>
          <w:szCs w:val="56"/>
          <w:highlight w:val="none"/>
        </w:rPr>
        <w:t xml:space="preserve">第五章  </w:t>
      </w:r>
      <w:bookmarkEnd w:id="186"/>
      <w:bookmarkEnd w:id="187"/>
      <w:r>
        <w:rPr>
          <w:rFonts w:hint="eastAsia" w:ascii="宋体" w:hAnsi="宋体" w:cs="宋体"/>
          <w:color w:val="auto"/>
          <w:sz w:val="56"/>
          <w:szCs w:val="56"/>
          <w:highlight w:val="none"/>
        </w:rPr>
        <w:t>委托人要求</w:t>
      </w:r>
      <w:bookmarkEnd w:id="188"/>
    </w:p>
    <w:p w14:paraId="694D96CA">
      <w:pPr>
        <w:spacing w:line="440" w:lineRule="atLeast"/>
        <w:rPr>
          <w:rFonts w:hint="eastAsia" w:ascii="宋体" w:hAnsi="宋体" w:cs="宋体"/>
          <w:color w:val="auto"/>
          <w:sz w:val="20"/>
          <w:szCs w:val="20"/>
          <w:highlight w:val="none"/>
        </w:rPr>
      </w:pPr>
    </w:p>
    <w:p w14:paraId="28E56F42">
      <w:pPr>
        <w:spacing w:line="440" w:lineRule="atLeast"/>
        <w:rPr>
          <w:rFonts w:hint="eastAsia" w:ascii="宋体" w:hAnsi="宋体" w:cs="宋体"/>
          <w:color w:val="auto"/>
          <w:sz w:val="20"/>
          <w:szCs w:val="20"/>
          <w:highlight w:val="none"/>
        </w:rPr>
      </w:pPr>
    </w:p>
    <w:p w14:paraId="2CD1A959">
      <w:pPr>
        <w:spacing w:line="440" w:lineRule="atLeast"/>
        <w:rPr>
          <w:rFonts w:hint="eastAsia" w:ascii="宋体" w:hAnsi="宋体" w:cs="宋体"/>
          <w:color w:val="auto"/>
          <w:sz w:val="20"/>
          <w:szCs w:val="20"/>
          <w:highlight w:val="none"/>
        </w:rPr>
      </w:pPr>
    </w:p>
    <w:p w14:paraId="3C87AAD6">
      <w:pPr>
        <w:spacing w:line="440" w:lineRule="atLeast"/>
        <w:rPr>
          <w:rFonts w:hint="eastAsia" w:ascii="宋体" w:hAnsi="宋体" w:cs="宋体"/>
          <w:color w:val="auto"/>
          <w:sz w:val="20"/>
          <w:szCs w:val="20"/>
          <w:highlight w:val="none"/>
        </w:rPr>
      </w:pPr>
    </w:p>
    <w:p w14:paraId="6F4C2696">
      <w:pPr>
        <w:spacing w:line="440" w:lineRule="atLeast"/>
        <w:rPr>
          <w:rFonts w:hint="eastAsia" w:ascii="宋体" w:hAnsi="宋体" w:cs="宋体"/>
          <w:color w:val="auto"/>
          <w:sz w:val="20"/>
          <w:szCs w:val="20"/>
          <w:highlight w:val="none"/>
        </w:rPr>
      </w:pPr>
    </w:p>
    <w:p w14:paraId="5421D193">
      <w:pPr>
        <w:spacing w:line="440" w:lineRule="atLeast"/>
        <w:rPr>
          <w:rFonts w:hint="eastAsia" w:ascii="宋体" w:hAnsi="宋体" w:cs="宋体"/>
          <w:color w:val="auto"/>
          <w:sz w:val="20"/>
          <w:szCs w:val="20"/>
          <w:highlight w:val="none"/>
        </w:rPr>
      </w:pPr>
    </w:p>
    <w:p w14:paraId="0AAFFF1A">
      <w:pPr>
        <w:pStyle w:val="160"/>
        <w:spacing w:before="260" w:after="260" w:line="440" w:lineRule="atLeast"/>
        <w:jc w:val="center"/>
        <w:rPr>
          <w:rFonts w:hint="eastAsia" w:ascii="宋体" w:hAnsi="宋体" w:eastAsia="宋体" w:cs="宋体"/>
          <w:b/>
          <w:color w:val="auto"/>
          <w:spacing w:val="1"/>
          <w:sz w:val="36"/>
          <w:szCs w:val="36"/>
          <w:highlight w:val="none"/>
          <w:lang w:eastAsia="zh-CN"/>
        </w:rPr>
      </w:pPr>
      <w:r>
        <w:rPr>
          <w:rFonts w:hint="eastAsia" w:ascii="宋体" w:hAnsi="宋体" w:eastAsia="宋体" w:cs="宋体"/>
          <w:color w:val="auto"/>
          <w:sz w:val="20"/>
          <w:szCs w:val="20"/>
          <w:highlight w:val="none"/>
          <w:lang w:eastAsia="zh-CN"/>
        </w:rPr>
        <w:br w:type="page"/>
      </w:r>
      <w:r>
        <w:rPr>
          <w:rFonts w:hint="eastAsia" w:ascii="宋体" w:hAnsi="宋体" w:eastAsia="宋体" w:cs="宋体"/>
          <w:b/>
          <w:color w:val="auto"/>
          <w:spacing w:val="1"/>
          <w:sz w:val="36"/>
          <w:szCs w:val="36"/>
          <w:highlight w:val="none"/>
          <w:lang w:eastAsia="zh-CN"/>
        </w:rPr>
        <w:t>委托人要求</w:t>
      </w:r>
    </w:p>
    <w:p w14:paraId="19E0DD69">
      <w:pPr>
        <w:pStyle w:val="957"/>
        <w:spacing w:before="0" w:after="0" w:line="360" w:lineRule="auto"/>
        <w:ind w:firstLine="480" w:firstLineChars="200"/>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委托人要求包括但不限于以下内容：</w:t>
      </w:r>
    </w:p>
    <w:p w14:paraId="57F3399D">
      <w:pPr>
        <w:pStyle w:val="160"/>
        <w:spacing w:before="0" w:after="0" w:line="360" w:lineRule="auto"/>
        <w:outlineLvl w:val="1"/>
        <w:rPr>
          <w:rFonts w:hint="eastAsia" w:cs="宋体" w:asciiTheme="minorEastAsia" w:hAnsiTheme="minorEastAsia" w:eastAsiaTheme="minorEastAsia"/>
          <w:b/>
          <w:color w:val="auto"/>
          <w:spacing w:val="1"/>
          <w:sz w:val="28"/>
          <w:szCs w:val="28"/>
          <w:highlight w:val="none"/>
          <w:lang w:eastAsia="zh-CN"/>
        </w:rPr>
      </w:pPr>
      <w:bookmarkStart w:id="189" w:name="_Toc508886121"/>
      <w:bookmarkStart w:id="190" w:name="_Toc513817629"/>
      <w:bookmarkStart w:id="191" w:name="_Toc506008212"/>
      <w:bookmarkStart w:id="192" w:name="_Toc499646510"/>
      <w:r>
        <w:rPr>
          <w:rFonts w:hint="eastAsia" w:cs="宋体" w:asciiTheme="minorEastAsia" w:hAnsiTheme="minorEastAsia" w:eastAsiaTheme="minorEastAsia"/>
          <w:b/>
          <w:color w:val="auto"/>
          <w:spacing w:val="1"/>
          <w:sz w:val="28"/>
          <w:szCs w:val="28"/>
          <w:highlight w:val="none"/>
          <w:lang w:eastAsia="zh-CN"/>
        </w:rPr>
        <w:t>一、咨询服务要求</w:t>
      </w:r>
      <w:bookmarkEnd w:id="189"/>
      <w:bookmarkEnd w:id="190"/>
      <w:bookmarkEnd w:id="191"/>
      <w:bookmarkEnd w:id="192"/>
    </w:p>
    <w:p w14:paraId="23238183">
      <w:pPr>
        <w:widowControl/>
        <w:autoSpaceDE w:val="0"/>
        <w:spacing w:line="360" w:lineRule="auto"/>
        <w:ind w:firstLine="480" w:firstLineChars="200"/>
        <w:jc w:val="left"/>
        <w:rPr>
          <w:rFonts w:hint="eastAsia" w:cs="宋体"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lang w:eastAsia="zh-CN"/>
        </w:rPr>
        <w:t>采购项目概况：</w:t>
      </w:r>
      <w:r>
        <w:rPr>
          <w:rFonts w:hint="eastAsia" w:ascii="宋体" w:hAnsi="宋体"/>
          <w:color w:val="auto"/>
          <w:sz w:val="24"/>
          <w:highlight w:val="none"/>
        </w:rPr>
        <w:t>G59呼北高速张家界至官庄段第二合同段路线全27.368km，起讫桩号为K22+290~K49+658.413，起点位于张家界市永定区沅古坪镇沅古坪互通顺接1标，终点位于怀化市沅陵县七甲坪镇杜泉坪村杜泉坪隧道(长度468m)。线路整体跨越两个市级行政单位，其中张家界市境内有主线长度12.488km，怀化市境内有主线长度14.880km、连接线长度2</w:t>
      </w:r>
      <w:r>
        <w:rPr>
          <w:rFonts w:hint="eastAsia" w:ascii="宋体" w:hAnsi="宋体"/>
          <w:color w:val="auto"/>
          <w:sz w:val="24"/>
          <w:highlight w:val="none"/>
          <w:lang w:val="en-US" w:eastAsia="zh-CN"/>
        </w:rPr>
        <w:t>1</w:t>
      </w:r>
      <w:r>
        <w:rPr>
          <w:rFonts w:hint="eastAsia" w:ascii="宋体" w:hAnsi="宋体"/>
          <w:color w:val="auto"/>
          <w:sz w:val="24"/>
          <w:highlight w:val="none"/>
        </w:rPr>
        <w:t>.02km，其中南滩岗连接线全长6.18km，清浪连接线</w:t>
      </w:r>
      <w:r>
        <w:rPr>
          <w:rFonts w:hint="eastAsia" w:ascii="宋体" w:hAnsi="宋体"/>
          <w:color w:val="auto"/>
          <w:sz w:val="24"/>
          <w:highlight w:val="none"/>
          <w:lang w:val="en-US" w:eastAsia="zh-CN"/>
        </w:rPr>
        <w:t>可施工</w:t>
      </w:r>
      <w:r>
        <w:rPr>
          <w:rFonts w:hint="eastAsia" w:ascii="宋体" w:hAnsi="宋体"/>
          <w:color w:val="auto"/>
          <w:sz w:val="24"/>
          <w:highlight w:val="none"/>
        </w:rPr>
        <w:t>长</w:t>
      </w:r>
      <w:r>
        <w:rPr>
          <w:rFonts w:hint="eastAsia" w:ascii="宋体" w:hAnsi="宋体"/>
          <w:color w:val="auto"/>
          <w:sz w:val="24"/>
          <w:highlight w:val="none"/>
          <w:lang w:val="en-US" w:eastAsia="zh-CN"/>
        </w:rPr>
        <w:t>度</w:t>
      </w: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.8</w:t>
      </w:r>
      <w:r>
        <w:rPr>
          <w:rFonts w:hint="eastAsia" w:ascii="宋体" w:hAnsi="宋体"/>
          <w:color w:val="auto"/>
          <w:sz w:val="24"/>
          <w:highlight w:val="none"/>
          <w:lang w:val="en-US" w:eastAsia="zh-CN"/>
        </w:rPr>
        <w:t>4</w:t>
      </w:r>
      <w:r>
        <w:rPr>
          <w:rFonts w:hint="eastAsia" w:ascii="宋体" w:hAnsi="宋体"/>
          <w:color w:val="auto"/>
          <w:sz w:val="24"/>
          <w:highlight w:val="none"/>
        </w:rPr>
        <w:t>km。</w:t>
      </w:r>
    </w:p>
    <w:p w14:paraId="17E73599">
      <w:pPr>
        <w:pStyle w:val="5"/>
        <w:rPr>
          <w:rFonts w:ascii="Arial" w:hAnsi="Arial"/>
          <w:color w:val="auto"/>
          <w:highlight w:val="none"/>
        </w:rPr>
      </w:pPr>
      <w:r>
        <w:rPr>
          <w:rFonts w:hint="eastAsia" w:ascii="黑体" w:hAnsi="黑体"/>
          <w:color w:val="auto"/>
          <w:highlight w:val="none"/>
        </w:rPr>
        <w:t xml:space="preserve">二、采购范围及相关要求 </w:t>
      </w:r>
    </w:p>
    <w:p w14:paraId="2E57A3C8">
      <w:pPr>
        <w:autoSpaceDE w:val="0"/>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2.1 采购范围：本次采购分为1个标包。其标包划分及采购内容等见下表。</w:t>
      </w:r>
    </w:p>
    <w:tbl>
      <w:tblPr>
        <w:tblStyle w:val="87"/>
        <w:tblpPr w:leftFromText="180" w:rightFromText="180" w:vertAnchor="text" w:horzAnchor="page" w:tblpXSpec="center" w:tblpY="250"/>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393"/>
        <w:gridCol w:w="1618"/>
        <w:gridCol w:w="3244"/>
        <w:gridCol w:w="1811"/>
      </w:tblGrid>
      <w:tr w14:paraId="24F3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398" w:type="pct"/>
            <w:vAlign w:val="center"/>
          </w:tcPr>
          <w:p w14:paraId="4DEF01F0">
            <w:pPr>
              <w:widowControl w:val="0"/>
              <w:jc w:val="center"/>
              <w:rPr>
                <w:rFonts w:hint="eastAsia" w:ascii="宋体" w:hAnsi="宋体" w:cs="宋体"/>
                <w:bCs/>
                <w:color w:val="auto"/>
                <w:szCs w:val="21"/>
                <w:highlight w:val="none"/>
              </w:rPr>
            </w:pPr>
            <w:r>
              <w:rPr>
                <w:rFonts w:hint="eastAsia" w:ascii="宋体" w:hAnsi="宋体" w:cs="宋体"/>
                <w:bCs/>
                <w:color w:val="auto"/>
                <w:szCs w:val="21"/>
                <w:highlight w:val="none"/>
              </w:rPr>
              <w:t>标段</w:t>
            </w:r>
          </w:p>
        </w:tc>
        <w:tc>
          <w:tcPr>
            <w:tcW w:w="1214" w:type="pct"/>
            <w:vAlign w:val="center"/>
          </w:tcPr>
          <w:p w14:paraId="62645F5D">
            <w:pPr>
              <w:widowControl w:val="0"/>
              <w:jc w:val="center"/>
              <w:rPr>
                <w:color w:val="auto"/>
                <w:szCs w:val="21"/>
                <w:highlight w:val="none"/>
              </w:rPr>
            </w:pPr>
            <w:r>
              <w:rPr>
                <w:rFonts w:hint="eastAsia"/>
                <w:color w:val="auto"/>
                <w:szCs w:val="21"/>
                <w:highlight w:val="none"/>
              </w:rPr>
              <w:t>工作内容</w:t>
            </w:r>
          </w:p>
        </w:tc>
        <w:tc>
          <w:tcPr>
            <w:tcW w:w="821" w:type="pct"/>
            <w:vAlign w:val="center"/>
          </w:tcPr>
          <w:p w14:paraId="50EF402A">
            <w:pPr>
              <w:widowControl w:val="0"/>
              <w:jc w:val="center"/>
              <w:rPr>
                <w:color w:val="auto"/>
                <w:szCs w:val="21"/>
                <w:highlight w:val="none"/>
              </w:rPr>
            </w:pPr>
            <w:r>
              <w:rPr>
                <w:rFonts w:hint="eastAsia"/>
                <w:color w:val="auto"/>
                <w:szCs w:val="21"/>
                <w:highlight w:val="none"/>
              </w:rPr>
              <w:t>数 量</w:t>
            </w:r>
          </w:p>
          <w:p w14:paraId="096E5DE8">
            <w:pPr>
              <w:widowControl w:val="0"/>
              <w:jc w:val="center"/>
              <w:rPr>
                <w:color w:val="auto"/>
                <w:szCs w:val="21"/>
                <w:highlight w:val="none"/>
              </w:rPr>
            </w:pPr>
            <w:r>
              <w:rPr>
                <w:rFonts w:hint="eastAsia"/>
                <w:color w:val="auto"/>
                <w:szCs w:val="21"/>
                <w:highlight w:val="none"/>
              </w:rPr>
              <w:t>（单位：项）</w:t>
            </w:r>
          </w:p>
        </w:tc>
        <w:tc>
          <w:tcPr>
            <w:tcW w:w="1646" w:type="pct"/>
            <w:vAlign w:val="center"/>
          </w:tcPr>
          <w:p w14:paraId="72A78515">
            <w:pPr>
              <w:widowControl w:val="0"/>
              <w:jc w:val="center"/>
              <w:rPr>
                <w:color w:val="auto"/>
                <w:szCs w:val="21"/>
                <w:highlight w:val="none"/>
              </w:rPr>
            </w:pPr>
            <w:r>
              <w:rPr>
                <w:rFonts w:hint="eastAsia"/>
                <w:color w:val="auto"/>
                <w:szCs w:val="21"/>
                <w:highlight w:val="none"/>
              </w:rPr>
              <w:t>服务范围</w:t>
            </w:r>
          </w:p>
        </w:tc>
        <w:tc>
          <w:tcPr>
            <w:tcW w:w="919" w:type="pct"/>
            <w:vAlign w:val="center"/>
          </w:tcPr>
          <w:p w14:paraId="07AF6C22">
            <w:pPr>
              <w:widowControl w:val="0"/>
              <w:jc w:val="center"/>
              <w:rPr>
                <w:color w:val="auto"/>
                <w:szCs w:val="21"/>
                <w:highlight w:val="none"/>
              </w:rPr>
            </w:pPr>
            <w:r>
              <w:rPr>
                <w:rFonts w:hint="eastAsia"/>
                <w:color w:val="auto"/>
                <w:szCs w:val="21"/>
                <w:highlight w:val="none"/>
              </w:rPr>
              <w:t>上限价</w:t>
            </w:r>
          </w:p>
          <w:p w14:paraId="3508847E">
            <w:pPr>
              <w:widowControl w:val="0"/>
              <w:jc w:val="center"/>
              <w:rPr>
                <w:color w:val="auto"/>
                <w:szCs w:val="21"/>
                <w:highlight w:val="none"/>
              </w:rPr>
            </w:pPr>
            <w:r>
              <w:rPr>
                <w:rFonts w:hint="eastAsia"/>
                <w:color w:val="auto"/>
                <w:szCs w:val="21"/>
                <w:highlight w:val="none"/>
              </w:rPr>
              <w:t>（万元）</w:t>
            </w:r>
          </w:p>
        </w:tc>
      </w:tr>
      <w:tr w14:paraId="3BD4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98" w:type="pct"/>
            <w:vAlign w:val="center"/>
          </w:tcPr>
          <w:p w14:paraId="1FAEAEA4">
            <w:pPr>
              <w:widowControl w:val="0"/>
              <w:spacing w:line="360" w:lineRule="auto"/>
              <w:jc w:val="both"/>
              <w:rPr>
                <w:rFonts w:hint="eastAsia" w:ascii="宋体" w:hAnsi="宋体" w:cs="宋体"/>
                <w:bCs/>
                <w:color w:val="auto"/>
                <w:szCs w:val="21"/>
                <w:highlight w:val="none"/>
              </w:rPr>
            </w:pPr>
            <w:r>
              <w:rPr>
                <w:rFonts w:hint="eastAsia" w:ascii="宋体" w:hAnsi="宋体" w:cs="宋体"/>
                <w:bCs/>
                <w:color w:val="auto"/>
                <w:szCs w:val="21"/>
                <w:highlight w:val="none"/>
              </w:rPr>
              <w:t>1个</w:t>
            </w:r>
          </w:p>
        </w:tc>
        <w:tc>
          <w:tcPr>
            <w:tcW w:w="1214" w:type="pct"/>
            <w:vAlign w:val="center"/>
          </w:tcPr>
          <w:p w14:paraId="1182A546">
            <w:pPr>
              <w:widowControl w:val="0"/>
              <w:spacing w:line="360" w:lineRule="auto"/>
              <w:jc w:val="both"/>
              <w:rPr>
                <w:rFonts w:hint="eastAsia" w:ascii="宋体" w:hAnsi="宋体" w:cs="宋体"/>
                <w:bCs/>
                <w:color w:val="auto"/>
                <w:szCs w:val="21"/>
                <w:highlight w:val="none"/>
                <w:shd w:val="clear" w:color="auto" w:fill="FFFFFF"/>
              </w:rPr>
            </w:pPr>
            <w:r>
              <w:rPr>
                <w:rFonts w:hint="eastAsia" w:ascii="宋体" w:hAnsi="宋体" w:cs="宋体"/>
                <w:bCs/>
                <w:color w:val="auto"/>
                <w:szCs w:val="21"/>
                <w:highlight w:val="none"/>
                <w:shd w:val="clear" w:color="auto" w:fill="FFFFFF"/>
                <w:lang w:eastAsia="zh-CN"/>
              </w:rPr>
              <w:t>G59 呼北高速公路张家界至官庄段 PPP 项目第二标段沅古坪服务区加油站安评、环评、职业病评价“三同时”咨询服务项目</w:t>
            </w:r>
            <w:r>
              <w:rPr>
                <w:rFonts w:hint="eastAsia" w:ascii="宋体" w:hAnsi="宋体" w:cs="宋体"/>
                <w:bCs/>
                <w:color w:val="auto"/>
                <w:szCs w:val="21"/>
                <w:highlight w:val="none"/>
                <w:shd w:val="clear" w:color="auto" w:fill="FFFFFF"/>
              </w:rPr>
              <w:t>采购</w:t>
            </w:r>
          </w:p>
        </w:tc>
        <w:tc>
          <w:tcPr>
            <w:tcW w:w="821" w:type="pct"/>
            <w:vAlign w:val="center"/>
          </w:tcPr>
          <w:p w14:paraId="1580E116">
            <w:pPr>
              <w:widowControl w:val="0"/>
              <w:tabs>
                <w:tab w:val="left" w:pos="438"/>
              </w:tabs>
              <w:spacing w:line="360" w:lineRule="auto"/>
              <w:jc w:val="center"/>
              <w:rPr>
                <w:rFonts w:hint="eastAsia" w:ascii="宋体" w:hAnsi="宋体" w:cs="宋体"/>
                <w:bCs/>
                <w:color w:val="auto"/>
                <w:szCs w:val="21"/>
                <w:highlight w:val="none"/>
                <w:shd w:val="clear" w:color="auto" w:fill="FFFFFF"/>
              </w:rPr>
            </w:pPr>
            <w:r>
              <w:rPr>
                <w:rFonts w:hint="eastAsia" w:ascii="宋体" w:hAnsi="宋体" w:cs="宋体"/>
                <w:bCs/>
                <w:color w:val="auto"/>
                <w:szCs w:val="21"/>
                <w:highlight w:val="none"/>
                <w:shd w:val="clear" w:color="auto" w:fill="FFFFFF"/>
              </w:rPr>
              <w:t>1</w:t>
            </w:r>
          </w:p>
        </w:tc>
        <w:tc>
          <w:tcPr>
            <w:tcW w:w="3244" w:type="dxa"/>
            <w:vAlign w:val="center"/>
          </w:tcPr>
          <w:p w14:paraId="547A6321">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包括但不限于以下服务内容：</w:t>
            </w:r>
          </w:p>
          <w:p w14:paraId="50D7ABA8">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安评三同时：</w:t>
            </w:r>
          </w:p>
          <w:p w14:paraId="218EA8CA">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1.完成加油站安全预评价报告编制，取得安全条件审查意见书；</w:t>
            </w:r>
          </w:p>
          <w:p w14:paraId="5D69456D">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2.牵头完成安全设施设计专篇审查备案，取得加油站新建项目安全设施设计专篇审查意见书；</w:t>
            </w:r>
          </w:p>
          <w:p w14:paraId="4A150BAC">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3.组织安全验收，出具加油站安全验收评价报告。</w:t>
            </w:r>
          </w:p>
          <w:p w14:paraId="03D6FA74">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环评三同时：</w:t>
            </w:r>
          </w:p>
          <w:p w14:paraId="697DA1F4">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环境影响评价报告、环境影响验收报告、环境影响应急预案、环保在线监测、排污许可证（参照《建设环境影响评价分类管理名录2021》，项目类别119条办理，该服务区加油站不属于城市建成区新建、扩建加油站；不涉及环境敏感区的，相关手续可简化办理，具体需以当地环保部门要求为准）；获得县级以上环保部门认可以及相关批复或认可的手续等。上述工作内容产生的一切相关费用均包含在响应人报价中。</w:t>
            </w:r>
          </w:p>
          <w:p w14:paraId="38E6AE31">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职业病三同时：</w:t>
            </w:r>
          </w:p>
          <w:p w14:paraId="5DD25AE2">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1. 开展完成加油站职业危害防治与评价；</w:t>
            </w:r>
          </w:p>
          <w:p w14:paraId="549CF79E">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2. 编制《职业危害防治设施专篇》、《职业危害控制效果评价报告》；</w:t>
            </w:r>
          </w:p>
          <w:p w14:paraId="4143C10B">
            <w:pPr>
              <w:widowControl w:val="0"/>
              <w:numPr>
                <w:ilvl w:val="0"/>
                <w:numId w:val="0"/>
              </w:numPr>
              <w:spacing w:line="360" w:lineRule="auto"/>
              <w:ind w:leftChars="0"/>
              <w:jc w:val="both"/>
              <w:rPr>
                <w:rFonts w:hint="eastAsia" w:ascii="宋体" w:hAnsi="宋体" w:cs="宋体"/>
                <w:color w:val="auto"/>
                <w:szCs w:val="21"/>
                <w:highlight w:val="none"/>
              </w:rPr>
            </w:pPr>
            <w:r>
              <w:rPr>
                <w:rFonts w:hint="eastAsia" w:ascii="宋体" w:hAnsi="宋体" w:cs="宋体"/>
                <w:color w:val="auto"/>
                <w:szCs w:val="21"/>
                <w:highlight w:val="none"/>
              </w:rPr>
              <w:t>3. 组织卫健部门完成加油站职业病“三同时”验收；</w:t>
            </w:r>
          </w:p>
          <w:p w14:paraId="68DEF534">
            <w:pPr>
              <w:widowControl w:val="0"/>
              <w:spacing w:line="360" w:lineRule="auto"/>
              <w:jc w:val="both"/>
              <w:rPr>
                <w:rFonts w:hint="eastAsia" w:ascii="宋体" w:hAnsi="宋体" w:cs="宋体"/>
                <w:color w:val="auto"/>
                <w:szCs w:val="21"/>
                <w:highlight w:val="none"/>
              </w:rPr>
            </w:pPr>
            <w:r>
              <w:rPr>
                <w:rFonts w:hint="eastAsia" w:ascii="宋体" w:hAnsi="宋体" w:cs="宋体"/>
                <w:color w:val="auto"/>
                <w:szCs w:val="21"/>
                <w:highlight w:val="none"/>
              </w:rPr>
              <w:t>4. 取得卫健局相关批复或认可的手续。</w:t>
            </w:r>
          </w:p>
        </w:tc>
        <w:tc>
          <w:tcPr>
            <w:tcW w:w="1811" w:type="dxa"/>
            <w:vAlign w:val="center"/>
          </w:tcPr>
          <w:p w14:paraId="2F509450">
            <w:pPr>
              <w:widowControl w:val="0"/>
              <w:spacing w:line="360" w:lineRule="auto"/>
              <w:jc w:val="center"/>
              <w:rPr>
                <w:rFonts w:hint="default" w:ascii="宋体" w:hAnsi="宋体" w:cs="宋体"/>
                <w:color w:val="auto"/>
                <w:szCs w:val="21"/>
                <w:highlight w:val="none"/>
                <w:lang w:val="en-US"/>
              </w:rPr>
            </w:pPr>
            <w:r>
              <w:rPr>
                <w:rFonts w:hint="eastAsia" w:ascii="宋体" w:hAnsi="宋体" w:cs="宋体"/>
                <w:color w:val="auto"/>
                <w:szCs w:val="21"/>
                <w:highlight w:val="none"/>
                <w:lang w:val="en-US" w:eastAsia="zh-CN"/>
              </w:rPr>
              <w:t>39.00</w:t>
            </w:r>
          </w:p>
        </w:tc>
      </w:tr>
    </w:tbl>
    <w:p w14:paraId="19F4FB7B">
      <w:pPr>
        <w:autoSpaceDE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2.2 </w:t>
      </w:r>
      <w:r>
        <w:rPr>
          <w:rFonts w:hint="eastAsia" w:ascii="宋体" w:hAnsi="宋体"/>
          <w:color w:val="auto"/>
          <w:sz w:val="24"/>
          <w:highlight w:val="none"/>
        </w:rPr>
        <w:t>服务期限：自合同签订之日起至项目交（竣）工之日止。</w:t>
      </w:r>
      <w:r>
        <w:rPr>
          <w:rFonts w:hint="eastAsia" w:asciiTheme="minorEastAsia" w:hAnsiTheme="minorEastAsia" w:eastAsiaTheme="minorEastAsia"/>
          <w:color w:val="auto"/>
          <w:sz w:val="24"/>
          <w:highlight w:val="none"/>
        </w:rPr>
        <w:t xml:space="preserve"> </w:t>
      </w:r>
    </w:p>
    <w:p w14:paraId="77450B51">
      <w:pPr>
        <w:autoSpaceDE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服务地点：采购人指定地点。</w:t>
      </w:r>
    </w:p>
    <w:p w14:paraId="0EB6530C">
      <w:pPr>
        <w:autoSpaceDE w:val="0"/>
        <w:spacing w:line="360" w:lineRule="auto"/>
        <w:ind w:firstLine="480" w:firstLineChars="200"/>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2.4 </w:t>
      </w:r>
      <w:r>
        <w:rPr>
          <w:rFonts w:hint="eastAsia" w:asciiTheme="minorEastAsia" w:hAnsiTheme="minorEastAsia" w:eastAsiaTheme="minorEastAsia"/>
          <w:color w:val="auto"/>
          <w:sz w:val="24"/>
          <w:highlight w:val="none"/>
        </w:rPr>
        <w:t>质量要求或服务标准：</w:t>
      </w:r>
    </w:p>
    <w:p w14:paraId="4EDD9593">
      <w:pPr>
        <w:autoSpaceDE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（1）供应商应按照相关法律法规、技术标准和规范要求，根据采购人需求，开展</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服务工作。</w:t>
      </w:r>
    </w:p>
    <w:p w14:paraId="5426A5DB">
      <w:pPr>
        <w:autoSpaceDE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（2）供应商应按期、按质、按量地完成双方商定的各项工作内容，并对成果报告的质量负责。</w:t>
      </w:r>
    </w:p>
    <w:p w14:paraId="737530D5">
      <w:pPr>
        <w:autoSpaceDE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（3）在编制过程中，供应商应主动和采购人保持密切联系。</w:t>
      </w:r>
    </w:p>
    <w:p w14:paraId="53396F99">
      <w:pPr>
        <w:autoSpaceDE w:val="0"/>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（4）供应商的工作进度没有达到响应文件中承诺的进度计划时，采购人有权向供应商提出要求增加服务人员，供应商应无条件满足。</w:t>
      </w:r>
    </w:p>
    <w:p w14:paraId="7019E145">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二、委托人财产清单</w:t>
      </w:r>
    </w:p>
    <w:p w14:paraId="2BE3F9D2">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（一）委托人提供的设备、设施</w:t>
      </w:r>
    </w:p>
    <w:p w14:paraId="63F3BA8A">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1.委托人提供的办公房屋及冷暖设施：无</w:t>
      </w:r>
    </w:p>
    <w:p w14:paraId="18482464">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2.委托人提供的设备清单：无</w:t>
      </w:r>
    </w:p>
    <w:p w14:paraId="22A8C528">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3.委托人提供的设施清单：无</w:t>
      </w:r>
    </w:p>
    <w:p w14:paraId="3FA0452E">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（二）委托人提供的资料</w:t>
      </w:r>
    </w:p>
    <w:p w14:paraId="028AD1A7">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1.委托人提供的资料</w:t>
      </w:r>
    </w:p>
    <w:p w14:paraId="2299A247">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1）项目基础资料和技术规范等资料。</w:t>
      </w:r>
    </w:p>
    <w:p w14:paraId="7AF33085">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2）委托人取得的有关审批、核准和备案材料。</w:t>
      </w:r>
    </w:p>
    <w:p w14:paraId="5E994E08">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3）委托人制定的相关技术标准、规范。</w:t>
      </w:r>
    </w:p>
    <w:p w14:paraId="3A538284">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2.委托人财产使用要求及退还要求</w:t>
      </w:r>
    </w:p>
    <w:p w14:paraId="30C2D43A">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1）委托人财产使用要求：无 </w:t>
      </w:r>
    </w:p>
    <w:p w14:paraId="3D54797B">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2）委托人财产退还要求：委托人提供的相应原始资料、审批文件、核准文件、备案材料、技术标准、规范文件的原件，应在委托人规定的时间内退还。</w:t>
      </w:r>
    </w:p>
    <w:p w14:paraId="6CC5374D">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（三）委托人财产使用要求及退还要求</w:t>
      </w:r>
    </w:p>
    <w:p w14:paraId="64E77A15">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1.委托人财产使用要求：无 </w:t>
      </w:r>
    </w:p>
    <w:p w14:paraId="1F43743D">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2.委托人财产退还要求：委托人提供的相应原始资料、审批文件、核准文件、备案材料、技术标准、规范文件的原件，应在委托人规定的时间内退还。</w:t>
      </w:r>
    </w:p>
    <w:p w14:paraId="79CEFE41">
      <w:pPr>
        <w:autoSpaceDE w:val="0"/>
        <w:spacing w:line="360" w:lineRule="auto"/>
        <w:ind w:firstLine="240" w:firstLineChars="100"/>
        <w:rPr>
          <w:rFonts w:hint="eastAsia" w:ascii="宋体" w:hAnsi="宋体" w:cs="宋体"/>
          <w:color w:val="auto"/>
          <w:sz w:val="24"/>
          <w:highlight w:val="none"/>
        </w:rPr>
      </w:pPr>
      <w:bookmarkStart w:id="193" w:name="_Toc506008216"/>
      <w:bookmarkStart w:id="194" w:name="_Toc508886125"/>
      <w:bookmarkStart w:id="195" w:name="_Toc513817633"/>
      <w:bookmarkStart w:id="196" w:name="_Toc499646514"/>
      <w:r>
        <w:rPr>
          <w:rFonts w:hint="eastAsia" w:ascii="宋体" w:hAnsi="宋体" w:cs="宋体"/>
          <w:color w:val="auto"/>
          <w:sz w:val="24"/>
          <w:highlight w:val="none"/>
        </w:rPr>
        <w:t>三、委托人提供的便利条件</w:t>
      </w:r>
      <w:bookmarkEnd w:id="193"/>
      <w:bookmarkEnd w:id="194"/>
      <w:bookmarkEnd w:id="195"/>
      <w:bookmarkEnd w:id="196"/>
    </w:p>
    <w:p w14:paraId="14FD095D">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1.委托人提供的生活条件：无</w:t>
      </w:r>
    </w:p>
    <w:p w14:paraId="4A5CF11A">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2.委托人提供的交通条件：无</w:t>
      </w:r>
    </w:p>
    <w:p w14:paraId="6A9A54C0">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3.委托人提供的网络、通讯条件：无</w:t>
      </w:r>
    </w:p>
    <w:p w14:paraId="3DB22F94">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4.委托人提供的协助人员：安排至少 1 名工作人员与受托人对接相关工作。</w:t>
      </w:r>
    </w:p>
    <w:p w14:paraId="77D814D5">
      <w:pPr>
        <w:autoSpaceDE w:val="0"/>
        <w:spacing w:line="360" w:lineRule="auto"/>
        <w:ind w:firstLine="240" w:firstLineChars="100"/>
        <w:rPr>
          <w:rFonts w:hint="eastAsia" w:ascii="宋体" w:hAnsi="宋体" w:cs="宋体"/>
          <w:color w:val="auto"/>
          <w:sz w:val="24"/>
          <w:highlight w:val="none"/>
        </w:rPr>
      </w:pPr>
      <w:bookmarkStart w:id="197" w:name="_Toc508886126"/>
      <w:bookmarkStart w:id="198" w:name="_Toc513817634"/>
      <w:bookmarkStart w:id="199" w:name="_Toc506008217"/>
      <w:bookmarkStart w:id="200" w:name="_Toc499646515"/>
      <w:r>
        <w:rPr>
          <w:rFonts w:hint="eastAsia" w:ascii="宋体" w:hAnsi="宋体" w:cs="宋体"/>
          <w:color w:val="auto"/>
          <w:sz w:val="24"/>
          <w:highlight w:val="none"/>
        </w:rPr>
        <w:t>四、咨询人需要自备的工作条件</w:t>
      </w:r>
      <w:bookmarkEnd w:id="197"/>
      <w:bookmarkEnd w:id="198"/>
      <w:bookmarkEnd w:id="199"/>
      <w:bookmarkEnd w:id="200"/>
    </w:p>
    <w:p w14:paraId="37A427F0">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1.咨询人自备的工作手册：如本项目必备的规范标准、图集等</w:t>
      </w:r>
    </w:p>
    <w:p w14:paraId="2F9D0611">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2.咨询人自备的办公设备：如电脑、软件、投影、打印机、复印机、照相机等</w:t>
      </w:r>
    </w:p>
    <w:p w14:paraId="35FE98E3">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3.咨询人自备的交通工具：如出行车辆等</w:t>
      </w:r>
    </w:p>
    <w:p w14:paraId="033C06B9">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4.咨询人自备的现场办公设施：如办公桌椅、文件柜等</w:t>
      </w:r>
    </w:p>
    <w:p w14:paraId="30DA9AE9">
      <w:pPr>
        <w:autoSpaceDE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5.咨询人自备的安全设施：如安全帽、安全鞋、手电筒等</w:t>
      </w:r>
    </w:p>
    <w:p w14:paraId="1C6CDE30">
      <w:pPr>
        <w:spacing w:line="360" w:lineRule="auto"/>
        <w:jc w:val="center"/>
        <w:rPr>
          <w:rFonts w:hint="eastAsia" w:asciiTheme="minorEastAsia" w:hAnsiTheme="minorEastAsia" w:eastAsiaTheme="minorEastAsia"/>
          <w:b/>
          <w:color w:val="auto"/>
          <w:sz w:val="24"/>
          <w:highlight w:val="none"/>
        </w:rPr>
      </w:pPr>
    </w:p>
    <w:p w14:paraId="3BB47419">
      <w:pPr>
        <w:spacing w:line="600" w:lineRule="exact"/>
        <w:jc w:val="center"/>
        <w:rPr>
          <w:rFonts w:hint="eastAsia" w:ascii="黑体" w:hAnsi="黑体" w:eastAsia="黑体" w:cs="仿宋"/>
          <w:b/>
          <w:color w:val="auto"/>
          <w:sz w:val="44"/>
          <w:szCs w:val="44"/>
          <w:highlight w:val="none"/>
        </w:rPr>
      </w:pPr>
    </w:p>
    <w:p w14:paraId="1C813010">
      <w:pPr>
        <w:spacing w:line="600" w:lineRule="exact"/>
        <w:jc w:val="center"/>
        <w:rPr>
          <w:rFonts w:hint="eastAsia" w:ascii="黑体" w:hAnsi="黑体" w:eastAsia="黑体" w:cs="仿宋"/>
          <w:b/>
          <w:color w:val="auto"/>
          <w:sz w:val="44"/>
          <w:szCs w:val="44"/>
          <w:highlight w:val="none"/>
        </w:rPr>
      </w:pPr>
    </w:p>
    <w:p w14:paraId="4C7614BB">
      <w:pPr>
        <w:pStyle w:val="72"/>
        <w:ind w:left="840" w:hanging="420"/>
        <w:rPr>
          <w:color w:val="auto"/>
          <w:highlight w:val="none"/>
        </w:rPr>
      </w:pPr>
    </w:p>
    <w:p w14:paraId="43FFF0C2">
      <w:pPr>
        <w:rPr>
          <w:color w:val="auto"/>
          <w:highlight w:val="none"/>
        </w:rPr>
      </w:pPr>
    </w:p>
    <w:p w14:paraId="2EF82C8A">
      <w:pPr>
        <w:pStyle w:val="72"/>
        <w:ind w:left="840" w:hanging="420"/>
        <w:rPr>
          <w:color w:val="auto"/>
          <w:highlight w:val="none"/>
        </w:rPr>
      </w:pPr>
    </w:p>
    <w:p w14:paraId="4B2455CA">
      <w:pPr>
        <w:rPr>
          <w:color w:val="auto"/>
          <w:highlight w:val="none"/>
        </w:rPr>
      </w:pPr>
    </w:p>
    <w:p w14:paraId="0F805288">
      <w:pPr>
        <w:pStyle w:val="72"/>
        <w:ind w:left="840" w:hanging="420"/>
        <w:rPr>
          <w:color w:val="auto"/>
          <w:highlight w:val="none"/>
        </w:rPr>
      </w:pPr>
    </w:p>
    <w:p w14:paraId="23DC8419">
      <w:pPr>
        <w:rPr>
          <w:color w:val="auto"/>
          <w:highlight w:val="none"/>
        </w:rPr>
      </w:pPr>
    </w:p>
    <w:p w14:paraId="36BDEFCB">
      <w:pPr>
        <w:pStyle w:val="72"/>
        <w:ind w:left="840" w:hanging="420"/>
        <w:rPr>
          <w:color w:val="auto"/>
          <w:highlight w:val="none"/>
        </w:rPr>
      </w:pPr>
    </w:p>
    <w:p w14:paraId="55EE0B72">
      <w:pPr>
        <w:rPr>
          <w:color w:val="auto"/>
          <w:highlight w:val="none"/>
        </w:rPr>
      </w:pPr>
    </w:p>
    <w:p w14:paraId="1636D1A9">
      <w:pPr>
        <w:pStyle w:val="72"/>
        <w:ind w:left="840" w:hanging="420"/>
        <w:rPr>
          <w:color w:val="auto"/>
          <w:highlight w:val="none"/>
        </w:rPr>
      </w:pPr>
    </w:p>
    <w:p w14:paraId="76E93559">
      <w:pPr>
        <w:rPr>
          <w:color w:val="auto"/>
          <w:highlight w:val="none"/>
        </w:rPr>
      </w:pPr>
    </w:p>
    <w:p w14:paraId="697B1C15">
      <w:pPr>
        <w:pStyle w:val="72"/>
        <w:ind w:left="840" w:hanging="420"/>
        <w:rPr>
          <w:color w:val="auto"/>
          <w:highlight w:val="none"/>
        </w:rPr>
      </w:pPr>
    </w:p>
    <w:p w14:paraId="3223A2BD">
      <w:pPr>
        <w:rPr>
          <w:color w:val="auto"/>
          <w:highlight w:val="none"/>
        </w:rPr>
      </w:pPr>
    </w:p>
    <w:p w14:paraId="2DF732C2">
      <w:pPr>
        <w:pStyle w:val="72"/>
        <w:ind w:left="840" w:hanging="420"/>
        <w:rPr>
          <w:color w:val="auto"/>
          <w:highlight w:val="none"/>
        </w:rPr>
      </w:pPr>
    </w:p>
    <w:p w14:paraId="232D1BA8">
      <w:pPr>
        <w:rPr>
          <w:color w:val="auto"/>
          <w:highlight w:val="none"/>
        </w:rPr>
      </w:pPr>
    </w:p>
    <w:p w14:paraId="5BB235BC">
      <w:pPr>
        <w:pStyle w:val="72"/>
        <w:ind w:left="840" w:hanging="420"/>
        <w:rPr>
          <w:color w:val="auto"/>
          <w:highlight w:val="none"/>
        </w:rPr>
      </w:pPr>
    </w:p>
    <w:p w14:paraId="28E81839">
      <w:pPr>
        <w:tabs>
          <w:tab w:val="left" w:pos="4017"/>
        </w:tabs>
        <w:spacing w:line="600" w:lineRule="exact"/>
        <w:jc w:val="left"/>
        <w:rPr>
          <w:rFonts w:hint="eastAsia" w:ascii="黑体" w:hAnsi="黑体" w:eastAsia="黑体" w:cs="仿宋"/>
          <w:b/>
          <w:color w:val="auto"/>
          <w:sz w:val="44"/>
          <w:szCs w:val="44"/>
          <w:highlight w:val="none"/>
          <w:lang w:eastAsia="zh-CN"/>
        </w:rPr>
      </w:pPr>
    </w:p>
    <w:p w14:paraId="0F8B8BBB">
      <w:pPr>
        <w:pStyle w:val="72"/>
        <w:rPr>
          <w:rFonts w:hint="eastAsia"/>
          <w:color w:val="auto"/>
          <w:highlight w:val="none"/>
          <w:lang w:eastAsia="zh-CN"/>
        </w:rPr>
      </w:pPr>
    </w:p>
    <w:p w14:paraId="721E56ED">
      <w:pPr>
        <w:spacing w:line="600" w:lineRule="exact"/>
        <w:jc w:val="center"/>
        <w:rPr>
          <w:rFonts w:hint="eastAsia" w:ascii="黑体" w:hAnsi="黑体" w:eastAsia="黑体" w:cs="仿宋"/>
          <w:b/>
          <w:color w:val="auto"/>
          <w:sz w:val="44"/>
          <w:szCs w:val="44"/>
          <w:highlight w:val="none"/>
        </w:rPr>
      </w:pPr>
    </w:p>
    <w:p w14:paraId="2233038D">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第六章  图纸和资料</w:t>
      </w:r>
    </w:p>
    <w:p w14:paraId="3F06190C">
      <w:pPr>
        <w:ind w:firstLine="480" w:firstLineChars="200"/>
        <w:jc w:val="center"/>
        <w:rPr>
          <w:color w:val="auto"/>
          <w:sz w:val="24"/>
          <w:highlight w:val="none"/>
        </w:rPr>
      </w:pPr>
      <w:r>
        <w:rPr>
          <w:rFonts w:hint="eastAsia"/>
          <w:color w:val="auto"/>
          <w:sz w:val="24"/>
          <w:highlight w:val="none"/>
        </w:rPr>
        <w:t>以采购人提供的为准</w:t>
      </w:r>
    </w:p>
    <w:p w14:paraId="3CB830AE">
      <w:pPr>
        <w:pStyle w:val="85"/>
        <w:ind w:firstLine="480"/>
        <w:rPr>
          <w:rFonts w:hint="eastAsia" w:ascii="仿宋" w:hAnsi="仿宋" w:eastAsia="仿宋" w:cs="仿宋"/>
          <w:color w:val="auto"/>
          <w:sz w:val="24"/>
          <w:highlight w:val="none"/>
        </w:rPr>
      </w:pPr>
    </w:p>
    <w:p w14:paraId="1800A33A">
      <w:pPr>
        <w:autoSpaceDE w:val="0"/>
        <w:autoSpaceDN w:val="0"/>
        <w:adjustRightInd w:val="0"/>
        <w:rPr>
          <w:rFonts w:hint="eastAsia" w:ascii="仿宋" w:hAnsi="仿宋" w:eastAsia="仿宋" w:cs="仿宋"/>
          <w:color w:val="auto"/>
          <w:sz w:val="24"/>
          <w:highlight w:val="none"/>
        </w:rPr>
      </w:pPr>
    </w:p>
    <w:p w14:paraId="482C2058">
      <w:pPr>
        <w:spacing w:line="240" w:lineRule="auto"/>
        <w:jc w:val="center"/>
        <w:rPr>
          <w:rFonts w:hint="eastAsia" w:ascii="仿宋" w:hAnsi="仿宋" w:eastAsia="仿宋" w:cs="仿宋"/>
          <w:color w:val="auto"/>
          <w:sz w:val="30"/>
          <w:szCs w:val="30"/>
          <w:highlight w:val="none"/>
        </w:rPr>
      </w:pPr>
    </w:p>
    <w:p w14:paraId="6F80C8C3">
      <w:pPr>
        <w:rPr>
          <w:rFonts w:hint="eastAsia" w:ascii="仿宋" w:hAnsi="仿宋" w:eastAsia="仿宋" w:cs="仿宋"/>
          <w:color w:val="auto"/>
          <w:sz w:val="30"/>
          <w:szCs w:val="30"/>
          <w:highlight w:val="none"/>
        </w:rPr>
      </w:pPr>
      <w:r>
        <w:rPr>
          <w:rFonts w:ascii="仿宋" w:hAnsi="仿宋" w:eastAsia="仿宋" w:cs="仿宋"/>
          <w:color w:val="auto"/>
          <w:sz w:val="30"/>
          <w:szCs w:val="30"/>
          <w:highlight w:val="none"/>
        </w:rPr>
        <w:br w:type="page"/>
      </w:r>
    </w:p>
    <w:p w14:paraId="150E3C6A">
      <w:pPr>
        <w:spacing w:line="240" w:lineRule="auto"/>
        <w:jc w:val="center"/>
        <w:rPr>
          <w:rFonts w:hint="eastAsia" w:ascii="仿宋" w:hAnsi="仿宋" w:eastAsia="仿宋" w:cs="仿宋"/>
          <w:color w:val="auto"/>
          <w:sz w:val="30"/>
          <w:szCs w:val="30"/>
          <w:highlight w:val="none"/>
        </w:rPr>
      </w:pPr>
    </w:p>
    <w:p w14:paraId="2F21F8E5">
      <w:pPr>
        <w:spacing w:line="240" w:lineRule="auto"/>
        <w:jc w:val="center"/>
        <w:rPr>
          <w:rFonts w:hint="eastAsia" w:ascii="仿宋" w:hAnsi="仿宋" w:eastAsia="仿宋" w:cs="仿宋"/>
          <w:color w:val="auto"/>
          <w:sz w:val="30"/>
          <w:szCs w:val="30"/>
          <w:highlight w:val="none"/>
        </w:rPr>
      </w:pPr>
    </w:p>
    <w:p w14:paraId="658BA2F4">
      <w:pPr>
        <w:spacing w:line="240" w:lineRule="auto"/>
        <w:jc w:val="center"/>
        <w:rPr>
          <w:rFonts w:hint="eastAsia" w:ascii="仿宋" w:hAnsi="仿宋" w:eastAsia="仿宋" w:cs="仿宋"/>
          <w:color w:val="auto"/>
          <w:sz w:val="30"/>
          <w:szCs w:val="30"/>
          <w:highlight w:val="none"/>
        </w:rPr>
      </w:pPr>
    </w:p>
    <w:p w14:paraId="6BB79D16">
      <w:pPr>
        <w:spacing w:line="240" w:lineRule="auto"/>
        <w:jc w:val="center"/>
        <w:rPr>
          <w:rFonts w:hint="eastAsia" w:ascii="仿宋" w:hAnsi="仿宋" w:eastAsia="仿宋" w:cs="仿宋"/>
          <w:color w:val="auto"/>
          <w:sz w:val="30"/>
          <w:szCs w:val="30"/>
          <w:highlight w:val="none"/>
        </w:rPr>
      </w:pPr>
    </w:p>
    <w:p w14:paraId="0529BA10">
      <w:pPr>
        <w:spacing w:line="240" w:lineRule="auto"/>
        <w:jc w:val="center"/>
        <w:rPr>
          <w:rFonts w:hint="eastAsia" w:ascii="仿宋" w:hAnsi="仿宋" w:eastAsia="仿宋" w:cs="仿宋"/>
          <w:color w:val="auto"/>
          <w:sz w:val="30"/>
          <w:szCs w:val="30"/>
          <w:highlight w:val="none"/>
        </w:rPr>
      </w:pPr>
    </w:p>
    <w:p w14:paraId="6D1D76E0">
      <w:pPr>
        <w:spacing w:line="240" w:lineRule="auto"/>
        <w:jc w:val="center"/>
        <w:rPr>
          <w:rFonts w:hint="eastAsia" w:ascii="仿宋" w:hAnsi="仿宋" w:eastAsia="仿宋" w:cs="仿宋"/>
          <w:color w:val="auto"/>
          <w:sz w:val="30"/>
          <w:szCs w:val="30"/>
          <w:highlight w:val="none"/>
        </w:rPr>
      </w:pPr>
    </w:p>
    <w:p w14:paraId="4CC25475">
      <w:pPr>
        <w:spacing w:line="240" w:lineRule="auto"/>
        <w:jc w:val="center"/>
        <w:rPr>
          <w:rFonts w:hint="eastAsia" w:ascii="仿宋" w:hAnsi="仿宋" w:eastAsia="仿宋" w:cs="仿宋"/>
          <w:color w:val="auto"/>
          <w:sz w:val="30"/>
          <w:szCs w:val="30"/>
          <w:highlight w:val="none"/>
        </w:rPr>
      </w:pPr>
    </w:p>
    <w:p w14:paraId="30C91A1E">
      <w:pPr>
        <w:spacing w:line="240" w:lineRule="auto"/>
        <w:jc w:val="center"/>
        <w:rPr>
          <w:rFonts w:hint="eastAsia" w:ascii="黑体" w:hAnsi="黑体" w:eastAsia="黑体" w:cs="仿宋"/>
          <w:b/>
          <w:color w:val="auto"/>
          <w:sz w:val="44"/>
          <w:szCs w:val="44"/>
          <w:highlight w:val="none"/>
        </w:rPr>
      </w:pPr>
    </w:p>
    <w:p w14:paraId="74AD8C01">
      <w:pPr>
        <w:spacing w:line="240" w:lineRule="auto"/>
        <w:jc w:val="center"/>
        <w:rPr>
          <w:rFonts w:hint="eastAsia" w:ascii="黑体" w:hAnsi="黑体" w:eastAsia="黑体" w:cs="仿宋"/>
          <w:b/>
          <w:color w:val="auto"/>
          <w:sz w:val="44"/>
          <w:szCs w:val="44"/>
          <w:highlight w:val="none"/>
        </w:rPr>
      </w:pPr>
    </w:p>
    <w:p w14:paraId="408BF723">
      <w:pPr>
        <w:spacing w:line="240" w:lineRule="auto"/>
        <w:jc w:val="center"/>
        <w:rPr>
          <w:rFonts w:hint="eastAsia" w:ascii="黑体" w:hAnsi="黑体" w:eastAsia="黑体" w:cs="仿宋"/>
          <w:b/>
          <w:color w:val="auto"/>
          <w:sz w:val="44"/>
          <w:szCs w:val="44"/>
          <w:highlight w:val="none"/>
        </w:rPr>
      </w:pPr>
    </w:p>
    <w:p w14:paraId="271EB43E">
      <w:pPr>
        <w:spacing w:line="240" w:lineRule="auto"/>
        <w:jc w:val="center"/>
        <w:rPr>
          <w:rFonts w:hint="eastAsia" w:ascii="黑体" w:hAnsi="黑体" w:eastAsia="黑体" w:cs="仿宋"/>
          <w:b/>
          <w:color w:val="auto"/>
          <w:sz w:val="44"/>
          <w:szCs w:val="44"/>
          <w:highlight w:val="none"/>
        </w:rPr>
      </w:pPr>
      <w:r>
        <w:rPr>
          <w:rFonts w:hint="eastAsia" w:ascii="黑体" w:hAnsi="黑体" w:eastAsia="黑体" w:cs="仿宋"/>
          <w:b/>
          <w:color w:val="auto"/>
          <w:sz w:val="44"/>
          <w:szCs w:val="44"/>
          <w:highlight w:val="none"/>
        </w:rPr>
        <w:t>第七章  响应文件格式</w:t>
      </w:r>
    </w:p>
    <w:p w14:paraId="7DD78895">
      <w:pPr>
        <w:spacing w:line="240" w:lineRule="auto"/>
        <w:rPr>
          <w:rFonts w:hint="eastAsia" w:ascii="仿宋" w:hAnsi="仿宋" w:eastAsia="仿宋" w:cs="仿宋"/>
          <w:color w:val="auto"/>
          <w:sz w:val="30"/>
          <w:szCs w:val="30"/>
          <w:highlight w:val="none"/>
        </w:rPr>
      </w:pPr>
      <w:r>
        <w:rPr>
          <w:rFonts w:ascii="仿宋" w:hAnsi="仿宋" w:eastAsia="仿宋" w:cs="仿宋"/>
          <w:color w:val="auto"/>
          <w:sz w:val="30"/>
          <w:szCs w:val="30"/>
          <w:highlight w:val="none"/>
        </w:rPr>
        <w:br w:type="page"/>
      </w:r>
    </w:p>
    <w:p w14:paraId="29C42B12">
      <w:pPr>
        <w:adjustRightInd w:val="0"/>
        <w:snapToGrid w:val="0"/>
        <w:spacing w:line="600" w:lineRule="exact"/>
        <w:ind w:firstLine="600" w:firstLineChars="200"/>
        <w:jc w:val="center"/>
        <w:rPr>
          <w:rFonts w:hint="eastAsia" w:ascii="仿宋" w:hAnsi="仿宋" w:eastAsia="仿宋" w:cs="仿宋"/>
          <w:color w:val="auto"/>
          <w:sz w:val="30"/>
          <w:szCs w:val="30"/>
          <w:highlight w:val="none"/>
        </w:rPr>
      </w:pPr>
    </w:p>
    <w:p w14:paraId="0E256BDB">
      <w:pPr>
        <w:adjustRightInd w:val="0"/>
        <w:snapToGrid w:val="0"/>
        <w:spacing w:line="600" w:lineRule="exact"/>
        <w:ind w:firstLine="600" w:firstLineChars="200"/>
        <w:jc w:val="center"/>
        <w:rPr>
          <w:rFonts w:hint="eastAsia" w:ascii="仿宋" w:hAnsi="仿宋" w:eastAsia="仿宋" w:cs="仿宋"/>
          <w:color w:val="auto"/>
          <w:sz w:val="30"/>
          <w:szCs w:val="30"/>
          <w:highlight w:val="none"/>
        </w:rPr>
      </w:pPr>
    </w:p>
    <w:p w14:paraId="4233C0DF">
      <w:pPr>
        <w:adjustRightInd w:val="0"/>
        <w:snapToGrid w:val="0"/>
        <w:spacing w:line="600" w:lineRule="exact"/>
        <w:ind w:firstLine="723" w:firstLineChars="200"/>
        <w:jc w:val="center"/>
        <w:rPr>
          <w:rFonts w:hint="eastAsia" w:ascii="宋体" w:hAnsi="宋体" w:cs="宋体"/>
          <w:color w:val="auto"/>
          <w:sz w:val="48"/>
          <w:szCs w:val="30"/>
          <w:highlight w:val="none"/>
        </w:rPr>
      </w:pPr>
      <w:r>
        <w:rPr>
          <w:rFonts w:hint="eastAsia" w:ascii="宋体" w:hAnsi="宋体" w:cs="宋体"/>
          <w:b/>
          <w:bCs/>
          <w:color w:val="auto"/>
          <w:sz w:val="36"/>
          <w:szCs w:val="36"/>
          <w:highlight w:val="none"/>
          <w:lang w:eastAsia="zh-CN"/>
        </w:rPr>
        <w:t>G59 呼北高速公路张家界至官庄段 PPP 项目第二标段沅古坪服务区加油站安评、环评、职业病评价“三同时”咨询服务项目</w:t>
      </w:r>
    </w:p>
    <w:p w14:paraId="37BF6DAE">
      <w:pPr>
        <w:adjustRightInd w:val="0"/>
        <w:snapToGrid w:val="0"/>
        <w:spacing w:line="600" w:lineRule="exact"/>
        <w:ind w:firstLine="960" w:firstLineChars="200"/>
        <w:jc w:val="center"/>
        <w:rPr>
          <w:rFonts w:hint="eastAsia" w:ascii="宋体" w:hAnsi="宋体" w:cs="宋体"/>
          <w:color w:val="auto"/>
          <w:sz w:val="48"/>
          <w:szCs w:val="30"/>
          <w:highlight w:val="none"/>
        </w:rPr>
      </w:pPr>
    </w:p>
    <w:p w14:paraId="2B5E6771">
      <w:pPr>
        <w:adjustRightInd w:val="0"/>
        <w:snapToGrid w:val="0"/>
        <w:spacing w:line="600" w:lineRule="exact"/>
        <w:ind w:firstLine="960" w:firstLineChars="200"/>
        <w:jc w:val="center"/>
        <w:rPr>
          <w:rFonts w:hint="eastAsia" w:ascii="宋体" w:hAnsi="宋体" w:cs="宋体"/>
          <w:color w:val="auto"/>
          <w:sz w:val="48"/>
          <w:szCs w:val="30"/>
          <w:highlight w:val="none"/>
        </w:rPr>
      </w:pPr>
    </w:p>
    <w:p w14:paraId="64AD2E46">
      <w:pPr>
        <w:adjustRightInd w:val="0"/>
        <w:snapToGrid w:val="0"/>
        <w:spacing w:line="600" w:lineRule="exact"/>
        <w:ind w:firstLine="960" w:firstLineChars="200"/>
        <w:jc w:val="center"/>
        <w:rPr>
          <w:rFonts w:hint="eastAsia" w:ascii="宋体" w:hAnsi="宋体" w:cs="宋体"/>
          <w:color w:val="auto"/>
          <w:sz w:val="48"/>
          <w:szCs w:val="30"/>
          <w:highlight w:val="none"/>
        </w:rPr>
      </w:pPr>
    </w:p>
    <w:p w14:paraId="60CF91AE">
      <w:pPr>
        <w:adjustRightInd w:val="0"/>
        <w:snapToGrid w:val="0"/>
        <w:spacing w:line="600" w:lineRule="exact"/>
        <w:ind w:firstLine="1124" w:firstLineChars="200"/>
        <w:jc w:val="center"/>
        <w:rPr>
          <w:rFonts w:hint="eastAsia" w:ascii="宋体" w:hAnsi="宋体" w:cs="宋体"/>
          <w:b/>
          <w:bCs/>
          <w:color w:val="auto"/>
          <w:sz w:val="56"/>
          <w:szCs w:val="36"/>
          <w:highlight w:val="none"/>
        </w:rPr>
      </w:pPr>
      <w:r>
        <w:rPr>
          <w:rFonts w:hint="eastAsia" w:ascii="宋体" w:hAnsi="宋体" w:cs="宋体"/>
          <w:b/>
          <w:bCs/>
          <w:color w:val="auto"/>
          <w:sz w:val="56"/>
          <w:szCs w:val="36"/>
          <w:highlight w:val="none"/>
        </w:rPr>
        <w:t>响应文件</w:t>
      </w:r>
    </w:p>
    <w:p w14:paraId="5E68A79D">
      <w:pPr>
        <w:adjustRightInd w:val="0"/>
        <w:snapToGrid w:val="0"/>
        <w:spacing w:line="600" w:lineRule="exact"/>
        <w:ind w:firstLine="960" w:firstLineChars="200"/>
        <w:jc w:val="center"/>
        <w:rPr>
          <w:rFonts w:hint="eastAsia" w:ascii="宋体" w:hAnsi="宋体" w:cs="宋体"/>
          <w:color w:val="auto"/>
          <w:sz w:val="48"/>
          <w:szCs w:val="30"/>
          <w:highlight w:val="none"/>
        </w:rPr>
      </w:pPr>
    </w:p>
    <w:p w14:paraId="0D21BB40">
      <w:pPr>
        <w:adjustRightInd w:val="0"/>
        <w:snapToGrid w:val="0"/>
        <w:spacing w:line="600" w:lineRule="exact"/>
        <w:ind w:firstLine="960" w:firstLineChars="200"/>
        <w:jc w:val="center"/>
        <w:rPr>
          <w:rFonts w:hint="eastAsia" w:ascii="宋体" w:hAnsi="宋体" w:cs="宋体"/>
          <w:color w:val="auto"/>
          <w:sz w:val="48"/>
          <w:szCs w:val="30"/>
          <w:highlight w:val="none"/>
        </w:rPr>
      </w:pPr>
    </w:p>
    <w:p w14:paraId="52BDC83F">
      <w:pPr>
        <w:adjustRightInd w:val="0"/>
        <w:snapToGrid w:val="0"/>
        <w:spacing w:line="600" w:lineRule="exact"/>
        <w:ind w:firstLine="960" w:firstLineChars="200"/>
        <w:jc w:val="center"/>
        <w:rPr>
          <w:rFonts w:hint="eastAsia" w:ascii="宋体" w:hAnsi="宋体" w:cs="宋体"/>
          <w:color w:val="auto"/>
          <w:sz w:val="48"/>
          <w:szCs w:val="30"/>
          <w:highlight w:val="none"/>
        </w:rPr>
      </w:pPr>
    </w:p>
    <w:p w14:paraId="7761B9D1">
      <w:pPr>
        <w:adjustRightInd w:val="0"/>
        <w:snapToGrid w:val="0"/>
        <w:spacing w:line="600" w:lineRule="exact"/>
        <w:ind w:firstLine="960" w:firstLineChars="200"/>
        <w:jc w:val="center"/>
        <w:rPr>
          <w:rFonts w:hint="eastAsia" w:ascii="宋体" w:hAnsi="宋体" w:cs="宋体"/>
          <w:color w:val="auto"/>
          <w:sz w:val="48"/>
          <w:szCs w:val="30"/>
          <w:highlight w:val="none"/>
        </w:rPr>
      </w:pPr>
    </w:p>
    <w:p w14:paraId="74F9643C">
      <w:pPr>
        <w:adjustRightInd w:val="0"/>
        <w:snapToGrid w:val="0"/>
        <w:spacing w:line="600" w:lineRule="exact"/>
        <w:ind w:firstLine="960" w:firstLineChars="200"/>
        <w:jc w:val="center"/>
        <w:rPr>
          <w:rFonts w:hint="eastAsia" w:ascii="宋体" w:hAnsi="宋体" w:cs="宋体"/>
          <w:color w:val="auto"/>
          <w:sz w:val="48"/>
          <w:szCs w:val="30"/>
          <w:highlight w:val="none"/>
        </w:rPr>
      </w:pPr>
    </w:p>
    <w:p w14:paraId="68D45003">
      <w:pPr>
        <w:adjustRightInd w:val="0"/>
        <w:snapToGrid w:val="0"/>
        <w:spacing w:line="600" w:lineRule="exact"/>
        <w:ind w:firstLine="960" w:firstLineChars="200"/>
        <w:jc w:val="center"/>
        <w:rPr>
          <w:rFonts w:hint="eastAsia" w:ascii="宋体" w:hAnsi="宋体" w:cs="宋体"/>
          <w:color w:val="auto"/>
          <w:sz w:val="48"/>
          <w:szCs w:val="30"/>
          <w:highlight w:val="none"/>
        </w:rPr>
      </w:pPr>
    </w:p>
    <w:p w14:paraId="42F3CC5C">
      <w:pPr>
        <w:adjustRightInd w:val="0"/>
        <w:snapToGrid w:val="0"/>
        <w:spacing w:line="600" w:lineRule="exact"/>
        <w:ind w:firstLine="490" w:firstLineChars="175"/>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w:t>
      </w:r>
    </w:p>
    <w:p w14:paraId="3B3BB8E0">
      <w:pPr>
        <w:adjustRightInd w:val="0"/>
        <w:snapToGrid w:val="0"/>
        <w:spacing w:line="600" w:lineRule="exact"/>
        <w:ind w:firstLine="560" w:firstLineChars="200"/>
        <w:jc w:val="center"/>
        <w:rPr>
          <w:rFonts w:hint="eastAsia" w:ascii="宋体" w:hAnsi="宋体" w:cs="宋体"/>
          <w:color w:val="auto"/>
          <w:sz w:val="28"/>
          <w:szCs w:val="28"/>
          <w:highlight w:val="none"/>
        </w:rPr>
      </w:pPr>
    </w:p>
    <w:p w14:paraId="55114293">
      <w:pPr>
        <w:adjustRightInd w:val="0"/>
        <w:snapToGrid w:val="0"/>
        <w:spacing w:line="600" w:lineRule="exact"/>
        <w:ind w:firstLine="560" w:firstLineChars="200"/>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年  月  日</w:t>
      </w:r>
    </w:p>
    <w:p w14:paraId="793D94D2">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96F8C01">
      <w:pPr>
        <w:adjustRightInd w:val="0"/>
        <w:snapToGrid w:val="0"/>
        <w:spacing w:line="600" w:lineRule="exact"/>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76F009C8">
      <w:pPr>
        <w:adjustRightInd w:val="0"/>
        <w:snapToGrid w:val="0"/>
        <w:spacing w:line="600" w:lineRule="exact"/>
        <w:ind w:firstLine="1059" w:firstLineChars="353"/>
        <w:rPr>
          <w:rFonts w:hint="eastAsia" w:ascii="仿宋" w:hAnsi="仿宋" w:eastAsia="仿宋" w:cs="仿宋"/>
          <w:color w:val="auto"/>
          <w:sz w:val="30"/>
          <w:szCs w:val="30"/>
          <w:highlight w:val="none"/>
        </w:rPr>
      </w:pPr>
    </w:p>
    <w:p w14:paraId="0FD63911">
      <w:pPr>
        <w:adjustRightInd w:val="0"/>
        <w:snapToGrid w:val="0"/>
        <w:spacing w:line="600" w:lineRule="exact"/>
        <w:ind w:firstLine="988" w:firstLineChars="353"/>
        <w:rPr>
          <w:rFonts w:hint="eastAsia" w:ascii="宋体" w:hAnsi="宋体" w:cs="宋体"/>
          <w:color w:val="auto"/>
          <w:sz w:val="28"/>
          <w:szCs w:val="28"/>
          <w:highlight w:val="none"/>
        </w:rPr>
      </w:pPr>
      <w:r>
        <w:rPr>
          <w:rFonts w:hint="eastAsia" w:ascii="宋体" w:hAnsi="宋体" w:cs="宋体"/>
          <w:color w:val="auto"/>
          <w:sz w:val="28"/>
          <w:szCs w:val="28"/>
          <w:highlight w:val="none"/>
        </w:rPr>
        <w:t>一、响应函</w:t>
      </w:r>
    </w:p>
    <w:p w14:paraId="2AF03C0A">
      <w:pPr>
        <w:adjustRightInd w:val="0"/>
        <w:snapToGrid w:val="0"/>
        <w:spacing w:line="600" w:lineRule="exact"/>
        <w:ind w:firstLine="988" w:firstLineChars="353"/>
        <w:rPr>
          <w:rFonts w:hint="eastAsia" w:ascii="宋体" w:hAnsi="宋体" w:cs="宋体"/>
          <w:color w:val="auto"/>
          <w:sz w:val="28"/>
          <w:szCs w:val="28"/>
          <w:highlight w:val="none"/>
        </w:rPr>
      </w:pPr>
      <w:r>
        <w:rPr>
          <w:rFonts w:hint="eastAsia" w:ascii="宋体" w:hAnsi="宋体" w:cs="宋体"/>
          <w:color w:val="auto"/>
          <w:sz w:val="28"/>
          <w:szCs w:val="28"/>
          <w:highlight w:val="none"/>
        </w:rPr>
        <w:t>二、授权委托书(适用于有委托代理人的情况)</w:t>
      </w:r>
    </w:p>
    <w:p w14:paraId="73E53EBC">
      <w:pPr>
        <w:adjustRightInd w:val="0"/>
        <w:snapToGrid w:val="0"/>
        <w:spacing w:line="600" w:lineRule="exact"/>
        <w:ind w:firstLine="988" w:firstLineChars="353"/>
        <w:rPr>
          <w:rFonts w:hint="eastAsia" w:ascii="宋体" w:hAnsi="宋体" w:cs="宋体"/>
          <w:color w:val="auto"/>
          <w:sz w:val="28"/>
          <w:szCs w:val="28"/>
          <w:highlight w:val="none"/>
        </w:rPr>
      </w:pPr>
      <w:r>
        <w:rPr>
          <w:rFonts w:hint="eastAsia" w:ascii="宋体" w:hAnsi="宋体" w:cs="宋体"/>
          <w:color w:val="auto"/>
          <w:sz w:val="28"/>
          <w:szCs w:val="28"/>
          <w:highlight w:val="none"/>
        </w:rPr>
        <w:t>三、联合体协议书(适用于供应商组成联合体的情况)</w:t>
      </w:r>
    </w:p>
    <w:p w14:paraId="1E34C297">
      <w:pPr>
        <w:adjustRightInd w:val="0"/>
        <w:snapToGrid w:val="0"/>
        <w:spacing w:line="600" w:lineRule="exact"/>
        <w:ind w:firstLine="988" w:firstLineChars="353"/>
        <w:rPr>
          <w:rFonts w:hint="eastAsia" w:ascii="宋体" w:hAnsi="宋体" w:cs="宋体"/>
          <w:color w:val="auto"/>
          <w:sz w:val="28"/>
          <w:szCs w:val="28"/>
          <w:highlight w:val="none"/>
        </w:rPr>
      </w:pPr>
      <w:r>
        <w:rPr>
          <w:rFonts w:hint="eastAsia" w:ascii="宋体" w:hAnsi="宋体" w:cs="宋体"/>
          <w:color w:val="auto"/>
          <w:sz w:val="28"/>
          <w:szCs w:val="28"/>
          <w:highlight w:val="none"/>
        </w:rPr>
        <w:t>四、响应保证金(适用于递交响应保证金的情况)</w:t>
      </w:r>
    </w:p>
    <w:p w14:paraId="2B0316F7">
      <w:pPr>
        <w:adjustRightInd w:val="0"/>
        <w:snapToGrid w:val="0"/>
        <w:spacing w:line="600" w:lineRule="exact"/>
        <w:ind w:firstLine="988" w:firstLineChars="353"/>
        <w:rPr>
          <w:rFonts w:hint="eastAsia" w:ascii="宋体" w:hAnsi="宋体" w:cs="宋体"/>
          <w:color w:val="auto"/>
          <w:sz w:val="28"/>
          <w:szCs w:val="28"/>
          <w:highlight w:val="none"/>
        </w:rPr>
      </w:pPr>
      <w:r>
        <w:rPr>
          <w:rFonts w:hint="eastAsia" w:ascii="宋体" w:hAnsi="宋体" w:cs="宋体"/>
          <w:color w:val="auto"/>
          <w:sz w:val="28"/>
          <w:szCs w:val="28"/>
          <w:highlight w:val="none"/>
        </w:rPr>
        <w:t>五、商务和技术偏差表</w:t>
      </w:r>
    </w:p>
    <w:p w14:paraId="68E19C2E">
      <w:pPr>
        <w:adjustRightInd w:val="0"/>
        <w:snapToGrid w:val="0"/>
        <w:spacing w:line="600" w:lineRule="exact"/>
        <w:ind w:firstLine="988" w:firstLineChars="353"/>
        <w:rPr>
          <w:rFonts w:hint="eastAsia" w:ascii="宋体" w:hAnsi="宋体" w:cs="宋体"/>
          <w:color w:val="auto"/>
          <w:sz w:val="28"/>
          <w:szCs w:val="28"/>
          <w:highlight w:val="none"/>
        </w:rPr>
      </w:pPr>
      <w:r>
        <w:rPr>
          <w:rFonts w:hint="eastAsia" w:ascii="宋体" w:hAnsi="宋体" w:cs="宋体"/>
          <w:color w:val="auto"/>
          <w:sz w:val="28"/>
          <w:szCs w:val="28"/>
          <w:highlight w:val="none"/>
        </w:rPr>
        <w:t>六、报价表</w:t>
      </w:r>
    </w:p>
    <w:p w14:paraId="7DD27F44">
      <w:pPr>
        <w:adjustRightInd w:val="0"/>
        <w:snapToGrid w:val="0"/>
        <w:spacing w:line="600" w:lineRule="exact"/>
        <w:ind w:firstLine="988" w:firstLineChars="353"/>
        <w:rPr>
          <w:rFonts w:hint="eastAsia" w:ascii="宋体" w:hAnsi="宋体" w:cs="宋体"/>
          <w:color w:val="auto"/>
          <w:sz w:val="28"/>
          <w:szCs w:val="28"/>
          <w:highlight w:val="none"/>
        </w:rPr>
      </w:pPr>
      <w:r>
        <w:rPr>
          <w:rFonts w:hint="eastAsia" w:ascii="宋体" w:hAnsi="宋体" w:cs="宋体"/>
          <w:color w:val="auto"/>
          <w:sz w:val="28"/>
          <w:szCs w:val="28"/>
          <w:highlight w:val="none"/>
        </w:rPr>
        <w:t>七、资格审查资料</w:t>
      </w:r>
    </w:p>
    <w:p w14:paraId="7F8B6C0B">
      <w:pPr>
        <w:adjustRightInd w:val="0"/>
        <w:snapToGrid w:val="0"/>
        <w:spacing w:line="600" w:lineRule="exact"/>
        <w:ind w:firstLine="988" w:firstLineChars="353"/>
        <w:rPr>
          <w:rFonts w:hint="eastAsia" w:ascii="宋体" w:hAnsi="宋体" w:cs="宋体"/>
          <w:color w:val="auto"/>
          <w:sz w:val="28"/>
          <w:szCs w:val="28"/>
          <w:highlight w:val="none"/>
        </w:rPr>
      </w:pPr>
      <w:r>
        <w:rPr>
          <w:rFonts w:hint="eastAsia" w:ascii="宋体" w:hAnsi="宋体" w:cs="宋体"/>
          <w:color w:val="auto"/>
          <w:sz w:val="28"/>
          <w:szCs w:val="28"/>
          <w:highlight w:val="none"/>
        </w:rPr>
        <w:t>八、响应方案</w:t>
      </w:r>
    </w:p>
    <w:p w14:paraId="2A4D29D6">
      <w:pPr>
        <w:adjustRightInd w:val="0"/>
        <w:snapToGrid w:val="0"/>
        <w:spacing w:line="600" w:lineRule="exact"/>
        <w:ind w:firstLine="988" w:firstLineChars="353"/>
        <w:rPr>
          <w:rFonts w:hint="eastAsia" w:ascii="宋体" w:hAnsi="宋体" w:cs="宋体"/>
          <w:color w:val="auto"/>
          <w:sz w:val="28"/>
          <w:szCs w:val="28"/>
          <w:highlight w:val="none"/>
        </w:rPr>
      </w:pPr>
      <w:r>
        <w:rPr>
          <w:rFonts w:hint="eastAsia" w:ascii="宋体" w:hAnsi="宋体" w:cs="宋体"/>
          <w:color w:val="auto"/>
          <w:sz w:val="28"/>
          <w:szCs w:val="28"/>
          <w:highlight w:val="none"/>
        </w:rPr>
        <w:t>九、其他资料</w:t>
      </w:r>
    </w:p>
    <w:p w14:paraId="1C347A99">
      <w:pPr>
        <w:spacing w:line="60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690D70BD">
      <w:pPr>
        <w:adjustRightInd w:val="0"/>
        <w:snapToGrid w:val="0"/>
        <w:spacing w:line="600" w:lineRule="exact"/>
        <w:ind w:firstLine="600" w:firstLineChars="200"/>
        <w:rPr>
          <w:rFonts w:hint="eastAsia" w:ascii="仿宋" w:hAnsi="仿宋" w:eastAsia="仿宋" w:cs="仿宋"/>
          <w:color w:val="auto"/>
          <w:sz w:val="30"/>
          <w:szCs w:val="30"/>
          <w:highlight w:val="none"/>
        </w:rPr>
      </w:pPr>
    </w:p>
    <w:p w14:paraId="36140E86">
      <w:pPr>
        <w:numPr>
          <w:ilvl w:val="0"/>
          <w:numId w:val="19"/>
        </w:numPr>
        <w:adjustRightInd w:val="0"/>
        <w:snapToGrid w:val="0"/>
        <w:spacing w:line="600" w:lineRule="exact"/>
        <w:ind w:firstLine="600" w:firstLineChars="2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响应函</w:t>
      </w:r>
    </w:p>
    <w:p w14:paraId="290E2493">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(采购人名称)：</w:t>
      </w:r>
    </w:p>
    <w:p w14:paraId="7B107DB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1.我方已仔细研究了</w:t>
      </w:r>
      <w:r>
        <w:rPr>
          <w:rFonts w:hint="eastAsia" w:ascii="宋体" w:hAnsi="宋体" w:cs="宋体"/>
          <w:color w:val="auto"/>
          <w:sz w:val="24"/>
          <w:highlight w:val="none"/>
          <w:u w:val="single"/>
          <w:lang w:eastAsia="zh-CN"/>
        </w:rPr>
        <w:t>G59 呼北高速公路张家界至官庄段 PPP 项目第二标段沅古坪服务区加油站安评、环评、职业病评价“三同时”咨询服务项目</w:t>
      </w:r>
      <w:r>
        <w:rPr>
          <w:rFonts w:hint="eastAsia" w:ascii="宋体" w:hAnsi="宋体" w:cs="宋体"/>
          <w:color w:val="auto"/>
          <w:sz w:val="24"/>
          <w:highlight w:val="none"/>
        </w:rPr>
        <w:t>(项目名称)采购文件的全部内容，愿意以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万元（含税），增值税税率为：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%（其中：不含税价为: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（元/%）;增值税税率为: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%)提供本项目服务，并按合同约定履行义务。</w:t>
      </w:r>
    </w:p>
    <w:p w14:paraId="0E5E6006">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2.我方的响应文件包括下列内容： </w:t>
      </w:r>
    </w:p>
    <w:p w14:paraId="2E9849C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(1)响应函；</w:t>
      </w:r>
    </w:p>
    <w:p w14:paraId="58F4CA30">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(2)授权委托书(如有)；</w:t>
      </w:r>
    </w:p>
    <w:p w14:paraId="6B82EF0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(3)联合体协议书(如有)；</w:t>
      </w:r>
    </w:p>
    <w:p w14:paraId="369AE85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(4)响应保证金(如有)；</w:t>
      </w:r>
    </w:p>
    <w:p w14:paraId="2FC6C01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(5)商务和技术偏差表；</w:t>
      </w:r>
    </w:p>
    <w:p w14:paraId="652DA6D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(6)报价表；</w:t>
      </w:r>
    </w:p>
    <w:p w14:paraId="2100459A">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(7)资格审查资料；</w:t>
      </w:r>
    </w:p>
    <w:p w14:paraId="397C4A95">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(8)响应方案；</w:t>
      </w:r>
    </w:p>
    <w:p w14:paraId="1D5063EB">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响应文件的上述组成部分如存在内容不-致的，以响应函为准。</w:t>
      </w:r>
    </w:p>
    <w:p w14:paraId="485A10A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3.我方承诺除商务和技术偏差表列出的偏差外，我方响应采购文件的全部要求。</w:t>
      </w:r>
    </w:p>
    <w:p w14:paraId="5CB62BFE">
      <w:pPr>
        <w:numPr>
          <w:ilvl w:val="0"/>
          <w:numId w:val="20"/>
        </w:num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我方承诺在采购文件规定的响应文件有效期内不撤销响应文件。</w:t>
      </w:r>
    </w:p>
    <w:p w14:paraId="748FA088">
      <w:pPr>
        <w:numPr>
          <w:ilvl w:val="0"/>
          <w:numId w:val="20"/>
        </w:num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如我方成交，我方承诺：</w:t>
      </w:r>
    </w:p>
    <w:p w14:paraId="60DF58D5">
      <w:pPr>
        <w:tabs>
          <w:tab w:val="left" w:pos="312"/>
        </w:tabs>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(1)在收到成交通知书后，在成交通知书规定的期限内与你方签订合同；</w:t>
      </w:r>
    </w:p>
    <w:p w14:paraId="26852FA8">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066E180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(3)按照采购文件要求递交履约保证金；</w:t>
      </w:r>
    </w:p>
    <w:p w14:paraId="3AC734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(4)在合同约定的期限内完成合同规定的全部义务。</w:t>
      </w:r>
    </w:p>
    <w:p w14:paraId="10318FE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6.我方在此声明，所递交的响应文件及有关资料内容完整、真实和准确，且不</w:t>
      </w:r>
      <w:r>
        <w:rPr>
          <w:rFonts w:hint="eastAsia" w:ascii="宋体" w:hAnsi="宋体" w:cs="宋体"/>
          <w:color w:val="auto"/>
          <w:sz w:val="24"/>
          <w:highlight w:val="none"/>
          <w:lang w:val="en-US" w:eastAsia="zh-CN"/>
        </w:rPr>
        <w:t>存</w:t>
      </w:r>
      <w:r>
        <w:rPr>
          <w:rFonts w:hint="eastAsia" w:ascii="宋体" w:hAnsi="宋体" w:cs="宋体"/>
          <w:color w:val="auto"/>
          <w:sz w:val="24"/>
          <w:highlight w:val="none"/>
        </w:rPr>
        <w:t>在第一章“采购公告”中规定的供应商不得存在的情形。</w:t>
      </w:r>
    </w:p>
    <w:p w14:paraId="5D6523B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7.(其他补充说明)。</w:t>
      </w:r>
    </w:p>
    <w:p w14:paraId="7271CC68">
      <w:pPr>
        <w:adjustRightInd w:val="0"/>
        <w:snapToGrid w:val="0"/>
        <w:spacing w:line="360" w:lineRule="auto"/>
        <w:ind w:firstLine="480" w:firstLineChars="200"/>
        <w:rPr>
          <w:rFonts w:hint="eastAsia" w:ascii="宋体" w:hAnsi="宋体" w:cs="宋体"/>
          <w:color w:val="auto"/>
          <w:sz w:val="24"/>
          <w:highlight w:val="none"/>
        </w:rPr>
      </w:pPr>
    </w:p>
    <w:p w14:paraId="7B177BE7">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供应商：________________________(盖单位章)</w:t>
      </w:r>
    </w:p>
    <w:p w14:paraId="733F0D7E">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法定代表人(单位负责人)或其授权的代理人：(签字) </w:t>
      </w:r>
    </w:p>
    <w:p w14:paraId="3266154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地址：____________________________________________</w:t>
      </w:r>
    </w:p>
    <w:p w14:paraId="7D6A91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电子邮箱：_______________________________________</w:t>
      </w:r>
    </w:p>
    <w:p w14:paraId="192ACC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电话：____________________________________________</w:t>
      </w:r>
    </w:p>
    <w:p w14:paraId="61E44DA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传真：____________________________________________</w:t>
      </w:r>
    </w:p>
    <w:p w14:paraId="55997EA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邮政编码：_______________________________________</w:t>
      </w:r>
    </w:p>
    <w:p w14:paraId="46DB994B">
      <w:pPr>
        <w:spacing w:line="360" w:lineRule="auto"/>
        <w:ind w:firstLine="480" w:firstLineChars="200"/>
        <w:rPr>
          <w:rFonts w:hint="eastAsia" w:ascii="宋体" w:hAnsi="宋体" w:cs="宋体"/>
          <w:color w:val="auto"/>
          <w:sz w:val="24"/>
          <w:highlight w:val="none"/>
        </w:rPr>
      </w:pPr>
    </w:p>
    <w:p w14:paraId="06B0726A">
      <w:pPr>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04C4A2C6">
      <w:pPr>
        <w:spacing w:line="24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7C8891E2">
      <w:pPr>
        <w:spacing w:line="40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附：守法诚信承诺书</w:t>
      </w:r>
    </w:p>
    <w:p w14:paraId="5A68DAB5">
      <w:pPr>
        <w:spacing w:line="360" w:lineRule="auto"/>
        <w:ind w:firstLine="420" w:firstLineChars="200"/>
        <w:rPr>
          <w:rFonts w:hint="eastAsia" w:ascii="宋体" w:hAnsi="宋体" w:cs="宋体"/>
          <w:color w:val="auto"/>
          <w:szCs w:val="21"/>
          <w:highlight w:val="none"/>
        </w:rPr>
      </w:pPr>
    </w:p>
    <w:p w14:paraId="2928789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××公司：</w:t>
      </w:r>
    </w:p>
    <w:p w14:paraId="2FBB2F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为维护社会的公平正义，我司郑重承诺，与贵公司不存在有可能影响采购公正的利害关系。</w:t>
      </w:r>
    </w:p>
    <w:p w14:paraId="62FC74F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1、我司已仔细阅读《××单位××文件》（编号××）（以下简称采购文件），包括采购文件的澄清或修改说明，完全支持并响应，不存在误解或不明。</w:t>
      </w:r>
    </w:p>
    <w:p w14:paraId="46741F7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2、遵纪守法，不触底线，公平公正参与竞争。我司提供的《响应文件》及其资料真实合法有效。 </w:t>
      </w:r>
    </w:p>
    <w:p w14:paraId="7C9D6B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3、响应期间没有因质量或服务问题被采购人或采购人上级机构通报且在整改期内。</w:t>
      </w:r>
    </w:p>
    <w:p w14:paraId="47DFD36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4、响应单位法定代表人为同一个人或者存在控股关系，管理关系的不同单位，没有在本项目中同时报价。</w:t>
      </w:r>
    </w:p>
    <w:p w14:paraId="7B8AFB9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5、无联合体另外报价。</w:t>
      </w:r>
    </w:p>
    <w:p w14:paraId="46DEAE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6、单位、法定代表人（单位负责人）、委托代理人（授权代表）无暂停或取消投标资格、骗取中标、行贿等不良记录以及其他违法犯罪记录；无围标串标、恶意投诉、买卖资质等违法违规行为。</w:t>
      </w:r>
    </w:p>
    <w:p w14:paraId="1BEF80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7、诚实守信，优质高效履行合同。一旦中选，我司将严格遵守采购文件的约定，不附加条件，及时商谈、签约、履约。</w:t>
      </w:r>
    </w:p>
    <w:p w14:paraId="1D6D748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8、自我管理，知行合一，主动承担社会责任。坚持“五大发展理念”，始终为用户着想，维护同业形象，自觉接受监管，维护和谐稳定。</w:t>
      </w:r>
    </w:p>
    <w:p w14:paraId="280B642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14:paraId="3DA26A71">
      <w:pPr>
        <w:spacing w:line="360" w:lineRule="auto"/>
        <w:ind w:firstLine="480" w:firstLineChars="200"/>
        <w:rPr>
          <w:rFonts w:hint="eastAsia" w:ascii="宋体" w:hAnsi="宋体" w:cs="宋体"/>
          <w:color w:val="auto"/>
          <w:sz w:val="24"/>
          <w:highlight w:val="none"/>
        </w:rPr>
      </w:pPr>
    </w:p>
    <w:p w14:paraId="2C5D295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专此承诺。</w:t>
      </w:r>
    </w:p>
    <w:p w14:paraId="02D282C0">
      <w:pPr>
        <w:spacing w:line="360" w:lineRule="auto"/>
        <w:ind w:firstLine="480" w:firstLineChars="200"/>
        <w:rPr>
          <w:rFonts w:hint="eastAsia" w:ascii="宋体" w:hAnsi="宋体" w:cs="宋体"/>
          <w:color w:val="auto"/>
          <w:sz w:val="24"/>
          <w:highlight w:val="none"/>
        </w:rPr>
      </w:pPr>
    </w:p>
    <w:p w14:paraId="6D66061E">
      <w:pPr>
        <w:spacing w:line="360" w:lineRule="auto"/>
        <w:ind w:firstLine="480" w:firstLineChars="200"/>
        <w:rPr>
          <w:rFonts w:hint="eastAsia" w:ascii="宋体" w:hAnsi="宋体" w:cs="宋体"/>
          <w:color w:val="auto"/>
          <w:sz w:val="24"/>
          <w:highlight w:val="none"/>
        </w:rPr>
      </w:pPr>
    </w:p>
    <w:p w14:paraId="6FC528F9">
      <w:pPr>
        <w:spacing w:line="360" w:lineRule="auto"/>
        <w:ind w:firstLine="2160" w:firstLineChars="900"/>
        <w:rPr>
          <w:rFonts w:hint="eastAsia" w:ascii="宋体" w:hAnsi="宋体" w:cs="宋体"/>
          <w:color w:val="auto"/>
          <w:sz w:val="24"/>
          <w:highlight w:val="none"/>
        </w:rPr>
      </w:pPr>
      <w:r>
        <w:rPr>
          <w:rFonts w:hint="eastAsia" w:ascii="宋体" w:hAnsi="宋体" w:cs="宋体"/>
          <w:color w:val="auto"/>
          <w:sz w:val="24"/>
          <w:highlight w:val="none"/>
        </w:rPr>
        <w:t>承诺单位（印刷体全称+单位公章）：</w:t>
      </w:r>
    </w:p>
    <w:p w14:paraId="25AE1408">
      <w:pPr>
        <w:spacing w:line="360" w:lineRule="auto"/>
        <w:ind w:firstLine="2160" w:firstLineChars="900"/>
        <w:rPr>
          <w:rFonts w:hint="eastAsia" w:ascii="宋体" w:hAnsi="宋体" w:cs="宋体"/>
          <w:color w:val="auto"/>
          <w:sz w:val="24"/>
          <w:highlight w:val="none"/>
        </w:rPr>
      </w:pPr>
      <w:r>
        <w:rPr>
          <w:rFonts w:hint="eastAsia" w:ascii="宋体" w:hAnsi="宋体" w:cs="宋体"/>
          <w:color w:val="auto"/>
          <w:sz w:val="24"/>
          <w:highlight w:val="none"/>
        </w:rPr>
        <w:t>承诺单位法定代表人或其委托代理人（印刷体+签字）：</w:t>
      </w:r>
    </w:p>
    <w:p w14:paraId="60FCC72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4D051C8">
      <w:pPr>
        <w:spacing w:line="600" w:lineRule="exact"/>
        <w:jc w:val="right"/>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3557D386">
      <w:pPr>
        <w:numPr>
          <w:ilvl w:val="0"/>
          <w:numId w:val="19"/>
        </w:numPr>
        <w:adjustRightInd w:val="0"/>
        <w:snapToGrid w:val="0"/>
        <w:spacing w:line="600" w:lineRule="exact"/>
        <w:ind w:firstLine="600" w:firstLineChars="2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授权委托书</w:t>
      </w:r>
    </w:p>
    <w:p w14:paraId="6D7A8F0C">
      <w:pPr>
        <w:adjustRightInd w:val="0"/>
        <w:snapToGrid w:val="0"/>
        <w:spacing w:line="600" w:lineRule="exact"/>
        <w:ind w:left="420" w:leftChars="200"/>
        <w:jc w:val="center"/>
        <w:rPr>
          <w:rFonts w:hint="eastAsia" w:ascii="宋体" w:hAnsi="宋体" w:cs="宋体"/>
          <w:color w:val="auto"/>
          <w:sz w:val="24"/>
          <w:highlight w:val="none"/>
        </w:rPr>
      </w:pPr>
      <w:r>
        <w:rPr>
          <w:rFonts w:hint="eastAsia" w:ascii="宋体" w:hAnsi="宋体" w:cs="宋体"/>
          <w:color w:val="auto"/>
          <w:sz w:val="24"/>
          <w:highlight w:val="none"/>
        </w:rPr>
        <w:t>(适用于有委托代理人的情况)</w:t>
      </w:r>
    </w:p>
    <w:p w14:paraId="4C62BB53">
      <w:pPr>
        <w:adjustRightInd w:val="0"/>
        <w:snapToGrid w:val="0"/>
        <w:spacing w:line="360" w:lineRule="auto"/>
        <w:ind w:left="420" w:leftChars="20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（供应商名称）的法定代表人(单位负责人)，现委托___ (姓名) 为我方代理人。代理人根据授权，以我方名义签署、澄清确认、递交、撤回、修改采购项目响应文件，签订合同和处理有关事宜，其法律后果由我方承担。</w:t>
      </w:r>
    </w:p>
    <w:p w14:paraId="570B8315">
      <w:pPr>
        <w:adjustRightInd w:val="0"/>
        <w:snapToGrid w:val="0"/>
        <w:spacing w:line="360" w:lineRule="auto"/>
        <w:ind w:left="420" w:leftChars="20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委托期限：自本委托书签署之日起至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采购项目签订采购合同之日止。</w:t>
      </w:r>
    </w:p>
    <w:p w14:paraId="53A615C0">
      <w:pPr>
        <w:adjustRightInd w:val="0"/>
        <w:snapToGrid w:val="0"/>
        <w:spacing w:line="360" w:lineRule="auto"/>
        <w:ind w:left="420" w:leftChars="20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代理人无转委托权。</w:t>
      </w:r>
    </w:p>
    <w:p w14:paraId="0F572D6A">
      <w:pPr>
        <w:adjustRightInd w:val="0"/>
        <w:snapToGrid w:val="0"/>
        <w:spacing w:line="360" w:lineRule="auto"/>
        <w:ind w:left="420" w:leftChars="20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附：法定代表人(单位负责人)身份证复印件及委托代理人身份证复印件。</w:t>
      </w:r>
    </w:p>
    <w:p w14:paraId="265EC94E">
      <w:pPr>
        <w:adjustRightInd w:val="0"/>
        <w:snapToGrid w:val="0"/>
        <w:spacing w:line="360" w:lineRule="auto"/>
        <w:ind w:left="420" w:leftChars="200" w:firstLine="480" w:firstLineChars="200"/>
        <w:jc w:val="both"/>
        <w:rPr>
          <w:rFonts w:hint="eastAsia" w:ascii="宋体" w:hAnsi="宋体" w:cs="宋体"/>
          <w:color w:val="auto"/>
          <w:sz w:val="24"/>
          <w:highlight w:val="none"/>
        </w:rPr>
      </w:pPr>
    </w:p>
    <w:p w14:paraId="236422B8">
      <w:pPr>
        <w:adjustRightInd w:val="0"/>
        <w:snapToGrid w:val="0"/>
        <w:spacing w:line="360" w:lineRule="auto"/>
        <w:ind w:left="420" w:leftChars="20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供应商：(盖单位章)</w:t>
      </w:r>
    </w:p>
    <w:p w14:paraId="662A4562">
      <w:pPr>
        <w:adjustRightInd w:val="0"/>
        <w:snapToGrid w:val="0"/>
        <w:spacing w:line="360" w:lineRule="auto"/>
        <w:ind w:left="420" w:leftChars="20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法定代表人(单位负责人)： (签字)</w:t>
      </w:r>
    </w:p>
    <w:p w14:paraId="4B81B072">
      <w:pPr>
        <w:adjustRightInd w:val="0"/>
        <w:snapToGrid w:val="0"/>
        <w:spacing w:line="360" w:lineRule="auto"/>
        <w:ind w:left="420" w:leftChars="20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身份证号码： </w:t>
      </w:r>
    </w:p>
    <w:p w14:paraId="233CDE54">
      <w:pPr>
        <w:adjustRightInd w:val="0"/>
        <w:snapToGrid w:val="0"/>
        <w:spacing w:line="360" w:lineRule="auto"/>
        <w:ind w:left="420" w:leftChars="20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委托代理人：(签字) </w:t>
      </w:r>
    </w:p>
    <w:p w14:paraId="7A1175F0">
      <w:pPr>
        <w:adjustRightInd w:val="0"/>
        <w:snapToGrid w:val="0"/>
        <w:spacing w:line="360" w:lineRule="auto"/>
        <w:ind w:left="420" w:leftChars="20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身份证号码：</w:t>
      </w:r>
    </w:p>
    <w:p w14:paraId="1C95A272">
      <w:pPr>
        <w:adjustRightInd w:val="0"/>
        <w:snapToGrid w:val="0"/>
        <w:spacing w:line="360" w:lineRule="auto"/>
        <w:ind w:left="420" w:leftChars="200"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年  月  日</w:t>
      </w:r>
    </w:p>
    <w:p w14:paraId="67F67994">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032E7254">
      <w:pPr>
        <w:numPr>
          <w:ilvl w:val="0"/>
          <w:numId w:val="19"/>
        </w:numPr>
        <w:adjustRightInd w:val="0"/>
        <w:snapToGrid w:val="0"/>
        <w:spacing w:line="600" w:lineRule="exact"/>
        <w:ind w:firstLine="600" w:firstLineChars="2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联合体协议书</w:t>
      </w:r>
    </w:p>
    <w:p w14:paraId="65ED4CF4">
      <w:pPr>
        <w:spacing w:line="400" w:lineRule="atLeast"/>
        <w:ind w:firstLine="600" w:firstLineChars="25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（所有成员单位名称）自愿组成</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（联合体名称），共同参加</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（项目名称）</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（标段名称）</w:t>
      </w:r>
      <w:r>
        <w:rPr>
          <w:rFonts w:hint="default" w:ascii="Times New Roman" w:hAnsi="Times New Roman" w:cs="Times New Roman" w:eastAsiaTheme="minorEastAsia"/>
          <w:color w:val="auto"/>
          <w:sz w:val="24"/>
          <w:szCs w:val="24"/>
          <w:highlight w:val="none"/>
          <w:u w:val="single"/>
        </w:rPr>
        <w:t xml:space="preserve">           </w:t>
      </w:r>
      <w:r>
        <w:rPr>
          <w:rFonts w:hint="eastAsia" w:ascii="Times New Roman" w:hAnsi="Times New Roman" w:cs="Times New Roman" w:eastAsiaTheme="minorEastAsia"/>
          <w:color w:val="auto"/>
          <w:sz w:val="24"/>
          <w:szCs w:val="24"/>
          <w:highlight w:val="none"/>
          <w:u w:val="none"/>
          <w:lang w:val="en-US" w:eastAsia="zh-CN"/>
        </w:rPr>
        <w:t>服务</w:t>
      </w:r>
      <w:r>
        <w:rPr>
          <w:rFonts w:hint="default" w:ascii="Times New Roman" w:hAnsi="Times New Roman" w:cs="Times New Roman" w:eastAsiaTheme="minorEastAsia"/>
          <w:color w:val="auto"/>
          <w:sz w:val="24"/>
          <w:szCs w:val="24"/>
          <w:highlight w:val="none"/>
        </w:rPr>
        <w:t>投标。现就联合体投标事宜订立如下协议。</w:t>
      </w:r>
    </w:p>
    <w:p w14:paraId="7D0B7982">
      <w:pPr>
        <w:numPr>
          <w:ilvl w:val="0"/>
          <w:numId w:val="21"/>
        </w:numPr>
        <w:spacing w:line="400" w:lineRule="atLeas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（某成员单位名称）为</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（联合体名称）牵头人。</w:t>
      </w:r>
    </w:p>
    <w:p w14:paraId="0DE3B2EB">
      <w:pPr>
        <w:numPr>
          <w:ilvl w:val="0"/>
          <w:numId w:val="21"/>
        </w:numPr>
        <w:spacing w:line="400" w:lineRule="atLeas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1742F15B">
      <w:pPr>
        <w:spacing w:line="400" w:lineRule="atLeas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在本招标项目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2B86664A">
      <w:pPr>
        <w:spacing w:line="400" w:lineRule="atLeas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9FB7818">
      <w:pPr>
        <w:spacing w:line="400" w:lineRule="atLeas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、联合体各成员单位内部的职责分工如下：</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。按照本条上述分工，联合体成员单位各自所承担的合同工作量比例如下：</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w:t>
      </w:r>
    </w:p>
    <w:p w14:paraId="6CAFB7E6">
      <w:pPr>
        <w:spacing w:line="400" w:lineRule="atLeas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rPr>
        <w:t>、投标工作和联合体在中标后工程实施过程中的有关费用按各自承担的工作量分摊。</w:t>
      </w:r>
    </w:p>
    <w:p w14:paraId="796516C0">
      <w:pPr>
        <w:spacing w:line="400" w:lineRule="atLeas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7</w:t>
      </w:r>
      <w:r>
        <w:rPr>
          <w:rFonts w:hint="default" w:ascii="Times New Roman" w:hAnsi="Times New Roman" w:cs="Times New Roman" w:eastAsiaTheme="minorEastAsia"/>
          <w:color w:val="auto"/>
          <w:sz w:val="24"/>
          <w:szCs w:val="24"/>
          <w:highlight w:val="none"/>
        </w:rPr>
        <w:t>、联合体中标后，本联合体协议是合同的附件，对联合体各成员单位有合同约束力。</w:t>
      </w:r>
    </w:p>
    <w:p w14:paraId="3B10E1BE">
      <w:pPr>
        <w:spacing w:line="400" w:lineRule="atLeas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8</w:t>
      </w:r>
      <w:r>
        <w:rPr>
          <w:rFonts w:hint="default" w:ascii="Times New Roman" w:hAnsi="Times New Roman" w:cs="Times New Roman" w:eastAsiaTheme="minorEastAsia"/>
          <w:color w:val="auto"/>
          <w:sz w:val="24"/>
          <w:szCs w:val="24"/>
          <w:highlight w:val="none"/>
        </w:rPr>
        <w:t>、本协议书自签署之日起生效，联合体未中标或者中标时合同履行完毕后自动失效。</w:t>
      </w:r>
    </w:p>
    <w:p w14:paraId="17849A78">
      <w:pPr>
        <w:spacing w:line="400" w:lineRule="atLeas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9</w:t>
      </w:r>
      <w:r>
        <w:rPr>
          <w:rFonts w:hint="default" w:ascii="Times New Roman" w:hAnsi="Times New Roman" w:cs="Times New Roman" w:eastAsiaTheme="minorEastAsia"/>
          <w:color w:val="auto"/>
          <w:sz w:val="24"/>
          <w:szCs w:val="24"/>
          <w:highlight w:val="none"/>
        </w:rPr>
        <w:t>、本协议书一式</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份，联合体成员和招标人各执一份。</w:t>
      </w:r>
    </w:p>
    <w:p w14:paraId="330BE146">
      <w:pPr>
        <w:spacing w:line="400" w:lineRule="atLeast"/>
        <w:ind w:firstLine="480" w:firstLineChars="200"/>
        <w:rPr>
          <w:rFonts w:hint="default" w:ascii="Times New Roman" w:hAnsi="Times New Roman" w:cs="Times New Roman" w:eastAsiaTheme="minorEastAsia"/>
          <w:color w:val="auto"/>
          <w:sz w:val="24"/>
          <w:szCs w:val="24"/>
          <w:highlight w:val="none"/>
        </w:rPr>
      </w:pPr>
    </w:p>
    <w:p w14:paraId="66FCA6C6">
      <w:pPr>
        <w:spacing w:line="400" w:lineRule="atLeast"/>
        <w:rPr>
          <w:rFonts w:hint="default" w:ascii="Times New Roman" w:hAnsi="Times New Roman" w:cs="Times New Roman" w:eastAsiaTheme="minorEastAsia"/>
          <w:color w:val="auto"/>
          <w:sz w:val="24"/>
          <w:szCs w:val="24"/>
          <w:highlight w:val="none"/>
        </w:rPr>
      </w:pPr>
    </w:p>
    <w:p w14:paraId="4E4D8C2D">
      <w:pPr>
        <w:spacing w:line="400" w:lineRule="atLeast"/>
        <w:ind w:firstLine="480" w:firstLineChars="200"/>
        <w:rPr>
          <w:rFonts w:hint="default" w:ascii="Times New Roman" w:hAnsi="Times New Roman" w:cs="Times New Roman" w:eastAsiaTheme="minorEastAsia"/>
          <w:color w:val="auto"/>
          <w:sz w:val="24"/>
          <w:szCs w:val="24"/>
          <w:highlight w:val="none"/>
        </w:rPr>
      </w:pPr>
    </w:p>
    <w:p w14:paraId="71F6EDB1">
      <w:pPr>
        <w:spacing w:line="400" w:lineRule="atLeast"/>
        <w:ind w:right="140"/>
        <w:jc w:val="left"/>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联合体</w:t>
      </w:r>
      <w:r>
        <w:rPr>
          <w:rFonts w:hint="default" w:ascii="Times New Roman" w:hAnsi="Times New Roman" w:cs="Times New Roman" w:eastAsiaTheme="minorEastAsia"/>
          <w:color w:val="auto"/>
          <w:sz w:val="24"/>
          <w:szCs w:val="24"/>
          <w:highlight w:val="none"/>
        </w:rPr>
        <w:t>牵头人名称：</w:t>
      </w:r>
      <w:r>
        <w:rPr>
          <w:rFonts w:hint="default" w:ascii="Times New Roman" w:hAnsi="Times New Roman" w:cs="Times New Roman" w:eastAsiaTheme="minorEastAsia"/>
          <w:color w:val="auto"/>
          <w:sz w:val="24"/>
          <w:szCs w:val="24"/>
          <w:highlight w:val="none"/>
          <w:u w:val="single"/>
        </w:rPr>
        <w:t xml:space="preserve">   </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p>
    <w:p w14:paraId="144087C6">
      <w:pPr>
        <w:spacing w:line="400" w:lineRule="atLeast"/>
        <w:ind w:right="140"/>
        <w:jc w:val="left"/>
        <w:rPr>
          <w:rFonts w:hint="default" w:ascii="Times New Roman" w:hAnsi="Times New Roman" w:cs="Times New Roman" w:eastAsiaTheme="minorEastAsia"/>
          <w:color w:val="auto"/>
          <w:sz w:val="24"/>
          <w:szCs w:val="24"/>
          <w:highlight w:val="none"/>
          <w:u w:val="single"/>
          <w:lang w:val="en-US" w:eastAsia="zh-CN"/>
        </w:rPr>
      </w:pPr>
      <w:r>
        <w:rPr>
          <w:rFonts w:hint="default" w:ascii="Times New Roman" w:hAnsi="Times New Roman" w:cs="Times New Roman" w:eastAsiaTheme="minorEastAsia"/>
          <w:bCs/>
          <w:color w:val="auto"/>
          <w:sz w:val="24"/>
          <w:szCs w:val="24"/>
          <w:highlight w:val="none"/>
        </w:rPr>
        <w:t>法定代表人</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rPr>
        <w:t xml:space="preserve">  </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p>
    <w:p w14:paraId="20B954E9">
      <w:pPr>
        <w:spacing w:line="400" w:lineRule="atLeast"/>
        <w:ind w:firstLine="2880" w:firstLineChars="1200"/>
        <w:jc w:val="left"/>
        <w:rPr>
          <w:rFonts w:hint="default" w:ascii="Times New Roman" w:hAnsi="Times New Roman" w:cs="Times New Roman" w:eastAsiaTheme="minorEastAsia"/>
          <w:color w:val="auto"/>
          <w:sz w:val="24"/>
          <w:szCs w:val="24"/>
          <w:highlight w:val="none"/>
        </w:rPr>
      </w:pPr>
    </w:p>
    <w:p w14:paraId="1E9FB68A">
      <w:pPr>
        <w:spacing w:line="400" w:lineRule="atLeast"/>
        <w:ind w:right="140"/>
        <w:jc w:val="left"/>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联合体</w:t>
      </w:r>
      <w:r>
        <w:rPr>
          <w:rFonts w:hint="default" w:ascii="Times New Roman" w:hAnsi="Times New Roman" w:cs="Times New Roman" w:eastAsiaTheme="minorEastAsia"/>
          <w:color w:val="auto"/>
          <w:sz w:val="24"/>
          <w:szCs w:val="24"/>
          <w:highlight w:val="none"/>
        </w:rPr>
        <w:t>成员一名称：</w:t>
      </w:r>
      <w:r>
        <w:rPr>
          <w:rFonts w:hint="default" w:ascii="Times New Roman" w:hAnsi="Times New Roman" w:cs="Times New Roman" w:eastAsiaTheme="minorEastAsia"/>
          <w:color w:val="auto"/>
          <w:sz w:val="24"/>
          <w:szCs w:val="24"/>
          <w:highlight w:val="none"/>
          <w:u w:val="single"/>
        </w:rPr>
        <w:t xml:space="preserve">   </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p>
    <w:p w14:paraId="07F6FD94">
      <w:pPr>
        <w:spacing w:line="400" w:lineRule="atLeast"/>
        <w:ind w:right="140"/>
        <w:jc w:val="left"/>
        <w:rPr>
          <w:rFonts w:hint="default" w:ascii="Times New Roman" w:hAnsi="Times New Roman" w:cs="Times New Roman" w:eastAsiaTheme="minorEastAsia"/>
          <w:color w:val="auto"/>
          <w:sz w:val="24"/>
          <w:szCs w:val="24"/>
          <w:highlight w:val="none"/>
          <w:u w:val="single"/>
          <w:lang w:val="en-US" w:eastAsia="zh-CN"/>
        </w:rPr>
      </w:pPr>
      <w:r>
        <w:rPr>
          <w:rFonts w:hint="default" w:ascii="Times New Roman" w:hAnsi="Times New Roman" w:cs="Times New Roman" w:eastAsiaTheme="minorEastAsia"/>
          <w:bCs/>
          <w:color w:val="auto"/>
          <w:sz w:val="24"/>
          <w:szCs w:val="24"/>
          <w:highlight w:val="none"/>
        </w:rPr>
        <w:t>法定代表人</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rPr>
        <w:t xml:space="preserve">  </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p>
    <w:p w14:paraId="477DF107">
      <w:pPr>
        <w:spacing w:line="400" w:lineRule="atLeast"/>
        <w:jc w:val="left"/>
        <w:rPr>
          <w:rFonts w:hint="default" w:ascii="Times New Roman" w:hAnsi="Times New Roman" w:cs="Times New Roman" w:eastAsiaTheme="minorEastAsia"/>
          <w:color w:val="auto"/>
          <w:sz w:val="24"/>
          <w:szCs w:val="24"/>
          <w:highlight w:val="none"/>
        </w:rPr>
      </w:pPr>
    </w:p>
    <w:p w14:paraId="5AA9818F">
      <w:pPr>
        <w:spacing w:line="400" w:lineRule="atLeast"/>
        <w:ind w:firstLine="2880" w:firstLineChars="1200"/>
        <w:jc w:val="left"/>
        <w:rPr>
          <w:rFonts w:hint="default" w:ascii="Times New Roman" w:hAnsi="Times New Roman" w:cs="Times New Roman" w:eastAsiaTheme="minorEastAsia"/>
          <w:color w:val="auto"/>
          <w:sz w:val="24"/>
          <w:szCs w:val="24"/>
          <w:highlight w:val="none"/>
        </w:rPr>
      </w:pPr>
    </w:p>
    <w:p w14:paraId="56415AC2">
      <w:pPr>
        <w:spacing w:line="400" w:lineRule="atLeast"/>
        <w:ind w:right="140"/>
        <w:jc w:val="left"/>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联合体</w:t>
      </w:r>
      <w:r>
        <w:rPr>
          <w:rFonts w:hint="default" w:ascii="Times New Roman" w:hAnsi="Times New Roman" w:cs="Times New Roman" w:eastAsiaTheme="minorEastAsia"/>
          <w:color w:val="auto"/>
          <w:sz w:val="24"/>
          <w:szCs w:val="24"/>
          <w:highlight w:val="none"/>
        </w:rPr>
        <w:t>成员二名称：</w:t>
      </w:r>
      <w:r>
        <w:rPr>
          <w:rFonts w:hint="default" w:ascii="Times New Roman" w:hAnsi="Times New Roman" w:cs="Times New Roman" w:eastAsiaTheme="minorEastAsia"/>
          <w:color w:val="auto"/>
          <w:sz w:val="24"/>
          <w:szCs w:val="24"/>
          <w:highlight w:val="none"/>
          <w:u w:val="single"/>
        </w:rPr>
        <w:t xml:space="preserve">   </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p>
    <w:p w14:paraId="14827863">
      <w:pPr>
        <w:spacing w:line="400" w:lineRule="atLeast"/>
        <w:ind w:right="140"/>
        <w:jc w:val="left"/>
        <w:rPr>
          <w:rFonts w:hint="default" w:ascii="Times New Roman" w:hAnsi="Times New Roman" w:cs="Times New Roman" w:eastAsiaTheme="minorEastAsia"/>
          <w:color w:val="auto"/>
          <w:sz w:val="24"/>
          <w:szCs w:val="24"/>
          <w:highlight w:val="none"/>
          <w:u w:val="single"/>
          <w:lang w:val="en-US" w:eastAsia="zh-CN"/>
        </w:rPr>
      </w:pPr>
      <w:r>
        <w:rPr>
          <w:rFonts w:hint="default" w:ascii="Times New Roman" w:hAnsi="Times New Roman" w:cs="Times New Roman" w:eastAsiaTheme="minorEastAsia"/>
          <w:bCs/>
          <w:color w:val="auto"/>
          <w:sz w:val="24"/>
          <w:szCs w:val="24"/>
          <w:highlight w:val="none"/>
        </w:rPr>
        <w:t>法定代表人</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rPr>
        <w:t xml:space="preserve">  </w:t>
      </w:r>
      <w:r>
        <w:rPr>
          <w:rFonts w:hint="eastAsia" w:ascii="Times New Roman" w:hAnsi="Times New Roman" w:cs="Times New Roman" w:eastAsiaTheme="minorEastAsia"/>
          <w:color w:val="auto"/>
          <w:sz w:val="24"/>
          <w:szCs w:val="24"/>
          <w:highlight w:val="none"/>
          <w:u w:val="single"/>
          <w:lang w:val="en-US" w:eastAsia="zh-CN"/>
        </w:rPr>
        <w:t xml:space="preserve">                       </w:t>
      </w:r>
      <w:r>
        <w:rPr>
          <w:rFonts w:hint="default" w:ascii="Times New Roman" w:hAnsi="Times New Roman" w:cs="Times New Roman" w:eastAsiaTheme="minorEastAsia"/>
          <w:color w:val="auto"/>
          <w:sz w:val="24"/>
          <w:szCs w:val="24"/>
          <w:highlight w:val="none"/>
          <w:u w:val="single"/>
          <w:lang w:val="en-US" w:eastAsia="zh-CN"/>
        </w:rPr>
        <w:t xml:space="preserve">    </w:t>
      </w:r>
    </w:p>
    <w:p w14:paraId="5E683491">
      <w:pPr>
        <w:spacing w:line="400" w:lineRule="atLeast"/>
        <w:rPr>
          <w:rFonts w:hint="default" w:ascii="Times New Roman" w:hAnsi="Times New Roman" w:cs="Times New Roman" w:eastAsiaTheme="minorEastAsia"/>
          <w:color w:val="auto"/>
          <w:sz w:val="24"/>
          <w:szCs w:val="24"/>
          <w:highlight w:val="none"/>
          <w:lang w:eastAsia="zh-CN"/>
        </w:rPr>
      </w:pPr>
    </w:p>
    <w:p w14:paraId="05668443">
      <w:pPr>
        <w:spacing w:line="400" w:lineRule="atLeast"/>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lang w:eastAsia="zh-CN"/>
        </w:rPr>
        <w:t>……</w:t>
      </w:r>
    </w:p>
    <w:p w14:paraId="4F9A650F">
      <w:pPr>
        <w:spacing w:line="400" w:lineRule="atLeast"/>
        <w:ind w:firstLine="4620" w:firstLineChars="1925"/>
        <w:rPr>
          <w:rFonts w:ascii="Times New Roman" w:hAnsi="Times New Roman" w:cs="Times New Roman"/>
          <w:color w:val="auto"/>
          <w:sz w:val="24"/>
          <w:highlight w:val="none"/>
        </w:rPr>
      </w:pP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年</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cs="Times New Roman" w:eastAsiaTheme="minorEastAsia"/>
          <w:color w:val="auto"/>
          <w:sz w:val="24"/>
          <w:szCs w:val="24"/>
          <w:highlight w:val="none"/>
        </w:rPr>
        <w:t>月</w:t>
      </w:r>
      <w:r>
        <w:rPr>
          <w:rFonts w:hint="default" w:ascii="Times New Roman" w:hAnsi="Times New Roman" w:cs="Times New Roman" w:eastAsiaTheme="minorEastAsia"/>
          <w:color w:val="auto"/>
          <w:sz w:val="24"/>
          <w:szCs w:val="24"/>
          <w:highlight w:val="none"/>
          <w:u w:val="single"/>
        </w:rPr>
        <w:t xml:space="preserve">  </w:t>
      </w:r>
      <w:r>
        <w:rPr>
          <w:rFonts w:hint="default" w:ascii="Times New Roman" w:hAnsi="Times New Roman" w:eastAsia="宋体" w:cs="Times New Roman"/>
          <w:color w:val="auto"/>
          <w:sz w:val="28"/>
          <w:szCs w:val="32"/>
          <w:highlight w:val="none"/>
          <w:u w:val="single"/>
        </w:rPr>
        <w:t xml:space="preserve">    </w:t>
      </w:r>
      <w:r>
        <w:rPr>
          <w:rFonts w:hint="default" w:ascii="Times New Roman" w:hAnsi="Times New Roman" w:eastAsia="宋体" w:cs="Times New Roman"/>
          <w:color w:val="auto"/>
          <w:sz w:val="28"/>
          <w:szCs w:val="32"/>
          <w:highlight w:val="none"/>
        </w:rPr>
        <w:t>日</w:t>
      </w:r>
    </w:p>
    <w:p w14:paraId="51265B88">
      <w:pPr>
        <w:adjustRightInd w:val="0"/>
        <w:snapToGrid w:val="0"/>
        <w:spacing w:line="60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四、响应保证金</w:t>
      </w:r>
    </w:p>
    <w:p w14:paraId="06C8B39A">
      <w:pPr>
        <w:adjustRightInd w:val="0"/>
        <w:snapToGrid w:val="0"/>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(适用于递交响应保证金的情况)</w:t>
      </w:r>
    </w:p>
    <w:p w14:paraId="3DA20C77">
      <w:pPr>
        <w:numPr>
          <w:ilvl w:val="0"/>
          <w:numId w:val="22"/>
        </w:numPr>
        <w:adjustRightInd w:val="0"/>
        <w:snapToGrid w:val="0"/>
        <w:spacing w:line="360" w:lineRule="auto"/>
        <w:ind w:firstLine="420" w:firstLineChars="175"/>
        <w:jc w:val="both"/>
        <w:rPr>
          <w:rFonts w:hint="eastAsia" w:ascii="宋体" w:hAnsi="宋体" w:cs="宋体"/>
          <w:color w:val="auto"/>
          <w:sz w:val="24"/>
          <w:highlight w:val="none"/>
        </w:rPr>
      </w:pPr>
      <w:r>
        <w:rPr>
          <w:rFonts w:hint="eastAsia" w:ascii="宋体" w:hAnsi="宋体" w:cs="宋体"/>
          <w:color w:val="auto"/>
          <w:sz w:val="24"/>
          <w:highlight w:val="none"/>
        </w:rPr>
        <w:t>采用转账方式的，供应商应在此提供转账凭证复印件。</w:t>
      </w:r>
    </w:p>
    <w:p w14:paraId="10BC77CA">
      <w:pPr>
        <w:numPr>
          <w:ilvl w:val="0"/>
          <w:numId w:val="22"/>
        </w:numPr>
        <w:adjustRightInd w:val="0"/>
        <w:snapToGrid w:val="0"/>
        <w:spacing w:line="360" w:lineRule="auto"/>
        <w:ind w:firstLine="420" w:firstLineChars="175"/>
        <w:jc w:val="both"/>
        <w:rPr>
          <w:rFonts w:hint="eastAsia" w:ascii="宋体" w:hAnsi="宋体" w:cs="宋体"/>
          <w:color w:val="auto"/>
          <w:sz w:val="24"/>
          <w:highlight w:val="none"/>
        </w:rPr>
      </w:pPr>
      <w:r>
        <w:rPr>
          <w:rFonts w:hint="eastAsia" w:ascii="宋体" w:hAnsi="宋体" w:cs="宋体"/>
          <w:color w:val="auto"/>
          <w:sz w:val="24"/>
          <w:highlight w:val="none"/>
        </w:rPr>
        <w:t>采用支票、汇票等方式的，供应商应在此提供支票、汇票等的复印件，原件应单独递交。</w:t>
      </w:r>
    </w:p>
    <w:p w14:paraId="5456B797">
      <w:pPr>
        <w:numPr>
          <w:ilvl w:val="0"/>
          <w:numId w:val="22"/>
        </w:numPr>
        <w:adjustRightInd w:val="0"/>
        <w:snapToGrid w:val="0"/>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采用银行或担保机构担保函方式的，格式如下：</w:t>
      </w:r>
    </w:p>
    <w:p w14:paraId="423FFC45">
      <w:pPr>
        <w:numPr>
          <w:ilvl w:val="0"/>
          <w:numId w:val="22"/>
        </w:numPr>
        <w:adjustRightInd w:val="0"/>
        <w:snapToGrid w:val="0"/>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(采购人名称)：</w:t>
      </w:r>
    </w:p>
    <w:p w14:paraId="5CB190CD">
      <w:pPr>
        <w:pStyle w:val="72"/>
        <w:ind w:left="840" w:hanging="420"/>
        <w:rPr>
          <w:color w:val="auto"/>
          <w:highlight w:val="none"/>
        </w:rPr>
      </w:pPr>
    </w:p>
    <w:p w14:paraId="64F22FB0">
      <w:pPr>
        <w:numPr>
          <w:ilvl w:val="0"/>
          <w:numId w:val="22"/>
        </w:numPr>
        <w:adjustRightInd w:val="0"/>
        <w:snapToGrid w:val="0"/>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鉴于(供应商名称) (以下称“供应商")于年月日参加(项目名称)采购活动，</w:t>
      </w:r>
    </w:p>
    <w:p w14:paraId="23E187DD">
      <w:pPr>
        <w:numPr>
          <w:ilvl w:val="0"/>
          <w:numId w:val="22"/>
        </w:numPr>
        <w:adjustRightInd w:val="0"/>
        <w:snapToGrid w:val="0"/>
        <w:spacing w:line="360" w:lineRule="auto"/>
        <w:ind w:firstLine="480" w:firstLineChars="200"/>
        <w:jc w:val="both"/>
        <w:rPr>
          <w:rFonts w:hint="eastAsia" w:ascii="宋体" w:hAnsi="宋体" w:cs="宋体"/>
          <w:color w:val="auto"/>
          <w:sz w:val="24"/>
          <w:highlight w:val="none"/>
        </w:rPr>
      </w:pPr>
      <w:r>
        <w:rPr>
          <w:rFonts w:hint="eastAsia" w:ascii="宋体" w:hAnsi="宋体" w:cs="宋体"/>
          <w:color w:val="auto"/>
          <w:sz w:val="24"/>
          <w:highlight w:val="none"/>
        </w:rPr>
        <w:t>(担保人名称) (以下称“我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p>
    <w:p w14:paraId="481C56E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本保函在响应文件有效期内保持有效。要求我方承担保证责任的通知应在响应文件有效期内送达我方。</w:t>
      </w:r>
    </w:p>
    <w:p w14:paraId="7523E556">
      <w:pPr>
        <w:spacing w:line="360" w:lineRule="auto"/>
        <w:ind w:firstLine="480" w:firstLineChars="200"/>
        <w:rPr>
          <w:rFonts w:hint="eastAsia" w:ascii="宋体" w:hAnsi="宋体" w:cs="宋体"/>
          <w:color w:val="auto"/>
          <w:sz w:val="24"/>
          <w:highlight w:val="none"/>
        </w:rPr>
      </w:pPr>
    </w:p>
    <w:p w14:paraId="7DCBD38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担保人名称：(盖单位章)</w:t>
      </w:r>
    </w:p>
    <w:p w14:paraId="50BE6710">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289B924E">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邮政编码：</w:t>
      </w:r>
      <w:r>
        <w:rPr>
          <w:rFonts w:hint="eastAsia" w:ascii="宋体" w:hAnsi="宋体" w:cs="宋体"/>
          <w:color w:val="auto"/>
          <w:sz w:val="24"/>
          <w:highlight w:val="none"/>
          <w:u w:val="single"/>
        </w:rPr>
        <w:t xml:space="preserve">                       </w:t>
      </w:r>
    </w:p>
    <w:p w14:paraId="770ABCA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p>
    <w:p w14:paraId="6B756A63">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br w:type="page"/>
      </w:r>
    </w:p>
    <w:p w14:paraId="4E38F805">
      <w:pPr>
        <w:spacing w:line="600" w:lineRule="exact"/>
        <w:ind w:left="420" w:leftChars="2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五、商务和技术偏差表</w:t>
      </w:r>
    </w:p>
    <w:p w14:paraId="63346410">
      <w:pPr>
        <w:spacing w:line="600" w:lineRule="exact"/>
        <w:ind w:left="420" w:leftChars="200"/>
        <w:jc w:val="center"/>
        <w:rPr>
          <w:rFonts w:hint="eastAsia" w:ascii="宋体" w:hAnsi="宋体" w:cs="宋体"/>
          <w:color w:val="auto"/>
          <w:sz w:val="30"/>
          <w:szCs w:val="30"/>
          <w:highlight w:val="none"/>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2784"/>
        <w:gridCol w:w="3240"/>
        <w:gridCol w:w="1836"/>
      </w:tblGrid>
      <w:tr w14:paraId="056BB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B1DB895">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序号</w:t>
            </w:r>
          </w:p>
        </w:tc>
        <w:tc>
          <w:tcPr>
            <w:tcW w:w="2784" w:type="dxa"/>
          </w:tcPr>
          <w:p w14:paraId="44F0AB7E">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采购文件章节及条款号</w:t>
            </w:r>
          </w:p>
        </w:tc>
        <w:tc>
          <w:tcPr>
            <w:tcW w:w="3240" w:type="dxa"/>
          </w:tcPr>
          <w:p w14:paraId="30166588">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响应文件章节及条款号</w:t>
            </w:r>
          </w:p>
        </w:tc>
        <w:tc>
          <w:tcPr>
            <w:tcW w:w="1836" w:type="dxa"/>
          </w:tcPr>
          <w:p w14:paraId="7640287F">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偏差说明</w:t>
            </w:r>
          </w:p>
        </w:tc>
      </w:tr>
      <w:tr w14:paraId="23CA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20B030FA">
            <w:pPr>
              <w:widowControl/>
              <w:spacing w:line="600" w:lineRule="exact"/>
              <w:jc w:val="both"/>
              <w:rPr>
                <w:rFonts w:hint="eastAsia" w:ascii="宋体" w:hAnsi="宋体" w:cs="宋体"/>
                <w:color w:val="auto"/>
                <w:sz w:val="30"/>
                <w:szCs w:val="30"/>
                <w:highlight w:val="none"/>
              </w:rPr>
            </w:pPr>
          </w:p>
        </w:tc>
        <w:tc>
          <w:tcPr>
            <w:tcW w:w="2784" w:type="dxa"/>
          </w:tcPr>
          <w:p w14:paraId="3F84F161">
            <w:pPr>
              <w:widowControl/>
              <w:spacing w:line="600" w:lineRule="exact"/>
              <w:jc w:val="both"/>
              <w:rPr>
                <w:rFonts w:hint="eastAsia" w:ascii="宋体" w:hAnsi="宋体" w:cs="宋体"/>
                <w:color w:val="auto"/>
                <w:sz w:val="30"/>
                <w:szCs w:val="30"/>
                <w:highlight w:val="none"/>
              </w:rPr>
            </w:pPr>
          </w:p>
        </w:tc>
        <w:tc>
          <w:tcPr>
            <w:tcW w:w="3240" w:type="dxa"/>
          </w:tcPr>
          <w:p w14:paraId="53B701B4">
            <w:pPr>
              <w:widowControl/>
              <w:spacing w:line="600" w:lineRule="exact"/>
              <w:jc w:val="both"/>
              <w:rPr>
                <w:rFonts w:hint="eastAsia" w:ascii="宋体" w:hAnsi="宋体" w:cs="宋体"/>
                <w:color w:val="auto"/>
                <w:sz w:val="30"/>
                <w:szCs w:val="30"/>
                <w:highlight w:val="none"/>
              </w:rPr>
            </w:pPr>
          </w:p>
        </w:tc>
        <w:tc>
          <w:tcPr>
            <w:tcW w:w="1836" w:type="dxa"/>
          </w:tcPr>
          <w:p w14:paraId="40D36814">
            <w:pPr>
              <w:widowControl/>
              <w:spacing w:line="600" w:lineRule="exact"/>
              <w:jc w:val="both"/>
              <w:rPr>
                <w:rFonts w:hint="eastAsia" w:ascii="宋体" w:hAnsi="宋体" w:cs="宋体"/>
                <w:color w:val="auto"/>
                <w:sz w:val="30"/>
                <w:szCs w:val="30"/>
                <w:highlight w:val="none"/>
              </w:rPr>
            </w:pPr>
          </w:p>
        </w:tc>
      </w:tr>
      <w:tr w14:paraId="004A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39AD1B01">
            <w:pPr>
              <w:widowControl/>
              <w:spacing w:line="600" w:lineRule="exact"/>
              <w:jc w:val="both"/>
              <w:rPr>
                <w:rFonts w:hint="eastAsia" w:ascii="宋体" w:hAnsi="宋体" w:cs="宋体"/>
                <w:color w:val="auto"/>
                <w:sz w:val="30"/>
                <w:szCs w:val="30"/>
                <w:highlight w:val="none"/>
              </w:rPr>
            </w:pPr>
          </w:p>
        </w:tc>
        <w:tc>
          <w:tcPr>
            <w:tcW w:w="2784" w:type="dxa"/>
          </w:tcPr>
          <w:p w14:paraId="0B64F61F">
            <w:pPr>
              <w:widowControl/>
              <w:spacing w:line="600" w:lineRule="exact"/>
              <w:jc w:val="both"/>
              <w:rPr>
                <w:rFonts w:hint="eastAsia" w:ascii="宋体" w:hAnsi="宋体" w:cs="宋体"/>
                <w:color w:val="auto"/>
                <w:sz w:val="30"/>
                <w:szCs w:val="30"/>
                <w:highlight w:val="none"/>
              </w:rPr>
            </w:pPr>
          </w:p>
        </w:tc>
        <w:tc>
          <w:tcPr>
            <w:tcW w:w="3240" w:type="dxa"/>
          </w:tcPr>
          <w:p w14:paraId="75242E54">
            <w:pPr>
              <w:widowControl/>
              <w:spacing w:line="600" w:lineRule="exact"/>
              <w:jc w:val="both"/>
              <w:rPr>
                <w:rFonts w:hint="eastAsia" w:ascii="宋体" w:hAnsi="宋体" w:cs="宋体"/>
                <w:color w:val="auto"/>
                <w:sz w:val="30"/>
                <w:szCs w:val="30"/>
                <w:highlight w:val="none"/>
              </w:rPr>
            </w:pPr>
          </w:p>
        </w:tc>
        <w:tc>
          <w:tcPr>
            <w:tcW w:w="1836" w:type="dxa"/>
          </w:tcPr>
          <w:p w14:paraId="615BD2D9">
            <w:pPr>
              <w:widowControl/>
              <w:spacing w:line="600" w:lineRule="exact"/>
              <w:jc w:val="both"/>
              <w:rPr>
                <w:rFonts w:hint="eastAsia" w:ascii="宋体" w:hAnsi="宋体" w:cs="宋体"/>
                <w:color w:val="auto"/>
                <w:sz w:val="30"/>
                <w:szCs w:val="30"/>
                <w:highlight w:val="none"/>
              </w:rPr>
            </w:pPr>
          </w:p>
        </w:tc>
      </w:tr>
      <w:tr w14:paraId="13BC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68858467">
            <w:pPr>
              <w:widowControl/>
              <w:spacing w:line="600" w:lineRule="exact"/>
              <w:jc w:val="both"/>
              <w:rPr>
                <w:rFonts w:hint="eastAsia" w:ascii="宋体" w:hAnsi="宋体" w:cs="宋体"/>
                <w:color w:val="auto"/>
                <w:sz w:val="30"/>
                <w:szCs w:val="30"/>
                <w:highlight w:val="none"/>
              </w:rPr>
            </w:pPr>
          </w:p>
        </w:tc>
        <w:tc>
          <w:tcPr>
            <w:tcW w:w="2784" w:type="dxa"/>
          </w:tcPr>
          <w:p w14:paraId="17176264">
            <w:pPr>
              <w:widowControl/>
              <w:spacing w:line="600" w:lineRule="exact"/>
              <w:jc w:val="both"/>
              <w:rPr>
                <w:rFonts w:hint="eastAsia" w:ascii="宋体" w:hAnsi="宋体" w:cs="宋体"/>
                <w:color w:val="auto"/>
                <w:sz w:val="30"/>
                <w:szCs w:val="30"/>
                <w:highlight w:val="none"/>
              </w:rPr>
            </w:pPr>
          </w:p>
        </w:tc>
        <w:tc>
          <w:tcPr>
            <w:tcW w:w="3240" w:type="dxa"/>
          </w:tcPr>
          <w:p w14:paraId="15A35701">
            <w:pPr>
              <w:widowControl/>
              <w:spacing w:line="600" w:lineRule="exact"/>
              <w:jc w:val="both"/>
              <w:rPr>
                <w:rFonts w:hint="eastAsia" w:ascii="宋体" w:hAnsi="宋体" w:cs="宋体"/>
                <w:color w:val="auto"/>
                <w:sz w:val="30"/>
                <w:szCs w:val="30"/>
                <w:highlight w:val="none"/>
              </w:rPr>
            </w:pPr>
          </w:p>
        </w:tc>
        <w:tc>
          <w:tcPr>
            <w:tcW w:w="1836" w:type="dxa"/>
          </w:tcPr>
          <w:p w14:paraId="539A815F">
            <w:pPr>
              <w:widowControl/>
              <w:spacing w:line="600" w:lineRule="exact"/>
              <w:jc w:val="both"/>
              <w:rPr>
                <w:rFonts w:hint="eastAsia" w:ascii="宋体" w:hAnsi="宋体" w:cs="宋体"/>
                <w:color w:val="auto"/>
                <w:sz w:val="30"/>
                <w:szCs w:val="30"/>
                <w:highlight w:val="none"/>
              </w:rPr>
            </w:pPr>
          </w:p>
        </w:tc>
      </w:tr>
      <w:tr w14:paraId="766C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tcPr>
          <w:p w14:paraId="4FACAF14">
            <w:pPr>
              <w:widowControl/>
              <w:spacing w:line="600" w:lineRule="exact"/>
              <w:jc w:val="both"/>
              <w:rPr>
                <w:rFonts w:hint="eastAsia" w:ascii="宋体" w:hAnsi="宋体" w:cs="宋体"/>
                <w:color w:val="auto"/>
                <w:sz w:val="30"/>
                <w:szCs w:val="30"/>
                <w:highlight w:val="none"/>
              </w:rPr>
            </w:pPr>
          </w:p>
        </w:tc>
        <w:tc>
          <w:tcPr>
            <w:tcW w:w="2784" w:type="dxa"/>
          </w:tcPr>
          <w:p w14:paraId="6DD76CDC">
            <w:pPr>
              <w:widowControl/>
              <w:spacing w:line="600" w:lineRule="exact"/>
              <w:jc w:val="both"/>
              <w:rPr>
                <w:rFonts w:hint="eastAsia" w:ascii="宋体" w:hAnsi="宋体" w:cs="宋体"/>
                <w:color w:val="auto"/>
                <w:sz w:val="30"/>
                <w:szCs w:val="30"/>
                <w:highlight w:val="none"/>
              </w:rPr>
            </w:pPr>
          </w:p>
        </w:tc>
        <w:tc>
          <w:tcPr>
            <w:tcW w:w="3240" w:type="dxa"/>
          </w:tcPr>
          <w:p w14:paraId="75B4EFA7">
            <w:pPr>
              <w:widowControl/>
              <w:spacing w:line="600" w:lineRule="exact"/>
              <w:jc w:val="both"/>
              <w:rPr>
                <w:rFonts w:hint="eastAsia" w:ascii="宋体" w:hAnsi="宋体" w:cs="宋体"/>
                <w:color w:val="auto"/>
                <w:sz w:val="30"/>
                <w:szCs w:val="30"/>
                <w:highlight w:val="none"/>
              </w:rPr>
            </w:pPr>
          </w:p>
        </w:tc>
        <w:tc>
          <w:tcPr>
            <w:tcW w:w="1836" w:type="dxa"/>
          </w:tcPr>
          <w:p w14:paraId="1C2B1230">
            <w:pPr>
              <w:widowControl/>
              <w:spacing w:line="600" w:lineRule="exact"/>
              <w:jc w:val="both"/>
              <w:rPr>
                <w:rFonts w:hint="eastAsia" w:ascii="宋体" w:hAnsi="宋体" w:cs="宋体"/>
                <w:color w:val="auto"/>
                <w:sz w:val="30"/>
                <w:szCs w:val="30"/>
                <w:highlight w:val="none"/>
              </w:rPr>
            </w:pPr>
          </w:p>
        </w:tc>
      </w:tr>
    </w:tbl>
    <w:p w14:paraId="24F9CD79">
      <w:pPr>
        <w:spacing w:line="6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供应商保证：除商务和技术偏差表列出的偏差外，供应商响应采购文件的全部要求。</w:t>
      </w:r>
    </w:p>
    <w:p w14:paraId="0D0DDBCD">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7F06A35A">
      <w:pPr>
        <w:spacing w:line="60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六、报价表</w:t>
      </w:r>
    </w:p>
    <w:p w14:paraId="29BD310E">
      <w:pPr>
        <w:spacing w:line="60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t>1.报价表说明</w:t>
      </w:r>
    </w:p>
    <w:p w14:paraId="0F8F1EC2">
      <w:pPr>
        <w:spacing w:line="60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t>2.报价表</w:t>
      </w:r>
    </w:p>
    <w:tbl>
      <w:tblPr>
        <w:tblStyle w:val="86"/>
        <w:tblW w:w="88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24"/>
        <w:gridCol w:w="3125"/>
        <w:gridCol w:w="1588"/>
        <w:gridCol w:w="1801"/>
      </w:tblGrid>
      <w:tr w14:paraId="7CBE82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5" w:hRule="atLeast"/>
          <w:jc w:val="center"/>
        </w:trPr>
        <w:tc>
          <w:tcPr>
            <w:tcW w:w="2324" w:type="dxa"/>
            <w:tcBorders>
              <w:top w:val="double" w:color="auto" w:sz="4" w:space="0"/>
              <w:left w:val="double" w:color="auto" w:sz="4" w:space="0"/>
              <w:bottom w:val="single" w:color="auto" w:sz="6" w:space="0"/>
              <w:right w:val="single" w:color="auto" w:sz="6" w:space="0"/>
            </w:tcBorders>
            <w:vAlign w:val="center"/>
          </w:tcPr>
          <w:p w14:paraId="693B4404">
            <w:pPr>
              <w:pStyle w:val="80"/>
              <w:adjustRightInd w:val="0"/>
              <w:snapToGrid w:val="0"/>
              <w:spacing w:before="0" w:beforeAutospacing="0" w:after="0" w:afterAutospacing="0" w:line="360" w:lineRule="auto"/>
              <w:ind w:firstLine="480" w:firstLineChars="200"/>
              <w:textAlignment w:val="baseline"/>
              <w:rPr>
                <w:rFonts w:hint="eastAsia"/>
                <w:color w:val="auto"/>
                <w:kern w:val="2"/>
                <w:highlight w:val="none"/>
              </w:rPr>
            </w:pPr>
            <w:r>
              <w:rPr>
                <w:rFonts w:hint="eastAsia"/>
                <w:color w:val="auto"/>
                <w:kern w:val="2"/>
                <w:highlight w:val="none"/>
              </w:rPr>
              <w:t>项目名称</w:t>
            </w:r>
          </w:p>
        </w:tc>
        <w:tc>
          <w:tcPr>
            <w:tcW w:w="3125" w:type="dxa"/>
            <w:tcBorders>
              <w:top w:val="double" w:color="auto" w:sz="4" w:space="0"/>
              <w:left w:val="single" w:color="auto" w:sz="6" w:space="0"/>
              <w:bottom w:val="single" w:color="auto" w:sz="6" w:space="0"/>
              <w:right w:val="single" w:color="auto" w:sz="6" w:space="0"/>
            </w:tcBorders>
            <w:vAlign w:val="center"/>
          </w:tcPr>
          <w:p w14:paraId="05E45EAF">
            <w:pPr>
              <w:pStyle w:val="80"/>
              <w:adjustRightInd w:val="0"/>
              <w:snapToGrid w:val="0"/>
              <w:spacing w:before="0" w:beforeAutospacing="0" w:after="0" w:afterAutospacing="0" w:line="360" w:lineRule="auto"/>
              <w:ind w:firstLine="480" w:firstLineChars="200"/>
              <w:textAlignment w:val="baseline"/>
              <w:rPr>
                <w:rFonts w:hint="eastAsia"/>
                <w:color w:val="auto"/>
                <w:kern w:val="2"/>
                <w:highlight w:val="none"/>
              </w:rPr>
            </w:pPr>
          </w:p>
        </w:tc>
        <w:tc>
          <w:tcPr>
            <w:tcW w:w="1588" w:type="dxa"/>
            <w:tcBorders>
              <w:top w:val="double" w:color="auto" w:sz="4" w:space="0"/>
              <w:left w:val="single" w:color="auto" w:sz="6" w:space="0"/>
              <w:bottom w:val="single" w:color="auto" w:sz="6" w:space="0"/>
              <w:right w:val="single" w:color="auto" w:sz="6" w:space="0"/>
            </w:tcBorders>
            <w:vAlign w:val="center"/>
          </w:tcPr>
          <w:p w14:paraId="590FBAD1">
            <w:pPr>
              <w:pStyle w:val="80"/>
              <w:adjustRightInd w:val="0"/>
              <w:snapToGrid w:val="0"/>
              <w:spacing w:before="0" w:beforeAutospacing="0" w:after="0" w:afterAutospacing="0" w:line="360" w:lineRule="auto"/>
              <w:textAlignment w:val="baseline"/>
              <w:rPr>
                <w:rFonts w:hint="eastAsia"/>
                <w:color w:val="auto"/>
                <w:kern w:val="2"/>
                <w:highlight w:val="none"/>
              </w:rPr>
            </w:pPr>
            <w:r>
              <w:rPr>
                <w:rFonts w:hint="eastAsia"/>
                <w:color w:val="auto"/>
                <w:kern w:val="2"/>
                <w:highlight w:val="none"/>
              </w:rPr>
              <w:t>采购编号</w:t>
            </w:r>
          </w:p>
        </w:tc>
        <w:tc>
          <w:tcPr>
            <w:tcW w:w="1801" w:type="dxa"/>
            <w:tcBorders>
              <w:top w:val="double" w:color="auto" w:sz="4" w:space="0"/>
              <w:left w:val="single" w:color="auto" w:sz="6" w:space="0"/>
              <w:bottom w:val="single" w:color="auto" w:sz="6" w:space="0"/>
              <w:right w:val="double" w:color="auto" w:sz="4" w:space="0"/>
            </w:tcBorders>
            <w:vAlign w:val="center"/>
          </w:tcPr>
          <w:p w14:paraId="15B9F9F9">
            <w:pPr>
              <w:pStyle w:val="80"/>
              <w:adjustRightInd w:val="0"/>
              <w:snapToGrid w:val="0"/>
              <w:spacing w:before="0" w:beforeAutospacing="0" w:after="0" w:afterAutospacing="0" w:line="360" w:lineRule="auto"/>
              <w:ind w:firstLine="480" w:firstLineChars="200"/>
              <w:textAlignment w:val="baseline"/>
              <w:rPr>
                <w:rFonts w:hint="eastAsia"/>
                <w:color w:val="auto"/>
                <w:kern w:val="2"/>
                <w:highlight w:val="none"/>
              </w:rPr>
            </w:pPr>
          </w:p>
        </w:tc>
      </w:tr>
      <w:tr w14:paraId="68E16C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22"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26F44744">
            <w:pPr>
              <w:pStyle w:val="80"/>
              <w:adjustRightInd w:val="0"/>
              <w:snapToGrid w:val="0"/>
              <w:spacing w:before="0" w:beforeAutospacing="0" w:after="0" w:afterAutospacing="0" w:line="360" w:lineRule="auto"/>
              <w:ind w:firstLine="720" w:firstLineChars="300"/>
              <w:textAlignment w:val="baseline"/>
              <w:rPr>
                <w:rFonts w:hint="eastAsia"/>
                <w:color w:val="auto"/>
                <w:kern w:val="2"/>
                <w:highlight w:val="none"/>
              </w:rPr>
            </w:pPr>
            <w:r>
              <w:rPr>
                <w:rFonts w:hint="eastAsia"/>
                <w:color w:val="auto"/>
                <w:kern w:val="2"/>
                <w:highlight w:val="none"/>
              </w:rPr>
              <w:t>总报价</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10FDAECF">
            <w:pPr>
              <w:pStyle w:val="80"/>
              <w:adjustRightInd w:val="0"/>
              <w:snapToGrid w:val="0"/>
              <w:spacing w:before="0" w:beforeAutospacing="0" w:after="0" w:afterAutospacing="0" w:line="360" w:lineRule="auto"/>
              <w:ind w:firstLine="480" w:firstLineChars="200"/>
              <w:textAlignment w:val="baseline"/>
              <w:rPr>
                <w:rFonts w:hint="eastAsia"/>
                <w:color w:val="auto"/>
                <w:kern w:val="2"/>
                <w:highlight w:val="none"/>
                <w:u w:val="single"/>
              </w:rPr>
            </w:pPr>
          </w:p>
        </w:tc>
      </w:tr>
      <w:tr w14:paraId="00952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28"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14A3FDA8">
            <w:pPr>
              <w:pStyle w:val="80"/>
              <w:adjustRightInd w:val="0"/>
              <w:snapToGrid w:val="0"/>
              <w:spacing w:before="0" w:beforeAutospacing="0" w:after="0" w:afterAutospacing="0" w:line="360" w:lineRule="auto"/>
              <w:ind w:firstLine="480" w:firstLineChars="200"/>
              <w:textAlignment w:val="baseline"/>
              <w:rPr>
                <w:rFonts w:hint="eastAsia"/>
                <w:color w:val="auto"/>
                <w:kern w:val="2"/>
                <w:highlight w:val="none"/>
              </w:rPr>
            </w:pPr>
            <w:r>
              <w:rPr>
                <w:rFonts w:hint="eastAsia"/>
                <w:color w:val="auto"/>
                <w:kern w:val="2"/>
                <w:highlight w:val="none"/>
              </w:rPr>
              <w:t>项目负责人</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23B1D062">
            <w:pPr>
              <w:pStyle w:val="80"/>
              <w:adjustRightInd w:val="0"/>
              <w:snapToGrid w:val="0"/>
              <w:spacing w:before="0" w:beforeAutospacing="0" w:after="0" w:afterAutospacing="0" w:line="360" w:lineRule="auto"/>
              <w:ind w:firstLine="480" w:firstLineChars="200"/>
              <w:textAlignment w:val="baseline"/>
              <w:rPr>
                <w:rFonts w:hint="eastAsia"/>
                <w:color w:val="auto"/>
                <w:kern w:val="2"/>
                <w:highlight w:val="none"/>
              </w:rPr>
            </w:pPr>
          </w:p>
        </w:tc>
      </w:tr>
      <w:tr w14:paraId="3A3DA3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320"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7726A60A">
            <w:pPr>
              <w:pStyle w:val="80"/>
              <w:adjustRightInd w:val="0"/>
              <w:snapToGrid w:val="0"/>
              <w:spacing w:before="0" w:beforeAutospacing="0" w:after="0" w:afterAutospacing="0" w:line="360" w:lineRule="auto"/>
              <w:ind w:firstLine="480" w:firstLineChars="200"/>
              <w:textAlignment w:val="baseline"/>
              <w:rPr>
                <w:rFonts w:hint="eastAsia"/>
                <w:color w:val="auto"/>
                <w:kern w:val="2"/>
                <w:highlight w:val="none"/>
              </w:rPr>
            </w:pPr>
            <w:r>
              <w:rPr>
                <w:rFonts w:hint="eastAsia"/>
                <w:color w:val="auto"/>
                <w:kern w:val="2"/>
                <w:highlight w:val="none"/>
              </w:rPr>
              <w:t>服务期限</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1C6AA605">
            <w:pPr>
              <w:autoSpaceDE w:val="0"/>
              <w:spacing w:line="400" w:lineRule="exact"/>
              <w:rPr>
                <w:rFonts w:hint="eastAsia" w:ascii="宋体" w:hAnsi="宋体" w:cs="宋体"/>
                <w:color w:val="auto"/>
                <w:sz w:val="24"/>
                <w:highlight w:val="none"/>
              </w:rPr>
            </w:pPr>
          </w:p>
        </w:tc>
      </w:tr>
      <w:tr w14:paraId="531B8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526" w:hRule="atLeast"/>
          <w:jc w:val="center"/>
        </w:trPr>
        <w:tc>
          <w:tcPr>
            <w:tcW w:w="2324" w:type="dxa"/>
            <w:tcBorders>
              <w:top w:val="single" w:color="auto" w:sz="6" w:space="0"/>
              <w:left w:val="double" w:color="auto" w:sz="4" w:space="0"/>
              <w:bottom w:val="single" w:color="auto" w:sz="6" w:space="0"/>
              <w:right w:val="single" w:color="auto" w:sz="6" w:space="0"/>
            </w:tcBorders>
            <w:vAlign w:val="center"/>
          </w:tcPr>
          <w:p w14:paraId="56C59A3D">
            <w:pPr>
              <w:pStyle w:val="80"/>
              <w:adjustRightInd w:val="0"/>
              <w:snapToGrid w:val="0"/>
              <w:spacing w:before="0" w:beforeAutospacing="0" w:after="0" w:afterAutospacing="0" w:line="360" w:lineRule="auto"/>
              <w:textAlignment w:val="baseline"/>
              <w:rPr>
                <w:rFonts w:hint="eastAsia"/>
                <w:color w:val="auto"/>
                <w:kern w:val="2"/>
                <w:highlight w:val="none"/>
              </w:rPr>
            </w:pPr>
            <w:r>
              <w:rPr>
                <w:rFonts w:hint="eastAsia"/>
                <w:color w:val="auto"/>
                <w:kern w:val="2"/>
                <w:highlight w:val="none"/>
              </w:rPr>
              <w:t>质量要求或服务标准</w:t>
            </w:r>
          </w:p>
        </w:tc>
        <w:tc>
          <w:tcPr>
            <w:tcW w:w="6514" w:type="dxa"/>
            <w:gridSpan w:val="3"/>
            <w:tcBorders>
              <w:top w:val="single" w:color="auto" w:sz="6" w:space="0"/>
              <w:left w:val="single" w:color="auto" w:sz="6" w:space="0"/>
              <w:bottom w:val="single" w:color="auto" w:sz="6" w:space="0"/>
              <w:right w:val="double" w:color="auto" w:sz="4" w:space="0"/>
            </w:tcBorders>
            <w:vAlign w:val="center"/>
          </w:tcPr>
          <w:p w14:paraId="7A122810">
            <w:pPr>
              <w:autoSpaceDE w:val="0"/>
              <w:spacing w:line="400" w:lineRule="exact"/>
              <w:rPr>
                <w:rFonts w:hint="eastAsia" w:ascii="宋体" w:hAnsi="宋体" w:cs="宋体"/>
                <w:color w:val="auto"/>
                <w:sz w:val="24"/>
                <w:highlight w:val="none"/>
              </w:rPr>
            </w:pPr>
          </w:p>
        </w:tc>
      </w:tr>
      <w:tr w14:paraId="7A3056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30" w:hRule="atLeast"/>
          <w:jc w:val="center"/>
        </w:trPr>
        <w:tc>
          <w:tcPr>
            <w:tcW w:w="2324" w:type="dxa"/>
            <w:tcBorders>
              <w:top w:val="single" w:color="auto" w:sz="6" w:space="0"/>
              <w:left w:val="double" w:color="auto" w:sz="4" w:space="0"/>
              <w:bottom w:val="double" w:color="auto" w:sz="4" w:space="0"/>
              <w:right w:val="single" w:color="auto" w:sz="6" w:space="0"/>
            </w:tcBorders>
            <w:vAlign w:val="center"/>
          </w:tcPr>
          <w:p w14:paraId="54B937D1">
            <w:pPr>
              <w:pStyle w:val="80"/>
              <w:adjustRightInd w:val="0"/>
              <w:snapToGrid w:val="0"/>
              <w:spacing w:before="0" w:beforeAutospacing="0" w:after="0" w:afterAutospacing="0" w:line="360" w:lineRule="auto"/>
              <w:ind w:firstLine="480" w:firstLineChars="200"/>
              <w:textAlignment w:val="baseline"/>
              <w:rPr>
                <w:rFonts w:hint="eastAsia"/>
                <w:color w:val="auto"/>
                <w:kern w:val="2"/>
                <w:highlight w:val="none"/>
              </w:rPr>
            </w:pPr>
            <w:r>
              <w:rPr>
                <w:rFonts w:hint="eastAsia"/>
                <w:color w:val="auto"/>
                <w:kern w:val="2"/>
                <w:highlight w:val="none"/>
              </w:rPr>
              <w:t>备  注</w:t>
            </w:r>
          </w:p>
        </w:tc>
        <w:tc>
          <w:tcPr>
            <w:tcW w:w="6514" w:type="dxa"/>
            <w:gridSpan w:val="3"/>
            <w:tcBorders>
              <w:top w:val="single" w:color="auto" w:sz="6" w:space="0"/>
              <w:left w:val="single" w:color="auto" w:sz="6" w:space="0"/>
              <w:bottom w:val="double" w:color="auto" w:sz="4" w:space="0"/>
              <w:right w:val="double" w:color="auto" w:sz="4" w:space="0"/>
            </w:tcBorders>
            <w:vAlign w:val="center"/>
          </w:tcPr>
          <w:p w14:paraId="7EB8DD1C">
            <w:pPr>
              <w:jc w:val="center"/>
              <w:rPr>
                <w:rFonts w:hint="eastAsia" w:ascii="宋体" w:hAnsi="宋体" w:cs="宋体"/>
                <w:color w:val="auto"/>
                <w:sz w:val="28"/>
                <w:szCs w:val="28"/>
                <w:highlight w:val="none"/>
              </w:rPr>
            </w:pPr>
          </w:p>
        </w:tc>
      </w:tr>
    </w:tbl>
    <w:p w14:paraId="3B7B5614">
      <w:pPr>
        <w:spacing w:line="600" w:lineRule="exact"/>
        <w:ind w:left="420" w:leftChars="200"/>
        <w:rPr>
          <w:rFonts w:hint="eastAsia" w:ascii="宋体" w:hAnsi="宋体" w:cs="宋体"/>
          <w:color w:val="auto"/>
          <w:sz w:val="24"/>
          <w:highlight w:val="none"/>
        </w:rPr>
      </w:pPr>
    </w:p>
    <w:p w14:paraId="2169B2BC">
      <w:pPr>
        <w:spacing w:line="600" w:lineRule="exact"/>
        <w:ind w:left="420" w:leftChars="200"/>
        <w:rPr>
          <w:rFonts w:hint="eastAsia" w:ascii="宋体" w:hAnsi="宋体" w:cs="宋体"/>
          <w:color w:val="auto"/>
          <w:sz w:val="24"/>
          <w:highlight w:val="none"/>
        </w:rPr>
      </w:pPr>
      <w:r>
        <w:rPr>
          <w:rFonts w:hint="eastAsia" w:ascii="宋体" w:hAnsi="宋体" w:cs="宋体"/>
          <w:color w:val="auto"/>
          <w:sz w:val="24"/>
          <w:highlight w:val="none"/>
        </w:rPr>
        <w:t>注：1、若分项费用的计算依据、过程和公式不便在表中表述，可单独另附表格或描述进行说明。</w:t>
      </w:r>
    </w:p>
    <w:p w14:paraId="48445E65">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tbl>
      <w:tblPr>
        <w:tblStyle w:val="86"/>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2309"/>
        <w:gridCol w:w="681"/>
        <w:gridCol w:w="681"/>
        <w:gridCol w:w="679"/>
        <w:gridCol w:w="910"/>
        <w:gridCol w:w="3821"/>
      </w:tblGrid>
      <w:tr w14:paraId="3045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9761" w:type="dxa"/>
            <w:gridSpan w:val="7"/>
            <w:tcBorders>
              <w:top w:val="nil"/>
              <w:left w:val="nil"/>
              <w:bottom w:val="nil"/>
              <w:right w:val="nil"/>
            </w:tcBorders>
            <w:shd w:val="clear" w:color="auto" w:fill="auto"/>
            <w:noWrap/>
            <w:vAlign w:val="center"/>
          </w:tcPr>
          <w:p w14:paraId="486EA572">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cs="宋体"/>
                <w:b/>
                <w:bCs/>
                <w:i w:val="0"/>
                <w:iCs w:val="0"/>
                <w:color w:val="auto"/>
                <w:kern w:val="0"/>
                <w:sz w:val="28"/>
                <w:szCs w:val="28"/>
                <w:highlight w:val="none"/>
                <w:u w:val="none"/>
                <w:lang w:val="en-US" w:eastAsia="zh-CN" w:bidi="ar"/>
              </w:rPr>
              <w:t>G59 呼北高速公路张家界至官庄段 PPP 项目第二标段沅古坪服务区加油站安评、环评、职业病评价“三同时”</w:t>
            </w:r>
            <w:r>
              <w:rPr>
                <w:rFonts w:hint="eastAsia" w:ascii="宋体" w:hAnsi="宋体" w:eastAsia="宋体" w:cs="宋体"/>
                <w:b/>
                <w:bCs/>
                <w:i w:val="0"/>
                <w:iCs w:val="0"/>
                <w:color w:val="auto"/>
                <w:kern w:val="0"/>
                <w:sz w:val="28"/>
                <w:szCs w:val="28"/>
                <w:highlight w:val="none"/>
                <w:u w:val="none"/>
                <w:lang w:val="en-US" w:eastAsia="zh-CN" w:bidi="ar"/>
              </w:rPr>
              <w:t>咨询服务分项费用报价表</w:t>
            </w:r>
          </w:p>
        </w:tc>
      </w:tr>
      <w:tr w14:paraId="6A4E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2" w:type="dxa"/>
            <w:tcBorders>
              <w:top w:val="nil"/>
              <w:left w:val="nil"/>
              <w:bottom w:val="nil"/>
              <w:right w:val="nil"/>
            </w:tcBorders>
            <w:shd w:val="clear" w:color="auto" w:fill="auto"/>
            <w:noWrap/>
            <w:vAlign w:val="center"/>
          </w:tcPr>
          <w:p w14:paraId="0DCB4891">
            <w:pPr>
              <w:jc w:val="center"/>
              <w:rPr>
                <w:rFonts w:hint="eastAsia" w:ascii="宋体" w:hAnsi="宋体" w:eastAsia="宋体" w:cs="宋体"/>
                <w:i w:val="0"/>
                <w:iCs w:val="0"/>
                <w:color w:val="auto"/>
                <w:sz w:val="24"/>
                <w:szCs w:val="24"/>
                <w:highlight w:val="none"/>
                <w:u w:val="none"/>
              </w:rPr>
            </w:pPr>
          </w:p>
        </w:tc>
        <w:tc>
          <w:tcPr>
            <w:tcW w:w="2317" w:type="dxa"/>
            <w:tcBorders>
              <w:top w:val="nil"/>
              <w:left w:val="nil"/>
              <w:bottom w:val="nil"/>
              <w:right w:val="nil"/>
            </w:tcBorders>
            <w:shd w:val="clear" w:color="auto" w:fill="auto"/>
            <w:noWrap/>
            <w:vAlign w:val="center"/>
          </w:tcPr>
          <w:p w14:paraId="7EA4D808">
            <w:pPr>
              <w:jc w:val="center"/>
              <w:rPr>
                <w:rFonts w:hint="eastAsia" w:ascii="宋体" w:hAnsi="宋体" w:eastAsia="宋体" w:cs="宋体"/>
                <w:i w:val="0"/>
                <w:iCs w:val="0"/>
                <w:color w:val="auto"/>
                <w:sz w:val="24"/>
                <w:szCs w:val="24"/>
                <w:highlight w:val="none"/>
                <w:u w:val="none"/>
              </w:rPr>
            </w:pPr>
          </w:p>
        </w:tc>
        <w:tc>
          <w:tcPr>
            <w:tcW w:w="683" w:type="dxa"/>
            <w:tcBorders>
              <w:top w:val="nil"/>
              <w:left w:val="nil"/>
              <w:bottom w:val="nil"/>
              <w:right w:val="nil"/>
            </w:tcBorders>
            <w:shd w:val="clear" w:color="auto" w:fill="auto"/>
            <w:noWrap/>
            <w:vAlign w:val="center"/>
          </w:tcPr>
          <w:p w14:paraId="7CAFD670">
            <w:pPr>
              <w:jc w:val="center"/>
              <w:rPr>
                <w:rFonts w:hint="eastAsia" w:ascii="宋体" w:hAnsi="宋体" w:eastAsia="宋体" w:cs="宋体"/>
                <w:i w:val="0"/>
                <w:iCs w:val="0"/>
                <w:color w:val="auto"/>
                <w:sz w:val="24"/>
                <w:szCs w:val="24"/>
                <w:highlight w:val="none"/>
                <w:u w:val="none"/>
              </w:rPr>
            </w:pPr>
          </w:p>
        </w:tc>
        <w:tc>
          <w:tcPr>
            <w:tcW w:w="683" w:type="dxa"/>
            <w:tcBorders>
              <w:top w:val="nil"/>
              <w:left w:val="nil"/>
              <w:bottom w:val="nil"/>
              <w:right w:val="nil"/>
            </w:tcBorders>
            <w:shd w:val="clear" w:color="auto" w:fill="auto"/>
            <w:noWrap/>
            <w:vAlign w:val="center"/>
          </w:tcPr>
          <w:p w14:paraId="0D819790">
            <w:pPr>
              <w:jc w:val="center"/>
              <w:rPr>
                <w:rFonts w:hint="eastAsia" w:ascii="宋体" w:hAnsi="宋体" w:eastAsia="宋体" w:cs="宋体"/>
                <w:i w:val="0"/>
                <w:iCs w:val="0"/>
                <w:color w:val="auto"/>
                <w:sz w:val="24"/>
                <w:szCs w:val="24"/>
                <w:highlight w:val="none"/>
                <w:u w:val="none"/>
              </w:rPr>
            </w:pPr>
          </w:p>
        </w:tc>
        <w:tc>
          <w:tcPr>
            <w:tcW w:w="681" w:type="dxa"/>
            <w:tcBorders>
              <w:top w:val="nil"/>
              <w:left w:val="nil"/>
              <w:bottom w:val="nil"/>
              <w:right w:val="nil"/>
            </w:tcBorders>
            <w:shd w:val="clear" w:color="auto" w:fill="auto"/>
            <w:noWrap/>
            <w:vAlign w:val="center"/>
          </w:tcPr>
          <w:p w14:paraId="56D00160">
            <w:pPr>
              <w:jc w:val="center"/>
              <w:rPr>
                <w:rFonts w:hint="eastAsia" w:ascii="宋体" w:hAnsi="宋体" w:eastAsia="宋体" w:cs="宋体"/>
                <w:i w:val="0"/>
                <w:iCs w:val="0"/>
                <w:color w:val="auto"/>
                <w:sz w:val="24"/>
                <w:szCs w:val="24"/>
                <w:highlight w:val="none"/>
                <w:u w:val="none"/>
              </w:rPr>
            </w:pPr>
          </w:p>
        </w:tc>
        <w:tc>
          <w:tcPr>
            <w:tcW w:w="913" w:type="dxa"/>
            <w:tcBorders>
              <w:top w:val="nil"/>
              <w:left w:val="nil"/>
              <w:bottom w:val="nil"/>
              <w:right w:val="nil"/>
            </w:tcBorders>
            <w:shd w:val="clear" w:color="auto" w:fill="auto"/>
            <w:noWrap/>
            <w:vAlign w:val="center"/>
          </w:tcPr>
          <w:p w14:paraId="440ED962">
            <w:pPr>
              <w:keepNext w:val="0"/>
              <w:keepLines w:val="0"/>
              <w:widowControl/>
              <w:suppressLineNumbers w:val="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3834" w:type="dxa"/>
            <w:tcBorders>
              <w:top w:val="nil"/>
              <w:left w:val="nil"/>
              <w:bottom w:val="nil"/>
              <w:right w:val="nil"/>
            </w:tcBorders>
            <w:shd w:val="clear" w:color="auto" w:fill="auto"/>
            <w:noWrap/>
            <w:vAlign w:val="center"/>
          </w:tcPr>
          <w:p w14:paraId="41E666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万元</w:t>
            </w:r>
          </w:p>
        </w:tc>
      </w:tr>
      <w:tr w14:paraId="7B3C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4ED84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317" w:type="dxa"/>
            <w:tcBorders>
              <w:top w:val="single" w:color="000000" w:sz="8" w:space="0"/>
              <w:left w:val="nil"/>
              <w:bottom w:val="single" w:color="000000" w:sz="8" w:space="0"/>
              <w:right w:val="single" w:color="000000" w:sz="8" w:space="0"/>
            </w:tcBorders>
            <w:shd w:val="clear" w:color="auto" w:fill="auto"/>
            <w:noWrap/>
            <w:vAlign w:val="center"/>
          </w:tcPr>
          <w:p w14:paraId="57E1409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683" w:type="dxa"/>
            <w:tcBorders>
              <w:top w:val="single" w:color="000000" w:sz="8" w:space="0"/>
              <w:left w:val="nil"/>
              <w:bottom w:val="single" w:color="000000" w:sz="8" w:space="0"/>
              <w:right w:val="single" w:color="000000" w:sz="8" w:space="0"/>
            </w:tcBorders>
            <w:shd w:val="clear" w:color="auto" w:fill="auto"/>
            <w:noWrap/>
            <w:vAlign w:val="center"/>
          </w:tcPr>
          <w:p w14:paraId="3789A7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683" w:type="dxa"/>
            <w:tcBorders>
              <w:top w:val="single" w:color="000000" w:sz="8" w:space="0"/>
              <w:left w:val="nil"/>
              <w:bottom w:val="single" w:color="000000" w:sz="8" w:space="0"/>
              <w:right w:val="single" w:color="000000" w:sz="8" w:space="0"/>
            </w:tcBorders>
            <w:shd w:val="clear" w:color="auto" w:fill="auto"/>
            <w:noWrap/>
            <w:vAlign w:val="center"/>
          </w:tcPr>
          <w:p w14:paraId="0C68556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681" w:type="dxa"/>
            <w:tcBorders>
              <w:top w:val="single" w:color="000000" w:sz="8" w:space="0"/>
              <w:left w:val="nil"/>
              <w:bottom w:val="single" w:color="000000" w:sz="8" w:space="0"/>
              <w:right w:val="single" w:color="000000" w:sz="8" w:space="0"/>
            </w:tcBorders>
            <w:shd w:val="clear" w:color="auto" w:fill="auto"/>
            <w:noWrap/>
            <w:vAlign w:val="center"/>
          </w:tcPr>
          <w:p w14:paraId="6C303C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w:t>
            </w:r>
          </w:p>
        </w:tc>
        <w:tc>
          <w:tcPr>
            <w:tcW w:w="913" w:type="dxa"/>
            <w:tcBorders>
              <w:top w:val="single" w:color="000000" w:sz="8" w:space="0"/>
              <w:left w:val="nil"/>
              <w:bottom w:val="single" w:color="000000" w:sz="8" w:space="0"/>
              <w:right w:val="single" w:color="000000" w:sz="8" w:space="0"/>
            </w:tcBorders>
            <w:shd w:val="clear" w:color="auto" w:fill="auto"/>
            <w:noWrap/>
            <w:vAlign w:val="center"/>
          </w:tcPr>
          <w:p w14:paraId="78E9E4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w:t>
            </w:r>
          </w:p>
        </w:tc>
        <w:tc>
          <w:tcPr>
            <w:tcW w:w="3834" w:type="dxa"/>
            <w:tcBorders>
              <w:top w:val="single" w:color="000000" w:sz="8" w:space="0"/>
              <w:left w:val="nil"/>
              <w:bottom w:val="single" w:color="000000" w:sz="8" w:space="0"/>
              <w:right w:val="single" w:color="000000" w:sz="8" w:space="0"/>
            </w:tcBorders>
            <w:shd w:val="clear" w:color="auto" w:fill="auto"/>
            <w:noWrap/>
            <w:vAlign w:val="center"/>
          </w:tcPr>
          <w:p w14:paraId="47EF6A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3C04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82" w:type="dxa"/>
            <w:vMerge w:val="restart"/>
            <w:tcBorders>
              <w:top w:val="nil"/>
              <w:left w:val="single" w:color="000000" w:sz="8" w:space="0"/>
              <w:bottom w:val="single" w:color="000000" w:sz="8" w:space="0"/>
              <w:right w:val="single" w:color="000000" w:sz="8" w:space="0"/>
            </w:tcBorders>
            <w:shd w:val="clear" w:color="auto" w:fill="auto"/>
            <w:noWrap/>
            <w:vAlign w:val="center"/>
          </w:tcPr>
          <w:p w14:paraId="7174B59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317" w:type="dxa"/>
            <w:vMerge w:val="restart"/>
            <w:tcBorders>
              <w:top w:val="nil"/>
              <w:left w:val="nil"/>
              <w:bottom w:val="single" w:color="000000" w:sz="8" w:space="0"/>
              <w:right w:val="single" w:color="000000" w:sz="8" w:space="0"/>
            </w:tcBorders>
            <w:shd w:val="clear" w:color="auto" w:fill="auto"/>
            <w:noWrap/>
            <w:vAlign w:val="center"/>
          </w:tcPr>
          <w:p w14:paraId="6DC61B14">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环保“三同时”</w:t>
            </w:r>
          </w:p>
        </w:tc>
        <w:tc>
          <w:tcPr>
            <w:tcW w:w="683" w:type="dxa"/>
            <w:vMerge w:val="restart"/>
            <w:tcBorders>
              <w:top w:val="nil"/>
              <w:left w:val="nil"/>
              <w:bottom w:val="single" w:color="000000" w:sz="8" w:space="0"/>
              <w:right w:val="single" w:color="000000" w:sz="8" w:space="0"/>
            </w:tcBorders>
            <w:shd w:val="clear" w:color="auto" w:fill="auto"/>
            <w:noWrap/>
            <w:vAlign w:val="center"/>
          </w:tcPr>
          <w:p w14:paraId="16746A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683" w:type="dxa"/>
            <w:vMerge w:val="restart"/>
            <w:tcBorders>
              <w:top w:val="nil"/>
              <w:left w:val="nil"/>
              <w:bottom w:val="single" w:color="000000" w:sz="8" w:space="0"/>
              <w:right w:val="single" w:color="000000" w:sz="8" w:space="0"/>
            </w:tcBorders>
            <w:shd w:val="clear" w:color="auto" w:fill="auto"/>
            <w:noWrap/>
            <w:vAlign w:val="center"/>
          </w:tcPr>
          <w:p w14:paraId="070780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p>
        </w:tc>
        <w:tc>
          <w:tcPr>
            <w:tcW w:w="681" w:type="dxa"/>
            <w:vMerge w:val="restart"/>
            <w:tcBorders>
              <w:top w:val="nil"/>
              <w:left w:val="nil"/>
              <w:bottom w:val="single" w:color="000000" w:sz="8" w:space="0"/>
              <w:right w:val="single" w:color="000000" w:sz="8" w:space="0"/>
            </w:tcBorders>
            <w:shd w:val="clear" w:color="auto" w:fill="auto"/>
            <w:noWrap/>
            <w:vAlign w:val="center"/>
          </w:tcPr>
          <w:p w14:paraId="2815BF23">
            <w:pPr>
              <w:jc w:val="center"/>
              <w:rPr>
                <w:rFonts w:hint="eastAsia" w:ascii="宋体" w:hAnsi="宋体" w:eastAsia="宋体" w:cs="宋体"/>
                <w:i w:val="0"/>
                <w:iCs w:val="0"/>
                <w:color w:val="auto"/>
                <w:sz w:val="24"/>
                <w:szCs w:val="24"/>
                <w:highlight w:val="none"/>
                <w:u w:val="none"/>
              </w:rPr>
            </w:pPr>
          </w:p>
        </w:tc>
        <w:tc>
          <w:tcPr>
            <w:tcW w:w="913" w:type="dxa"/>
            <w:vMerge w:val="restart"/>
            <w:tcBorders>
              <w:top w:val="nil"/>
              <w:left w:val="nil"/>
              <w:bottom w:val="single" w:color="000000" w:sz="8" w:space="0"/>
              <w:right w:val="single" w:color="000000" w:sz="8" w:space="0"/>
            </w:tcBorders>
            <w:shd w:val="clear" w:color="auto" w:fill="auto"/>
            <w:noWrap/>
            <w:vAlign w:val="center"/>
          </w:tcPr>
          <w:p w14:paraId="3FBEC27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3834" w:type="dxa"/>
            <w:tcBorders>
              <w:top w:val="nil"/>
              <w:left w:val="nil"/>
              <w:bottom w:val="nil"/>
              <w:right w:val="single" w:color="000000" w:sz="8" w:space="0"/>
            </w:tcBorders>
            <w:shd w:val="clear" w:color="auto" w:fill="auto"/>
            <w:noWrap/>
            <w:vAlign w:val="center"/>
          </w:tcPr>
          <w:p w14:paraId="2963753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1、环境影响评价报告；</w:t>
            </w:r>
          </w:p>
        </w:tc>
      </w:tr>
      <w:tr w14:paraId="4A80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82"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42F936A">
            <w:pPr>
              <w:jc w:val="center"/>
              <w:rPr>
                <w:rFonts w:hint="eastAsia" w:ascii="宋体" w:hAnsi="宋体" w:eastAsia="宋体" w:cs="宋体"/>
                <w:i w:val="0"/>
                <w:iCs w:val="0"/>
                <w:color w:val="auto"/>
                <w:sz w:val="24"/>
                <w:szCs w:val="24"/>
                <w:highlight w:val="none"/>
                <w:u w:val="none"/>
              </w:rPr>
            </w:pPr>
          </w:p>
        </w:tc>
        <w:tc>
          <w:tcPr>
            <w:tcW w:w="2317" w:type="dxa"/>
            <w:vMerge w:val="continue"/>
            <w:tcBorders>
              <w:top w:val="nil"/>
              <w:left w:val="nil"/>
              <w:bottom w:val="single" w:color="000000" w:sz="8" w:space="0"/>
              <w:right w:val="single" w:color="000000" w:sz="8" w:space="0"/>
            </w:tcBorders>
            <w:shd w:val="clear" w:color="auto" w:fill="auto"/>
            <w:noWrap/>
            <w:vAlign w:val="center"/>
          </w:tcPr>
          <w:p w14:paraId="57B8D1E8">
            <w:pPr>
              <w:jc w:val="both"/>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69E74620">
            <w:pPr>
              <w:jc w:val="center"/>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37EE9AF6">
            <w:pPr>
              <w:jc w:val="center"/>
              <w:rPr>
                <w:rFonts w:hint="eastAsia" w:ascii="宋体" w:hAnsi="宋体" w:eastAsia="宋体" w:cs="宋体"/>
                <w:i w:val="0"/>
                <w:iCs w:val="0"/>
                <w:color w:val="auto"/>
                <w:sz w:val="24"/>
                <w:szCs w:val="24"/>
                <w:highlight w:val="none"/>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14:paraId="44D4C5D4">
            <w:pPr>
              <w:jc w:val="center"/>
              <w:rPr>
                <w:rFonts w:hint="eastAsia" w:ascii="宋体" w:hAnsi="宋体" w:eastAsia="宋体" w:cs="宋体"/>
                <w:i w:val="0"/>
                <w:iCs w:val="0"/>
                <w:color w:val="auto"/>
                <w:sz w:val="24"/>
                <w:szCs w:val="24"/>
                <w:highlight w:val="none"/>
                <w:u w:val="none"/>
              </w:rPr>
            </w:pPr>
          </w:p>
        </w:tc>
        <w:tc>
          <w:tcPr>
            <w:tcW w:w="913" w:type="dxa"/>
            <w:vMerge w:val="continue"/>
            <w:tcBorders>
              <w:top w:val="nil"/>
              <w:left w:val="nil"/>
              <w:bottom w:val="single" w:color="000000" w:sz="8" w:space="0"/>
              <w:right w:val="single" w:color="000000" w:sz="8" w:space="0"/>
            </w:tcBorders>
            <w:shd w:val="clear" w:color="auto" w:fill="auto"/>
            <w:noWrap/>
            <w:vAlign w:val="center"/>
          </w:tcPr>
          <w:p w14:paraId="475EC7CB">
            <w:pPr>
              <w:jc w:val="center"/>
              <w:rPr>
                <w:rFonts w:hint="eastAsia" w:ascii="宋体" w:hAnsi="宋体" w:eastAsia="宋体" w:cs="宋体"/>
                <w:i w:val="0"/>
                <w:iCs w:val="0"/>
                <w:color w:val="auto"/>
                <w:sz w:val="24"/>
                <w:szCs w:val="24"/>
                <w:highlight w:val="none"/>
                <w:u w:val="none"/>
              </w:rPr>
            </w:pPr>
          </w:p>
        </w:tc>
        <w:tc>
          <w:tcPr>
            <w:tcW w:w="3834" w:type="dxa"/>
            <w:tcBorders>
              <w:top w:val="nil"/>
              <w:left w:val="nil"/>
              <w:bottom w:val="nil"/>
              <w:right w:val="single" w:color="000000" w:sz="8" w:space="0"/>
            </w:tcBorders>
            <w:shd w:val="clear" w:color="auto" w:fill="auto"/>
            <w:noWrap/>
            <w:vAlign w:val="center"/>
          </w:tcPr>
          <w:p w14:paraId="4768CE3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2、突发环境事件应急预案报告；</w:t>
            </w:r>
          </w:p>
        </w:tc>
      </w:tr>
      <w:tr w14:paraId="6355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82"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CD43375">
            <w:pPr>
              <w:jc w:val="center"/>
              <w:rPr>
                <w:rFonts w:hint="eastAsia" w:ascii="宋体" w:hAnsi="宋体" w:eastAsia="宋体" w:cs="宋体"/>
                <w:i w:val="0"/>
                <w:iCs w:val="0"/>
                <w:color w:val="auto"/>
                <w:sz w:val="24"/>
                <w:szCs w:val="24"/>
                <w:highlight w:val="none"/>
                <w:u w:val="none"/>
              </w:rPr>
            </w:pPr>
          </w:p>
        </w:tc>
        <w:tc>
          <w:tcPr>
            <w:tcW w:w="2317" w:type="dxa"/>
            <w:vMerge w:val="continue"/>
            <w:tcBorders>
              <w:top w:val="nil"/>
              <w:left w:val="nil"/>
              <w:bottom w:val="single" w:color="000000" w:sz="8" w:space="0"/>
              <w:right w:val="single" w:color="000000" w:sz="8" w:space="0"/>
            </w:tcBorders>
            <w:shd w:val="clear" w:color="auto" w:fill="auto"/>
            <w:noWrap/>
            <w:vAlign w:val="center"/>
          </w:tcPr>
          <w:p w14:paraId="54CB2123">
            <w:pPr>
              <w:jc w:val="both"/>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20217833">
            <w:pPr>
              <w:jc w:val="center"/>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2AA95400">
            <w:pPr>
              <w:jc w:val="center"/>
              <w:rPr>
                <w:rFonts w:hint="eastAsia" w:ascii="宋体" w:hAnsi="宋体" w:eastAsia="宋体" w:cs="宋体"/>
                <w:i w:val="0"/>
                <w:iCs w:val="0"/>
                <w:color w:val="auto"/>
                <w:sz w:val="24"/>
                <w:szCs w:val="24"/>
                <w:highlight w:val="none"/>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14:paraId="2C276A6B">
            <w:pPr>
              <w:jc w:val="center"/>
              <w:rPr>
                <w:rFonts w:hint="eastAsia" w:ascii="宋体" w:hAnsi="宋体" w:eastAsia="宋体" w:cs="宋体"/>
                <w:i w:val="0"/>
                <w:iCs w:val="0"/>
                <w:color w:val="auto"/>
                <w:sz w:val="24"/>
                <w:szCs w:val="24"/>
                <w:highlight w:val="none"/>
                <w:u w:val="none"/>
              </w:rPr>
            </w:pPr>
          </w:p>
        </w:tc>
        <w:tc>
          <w:tcPr>
            <w:tcW w:w="913" w:type="dxa"/>
            <w:vMerge w:val="continue"/>
            <w:tcBorders>
              <w:top w:val="nil"/>
              <w:left w:val="nil"/>
              <w:bottom w:val="single" w:color="000000" w:sz="8" w:space="0"/>
              <w:right w:val="single" w:color="000000" w:sz="8" w:space="0"/>
            </w:tcBorders>
            <w:shd w:val="clear" w:color="auto" w:fill="auto"/>
            <w:noWrap/>
            <w:vAlign w:val="center"/>
          </w:tcPr>
          <w:p w14:paraId="442D77B0">
            <w:pPr>
              <w:jc w:val="center"/>
              <w:rPr>
                <w:rFonts w:hint="eastAsia" w:ascii="宋体" w:hAnsi="宋体" w:eastAsia="宋体" w:cs="宋体"/>
                <w:i w:val="0"/>
                <w:iCs w:val="0"/>
                <w:color w:val="auto"/>
                <w:sz w:val="24"/>
                <w:szCs w:val="24"/>
                <w:highlight w:val="none"/>
                <w:u w:val="none"/>
              </w:rPr>
            </w:pPr>
          </w:p>
        </w:tc>
        <w:tc>
          <w:tcPr>
            <w:tcW w:w="3834" w:type="dxa"/>
            <w:tcBorders>
              <w:top w:val="nil"/>
              <w:left w:val="nil"/>
              <w:bottom w:val="nil"/>
              <w:right w:val="single" w:color="000000" w:sz="8" w:space="0"/>
            </w:tcBorders>
            <w:shd w:val="clear" w:color="auto" w:fill="auto"/>
            <w:noWrap/>
            <w:vAlign w:val="center"/>
          </w:tcPr>
          <w:p w14:paraId="62A911F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3、环境保护竣工验收报告；</w:t>
            </w:r>
          </w:p>
        </w:tc>
      </w:tr>
      <w:tr w14:paraId="5307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2"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EABEDB8">
            <w:pPr>
              <w:jc w:val="center"/>
              <w:rPr>
                <w:rFonts w:hint="eastAsia" w:ascii="宋体" w:hAnsi="宋体" w:eastAsia="宋体" w:cs="宋体"/>
                <w:i w:val="0"/>
                <w:iCs w:val="0"/>
                <w:color w:val="auto"/>
                <w:sz w:val="24"/>
                <w:szCs w:val="24"/>
                <w:highlight w:val="none"/>
                <w:u w:val="none"/>
              </w:rPr>
            </w:pPr>
          </w:p>
        </w:tc>
        <w:tc>
          <w:tcPr>
            <w:tcW w:w="2317" w:type="dxa"/>
            <w:vMerge w:val="continue"/>
            <w:tcBorders>
              <w:top w:val="nil"/>
              <w:left w:val="nil"/>
              <w:bottom w:val="single" w:color="000000" w:sz="8" w:space="0"/>
              <w:right w:val="single" w:color="000000" w:sz="8" w:space="0"/>
            </w:tcBorders>
            <w:shd w:val="clear" w:color="auto" w:fill="auto"/>
            <w:noWrap/>
            <w:vAlign w:val="center"/>
          </w:tcPr>
          <w:p w14:paraId="18DC1D9A">
            <w:pPr>
              <w:jc w:val="both"/>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7889B2AD">
            <w:pPr>
              <w:jc w:val="center"/>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78D143A1">
            <w:pPr>
              <w:jc w:val="center"/>
              <w:rPr>
                <w:rFonts w:hint="eastAsia" w:ascii="宋体" w:hAnsi="宋体" w:eastAsia="宋体" w:cs="宋体"/>
                <w:i w:val="0"/>
                <w:iCs w:val="0"/>
                <w:color w:val="auto"/>
                <w:sz w:val="24"/>
                <w:szCs w:val="24"/>
                <w:highlight w:val="none"/>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14:paraId="52DB1B3B">
            <w:pPr>
              <w:jc w:val="center"/>
              <w:rPr>
                <w:rFonts w:hint="eastAsia" w:ascii="宋体" w:hAnsi="宋体" w:eastAsia="宋体" w:cs="宋体"/>
                <w:i w:val="0"/>
                <w:iCs w:val="0"/>
                <w:color w:val="auto"/>
                <w:sz w:val="24"/>
                <w:szCs w:val="24"/>
                <w:highlight w:val="none"/>
                <w:u w:val="none"/>
              </w:rPr>
            </w:pPr>
          </w:p>
        </w:tc>
        <w:tc>
          <w:tcPr>
            <w:tcW w:w="913" w:type="dxa"/>
            <w:vMerge w:val="continue"/>
            <w:tcBorders>
              <w:top w:val="nil"/>
              <w:left w:val="nil"/>
              <w:bottom w:val="single" w:color="000000" w:sz="8" w:space="0"/>
              <w:right w:val="single" w:color="000000" w:sz="8" w:space="0"/>
            </w:tcBorders>
            <w:shd w:val="clear" w:color="auto" w:fill="auto"/>
            <w:noWrap/>
            <w:vAlign w:val="center"/>
          </w:tcPr>
          <w:p w14:paraId="11C05380">
            <w:pPr>
              <w:jc w:val="center"/>
              <w:rPr>
                <w:rFonts w:hint="eastAsia" w:ascii="宋体" w:hAnsi="宋体" w:eastAsia="宋体" w:cs="宋体"/>
                <w:i w:val="0"/>
                <w:iCs w:val="0"/>
                <w:color w:val="auto"/>
                <w:sz w:val="24"/>
                <w:szCs w:val="24"/>
                <w:highlight w:val="none"/>
                <w:u w:val="none"/>
              </w:rPr>
            </w:pPr>
          </w:p>
        </w:tc>
        <w:tc>
          <w:tcPr>
            <w:tcW w:w="3834" w:type="dxa"/>
            <w:tcBorders>
              <w:top w:val="nil"/>
              <w:left w:val="nil"/>
              <w:bottom w:val="single" w:color="000000" w:sz="8" w:space="0"/>
              <w:right w:val="single" w:color="000000" w:sz="8" w:space="0"/>
            </w:tcBorders>
            <w:shd w:val="clear" w:color="auto" w:fill="auto"/>
            <w:noWrap/>
            <w:vAlign w:val="center"/>
          </w:tcPr>
          <w:p w14:paraId="35CA4968">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4、排污许可证申报。</w:t>
            </w:r>
          </w:p>
        </w:tc>
      </w:tr>
      <w:tr w14:paraId="09F78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2" w:type="dxa"/>
            <w:vMerge w:val="restart"/>
            <w:tcBorders>
              <w:top w:val="nil"/>
              <w:left w:val="single" w:color="000000" w:sz="8" w:space="0"/>
              <w:bottom w:val="single" w:color="000000" w:sz="8" w:space="0"/>
              <w:right w:val="single" w:color="000000" w:sz="8" w:space="0"/>
            </w:tcBorders>
            <w:shd w:val="clear" w:color="auto" w:fill="auto"/>
            <w:noWrap/>
            <w:vAlign w:val="center"/>
          </w:tcPr>
          <w:p w14:paraId="79898C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317" w:type="dxa"/>
            <w:vMerge w:val="restart"/>
            <w:tcBorders>
              <w:top w:val="nil"/>
              <w:left w:val="nil"/>
              <w:bottom w:val="single" w:color="000000" w:sz="8" w:space="0"/>
              <w:right w:val="single" w:color="000000" w:sz="8" w:space="0"/>
            </w:tcBorders>
            <w:shd w:val="clear" w:color="auto" w:fill="auto"/>
            <w:noWrap/>
            <w:vAlign w:val="center"/>
          </w:tcPr>
          <w:p w14:paraId="2BE09201">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职业卫生“三同时”</w:t>
            </w:r>
          </w:p>
        </w:tc>
        <w:tc>
          <w:tcPr>
            <w:tcW w:w="683" w:type="dxa"/>
            <w:vMerge w:val="restart"/>
            <w:tcBorders>
              <w:top w:val="nil"/>
              <w:left w:val="nil"/>
              <w:bottom w:val="single" w:color="000000" w:sz="8" w:space="0"/>
              <w:right w:val="single" w:color="000000" w:sz="8" w:space="0"/>
            </w:tcBorders>
            <w:shd w:val="clear" w:color="auto" w:fill="auto"/>
            <w:noWrap/>
            <w:vAlign w:val="center"/>
          </w:tcPr>
          <w:p w14:paraId="5A71C78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w:t>
            </w:r>
          </w:p>
        </w:tc>
        <w:tc>
          <w:tcPr>
            <w:tcW w:w="683" w:type="dxa"/>
            <w:vMerge w:val="restart"/>
            <w:tcBorders>
              <w:top w:val="nil"/>
              <w:left w:val="nil"/>
              <w:bottom w:val="single" w:color="000000" w:sz="8" w:space="0"/>
              <w:right w:val="single" w:color="000000" w:sz="8" w:space="0"/>
            </w:tcBorders>
            <w:shd w:val="clear" w:color="auto" w:fill="auto"/>
            <w:noWrap/>
            <w:vAlign w:val="center"/>
          </w:tcPr>
          <w:p w14:paraId="005B5A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p>
        </w:tc>
        <w:tc>
          <w:tcPr>
            <w:tcW w:w="681" w:type="dxa"/>
            <w:vMerge w:val="restart"/>
            <w:tcBorders>
              <w:top w:val="nil"/>
              <w:left w:val="nil"/>
              <w:bottom w:val="single" w:color="000000" w:sz="8" w:space="0"/>
              <w:right w:val="single" w:color="000000" w:sz="8" w:space="0"/>
            </w:tcBorders>
            <w:shd w:val="clear" w:color="auto" w:fill="auto"/>
            <w:noWrap/>
            <w:vAlign w:val="center"/>
          </w:tcPr>
          <w:p w14:paraId="7DED5AE8">
            <w:pPr>
              <w:jc w:val="center"/>
              <w:rPr>
                <w:rFonts w:hint="eastAsia" w:ascii="宋体" w:hAnsi="宋体" w:eastAsia="宋体" w:cs="宋体"/>
                <w:i w:val="0"/>
                <w:iCs w:val="0"/>
                <w:color w:val="auto"/>
                <w:sz w:val="24"/>
                <w:szCs w:val="24"/>
                <w:highlight w:val="none"/>
                <w:u w:val="none"/>
              </w:rPr>
            </w:pPr>
          </w:p>
        </w:tc>
        <w:tc>
          <w:tcPr>
            <w:tcW w:w="913" w:type="dxa"/>
            <w:vMerge w:val="restart"/>
            <w:tcBorders>
              <w:top w:val="nil"/>
              <w:left w:val="nil"/>
              <w:bottom w:val="single" w:color="000000" w:sz="8" w:space="0"/>
              <w:right w:val="single" w:color="000000" w:sz="8" w:space="0"/>
            </w:tcBorders>
            <w:shd w:val="clear" w:color="auto" w:fill="auto"/>
            <w:noWrap/>
            <w:vAlign w:val="center"/>
          </w:tcPr>
          <w:p w14:paraId="0F3F87D3">
            <w:pPr>
              <w:jc w:val="center"/>
              <w:rPr>
                <w:rFonts w:hint="eastAsia" w:ascii="宋体" w:hAnsi="宋体" w:eastAsia="宋体" w:cs="宋体"/>
                <w:i w:val="0"/>
                <w:iCs w:val="0"/>
                <w:color w:val="auto"/>
                <w:sz w:val="24"/>
                <w:szCs w:val="24"/>
                <w:highlight w:val="none"/>
                <w:u w:val="none"/>
              </w:rPr>
            </w:pPr>
          </w:p>
        </w:tc>
        <w:tc>
          <w:tcPr>
            <w:tcW w:w="3834" w:type="dxa"/>
            <w:tcBorders>
              <w:top w:val="nil"/>
              <w:left w:val="nil"/>
              <w:bottom w:val="nil"/>
              <w:right w:val="single" w:color="000000" w:sz="8" w:space="0"/>
            </w:tcBorders>
            <w:shd w:val="clear" w:color="auto" w:fill="auto"/>
            <w:noWrap/>
            <w:vAlign w:val="center"/>
          </w:tcPr>
          <w:p w14:paraId="34D08A87">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1、职业病危害预评价报告；</w:t>
            </w:r>
          </w:p>
        </w:tc>
      </w:tr>
      <w:tr w14:paraId="377A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2"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891283">
            <w:pPr>
              <w:jc w:val="center"/>
              <w:rPr>
                <w:rFonts w:hint="eastAsia" w:ascii="宋体" w:hAnsi="宋体" w:eastAsia="宋体" w:cs="宋体"/>
                <w:i w:val="0"/>
                <w:iCs w:val="0"/>
                <w:color w:val="auto"/>
                <w:sz w:val="24"/>
                <w:szCs w:val="24"/>
                <w:highlight w:val="none"/>
                <w:u w:val="none"/>
              </w:rPr>
            </w:pPr>
          </w:p>
        </w:tc>
        <w:tc>
          <w:tcPr>
            <w:tcW w:w="2317" w:type="dxa"/>
            <w:vMerge w:val="continue"/>
            <w:tcBorders>
              <w:top w:val="nil"/>
              <w:left w:val="nil"/>
              <w:bottom w:val="single" w:color="000000" w:sz="8" w:space="0"/>
              <w:right w:val="single" w:color="000000" w:sz="8" w:space="0"/>
            </w:tcBorders>
            <w:shd w:val="clear" w:color="auto" w:fill="auto"/>
            <w:noWrap/>
            <w:vAlign w:val="center"/>
          </w:tcPr>
          <w:p w14:paraId="12ABFA4D">
            <w:pPr>
              <w:jc w:val="both"/>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6C717668">
            <w:pPr>
              <w:jc w:val="center"/>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3D45B70B">
            <w:pPr>
              <w:jc w:val="center"/>
              <w:rPr>
                <w:rFonts w:hint="eastAsia" w:ascii="宋体" w:hAnsi="宋体" w:eastAsia="宋体" w:cs="宋体"/>
                <w:i w:val="0"/>
                <w:iCs w:val="0"/>
                <w:color w:val="auto"/>
                <w:sz w:val="24"/>
                <w:szCs w:val="24"/>
                <w:highlight w:val="none"/>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14:paraId="3894FEA4">
            <w:pPr>
              <w:jc w:val="center"/>
              <w:rPr>
                <w:rFonts w:hint="eastAsia" w:ascii="宋体" w:hAnsi="宋体" w:eastAsia="宋体" w:cs="宋体"/>
                <w:i w:val="0"/>
                <w:iCs w:val="0"/>
                <w:color w:val="auto"/>
                <w:sz w:val="24"/>
                <w:szCs w:val="24"/>
                <w:highlight w:val="none"/>
                <w:u w:val="none"/>
              </w:rPr>
            </w:pPr>
          </w:p>
        </w:tc>
        <w:tc>
          <w:tcPr>
            <w:tcW w:w="913" w:type="dxa"/>
            <w:vMerge w:val="continue"/>
            <w:tcBorders>
              <w:top w:val="nil"/>
              <w:left w:val="nil"/>
              <w:bottom w:val="single" w:color="000000" w:sz="8" w:space="0"/>
              <w:right w:val="single" w:color="000000" w:sz="8" w:space="0"/>
            </w:tcBorders>
            <w:shd w:val="clear" w:color="auto" w:fill="auto"/>
            <w:noWrap/>
            <w:vAlign w:val="center"/>
          </w:tcPr>
          <w:p w14:paraId="3624F46E">
            <w:pPr>
              <w:jc w:val="center"/>
              <w:rPr>
                <w:rFonts w:hint="eastAsia" w:ascii="宋体" w:hAnsi="宋体" w:eastAsia="宋体" w:cs="宋体"/>
                <w:i w:val="0"/>
                <w:iCs w:val="0"/>
                <w:color w:val="auto"/>
                <w:sz w:val="24"/>
                <w:szCs w:val="24"/>
                <w:highlight w:val="none"/>
                <w:u w:val="none"/>
              </w:rPr>
            </w:pPr>
          </w:p>
        </w:tc>
        <w:tc>
          <w:tcPr>
            <w:tcW w:w="3834" w:type="dxa"/>
            <w:tcBorders>
              <w:top w:val="nil"/>
              <w:left w:val="nil"/>
              <w:bottom w:val="nil"/>
              <w:right w:val="single" w:color="000000" w:sz="8" w:space="0"/>
            </w:tcBorders>
            <w:shd w:val="clear" w:color="auto" w:fill="auto"/>
            <w:noWrap/>
            <w:vAlign w:val="center"/>
          </w:tcPr>
          <w:p w14:paraId="2FCC96FB">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2、职业病防护设施设计专篇报告；</w:t>
            </w:r>
          </w:p>
        </w:tc>
      </w:tr>
      <w:tr w14:paraId="545E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2"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6FD1132">
            <w:pPr>
              <w:jc w:val="center"/>
              <w:rPr>
                <w:rFonts w:hint="eastAsia" w:ascii="宋体" w:hAnsi="宋体" w:eastAsia="宋体" w:cs="宋体"/>
                <w:i w:val="0"/>
                <w:iCs w:val="0"/>
                <w:color w:val="auto"/>
                <w:sz w:val="24"/>
                <w:szCs w:val="24"/>
                <w:highlight w:val="none"/>
                <w:u w:val="none"/>
              </w:rPr>
            </w:pPr>
          </w:p>
        </w:tc>
        <w:tc>
          <w:tcPr>
            <w:tcW w:w="2317" w:type="dxa"/>
            <w:vMerge w:val="continue"/>
            <w:tcBorders>
              <w:top w:val="nil"/>
              <w:left w:val="nil"/>
              <w:bottom w:val="single" w:color="000000" w:sz="8" w:space="0"/>
              <w:right w:val="single" w:color="000000" w:sz="8" w:space="0"/>
            </w:tcBorders>
            <w:shd w:val="clear" w:color="auto" w:fill="auto"/>
            <w:noWrap/>
            <w:vAlign w:val="center"/>
          </w:tcPr>
          <w:p w14:paraId="11B5E313">
            <w:pPr>
              <w:jc w:val="both"/>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1AD35A43">
            <w:pPr>
              <w:jc w:val="center"/>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2D057E9D">
            <w:pPr>
              <w:jc w:val="center"/>
              <w:rPr>
                <w:rFonts w:hint="eastAsia" w:ascii="宋体" w:hAnsi="宋体" w:eastAsia="宋体" w:cs="宋体"/>
                <w:i w:val="0"/>
                <w:iCs w:val="0"/>
                <w:color w:val="auto"/>
                <w:sz w:val="24"/>
                <w:szCs w:val="24"/>
                <w:highlight w:val="none"/>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14:paraId="094F2C1B">
            <w:pPr>
              <w:jc w:val="center"/>
              <w:rPr>
                <w:rFonts w:hint="eastAsia" w:ascii="宋体" w:hAnsi="宋体" w:eastAsia="宋体" w:cs="宋体"/>
                <w:i w:val="0"/>
                <w:iCs w:val="0"/>
                <w:color w:val="auto"/>
                <w:sz w:val="24"/>
                <w:szCs w:val="24"/>
                <w:highlight w:val="none"/>
                <w:u w:val="none"/>
              </w:rPr>
            </w:pPr>
          </w:p>
        </w:tc>
        <w:tc>
          <w:tcPr>
            <w:tcW w:w="913" w:type="dxa"/>
            <w:vMerge w:val="continue"/>
            <w:tcBorders>
              <w:top w:val="nil"/>
              <w:left w:val="nil"/>
              <w:bottom w:val="single" w:color="000000" w:sz="8" w:space="0"/>
              <w:right w:val="single" w:color="000000" w:sz="8" w:space="0"/>
            </w:tcBorders>
            <w:shd w:val="clear" w:color="auto" w:fill="auto"/>
            <w:noWrap/>
            <w:vAlign w:val="center"/>
          </w:tcPr>
          <w:p w14:paraId="51D974DC">
            <w:pPr>
              <w:jc w:val="center"/>
              <w:rPr>
                <w:rFonts w:hint="eastAsia" w:ascii="宋体" w:hAnsi="宋体" w:eastAsia="宋体" w:cs="宋体"/>
                <w:i w:val="0"/>
                <w:iCs w:val="0"/>
                <w:color w:val="auto"/>
                <w:sz w:val="24"/>
                <w:szCs w:val="24"/>
                <w:highlight w:val="none"/>
                <w:u w:val="none"/>
              </w:rPr>
            </w:pPr>
          </w:p>
        </w:tc>
        <w:tc>
          <w:tcPr>
            <w:tcW w:w="3834" w:type="dxa"/>
            <w:tcBorders>
              <w:top w:val="nil"/>
              <w:left w:val="nil"/>
              <w:bottom w:val="single" w:color="000000" w:sz="8" w:space="0"/>
              <w:right w:val="single" w:color="000000" w:sz="8" w:space="0"/>
            </w:tcBorders>
            <w:shd w:val="clear" w:color="auto" w:fill="auto"/>
            <w:noWrap/>
            <w:vAlign w:val="center"/>
          </w:tcPr>
          <w:p w14:paraId="3B5472ED">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3、职业病危害控制效果评价报告。</w:t>
            </w:r>
          </w:p>
        </w:tc>
      </w:tr>
      <w:tr w14:paraId="3EDF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2" w:type="dxa"/>
            <w:vMerge w:val="restart"/>
            <w:tcBorders>
              <w:top w:val="nil"/>
              <w:left w:val="single" w:color="000000" w:sz="8" w:space="0"/>
              <w:bottom w:val="single" w:color="000000" w:sz="8" w:space="0"/>
              <w:right w:val="single" w:color="000000" w:sz="8" w:space="0"/>
            </w:tcBorders>
            <w:shd w:val="clear" w:color="auto" w:fill="auto"/>
            <w:noWrap/>
            <w:vAlign w:val="center"/>
          </w:tcPr>
          <w:p w14:paraId="6BE255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317" w:type="dxa"/>
            <w:vMerge w:val="restart"/>
            <w:tcBorders>
              <w:top w:val="nil"/>
              <w:left w:val="nil"/>
              <w:bottom w:val="single" w:color="000000" w:sz="8" w:space="0"/>
              <w:right w:val="single" w:color="000000" w:sz="8" w:space="0"/>
            </w:tcBorders>
            <w:shd w:val="clear" w:color="auto" w:fill="auto"/>
            <w:noWrap/>
            <w:vAlign w:val="center"/>
          </w:tcPr>
          <w:p w14:paraId="2534C9BF">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安全“三同时”</w:t>
            </w:r>
          </w:p>
        </w:tc>
        <w:tc>
          <w:tcPr>
            <w:tcW w:w="683" w:type="dxa"/>
            <w:vMerge w:val="restart"/>
            <w:tcBorders>
              <w:top w:val="nil"/>
              <w:left w:val="nil"/>
              <w:bottom w:val="single" w:color="000000" w:sz="8" w:space="0"/>
              <w:right w:val="single" w:color="000000" w:sz="8" w:space="0"/>
            </w:tcBorders>
            <w:shd w:val="clear" w:color="auto" w:fill="auto"/>
            <w:noWrap/>
            <w:vAlign w:val="center"/>
          </w:tcPr>
          <w:p w14:paraId="56040C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座</w:t>
            </w:r>
          </w:p>
        </w:tc>
        <w:tc>
          <w:tcPr>
            <w:tcW w:w="683" w:type="dxa"/>
            <w:vMerge w:val="restart"/>
            <w:tcBorders>
              <w:top w:val="nil"/>
              <w:left w:val="nil"/>
              <w:bottom w:val="single" w:color="000000" w:sz="8" w:space="0"/>
              <w:right w:val="single" w:color="000000" w:sz="8" w:space="0"/>
            </w:tcBorders>
            <w:shd w:val="clear" w:color="auto" w:fill="auto"/>
            <w:noWrap/>
            <w:vAlign w:val="center"/>
          </w:tcPr>
          <w:p w14:paraId="5B07A4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w:t>
            </w:r>
          </w:p>
        </w:tc>
        <w:tc>
          <w:tcPr>
            <w:tcW w:w="681" w:type="dxa"/>
            <w:vMerge w:val="restart"/>
            <w:tcBorders>
              <w:top w:val="nil"/>
              <w:left w:val="nil"/>
              <w:bottom w:val="single" w:color="000000" w:sz="8" w:space="0"/>
              <w:right w:val="single" w:color="000000" w:sz="8" w:space="0"/>
            </w:tcBorders>
            <w:shd w:val="clear" w:color="auto" w:fill="auto"/>
            <w:noWrap/>
            <w:vAlign w:val="center"/>
          </w:tcPr>
          <w:p w14:paraId="68ACE49E">
            <w:pPr>
              <w:jc w:val="center"/>
              <w:rPr>
                <w:rFonts w:hint="eastAsia" w:ascii="宋体" w:hAnsi="宋体" w:eastAsia="宋体" w:cs="宋体"/>
                <w:i w:val="0"/>
                <w:iCs w:val="0"/>
                <w:color w:val="auto"/>
                <w:sz w:val="24"/>
                <w:szCs w:val="24"/>
                <w:highlight w:val="none"/>
                <w:u w:val="none"/>
              </w:rPr>
            </w:pPr>
          </w:p>
        </w:tc>
        <w:tc>
          <w:tcPr>
            <w:tcW w:w="913" w:type="dxa"/>
            <w:vMerge w:val="restart"/>
            <w:tcBorders>
              <w:top w:val="nil"/>
              <w:left w:val="nil"/>
              <w:bottom w:val="single" w:color="000000" w:sz="8" w:space="0"/>
              <w:right w:val="single" w:color="000000" w:sz="8" w:space="0"/>
            </w:tcBorders>
            <w:shd w:val="clear" w:color="auto" w:fill="auto"/>
            <w:noWrap/>
            <w:vAlign w:val="center"/>
          </w:tcPr>
          <w:p w14:paraId="2D44F489">
            <w:pPr>
              <w:jc w:val="center"/>
              <w:rPr>
                <w:rFonts w:hint="eastAsia" w:ascii="宋体" w:hAnsi="宋体" w:eastAsia="宋体" w:cs="宋体"/>
                <w:i w:val="0"/>
                <w:iCs w:val="0"/>
                <w:color w:val="auto"/>
                <w:sz w:val="24"/>
                <w:szCs w:val="24"/>
                <w:highlight w:val="none"/>
                <w:u w:val="none"/>
              </w:rPr>
            </w:pPr>
          </w:p>
        </w:tc>
        <w:tc>
          <w:tcPr>
            <w:tcW w:w="3834" w:type="dxa"/>
            <w:tcBorders>
              <w:top w:val="nil"/>
              <w:left w:val="nil"/>
              <w:bottom w:val="nil"/>
              <w:right w:val="single" w:color="000000" w:sz="8" w:space="0"/>
            </w:tcBorders>
            <w:shd w:val="clear" w:color="auto" w:fill="auto"/>
            <w:noWrap/>
            <w:vAlign w:val="center"/>
          </w:tcPr>
          <w:p w14:paraId="278797BE">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1、安全预评价报告；</w:t>
            </w:r>
          </w:p>
        </w:tc>
      </w:tr>
      <w:tr w14:paraId="7ACBA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2"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C2E6798">
            <w:pPr>
              <w:jc w:val="center"/>
              <w:rPr>
                <w:rFonts w:hint="eastAsia" w:ascii="宋体" w:hAnsi="宋体" w:eastAsia="宋体" w:cs="宋体"/>
                <w:i w:val="0"/>
                <w:iCs w:val="0"/>
                <w:color w:val="auto"/>
                <w:sz w:val="24"/>
                <w:szCs w:val="24"/>
                <w:highlight w:val="none"/>
                <w:u w:val="none"/>
              </w:rPr>
            </w:pPr>
          </w:p>
        </w:tc>
        <w:tc>
          <w:tcPr>
            <w:tcW w:w="2317" w:type="dxa"/>
            <w:vMerge w:val="continue"/>
            <w:tcBorders>
              <w:top w:val="nil"/>
              <w:left w:val="nil"/>
              <w:bottom w:val="single" w:color="000000" w:sz="8" w:space="0"/>
              <w:right w:val="single" w:color="000000" w:sz="8" w:space="0"/>
            </w:tcBorders>
            <w:shd w:val="clear" w:color="auto" w:fill="auto"/>
            <w:noWrap/>
            <w:vAlign w:val="center"/>
          </w:tcPr>
          <w:p w14:paraId="63E94953">
            <w:pPr>
              <w:jc w:val="both"/>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5980E704">
            <w:pPr>
              <w:jc w:val="center"/>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0D690AFA">
            <w:pPr>
              <w:jc w:val="center"/>
              <w:rPr>
                <w:rFonts w:hint="eastAsia" w:ascii="宋体" w:hAnsi="宋体" w:eastAsia="宋体" w:cs="宋体"/>
                <w:i w:val="0"/>
                <w:iCs w:val="0"/>
                <w:color w:val="auto"/>
                <w:sz w:val="24"/>
                <w:szCs w:val="24"/>
                <w:highlight w:val="none"/>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14:paraId="434E9F39">
            <w:pPr>
              <w:jc w:val="center"/>
              <w:rPr>
                <w:rFonts w:hint="eastAsia" w:ascii="宋体" w:hAnsi="宋体" w:eastAsia="宋体" w:cs="宋体"/>
                <w:i w:val="0"/>
                <w:iCs w:val="0"/>
                <w:color w:val="auto"/>
                <w:sz w:val="24"/>
                <w:szCs w:val="24"/>
                <w:highlight w:val="none"/>
                <w:u w:val="none"/>
              </w:rPr>
            </w:pPr>
          </w:p>
        </w:tc>
        <w:tc>
          <w:tcPr>
            <w:tcW w:w="913" w:type="dxa"/>
            <w:vMerge w:val="continue"/>
            <w:tcBorders>
              <w:top w:val="nil"/>
              <w:left w:val="nil"/>
              <w:bottom w:val="single" w:color="000000" w:sz="8" w:space="0"/>
              <w:right w:val="single" w:color="000000" w:sz="8" w:space="0"/>
            </w:tcBorders>
            <w:shd w:val="clear" w:color="auto" w:fill="auto"/>
            <w:noWrap/>
            <w:vAlign w:val="center"/>
          </w:tcPr>
          <w:p w14:paraId="1F8DA1D0">
            <w:pPr>
              <w:jc w:val="center"/>
              <w:rPr>
                <w:rFonts w:hint="eastAsia" w:ascii="宋体" w:hAnsi="宋体" w:eastAsia="宋体" w:cs="宋体"/>
                <w:i w:val="0"/>
                <w:iCs w:val="0"/>
                <w:color w:val="auto"/>
                <w:sz w:val="24"/>
                <w:szCs w:val="24"/>
                <w:highlight w:val="none"/>
                <w:u w:val="none"/>
              </w:rPr>
            </w:pPr>
          </w:p>
        </w:tc>
        <w:tc>
          <w:tcPr>
            <w:tcW w:w="3834" w:type="dxa"/>
            <w:tcBorders>
              <w:top w:val="nil"/>
              <w:left w:val="nil"/>
              <w:bottom w:val="nil"/>
              <w:right w:val="single" w:color="000000" w:sz="8" w:space="0"/>
            </w:tcBorders>
            <w:shd w:val="clear" w:color="auto" w:fill="auto"/>
            <w:noWrap/>
            <w:vAlign w:val="center"/>
          </w:tcPr>
          <w:p w14:paraId="70A2D0E8">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2、安全设施设计专篇报告；</w:t>
            </w:r>
          </w:p>
        </w:tc>
      </w:tr>
      <w:tr w14:paraId="52161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82" w:type="dxa"/>
            <w:vMerge w:val="continue"/>
            <w:tcBorders>
              <w:top w:val="nil"/>
              <w:left w:val="single" w:color="000000" w:sz="8" w:space="0"/>
              <w:bottom w:val="single" w:color="000000" w:sz="8" w:space="0"/>
              <w:right w:val="single" w:color="000000" w:sz="8" w:space="0"/>
            </w:tcBorders>
            <w:shd w:val="clear" w:color="auto" w:fill="auto"/>
            <w:noWrap/>
            <w:vAlign w:val="center"/>
          </w:tcPr>
          <w:p w14:paraId="470B8173">
            <w:pPr>
              <w:jc w:val="center"/>
              <w:rPr>
                <w:rFonts w:hint="eastAsia" w:ascii="宋体" w:hAnsi="宋体" w:eastAsia="宋体" w:cs="宋体"/>
                <w:i w:val="0"/>
                <w:iCs w:val="0"/>
                <w:color w:val="auto"/>
                <w:sz w:val="24"/>
                <w:szCs w:val="24"/>
                <w:highlight w:val="none"/>
                <w:u w:val="none"/>
              </w:rPr>
            </w:pPr>
          </w:p>
        </w:tc>
        <w:tc>
          <w:tcPr>
            <w:tcW w:w="2317" w:type="dxa"/>
            <w:vMerge w:val="continue"/>
            <w:tcBorders>
              <w:top w:val="nil"/>
              <w:left w:val="nil"/>
              <w:bottom w:val="single" w:color="000000" w:sz="8" w:space="0"/>
              <w:right w:val="single" w:color="000000" w:sz="8" w:space="0"/>
            </w:tcBorders>
            <w:shd w:val="clear" w:color="auto" w:fill="auto"/>
            <w:noWrap/>
            <w:vAlign w:val="center"/>
          </w:tcPr>
          <w:p w14:paraId="126CA070">
            <w:pPr>
              <w:jc w:val="both"/>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72DCC3DB">
            <w:pPr>
              <w:jc w:val="center"/>
              <w:rPr>
                <w:rFonts w:hint="eastAsia" w:ascii="宋体" w:hAnsi="宋体" w:eastAsia="宋体" w:cs="宋体"/>
                <w:i w:val="0"/>
                <w:iCs w:val="0"/>
                <w:color w:val="auto"/>
                <w:sz w:val="24"/>
                <w:szCs w:val="24"/>
                <w:highlight w:val="none"/>
                <w:u w:val="none"/>
              </w:rPr>
            </w:pPr>
          </w:p>
        </w:tc>
        <w:tc>
          <w:tcPr>
            <w:tcW w:w="683" w:type="dxa"/>
            <w:vMerge w:val="continue"/>
            <w:tcBorders>
              <w:top w:val="nil"/>
              <w:left w:val="nil"/>
              <w:bottom w:val="single" w:color="000000" w:sz="8" w:space="0"/>
              <w:right w:val="single" w:color="000000" w:sz="8" w:space="0"/>
            </w:tcBorders>
            <w:shd w:val="clear" w:color="auto" w:fill="auto"/>
            <w:noWrap/>
            <w:vAlign w:val="center"/>
          </w:tcPr>
          <w:p w14:paraId="2EF208BB">
            <w:pPr>
              <w:jc w:val="center"/>
              <w:rPr>
                <w:rFonts w:hint="eastAsia" w:ascii="宋体" w:hAnsi="宋体" w:eastAsia="宋体" w:cs="宋体"/>
                <w:i w:val="0"/>
                <w:iCs w:val="0"/>
                <w:color w:val="auto"/>
                <w:sz w:val="24"/>
                <w:szCs w:val="24"/>
                <w:highlight w:val="none"/>
                <w:u w:val="none"/>
              </w:rPr>
            </w:pPr>
          </w:p>
        </w:tc>
        <w:tc>
          <w:tcPr>
            <w:tcW w:w="681" w:type="dxa"/>
            <w:vMerge w:val="continue"/>
            <w:tcBorders>
              <w:top w:val="nil"/>
              <w:left w:val="nil"/>
              <w:bottom w:val="single" w:color="000000" w:sz="8" w:space="0"/>
              <w:right w:val="single" w:color="000000" w:sz="8" w:space="0"/>
            </w:tcBorders>
            <w:shd w:val="clear" w:color="auto" w:fill="auto"/>
            <w:noWrap/>
            <w:vAlign w:val="center"/>
          </w:tcPr>
          <w:p w14:paraId="160C86FD">
            <w:pPr>
              <w:jc w:val="center"/>
              <w:rPr>
                <w:rFonts w:hint="eastAsia" w:ascii="宋体" w:hAnsi="宋体" w:eastAsia="宋体" w:cs="宋体"/>
                <w:i w:val="0"/>
                <w:iCs w:val="0"/>
                <w:color w:val="auto"/>
                <w:sz w:val="24"/>
                <w:szCs w:val="24"/>
                <w:highlight w:val="none"/>
                <w:u w:val="none"/>
              </w:rPr>
            </w:pPr>
          </w:p>
        </w:tc>
        <w:tc>
          <w:tcPr>
            <w:tcW w:w="913" w:type="dxa"/>
            <w:vMerge w:val="continue"/>
            <w:tcBorders>
              <w:top w:val="nil"/>
              <w:left w:val="nil"/>
              <w:bottom w:val="single" w:color="000000" w:sz="8" w:space="0"/>
              <w:right w:val="single" w:color="000000" w:sz="8" w:space="0"/>
            </w:tcBorders>
            <w:shd w:val="clear" w:color="auto" w:fill="auto"/>
            <w:noWrap/>
            <w:vAlign w:val="center"/>
          </w:tcPr>
          <w:p w14:paraId="411CE616">
            <w:pPr>
              <w:jc w:val="center"/>
              <w:rPr>
                <w:rFonts w:hint="eastAsia" w:ascii="宋体" w:hAnsi="宋体" w:eastAsia="宋体" w:cs="宋体"/>
                <w:i w:val="0"/>
                <w:iCs w:val="0"/>
                <w:color w:val="auto"/>
                <w:sz w:val="24"/>
                <w:szCs w:val="24"/>
                <w:highlight w:val="none"/>
                <w:u w:val="none"/>
              </w:rPr>
            </w:pPr>
          </w:p>
        </w:tc>
        <w:tc>
          <w:tcPr>
            <w:tcW w:w="3834" w:type="dxa"/>
            <w:tcBorders>
              <w:top w:val="nil"/>
              <w:left w:val="nil"/>
              <w:bottom w:val="single" w:color="000000" w:sz="8" w:space="0"/>
              <w:right w:val="single" w:color="000000" w:sz="8" w:space="0"/>
            </w:tcBorders>
            <w:shd w:val="clear" w:color="auto" w:fill="auto"/>
            <w:noWrap/>
            <w:vAlign w:val="center"/>
          </w:tcPr>
          <w:p w14:paraId="7FA75398">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3、安全验收评价报告。</w:t>
            </w:r>
          </w:p>
        </w:tc>
      </w:tr>
      <w:tr w14:paraId="2346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82" w:type="dxa"/>
            <w:tcBorders>
              <w:top w:val="nil"/>
              <w:left w:val="single" w:color="000000" w:sz="8" w:space="0"/>
              <w:bottom w:val="single" w:color="000000" w:sz="8" w:space="0"/>
              <w:right w:val="single" w:color="000000" w:sz="8" w:space="0"/>
            </w:tcBorders>
            <w:shd w:val="clear" w:color="auto" w:fill="auto"/>
            <w:noWrap/>
            <w:vAlign w:val="center"/>
          </w:tcPr>
          <w:p w14:paraId="45307605">
            <w:pPr>
              <w:jc w:val="center"/>
              <w:rPr>
                <w:rFonts w:hint="eastAsia" w:ascii="宋体" w:hAnsi="宋体" w:eastAsia="宋体" w:cs="宋体"/>
                <w:i w:val="0"/>
                <w:iCs w:val="0"/>
                <w:color w:val="auto"/>
                <w:sz w:val="24"/>
                <w:szCs w:val="24"/>
                <w:highlight w:val="none"/>
                <w:u w:val="none"/>
              </w:rPr>
            </w:pPr>
          </w:p>
        </w:tc>
        <w:tc>
          <w:tcPr>
            <w:tcW w:w="2317" w:type="dxa"/>
            <w:tcBorders>
              <w:top w:val="nil"/>
              <w:left w:val="nil"/>
              <w:bottom w:val="single" w:color="000000" w:sz="8" w:space="0"/>
              <w:right w:val="single" w:color="000000" w:sz="8" w:space="0"/>
            </w:tcBorders>
            <w:shd w:val="clear" w:color="auto" w:fill="auto"/>
            <w:noWrap/>
            <w:vAlign w:val="center"/>
          </w:tcPr>
          <w:p w14:paraId="52C90C83">
            <w:pPr>
              <w:jc w:val="center"/>
              <w:rPr>
                <w:rFonts w:hint="eastAsia" w:ascii="宋体" w:hAnsi="宋体" w:eastAsia="宋体" w:cs="宋体"/>
                <w:i w:val="0"/>
                <w:iCs w:val="0"/>
                <w:color w:val="auto"/>
                <w:sz w:val="24"/>
                <w:szCs w:val="24"/>
                <w:highlight w:val="none"/>
                <w:u w:val="none"/>
              </w:rPr>
            </w:pPr>
          </w:p>
        </w:tc>
        <w:tc>
          <w:tcPr>
            <w:tcW w:w="683" w:type="dxa"/>
            <w:tcBorders>
              <w:top w:val="nil"/>
              <w:left w:val="nil"/>
              <w:bottom w:val="single" w:color="000000" w:sz="8" w:space="0"/>
              <w:right w:val="single" w:color="000000" w:sz="8" w:space="0"/>
            </w:tcBorders>
            <w:shd w:val="clear" w:color="auto" w:fill="auto"/>
            <w:noWrap/>
            <w:vAlign w:val="center"/>
          </w:tcPr>
          <w:p w14:paraId="13FC7D80">
            <w:pPr>
              <w:jc w:val="center"/>
              <w:rPr>
                <w:rFonts w:hint="eastAsia" w:ascii="宋体" w:hAnsi="宋体" w:eastAsia="宋体" w:cs="宋体"/>
                <w:i w:val="0"/>
                <w:iCs w:val="0"/>
                <w:color w:val="auto"/>
                <w:sz w:val="24"/>
                <w:szCs w:val="24"/>
                <w:highlight w:val="none"/>
                <w:u w:val="none"/>
              </w:rPr>
            </w:pPr>
          </w:p>
        </w:tc>
        <w:tc>
          <w:tcPr>
            <w:tcW w:w="683" w:type="dxa"/>
            <w:tcBorders>
              <w:top w:val="nil"/>
              <w:left w:val="nil"/>
              <w:bottom w:val="single" w:color="000000" w:sz="8" w:space="0"/>
              <w:right w:val="single" w:color="000000" w:sz="8" w:space="0"/>
            </w:tcBorders>
            <w:shd w:val="clear" w:color="auto" w:fill="auto"/>
            <w:noWrap/>
            <w:vAlign w:val="center"/>
          </w:tcPr>
          <w:p w14:paraId="27C1A192">
            <w:pPr>
              <w:jc w:val="center"/>
              <w:rPr>
                <w:rFonts w:hint="eastAsia" w:ascii="宋体" w:hAnsi="宋体" w:eastAsia="宋体" w:cs="宋体"/>
                <w:i w:val="0"/>
                <w:iCs w:val="0"/>
                <w:color w:val="auto"/>
                <w:sz w:val="24"/>
                <w:szCs w:val="24"/>
                <w:highlight w:val="none"/>
                <w:u w:val="none"/>
              </w:rPr>
            </w:pPr>
          </w:p>
        </w:tc>
        <w:tc>
          <w:tcPr>
            <w:tcW w:w="681" w:type="dxa"/>
            <w:tcBorders>
              <w:top w:val="nil"/>
              <w:left w:val="nil"/>
              <w:bottom w:val="single" w:color="000000" w:sz="8" w:space="0"/>
              <w:right w:val="single" w:color="000000" w:sz="8" w:space="0"/>
            </w:tcBorders>
            <w:shd w:val="clear" w:color="auto" w:fill="auto"/>
            <w:noWrap/>
            <w:vAlign w:val="center"/>
          </w:tcPr>
          <w:p w14:paraId="59956F19">
            <w:pPr>
              <w:jc w:val="center"/>
              <w:rPr>
                <w:rFonts w:hint="eastAsia" w:ascii="宋体" w:hAnsi="宋体" w:eastAsia="宋体" w:cs="宋体"/>
                <w:i w:val="0"/>
                <w:iCs w:val="0"/>
                <w:color w:val="auto"/>
                <w:sz w:val="24"/>
                <w:szCs w:val="24"/>
                <w:highlight w:val="none"/>
                <w:u w:val="none"/>
              </w:rPr>
            </w:pPr>
          </w:p>
        </w:tc>
        <w:tc>
          <w:tcPr>
            <w:tcW w:w="913" w:type="dxa"/>
            <w:tcBorders>
              <w:top w:val="nil"/>
              <w:left w:val="nil"/>
              <w:bottom w:val="single" w:color="000000" w:sz="8" w:space="0"/>
              <w:right w:val="single" w:color="000000" w:sz="8" w:space="0"/>
            </w:tcBorders>
            <w:shd w:val="clear" w:color="auto" w:fill="auto"/>
            <w:noWrap/>
            <w:vAlign w:val="center"/>
          </w:tcPr>
          <w:p w14:paraId="7CB1A49B">
            <w:pPr>
              <w:jc w:val="center"/>
              <w:rPr>
                <w:rFonts w:hint="eastAsia" w:ascii="宋体" w:hAnsi="宋体" w:eastAsia="宋体" w:cs="宋体"/>
                <w:i w:val="0"/>
                <w:iCs w:val="0"/>
                <w:color w:val="auto"/>
                <w:sz w:val="24"/>
                <w:szCs w:val="24"/>
                <w:highlight w:val="none"/>
                <w:u w:val="none"/>
              </w:rPr>
            </w:pPr>
          </w:p>
        </w:tc>
        <w:tc>
          <w:tcPr>
            <w:tcW w:w="3834" w:type="dxa"/>
            <w:tcBorders>
              <w:top w:val="nil"/>
              <w:left w:val="nil"/>
              <w:bottom w:val="single" w:color="000000" w:sz="8" w:space="0"/>
              <w:right w:val="single" w:color="000000" w:sz="8" w:space="0"/>
            </w:tcBorders>
            <w:shd w:val="clear" w:color="auto" w:fill="auto"/>
            <w:noWrap/>
            <w:vAlign w:val="center"/>
          </w:tcPr>
          <w:p w14:paraId="752FA2D8">
            <w:pPr>
              <w:jc w:val="center"/>
              <w:rPr>
                <w:rFonts w:hint="eastAsia" w:ascii="宋体" w:hAnsi="宋体" w:eastAsia="宋体" w:cs="宋体"/>
                <w:i w:val="0"/>
                <w:iCs w:val="0"/>
                <w:color w:val="auto"/>
                <w:sz w:val="24"/>
                <w:szCs w:val="24"/>
                <w:highlight w:val="none"/>
                <w:u w:val="none"/>
              </w:rPr>
            </w:pPr>
          </w:p>
        </w:tc>
      </w:tr>
      <w:tr w14:paraId="5BE9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2" w:type="dxa"/>
            <w:tcBorders>
              <w:top w:val="nil"/>
              <w:left w:val="single" w:color="000000" w:sz="8" w:space="0"/>
              <w:bottom w:val="single" w:color="000000" w:sz="8" w:space="0"/>
              <w:right w:val="single" w:color="000000" w:sz="8" w:space="0"/>
            </w:tcBorders>
            <w:shd w:val="clear" w:color="auto" w:fill="auto"/>
            <w:noWrap/>
            <w:vAlign w:val="center"/>
          </w:tcPr>
          <w:p w14:paraId="78BD4043">
            <w:pPr>
              <w:jc w:val="center"/>
              <w:rPr>
                <w:rFonts w:hint="eastAsia" w:ascii="宋体" w:hAnsi="宋体" w:eastAsia="宋体" w:cs="宋体"/>
                <w:i w:val="0"/>
                <w:iCs w:val="0"/>
                <w:color w:val="auto"/>
                <w:sz w:val="24"/>
                <w:szCs w:val="24"/>
                <w:highlight w:val="none"/>
                <w:u w:val="none"/>
              </w:rPr>
            </w:pPr>
          </w:p>
        </w:tc>
        <w:tc>
          <w:tcPr>
            <w:tcW w:w="2317" w:type="dxa"/>
            <w:tcBorders>
              <w:top w:val="nil"/>
              <w:left w:val="nil"/>
              <w:bottom w:val="single" w:color="000000" w:sz="8" w:space="0"/>
              <w:right w:val="single" w:color="000000" w:sz="8" w:space="0"/>
            </w:tcBorders>
            <w:shd w:val="clear" w:color="auto" w:fill="auto"/>
            <w:noWrap/>
            <w:vAlign w:val="center"/>
          </w:tcPr>
          <w:p w14:paraId="66B4746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683" w:type="dxa"/>
            <w:tcBorders>
              <w:top w:val="nil"/>
              <w:left w:val="nil"/>
              <w:bottom w:val="single" w:color="000000" w:sz="8" w:space="0"/>
              <w:right w:val="single" w:color="000000" w:sz="8" w:space="0"/>
            </w:tcBorders>
            <w:shd w:val="clear" w:color="auto" w:fill="auto"/>
            <w:noWrap/>
            <w:vAlign w:val="center"/>
          </w:tcPr>
          <w:p w14:paraId="54AA96CC">
            <w:pPr>
              <w:jc w:val="center"/>
              <w:rPr>
                <w:rFonts w:hint="eastAsia" w:ascii="宋体" w:hAnsi="宋体" w:eastAsia="宋体" w:cs="宋体"/>
                <w:i w:val="0"/>
                <w:iCs w:val="0"/>
                <w:color w:val="auto"/>
                <w:sz w:val="24"/>
                <w:szCs w:val="24"/>
                <w:highlight w:val="none"/>
                <w:u w:val="none"/>
              </w:rPr>
            </w:pPr>
          </w:p>
        </w:tc>
        <w:tc>
          <w:tcPr>
            <w:tcW w:w="683" w:type="dxa"/>
            <w:tcBorders>
              <w:top w:val="nil"/>
              <w:left w:val="nil"/>
              <w:bottom w:val="single" w:color="000000" w:sz="8" w:space="0"/>
              <w:right w:val="single" w:color="000000" w:sz="8" w:space="0"/>
            </w:tcBorders>
            <w:shd w:val="clear" w:color="auto" w:fill="auto"/>
            <w:noWrap/>
            <w:vAlign w:val="center"/>
          </w:tcPr>
          <w:p w14:paraId="332AA458">
            <w:pPr>
              <w:jc w:val="center"/>
              <w:rPr>
                <w:rFonts w:hint="eastAsia" w:ascii="宋体" w:hAnsi="宋体" w:eastAsia="宋体" w:cs="宋体"/>
                <w:i w:val="0"/>
                <w:iCs w:val="0"/>
                <w:color w:val="auto"/>
                <w:sz w:val="24"/>
                <w:szCs w:val="24"/>
                <w:highlight w:val="none"/>
                <w:u w:val="none"/>
              </w:rPr>
            </w:pPr>
          </w:p>
        </w:tc>
        <w:tc>
          <w:tcPr>
            <w:tcW w:w="681" w:type="dxa"/>
            <w:tcBorders>
              <w:top w:val="nil"/>
              <w:left w:val="nil"/>
              <w:bottom w:val="single" w:color="000000" w:sz="8" w:space="0"/>
              <w:right w:val="single" w:color="000000" w:sz="8" w:space="0"/>
            </w:tcBorders>
            <w:shd w:val="clear" w:color="auto" w:fill="auto"/>
            <w:noWrap/>
            <w:vAlign w:val="center"/>
          </w:tcPr>
          <w:p w14:paraId="54C4B16B">
            <w:pPr>
              <w:jc w:val="center"/>
              <w:rPr>
                <w:rFonts w:hint="eastAsia" w:ascii="宋体" w:hAnsi="宋体" w:eastAsia="宋体" w:cs="宋体"/>
                <w:i w:val="0"/>
                <w:iCs w:val="0"/>
                <w:color w:val="auto"/>
                <w:sz w:val="24"/>
                <w:szCs w:val="24"/>
                <w:highlight w:val="none"/>
                <w:u w:val="none"/>
              </w:rPr>
            </w:pPr>
          </w:p>
        </w:tc>
        <w:tc>
          <w:tcPr>
            <w:tcW w:w="913" w:type="dxa"/>
            <w:tcBorders>
              <w:top w:val="nil"/>
              <w:left w:val="nil"/>
              <w:bottom w:val="single" w:color="000000" w:sz="8" w:space="0"/>
              <w:right w:val="single" w:color="000000" w:sz="8" w:space="0"/>
            </w:tcBorders>
            <w:shd w:val="clear" w:color="auto" w:fill="auto"/>
            <w:noWrap/>
            <w:vAlign w:val="center"/>
          </w:tcPr>
          <w:p w14:paraId="53DB8E07">
            <w:pPr>
              <w:jc w:val="center"/>
              <w:rPr>
                <w:rFonts w:hint="eastAsia" w:ascii="宋体" w:hAnsi="宋体" w:eastAsia="宋体" w:cs="宋体"/>
                <w:i w:val="0"/>
                <w:iCs w:val="0"/>
                <w:color w:val="auto"/>
                <w:sz w:val="24"/>
                <w:szCs w:val="24"/>
                <w:highlight w:val="none"/>
                <w:u w:val="none"/>
              </w:rPr>
            </w:pPr>
          </w:p>
        </w:tc>
        <w:tc>
          <w:tcPr>
            <w:tcW w:w="3834" w:type="dxa"/>
            <w:tcBorders>
              <w:top w:val="nil"/>
              <w:left w:val="nil"/>
              <w:bottom w:val="single" w:color="000000" w:sz="8" w:space="0"/>
              <w:right w:val="single" w:color="000000" w:sz="8" w:space="0"/>
            </w:tcBorders>
            <w:shd w:val="clear" w:color="auto" w:fill="auto"/>
            <w:noWrap/>
            <w:vAlign w:val="center"/>
          </w:tcPr>
          <w:p w14:paraId="1DB606CB">
            <w:pPr>
              <w:rPr>
                <w:rFonts w:hint="eastAsia" w:ascii="宋体" w:hAnsi="宋体" w:eastAsia="宋体" w:cs="宋体"/>
                <w:i w:val="0"/>
                <w:iCs w:val="0"/>
                <w:color w:val="auto"/>
                <w:sz w:val="22"/>
                <w:szCs w:val="22"/>
                <w:highlight w:val="none"/>
                <w:u w:val="none"/>
              </w:rPr>
            </w:pPr>
          </w:p>
        </w:tc>
      </w:tr>
    </w:tbl>
    <w:p w14:paraId="3095C487">
      <w:pPr>
        <w:spacing w:line="600" w:lineRule="exact"/>
        <w:jc w:val="both"/>
        <w:rPr>
          <w:rFonts w:hint="eastAsia" w:ascii="宋体" w:hAnsi="宋体" w:cs="宋体"/>
          <w:b/>
          <w:bCs/>
          <w:color w:val="auto"/>
          <w:sz w:val="24"/>
          <w:szCs w:val="24"/>
          <w:highlight w:val="none"/>
          <w:lang w:eastAsia="zh-CN"/>
        </w:rPr>
      </w:pPr>
    </w:p>
    <w:p w14:paraId="5B8FC7F0">
      <w:pPr>
        <w:spacing w:line="600" w:lineRule="exact"/>
        <w:jc w:val="center"/>
        <w:rPr>
          <w:rFonts w:hint="eastAsia" w:ascii="宋体" w:hAnsi="宋体" w:cs="宋体"/>
          <w:color w:val="auto"/>
          <w:sz w:val="30"/>
          <w:szCs w:val="30"/>
          <w:highlight w:val="none"/>
        </w:rPr>
      </w:pPr>
    </w:p>
    <w:p w14:paraId="7B89BEC6">
      <w:pPr>
        <w:spacing w:line="600" w:lineRule="exact"/>
        <w:jc w:val="center"/>
        <w:rPr>
          <w:rFonts w:hint="eastAsia" w:ascii="宋体" w:hAnsi="宋体" w:cs="宋体"/>
          <w:color w:val="auto"/>
          <w:sz w:val="30"/>
          <w:szCs w:val="30"/>
          <w:highlight w:val="none"/>
        </w:rPr>
      </w:pPr>
    </w:p>
    <w:p w14:paraId="232EAEA5">
      <w:pPr>
        <w:spacing w:line="600" w:lineRule="exact"/>
        <w:jc w:val="center"/>
        <w:rPr>
          <w:rFonts w:hint="eastAsia" w:ascii="宋体" w:hAnsi="宋体" w:cs="宋体"/>
          <w:color w:val="auto"/>
          <w:sz w:val="30"/>
          <w:szCs w:val="30"/>
          <w:highlight w:val="none"/>
        </w:rPr>
      </w:pPr>
    </w:p>
    <w:p w14:paraId="066B9077">
      <w:pPr>
        <w:spacing w:line="600" w:lineRule="exact"/>
        <w:jc w:val="center"/>
        <w:rPr>
          <w:rFonts w:hint="eastAsia" w:ascii="宋体" w:hAnsi="宋体" w:cs="宋体"/>
          <w:color w:val="auto"/>
          <w:sz w:val="30"/>
          <w:szCs w:val="30"/>
          <w:highlight w:val="none"/>
        </w:rPr>
      </w:pPr>
    </w:p>
    <w:p w14:paraId="63834621">
      <w:pPr>
        <w:spacing w:line="600" w:lineRule="exact"/>
        <w:jc w:val="center"/>
        <w:rPr>
          <w:rFonts w:hint="eastAsia" w:ascii="宋体" w:hAnsi="宋体" w:cs="宋体"/>
          <w:color w:val="auto"/>
          <w:sz w:val="30"/>
          <w:szCs w:val="30"/>
          <w:highlight w:val="none"/>
        </w:rPr>
      </w:pPr>
    </w:p>
    <w:p w14:paraId="2CE02DC7">
      <w:pPr>
        <w:spacing w:line="600" w:lineRule="exact"/>
        <w:jc w:val="center"/>
        <w:rPr>
          <w:rFonts w:hint="eastAsia" w:ascii="宋体" w:hAnsi="宋体" w:cs="宋体"/>
          <w:color w:val="auto"/>
          <w:sz w:val="30"/>
          <w:szCs w:val="30"/>
          <w:highlight w:val="none"/>
        </w:rPr>
      </w:pPr>
    </w:p>
    <w:p w14:paraId="2AF0F3BB">
      <w:pPr>
        <w:spacing w:line="600" w:lineRule="exact"/>
        <w:jc w:val="center"/>
        <w:rPr>
          <w:rFonts w:hint="eastAsia" w:ascii="宋体" w:hAnsi="宋体" w:cs="宋体"/>
          <w:color w:val="auto"/>
          <w:sz w:val="30"/>
          <w:szCs w:val="30"/>
          <w:highlight w:val="none"/>
        </w:rPr>
      </w:pPr>
    </w:p>
    <w:p w14:paraId="186E9DF5">
      <w:pPr>
        <w:spacing w:line="600" w:lineRule="exact"/>
        <w:jc w:val="center"/>
        <w:rPr>
          <w:rFonts w:hint="eastAsia" w:ascii="宋体" w:hAnsi="宋体" w:cs="宋体"/>
          <w:color w:val="auto"/>
          <w:sz w:val="30"/>
          <w:szCs w:val="30"/>
          <w:highlight w:val="none"/>
        </w:rPr>
      </w:pPr>
    </w:p>
    <w:p w14:paraId="415E16EF">
      <w:pPr>
        <w:spacing w:line="600" w:lineRule="exact"/>
        <w:jc w:val="center"/>
        <w:rPr>
          <w:rFonts w:hint="eastAsia" w:ascii="宋体" w:hAnsi="宋体" w:cs="宋体"/>
          <w:color w:val="auto"/>
          <w:sz w:val="30"/>
          <w:szCs w:val="30"/>
          <w:highlight w:val="none"/>
        </w:rPr>
      </w:pPr>
    </w:p>
    <w:p w14:paraId="2C8B90E3">
      <w:pPr>
        <w:spacing w:line="600" w:lineRule="exact"/>
        <w:jc w:val="both"/>
        <w:rPr>
          <w:rFonts w:hint="eastAsia" w:ascii="宋体" w:hAnsi="宋体" w:cs="宋体"/>
          <w:color w:val="auto"/>
          <w:sz w:val="30"/>
          <w:szCs w:val="30"/>
          <w:highlight w:val="none"/>
        </w:rPr>
      </w:pPr>
    </w:p>
    <w:p w14:paraId="0E569F43">
      <w:pPr>
        <w:spacing w:line="60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七、资格审查资料</w:t>
      </w:r>
    </w:p>
    <w:p w14:paraId="1FA4D5FA">
      <w:pPr>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（一）基本情况</w:t>
      </w:r>
    </w:p>
    <w:p w14:paraId="22D4E778">
      <w:pPr>
        <w:spacing w:line="600" w:lineRule="exact"/>
        <w:rPr>
          <w:rFonts w:hint="eastAsia" w:ascii="宋体" w:hAnsi="宋体" w:cs="宋体"/>
          <w:color w:val="auto"/>
          <w:sz w:val="24"/>
          <w:highlight w:val="none"/>
        </w:rPr>
      </w:pPr>
      <w:r>
        <w:rPr>
          <w:rFonts w:hint="eastAsia" w:ascii="宋体" w:hAnsi="宋体" w:cs="宋体"/>
          <w:color w:val="auto"/>
          <w:sz w:val="24"/>
          <w:highlight w:val="none"/>
        </w:rPr>
        <w:t>供应商应根据供应商须知前附表第3.5（1）项和第3.5（2）项的要求提供主体资格证明及相关资质证明资料。</w:t>
      </w:r>
    </w:p>
    <w:p w14:paraId="1AD9F966">
      <w:pPr>
        <w:spacing w:line="600" w:lineRule="exact"/>
        <w:rPr>
          <w:rFonts w:hint="eastAsia" w:ascii="宋体" w:hAnsi="宋体" w:cs="宋体"/>
          <w:color w:val="auto"/>
          <w:sz w:val="24"/>
          <w:highlight w:val="none"/>
        </w:rPr>
      </w:pPr>
      <w:r>
        <w:rPr>
          <w:rFonts w:hint="eastAsia" w:ascii="宋体" w:hAnsi="宋体" w:cs="宋体"/>
          <w:color w:val="auto"/>
          <w:sz w:val="24"/>
          <w:highlight w:val="none"/>
        </w:rPr>
        <w:t>供应商还应根据供应商须知前</w:t>
      </w:r>
      <w:r>
        <w:rPr>
          <w:rFonts w:hint="eastAsia" w:ascii="宋体" w:hAnsi="宋体" w:cs="宋体"/>
          <w:color w:val="auto"/>
          <w:sz w:val="24"/>
          <w:highlight w:val="none"/>
          <w:lang w:val="en-US" w:eastAsia="zh-CN"/>
        </w:rPr>
        <w:t>附</w:t>
      </w:r>
      <w:r>
        <w:rPr>
          <w:rFonts w:hint="eastAsia" w:ascii="宋体" w:hAnsi="宋体" w:cs="宋体"/>
          <w:color w:val="auto"/>
          <w:sz w:val="24"/>
          <w:highlight w:val="none"/>
        </w:rPr>
        <w:t>表第3.5（5）项、第3.5（7）项和第3.5（8）项的要求提供其他相关证明材料。</w:t>
      </w:r>
    </w:p>
    <w:p w14:paraId="153C5382">
      <w:pPr>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（二）近年财务状况</w:t>
      </w:r>
    </w:p>
    <w:p w14:paraId="30A2B3E9">
      <w:pPr>
        <w:spacing w:line="600" w:lineRule="exact"/>
        <w:rPr>
          <w:rFonts w:hint="eastAsia" w:ascii="宋体" w:hAnsi="宋体" w:cs="宋体"/>
          <w:color w:val="auto"/>
          <w:sz w:val="24"/>
          <w:highlight w:val="none"/>
        </w:rPr>
      </w:pPr>
      <w:r>
        <w:rPr>
          <w:rFonts w:hint="eastAsia" w:ascii="宋体" w:hAnsi="宋体" w:cs="宋体"/>
          <w:color w:val="auto"/>
          <w:sz w:val="24"/>
          <w:highlight w:val="none"/>
        </w:rPr>
        <w:t>供应商应根据供应商须知前附表第3.5（3）项的要求提供近年财务会计报表复印件。</w:t>
      </w:r>
    </w:p>
    <w:p w14:paraId="56BA073A">
      <w:pPr>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（三）近年的类似项目情况表</w:t>
      </w: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3"/>
        <w:gridCol w:w="1098"/>
        <w:gridCol w:w="1971"/>
        <w:gridCol w:w="1971"/>
        <w:gridCol w:w="1971"/>
      </w:tblGrid>
      <w:tr w14:paraId="4FDE6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BBFF60B">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098" w:type="dxa"/>
          </w:tcPr>
          <w:p w14:paraId="74441BF1">
            <w:pPr>
              <w:widowControl/>
              <w:spacing w:line="600" w:lineRule="exact"/>
              <w:jc w:val="both"/>
              <w:rPr>
                <w:rFonts w:hint="eastAsia" w:ascii="宋体" w:hAnsi="宋体" w:cs="宋体"/>
                <w:color w:val="auto"/>
                <w:sz w:val="24"/>
                <w:highlight w:val="none"/>
              </w:rPr>
            </w:pPr>
          </w:p>
        </w:tc>
        <w:tc>
          <w:tcPr>
            <w:tcW w:w="1971" w:type="dxa"/>
          </w:tcPr>
          <w:p w14:paraId="2ED35C92">
            <w:pPr>
              <w:widowControl/>
              <w:spacing w:line="600" w:lineRule="exact"/>
              <w:jc w:val="both"/>
              <w:rPr>
                <w:rFonts w:hint="eastAsia" w:ascii="宋体" w:hAnsi="宋体" w:cs="宋体"/>
                <w:color w:val="auto"/>
                <w:sz w:val="24"/>
                <w:highlight w:val="none"/>
              </w:rPr>
            </w:pPr>
          </w:p>
        </w:tc>
        <w:tc>
          <w:tcPr>
            <w:tcW w:w="1971" w:type="dxa"/>
          </w:tcPr>
          <w:p w14:paraId="0CC7DA13">
            <w:pPr>
              <w:widowControl/>
              <w:spacing w:line="600" w:lineRule="exact"/>
              <w:jc w:val="both"/>
              <w:rPr>
                <w:rFonts w:hint="eastAsia" w:ascii="宋体" w:hAnsi="宋体" w:cs="宋体"/>
                <w:color w:val="auto"/>
                <w:sz w:val="24"/>
                <w:highlight w:val="none"/>
              </w:rPr>
            </w:pPr>
          </w:p>
        </w:tc>
        <w:tc>
          <w:tcPr>
            <w:tcW w:w="1971" w:type="dxa"/>
          </w:tcPr>
          <w:p w14:paraId="72D18447">
            <w:pPr>
              <w:widowControl/>
              <w:spacing w:line="600" w:lineRule="exact"/>
              <w:jc w:val="both"/>
              <w:rPr>
                <w:rFonts w:hint="eastAsia" w:ascii="宋体" w:hAnsi="宋体" w:cs="宋体"/>
                <w:color w:val="auto"/>
                <w:sz w:val="24"/>
                <w:highlight w:val="none"/>
              </w:rPr>
            </w:pPr>
          </w:p>
        </w:tc>
      </w:tr>
      <w:tr w14:paraId="1DAA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4D76253">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服务内容</w:t>
            </w:r>
          </w:p>
        </w:tc>
        <w:tc>
          <w:tcPr>
            <w:tcW w:w="1098" w:type="dxa"/>
          </w:tcPr>
          <w:p w14:paraId="33445491">
            <w:pPr>
              <w:widowControl/>
              <w:spacing w:line="600" w:lineRule="exact"/>
              <w:jc w:val="both"/>
              <w:rPr>
                <w:rFonts w:hint="eastAsia" w:ascii="宋体" w:hAnsi="宋体" w:cs="宋体"/>
                <w:color w:val="auto"/>
                <w:sz w:val="24"/>
                <w:highlight w:val="none"/>
              </w:rPr>
            </w:pPr>
          </w:p>
        </w:tc>
        <w:tc>
          <w:tcPr>
            <w:tcW w:w="1971" w:type="dxa"/>
          </w:tcPr>
          <w:p w14:paraId="0437ADD0">
            <w:pPr>
              <w:widowControl/>
              <w:spacing w:line="600" w:lineRule="exact"/>
              <w:jc w:val="both"/>
              <w:rPr>
                <w:rFonts w:hint="eastAsia" w:ascii="宋体" w:hAnsi="宋体" w:cs="宋体"/>
                <w:color w:val="auto"/>
                <w:sz w:val="24"/>
                <w:highlight w:val="none"/>
              </w:rPr>
            </w:pPr>
          </w:p>
        </w:tc>
        <w:tc>
          <w:tcPr>
            <w:tcW w:w="1971" w:type="dxa"/>
          </w:tcPr>
          <w:p w14:paraId="6ADBA023">
            <w:pPr>
              <w:widowControl/>
              <w:spacing w:line="600" w:lineRule="exact"/>
              <w:jc w:val="both"/>
              <w:rPr>
                <w:rFonts w:hint="eastAsia" w:ascii="宋体" w:hAnsi="宋体" w:cs="宋体"/>
                <w:color w:val="auto"/>
                <w:sz w:val="24"/>
                <w:highlight w:val="none"/>
              </w:rPr>
            </w:pPr>
          </w:p>
        </w:tc>
        <w:tc>
          <w:tcPr>
            <w:tcW w:w="1971" w:type="dxa"/>
          </w:tcPr>
          <w:p w14:paraId="2B7EB0E7">
            <w:pPr>
              <w:widowControl/>
              <w:spacing w:line="600" w:lineRule="exact"/>
              <w:jc w:val="both"/>
              <w:rPr>
                <w:rFonts w:hint="eastAsia" w:ascii="宋体" w:hAnsi="宋体" w:cs="宋体"/>
                <w:color w:val="auto"/>
                <w:sz w:val="24"/>
                <w:highlight w:val="none"/>
              </w:rPr>
            </w:pPr>
          </w:p>
        </w:tc>
      </w:tr>
      <w:tr w14:paraId="0C3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004F449E">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委托人/发包人名称</w:t>
            </w:r>
          </w:p>
        </w:tc>
        <w:tc>
          <w:tcPr>
            <w:tcW w:w="1098" w:type="dxa"/>
          </w:tcPr>
          <w:p w14:paraId="22816633">
            <w:pPr>
              <w:widowControl/>
              <w:spacing w:line="600" w:lineRule="exact"/>
              <w:jc w:val="both"/>
              <w:rPr>
                <w:rFonts w:hint="eastAsia" w:ascii="宋体" w:hAnsi="宋体" w:cs="宋体"/>
                <w:color w:val="auto"/>
                <w:sz w:val="24"/>
                <w:highlight w:val="none"/>
              </w:rPr>
            </w:pPr>
          </w:p>
        </w:tc>
        <w:tc>
          <w:tcPr>
            <w:tcW w:w="1971" w:type="dxa"/>
          </w:tcPr>
          <w:p w14:paraId="3D54BAAB">
            <w:pPr>
              <w:widowControl/>
              <w:spacing w:line="600" w:lineRule="exact"/>
              <w:jc w:val="both"/>
              <w:rPr>
                <w:rFonts w:hint="eastAsia" w:ascii="宋体" w:hAnsi="宋体" w:cs="宋体"/>
                <w:color w:val="auto"/>
                <w:sz w:val="24"/>
                <w:highlight w:val="none"/>
              </w:rPr>
            </w:pPr>
          </w:p>
        </w:tc>
        <w:tc>
          <w:tcPr>
            <w:tcW w:w="1971" w:type="dxa"/>
          </w:tcPr>
          <w:p w14:paraId="2252CD12">
            <w:pPr>
              <w:widowControl/>
              <w:spacing w:line="600" w:lineRule="exact"/>
              <w:jc w:val="both"/>
              <w:rPr>
                <w:rFonts w:hint="eastAsia" w:ascii="宋体" w:hAnsi="宋体" w:cs="宋体"/>
                <w:color w:val="auto"/>
                <w:sz w:val="24"/>
                <w:highlight w:val="none"/>
              </w:rPr>
            </w:pPr>
          </w:p>
        </w:tc>
        <w:tc>
          <w:tcPr>
            <w:tcW w:w="1971" w:type="dxa"/>
          </w:tcPr>
          <w:p w14:paraId="28B96A18">
            <w:pPr>
              <w:widowControl/>
              <w:spacing w:line="600" w:lineRule="exact"/>
              <w:jc w:val="both"/>
              <w:rPr>
                <w:rFonts w:hint="eastAsia" w:ascii="宋体" w:hAnsi="宋体" w:cs="宋体"/>
                <w:color w:val="auto"/>
                <w:sz w:val="24"/>
                <w:highlight w:val="none"/>
              </w:rPr>
            </w:pPr>
          </w:p>
        </w:tc>
      </w:tr>
      <w:tr w14:paraId="2842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49762F09">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委托人/发包人联系人及电话</w:t>
            </w:r>
          </w:p>
        </w:tc>
        <w:tc>
          <w:tcPr>
            <w:tcW w:w="1098" w:type="dxa"/>
          </w:tcPr>
          <w:p w14:paraId="467B9173">
            <w:pPr>
              <w:widowControl/>
              <w:spacing w:line="600" w:lineRule="exact"/>
              <w:jc w:val="both"/>
              <w:rPr>
                <w:rFonts w:hint="eastAsia" w:ascii="宋体" w:hAnsi="宋体" w:cs="宋体"/>
                <w:color w:val="auto"/>
                <w:sz w:val="24"/>
                <w:highlight w:val="none"/>
              </w:rPr>
            </w:pPr>
          </w:p>
        </w:tc>
        <w:tc>
          <w:tcPr>
            <w:tcW w:w="1971" w:type="dxa"/>
          </w:tcPr>
          <w:p w14:paraId="2BAC6351">
            <w:pPr>
              <w:widowControl/>
              <w:spacing w:line="600" w:lineRule="exact"/>
              <w:jc w:val="both"/>
              <w:rPr>
                <w:rFonts w:hint="eastAsia" w:ascii="宋体" w:hAnsi="宋体" w:cs="宋体"/>
                <w:color w:val="auto"/>
                <w:sz w:val="24"/>
                <w:highlight w:val="none"/>
              </w:rPr>
            </w:pPr>
          </w:p>
        </w:tc>
        <w:tc>
          <w:tcPr>
            <w:tcW w:w="1971" w:type="dxa"/>
          </w:tcPr>
          <w:p w14:paraId="1B317338">
            <w:pPr>
              <w:widowControl/>
              <w:spacing w:line="600" w:lineRule="exact"/>
              <w:jc w:val="both"/>
              <w:rPr>
                <w:rFonts w:hint="eastAsia" w:ascii="宋体" w:hAnsi="宋体" w:cs="宋体"/>
                <w:color w:val="auto"/>
                <w:sz w:val="24"/>
                <w:highlight w:val="none"/>
              </w:rPr>
            </w:pPr>
          </w:p>
        </w:tc>
        <w:tc>
          <w:tcPr>
            <w:tcW w:w="1971" w:type="dxa"/>
          </w:tcPr>
          <w:p w14:paraId="2108BB95">
            <w:pPr>
              <w:widowControl/>
              <w:spacing w:line="600" w:lineRule="exact"/>
              <w:jc w:val="both"/>
              <w:rPr>
                <w:rFonts w:hint="eastAsia" w:ascii="宋体" w:hAnsi="宋体" w:cs="宋体"/>
                <w:color w:val="auto"/>
                <w:sz w:val="24"/>
                <w:highlight w:val="none"/>
              </w:rPr>
            </w:pPr>
          </w:p>
        </w:tc>
      </w:tr>
      <w:tr w14:paraId="3576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2252D245">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合同价格</w:t>
            </w:r>
          </w:p>
        </w:tc>
        <w:tc>
          <w:tcPr>
            <w:tcW w:w="1098" w:type="dxa"/>
          </w:tcPr>
          <w:p w14:paraId="78283EBE">
            <w:pPr>
              <w:widowControl/>
              <w:spacing w:line="600" w:lineRule="exact"/>
              <w:jc w:val="both"/>
              <w:rPr>
                <w:rFonts w:hint="eastAsia" w:ascii="宋体" w:hAnsi="宋体" w:cs="宋体"/>
                <w:color w:val="auto"/>
                <w:sz w:val="24"/>
                <w:highlight w:val="none"/>
              </w:rPr>
            </w:pPr>
          </w:p>
        </w:tc>
        <w:tc>
          <w:tcPr>
            <w:tcW w:w="1971" w:type="dxa"/>
          </w:tcPr>
          <w:p w14:paraId="3B9CB711">
            <w:pPr>
              <w:widowControl/>
              <w:spacing w:line="600" w:lineRule="exact"/>
              <w:jc w:val="both"/>
              <w:rPr>
                <w:rFonts w:hint="eastAsia" w:ascii="宋体" w:hAnsi="宋体" w:cs="宋体"/>
                <w:color w:val="auto"/>
                <w:sz w:val="24"/>
                <w:highlight w:val="none"/>
              </w:rPr>
            </w:pPr>
          </w:p>
        </w:tc>
        <w:tc>
          <w:tcPr>
            <w:tcW w:w="1971" w:type="dxa"/>
          </w:tcPr>
          <w:p w14:paraId="3576A587">
            <w:pPr>
              <w:widowControl/>
              <w:spacing w:line="600" w:lineRule="exact"/>
              <w:jc w:val="both"/>
              <w:rPr>
                <w:rFonts w:hint="eastAsia" w:ascii="宋体" w:hAnsi="宋体" w:cs="宋体"/>
                <w:color w:val="auto"/>
                <w:sz w:val="24"/>
                <w:highlight w:val="none"/>
              </w:rPr>
            </w:pPr>
          </w:p>
        </w:tc>
        <w:tc>
          <w:tcPr>
            <w:tcW w:w="1971" w:type="dxa"/>
          </w:tcPr>
          <w:p w14:paraId="795D42FB">
            <w:pPr>
              <w:widowControl/>
              <w:spacing w:line="600" w:lineRule="exact"/>
              <w:jc w:val="both"/>
              <w:rPr>
                <w:rFonts w:hint="eastAsia" w:ascii="宋体" w:hAnsi="宋体" w:cs="宋体"/>
                <w:color w:val="auto"/>
                <w:sz w:val="24"/>
                <w:highlight w:val="none"/>
              </w:rPr>
            </w:pPr>
          </w:p>
        </w:tc>
      </w:tr>
      <w:tr w14:paraId="6441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3F5C9485">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服务是否完成</w:t>
            </w:r>
          </w:p>
        </w:tc>
        <w:tc>
          <w:tcPr>
            <w:tcW w:w="1098" w:type="dxa"/>
          </w:tcPr>
          <w:p w14:paraId="2A8873FE">
            <w:pPr>
              <w:widowControl/>
              <w:spacing w:line="600" w:lineRule="exact"/>
              <w:jc w:val="both"/>
              <w:rPr>
                <w:rFonts w:hint="eastAsia" w:ascii="宋体" w:hAnsi="宋体" w:cs="宋体"/>
                <w:color w:val="auto"/>
                <w:sz w:val="24"/>
                <w:highlight w:val="none"/>
              </w:rPr>
            </w:pPr>
          </w:p>
        </w:tc>
        <w:tc>
          <w:tcPr>
            <w:tcW w:w="1971" w:type="dxa"/>
          </w:tcPr>
          <w:p w14:paraId="5B560634">
            <w:pPr>
              <w:widowControl/>
              <w:spacing w:line="600" w:lineRule="exact"/>
              <w:jc w:val="both"/>
              <w:rPr>
                <w:rFonts w:hint="eastAsia" w:ascii="宋体" w:hAnsi="宋体" w:cs="宋体"/>
                <w:color w:val="auto"/>
                <w:sz w:val="24"/>
                <w:highlight w:val="none"/>
              </w:rPr>
            </w:pPr>
          </w:p>
        </w:tc>
        <w:tc>
          <w:tcPr>
            <w:tcW w:w="1971" w:type="dxa"/>
          </w:tcPr>
          <w:p w14:paraId="54558EA9">
            <w:pPr>
              <w:widowControl/>
              <w:spacing w:line="600" w:lineRule="exact"/>
              <w:jc w:val="both"/>
              <w:rPr>
                <w:rFonts w:hint="eastAsia" w:ascii="宋体" w:hAnsi="宋体" w:cs="宋体"/>
                <w:color w:val="auto"/>
                <w:sz w:val="24"/>
                <w:highlight w:val="none"/>
              </w:rPr>
            </w:pPr>
          </w:p>
        </w:tc>
        <w:tc>
          <w:tcPr>
            <w:tcW w:w="1971" w:type="dxa"/>
          </w:tcPr>
          <w:p w14:paraId="370B256C">
            <w:pPr>
              <w:widowControl/>
              <w:spacing w:line="600" w:lineRule="exact"/>
              <w:jc w:val="both"/>
              <w:rPr>
                <w:rFonts w:hint="eastAsia" w:ascii="宋体" w:hAnsi="宋体" w:cs="宋体"/>
                <w:color w:val="auto"/>
                <w:sz w:val="24"/>
                <w:highlight w:val="none"/>
              </w:rPr>
            </w:pPr>
          </w:p>
        </w:tc>
      </w:tr>
      <w:tr w14:paraId="6C50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6606AAA5">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项目负责人（如有）</w:t>
            </w:r>
          </w:p>
        </w:tc>
        <w:tc>
          <w:tcPr>
            <w:tcW w:w="1098" w:type="dxa"/>
          </w:tcPr>
          <w:p w14:paraId="33D18DA0">
            <w:pPr>
              <w:widowControl/>
              <w:spacing w:line="600" w:lineRule="exact"/>
              <w:jc w:val="both"/>
              <w:rPr>
                <w:rFonts w:hint="eastAsia" w:ascii="宋体" w:hAnsi="宋体" w:cs="宋体"/>
                <w:color w:val="auto"/>
                <w:sz w:val="24"/>
                <w:highlight w:val="none"/>
              </w:rPr>
            </w:pPr>
          </w:p>
        </w:tc>
        <w:tc>
          <w:tcPr>
            <w:tcW w:w="1971" w:type="dxa"/>
          </w:tcPr>
          <w:p w14:paraId="5F4E2A47">
            <w:pPr>
              <w:widowControl/>
              <w:spacing w:line="600" w:lineRule="exact"/>
              <w:jc w:val="both"/>
              <w:rPr>
                <w:rFonts w:hint="eastAsia" w:ascii="宋体" w:hAnsi="宋体" w:cs="宋体"/>
                <w:color w:val="auto"/>
                <w:sz w:val="24"/>
                <w:highlight w:val="none"/>
              </w:rPr>
            </w:pPr>
          </w:p>
        </w:tc>
        <w:tc>
          <w:tcPr>
            <w:tcW w:w="1971" w:type="dxa"/>
          </w:tcPr>
          <w:p w14:paraId="6E2A06CE">
            <w:pPr>
              <w:widowControl/>
              <w:spacing w:line="600" w:lineRule="exact"/>
              <w:jc w:val="both"/>
              <w:rPr>
                <w:rFonts w:hint="eastAsia" w:ascii="宋体" w:hAnsi="宋体" w:cs="宋体"/>
                <w:color w:val="auto"/>
                <w:sz w:val="24"/>
                <w:highlight w:val="none"/>
              </w:rPr>
            </w:pPr>
          </w:p>
        </w:tc>
        <w:tc>
          <w:tcPr>
            <w:tcW w:w="1971" w:type="dxa"/>
          </w:tcPr>
          <w:p w14:paraId="227C3D45">
            <w:pPr>
              <w:widowControl/>
              <w:spacing w:line="600" w:lineRule="exact"/>
              <w:jc w:val="both"/>
              <w:rPr>
                <w:rFonts w:hint="eastAsia" w:ascii="宋体" w:hAnsi="宋体" w:cs="宋体"/>
                <w:color w:val="auto"/>
                <w:sz w:val="24"/>
                <w:highlight w:val="none"/>
              </w:rPr>
            </w:pPr>
          </w:p>
        </w:tc>
      </w:tr>
      <w:tr w14:paraId="73C7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19E0F5AE">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项目概况及供应商履约情况</w:t>
            </w:r>
          </w:p>
        </w:tc>
        <w:tc>
          <w:tcPr>
            <w:tcW w:w="1098" w:type="dxa"/>
          </w:tcPr>
          <w:p w14:paraId="34A3539D">
            <w:pPr>
              <w:widowControl/>
              <w:spacing w:line="600" w:lineRule="exact"/>
              <w:jc w:val="both"/>
              <w:rPr>
                <w:rFonts w:hint="eastAsia" w:ascii="宋体" w:hAnsi="宋体" w:cs="宋体"/>
                <w:color w:val="auto"/>
                <w:sz w:val="24"/>
                <w:highlight w:val="none"/>
              </w:rPr>
            </w:pPr>
          </w:p>
        </w:tc>
        <w:tc>
          <w:tcPr>
            <w:tcW w:w="1971" w:type="dxa"/>
          </w:tcPr>
          <w:p w14:paraId="151909CE">
            <w:pPr>
              <w:widowControl/>
              <w:spacing w:line="600" w:lineRule="exact"/>
              <w:jc w:val="both"/>
              <w:rPr>
                <w:rFonts w:hint="eastAsia" w:ascii="宋体" w:hAnsi="宋体" w:cs="宋体"/>
                <w:color w:val="auto"/>
                <w:sz w:val="24"/>
                <w:highlight w:val="none"/>
              </w:rPr>
            </w:pPr>
          </w:p>
        </w:tc>
        <w:tc>
          <w:tcPr>
            <w:tcW w:w="1971" w:type="dxa"/>
          </w:tcPr>
          <w:p w14:paraId="5B4740DB">
            <w:pPr>
              <w:widowControl/>
              <w:spacing w:line="600" w:lineRule="exact"/>
              <w:jc w:val="both"/>
              <w:rPr>
                <w:rFonts w:hint="eastAsia" w:ascii="宋体" w:hAnsi="宋体" w:cs="宋体"/>
                <w:color w:val="auto"/>
                <w:sz w:val="24"/>
                <w:highlight w:val="none"/>
              </w:rPr>
            </w:pPr>
          </w:p>
        </w:tc>
        <w:tc>
          <w:tcPr>
            <w:tcW w:w="1971" w:type="dxa"/>
          </w:tcPr>
          <w:p w14:paraId="57024EE0">
            <w:pPr>
              <w:widowControl/>
              <w:spacing w:line="600" w:lineRule="exact"/>
              <w:jc w:val="both"/>
              <w:rPr>
                <w:rFonts w:hint="eastAsia" w:ascii="宋体" w:hAnsi="宋体" w:cs="宋体"/>
                <w:color w:val="auto"/>
                <w:sz w:val="24"/>
                <w:highlight w:val="none"/>
              </w:rPr>
            </w:pPr>
          </w:p>
        </w:tc>
      </w:tr>
      <w:tr w14:paraId="48E0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3" w:type="dxa"/>
          </w:tcPr>
          <w:p w14:paraId="7D06E762">
            <w:pPr>
              <w:widowControl/>
              <w:spacing w:line="600" w:lineRule="exact"/>
              <w:jc w:val="both"/>
              <w:rPr>
                <w:rFonts w:hint="eastAsia" w:ascii="宋体" w:hAnsi="宋体" w:cs="宋体"/>
                <w:color w:val="auto"/>
                <w:sz w:val="24"/>
                <w:highlight w:val="none"/>
              </w:rPr>
            </w:pPr>
            <w:r>
              <w:rPr>
                <w:rFonts w:hint="eastAsia" w:ascii="宋体" w:hAnsi="宋体" w:cs="宋体"/>
                <w:color w:val="auto"/>
                <w:sz w:val="24"/>
                <w:highlight w:val="none"/>
              </w:rPr>
              <w:t>备注</w:t>
            </w:r>
          </w:p>
        </w:tc>
        <w:tc>
          <w:tcPr>
            <w:tcW w:w="1098" w:type="dxa"/>
          </w:tcPr>
          <w:p w14:paraId="3CE77934">
            <w:pPr>
              <w:widowControl/>
              <w:spacing w:line="600" w:lineRule="exact"/>
              <w:jc w:val="both"/>
              <w:rPr>
                <w:rFonts w:hint="eastAsia" w:ascii="宋体" w:hAnsi="宋体" w:cs="宋体"/>
                <w:color w:val="auto"/>
                <w:sz w:val="24"/>
                <w:highlight w:val="none"/>
              </w:rPr>
            </w:pPr>
          </w:p>
        </w:tc>
        <w:tc>
          <w:tcPr>
            <w:tcW w:w="1971" w:type="dxa"/>
          </w:tcPr>
          <w:p w14:paraId="50325CD1">
            <w:pPr>
              <w:widowControl/>
              <w:spacing w:line="600" w:lineRule="exact"/>
              <w:jc w:val="both"/>
              <w:rPr>
                <w:rFonts w:hint="eastAsia" w:ascii="宋体" w:hAnsi="宋体" w:cs="宋体"/>
                <w:color w:val="auto"/>
                <w:sz w:val="24"/>
                <w:highlight w:val="none"/>
              </w:rPr>
            </w:pPr>
          </w:p>
        </w:tc>
        <w:tc>
          <w:tcPr>
            <w:tcW w:w="1971" w:type="dxa"/>
          </w:tcPr>
          <w:p w14:paraId="4AF6578C">
            <w:pPr>
              <w:widowControl/>
              <w:spacing w:line="600" w:lineRule="exact"/>
              <w:jc w:val="both"/>
              <w:rPr>
                <w:rFonts w:hint="eastAsia" w:ascii="宋体" w:hAnsi="宋体" w:cs="宋体"/>
                <w:color w:val="auto"/>
                <w:sz w:val="24"/>
                <w:highlight w:val="none"/>
              </w:rPr>
            </w:pPr>
          </w:p>
        </w:tc>
        <w:tc>
          <w:tcPr>
            <w:tcW w:w="1971" w:type="dxa"/>
          </w:tcPr>
          <w:p w14:paraId="1F4235E6">
            <w:pPr>
              <w:widowControl/>
              <w:spacing w:line="600" w:lineRule="exact"/>
              <w:jc w:val="both"/>
              <w:rPr>
                <w:rFonts w:hint="eastAsia" w:ascii="宋体" w:hAnsi="宋体" w:cs="宋体"/>
                <w:color w:val="auto"/>
                <w:sz w:val="24"/>
                <w:highlight w:val="none"/>
              </w:rPr>
            </w:pPr>
          </w:p>
        </w:tc>
      </w:tr>
    </w:tbl>
    <w:p w14:paraId="5252F292">
      <w:pPr>
        <w:spacing w:line="600" w:lineRule="exact"/>
        <w:rPr>
          <w:rFonts w:hint="eastAsia" w:ascii="宋体" w:hAnsi="宋体" w:cs="宋体"/>
          <w:color w:val="auto"/>
          <w:sz w:val="24"/>
          <w:highlight w:val="none"/>
        </w:rPr>
      </w:pPr>
      <w:r>
        <w:rPr>
          <w:rFonts w:hint="eastAsia" w:ascii="宋体" w:hAnsi="宋体" w:cs="宋体"/>
          <w:color w:val="auto"/>
          <w:sz w:val="24"/>
          <w:highlight w:val="none"/>
        </w:rPr>
        <w:t>注：供应商应根据供应商须知前附表第3.5（4）项的要求在本表后附相关证明材料。</w:t>
      </w:r>
    </w:p>
    <w:p w14:paraId="65B6D23D">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2341BC59">
      <w:pPr>
        <w:spacing w:line="600" w:lineRule="exact"/>
        <w:jc w:val="center"/>
        <w:rPr>
          <w:rFonts w:hint="eastAsia" w:ascii="宋体" w:hAnsi="宋体" w:cs="宋体"/>
          <w:color w:val="auto"/>
          <w:sz w:val="24"/>
          <w:highlight w:val="none"/>
        </w:rPr>
      </w:pPr>
      <w:r>
        <w:rPr>
          <w:rFonts w:hint="eastAsia" w:ascii="宋体" w:hAnsi="宋体" w:cs="宋体"/>
          <w:color w:val="auto"/>
          <w:sz w:val="24"/>
          <w:highlight w:val="none"/>
        </w:rPr>
        <w:t>（四）拟委任的主要人员汇总表</w:t>
      </w:r>
    </w:p>
    <w:p w14:paraId="735B7411">
      <w:pPr>
        <w:spacing w:line="600" w:lineRule="exact"/>
        <w:jc w:val="center"/>
        <w:rPr>
          <w:rFonts w:hint="eastAsia" w:ascii="宋体" w:hAnsi="宋体" w:cs="宋体"/>
          <w:color w:val="auto"/>
          <w:sz w:val="24"/>
          <w:highlight w:val="none"/>
        </w:rPr>
      </w:pPr>
    </w:p>
    <w:tbl>
      <w:tblPr>
        <w:tblStyle w:val="8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14:paraId="7DC6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14:paraId="0F1B2587">
            <w:pPr>
              <w:widowControl/>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序号</w:t>
            </w:r>
          </w:p>
        </w:tc>
        <w:tc>
          <w:tcPr>
            <w:tcW w:w="1095" w:type="dxa"/>
            <w:vMerge w:val="restart"/>
          </w:tcPr>
          <w:p w14:paraId="38C6D3B8">
            <w:pPr>
              <w:widowControl/>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本项目任职</w:t>
            </w:r>
          </w:p>
        </w:tc>
        <w:tc>
          <w:tcPr>
            <w:tcW w:w="1095" w:type="dxa"/>
            <w:vMerge w:val="restart"/>
          </w:tcPr>
          <w:p w14:paraId="6B99C5CF">
            <w:pPr>
              <w:widowControl/>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姓名</w:t>
            </w:r>
          </w:p>
        </w:tc>
        <w:tc>
          <w:tcPr>
            <w:tcW w:w="1095" w:type="dxa"/>
            <w:vMerge w:val="restart"/>
          </w:tcPr>
          <w:p w14:paraId="09214FA1">
            <w:pPr>
              <w:widowControl/>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职称</w:t>
            </w:r>
          </w:p>
        </w:tc>
        <w:tc>
          <w:tcPr>
            <w:tcW w:w="1095" w:type="dxa"/>
            <w:vMerge w:val="restart"/>
          </w:tcPr>
          <w:p w14:paraId="4A560DF8">
            <w:pPr>
              <w:widowControl/>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专业</w:t>
            </w:r>
          </w:p>
        </w:tc>
        <w:tc>
          <w:tcPr>
            <w:tcW w:w="3285" w:type="dxa"/>
            <w:gridSpan w:val="3"/>
          </w:tcPr>
          <w:p w14:paraId="7B8F53ED">
            <w:pPr>
              <w:widowControl/>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执业或职业资格证明</w:t>
            </w:r>
          </w:p>
        </w:tc>
        <w:tc>
          <w:tcPr>
            <w:tcW w:w="1095" w:type="dxa"/>
          </w:tcPr>
          <w:p w14:paraId="5AFD5E13">
            <w:pPr>
              <w:widowControl/>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备注</w:t>
            </w:r>
          </w:p>
        </w:tc>
      </w:tr>
      <w:tr w14:paraId="1ADA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continue"/>
          </w:tcPr>
          <w:p w14:paraId="7AE7BCD2">
            <w:pPr>
              <w:widowControl/>
              <w:spacing w:line="360" w:lineRule="auto"/>
              <w:jc w:val="both"/>
              <w:rPr>
                <w:rFonts w:hint="eastAsia" w:ascii="宋体" w:hAnsi="宋体" w:cs="宋体"/>
                <w:color w:val="auto"/>
                <w:sz w:val="24"/>
                <w:highlight w:val="none"/>
              </w:rPr>
            </w:pPr>
          </w:p>
        </w:tc>
        <w:tc>
          <w:tcPr>
            <w:tcW w:w="1095" w:type="dxa"/>
            <w:vMerge w:val="continue"/>
          </w:tcPr>
          <w:p w14:paraId="5F0C2EAF">
            <w:pPr>
              <w:widowControl/>
              <w:spacing w:line="360" w:lineRule="auto"/>
              <w:jc w:val="both"/>
              <w:rPr>
                <w:rFonts w:hint="eastAsia" w:ascii="宋体" w:hAnsi="宋体" w:cs="宋体"/>
                <w:color w:val="auto"/>
                <w:sz w:val="24"/>
                <w:highlight w:val="none"/>
              </w:rPr>
            </w:pPr>
          </w:p>
        </w:tc>
        <w:tc>
          <w:tcPr>
            <w:tcW w:w="1095" w:type="dxa"/>
            <w:vMerge w:val="continue"/>
          </w:tcPr>
          <w:p w14:paraId="36014026">
            <w:pPr>
              <w:widowControl/>
              <w:spacing w:line="360" w:lineRule="auto"/>
              <w:jc w:val="both"/>
              <w:rPr>
                <w:rFonts w:hint="eastAsia" w:ascii="宋体" w:hAnsi="宋体" w:cs="宋体"/>
                <w:color w:val="auto"/>
                <w:sz w:val="24"/>
                <w:highlight w:val="none"/>
              </w:rPr>
            </w:pPr>
          </w:p>
        </w:tc>
        <w:tc>
          <w:tcPr>
            <w:tcW w:w="1095" w:type="dxa"/>
            <w:vMerge w:val="continue"/>
          </w:tcPr>
          <w:p w14:paraId="61A1D92E">
            <w:pPr>
              <w:widowControl/>
              <w:spacing w:line="360" w:lineRule="auto"/>
              <w:jc w:val="both"/>
              <w:rPr>
                <w:rFonts w:hint="eastAsia" w:ascii="宋体" w:hAnsi="宋体" w:cs="宋体"/>
                <w:color w:val="auto"/>
                <w:sz w:val="24"/>
                <w:highlight w:val="none"/>
              </w:rPr>
            </w:pPr>
          </w:p>
        </w:tc>
        <w:tc>
          <w:tcPr>
            <w:tcW w:w="1095" w:type="dxa"/>
            <w:vMerge w:val="continue"/>
          </w:tcPr>
          <w:p w14:paraId="3D74465B">
            <w:pPr>
              <w:widowControl/>
              <w:spacing w:line="360" w:lineRule="auto"/>
              <w:jc w:val="both"/>
              <w:rPr>
                <w:rFonts w:hint="eastAsia" w:ascii="宋体" w:hAnsi="宋体" w:cs="宋体"/>
                <w:color w:val="auto"/>
                <w:sz w:val="24"/>
                <w:highlight w:val="none"/>
              </w:rPr>
            </w:pPr>
          </w:p>
        </w:tc>
        <w:tc>
          <w:tcPr>
            <w:tcW w:w="1095" w:type="dxa"/>
          </w:tcPr>
          <w:p w14:paraId="7C81C7B7">
            <w:pPr>
              <w:widowControl/>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证书名称</w:t>
            </w:r>
          </w:p>
        </w:tc>
        <w:tc>
          <w:tcPr>
            <w:tcW w:w="1095" w:type="dxa"/>
          </w:tcPr>
          <w:p w14:paraId="5C42C49E">
            <w:pPr>
              <w:widowControl/>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级别</w:t>
            </w:r>
          </w:p>
        </w:tc>
        <w:tc>
          <w:tcPr>
            <w:tcW w:w="1095" w:type="dxa"/>
          </w:tcPr>
          <w:p w14:paraId="570A02B7">
            <w:pPr>
              <w:widowControl/>
              <w:spacing w:line="360" w:lineRule="auto"/>
              <w:jc w:val="both"/>
              <w:rPr>
                <w:rFonts w:hint="eastAsia" w:ascii="宋体" w:hAnsi="宋体" w:cs="宋体"/>
                <w:color w:val="auto"/>
                <w:sz w:val="24"/>
                <w:highlight w:val="none"/>
              </w:rPr>
            </w:pPr>
            <w:r>
              <w:rPr>
                <w:rFonts w:hint="eastAsia" w:ascii="宋体" w:hAnsi="宋体" w:cs="宋体"/>
                <w:color w:val="auto"/>
                <w:sz w:val="24"/>
                <w:highlight w:val="none"/>
              </w:rPr>
              <w:t>证号</w:t>
            </w:r>
          </w:p>
        </w:tc>
        <w:tc>
          <w:tcPr>
            <w:tcW w:w="1095" w:type="dxa"/>
          </w:tcPr>
          <w:p w14:paraId="4E47271F">
            <w:pPr>
              <w:widowControl/>
              <w:spacing w:line="360" w:lineRule="auto"/>
              <w:jc w:val="both"/>
              <w:rPr>
                <w:rFonts w:hint="eastAsia" w:ascii="宋体" w:hAnsi="宋体" w:cs="宋体"/>
                <w:color w:val="auto"/>
                <w:sz w:val="24"/>
                <w:highlight w:val="none"/>
              </w:rPr>
            </w:pPr>
          </w:p>
        </w:tc>
      </w:tr>
      <w:tr w14:paraId="67F6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D7CB77F">
            <w:pPr>
              <w:widowControl/>
              <w:spacing w:line="600" w:lineRule="exact"/>
              <w:jc w:val="both"/>
              <w:rPr>
                <w:rFonts w:hint="eastAsia" w:ascii="宋体" w:hAnsi="宋体" w:cs="宋体"/>
                <w:color w:val="auto"/>
                <w:sz w:val="24"/>
                <w:highlight w:val="none"/>
              </w:rPr>
            </w:pPr>
          </w:p>
        </w:tc>
        <w:tc>
          <w:tcPr>
            <w:tcW w:w="1095" w:type="dxa"/>
          </w:tcPr>
          <w:p w14:paraId="2DFEEE97">
            <w:pPr>
              <w:widowControl/>
              <w:spacing w:line="600" w:lineRule="exact"/>
              <w:jc w:val="both"/>
              <w:rPr>
                <w:rFonts w:hint="eastAsia" w:ascii="宋体" w:hAnsi="宋体" w:cs="宋体"/>
                <w:color w:val="auto"/>
                <w:sz w:val="24"/>
                <w:highlight w:val="none"/>
              </w:rPr>
            </w:pPr>
          </w:p>
        </w:tc>
        <w:tc>
          <w:tcPr>
            <w:tcW w:w="1095" w:type="dxa"/>
          </w:tcPr>
          <w:p w14:paraId="68C36006">
            <w:pPr>
              <w:widowControl/>
              <w:spacing w:line="600" w:lineRule="exact"/>
              <w:jc w:val="both"/>
              <w:rPr>
                <w:rFonts w:hint="eastAsia" w:ascii="宋体" w:hAnsi="宋体" w:cs="宋体"/>
                <w:color w:val="auto"/>
                <w:sz w:val="24"/>
                <w:highlight w:val="none"/>
              </w:rPr>
            </w:pPr>
          </w:p>
        </w:tc>
        <w:tc>
          <w:tcPr>
            <w:tcW w:w="1095" w:type="dxa"/>
          </w:tcPr>
          <w:p w14:paraId="13C630BE">
            <w:pPr>
              <w:widowControl/>
              <w:spacing w:line="600" w:lineRule="exact"/>
              <w:jc w:val="both"/>
              <w:rPr>
                <w:rFonts w:hint="eastAsia" w:ascii="宋体" w:hAnsi="宋体" w:cs="宋体"/>
                <w:color w:val="auto"/>
                <w:sz w:val="24"/>
                <w:highlight w:val="none"/>
              </w:rPr>
            </w:pPr>
          </w:p>
        </w:tc>
        <w:tc>
          <w:tcPr>
            <w:tcW w:w="1095" w:type="dxa"/>
          </w:tcPr>
          <w:p w14:paraId="57FFF3CC">
            <w:pPr>
              <w:widowControl/>
              <w:spacing w:line="600" w:lineRule="exact"/>
              <w:jc w:val="both"/>
              <w:rPr>
                <w:rFonts w:hint="eastAsia" w:ascii="宋体" w:hAnsi="宋体" w:cs="宋体"/>
                <w:color w:val="auto"/>
                <w:sz w:val="24"/>
                <w:highlight w:val="none"/>
              </w:rPr>
            </w:pPr>
          </w:p>
        </w:tc>
        <w:tc>
          <w:tcPr>
            <w:tcW w:w="1095" w:type="dxa"/>
          </w:tcPr>
          <w:p w14:paraId="7CDD1A9A">
            <w:pPr>
              <w:widowControl/>
              <w:spacing w:line="600" w:lineRule="exact"/>
              <w:jc w:val="both"/>
              <w:rPr>
                <w:rFonts w:hint="eastAsia" w:ascii="宋体" w:hAnsi="宋体" w:cs="宋体"/>
                <w:color w:val="auto"/>
                <w:sz w:val="24"/>
                <w:highlight w:val="none"/>
              </w:rPr>
            </w:pPr>
          </w:p>
        </w:tc>
        <w:tc>
          <w:tcPr>
            <w:tcW w:w="1095" w:type="dxa"/>
          </w:tcPr>
          <w:p w14:paraId="2E33E8B7">
            <w:pPr>
              <w:widowControl/>
              <w:spacing w:line="600" w:lineRule="exact"/>
              <w:jc w:val="both"/>
              <w:rPr>
                <w:rFonts w:hint="eastAsia" w:ascii="宋体" w:hAnsi="宋体" w:cs="宋体"/>
                <w:color w:val="auto"/>
                <w:sz w:val="24"/>
                <w:highlight w:val="none"/>
              </w:rPr>
            </w:pPr>
          </w:p>
        </w:tc>
        <w:tc>
          <w:tcPr>
            <w:tcW w:w="1095" w:type="dxa"/>
          </w:tcPr>
          <w:p w14:paraId="2D0800E3">
            <w:pPr>
              <w:widowControl/>
              <w:spacing w:line="600" w:lineRule="exact"/>
              <w:jc w:val="both"/>
              <w:rPr>
                <w:rFonts w:hint="eastAsia" w:ascii="宋体" w:hAnsi="宋体" w:cs="宋体"/>
                <w:color w:val="auto"/>
                <w:sz w:val="24"/>
                <w:highlight w:val="none"/>
              </w:rPr>
            </w:pPr>
          </w:p>
        </w:tc>
        <w:tc>
          <w:tcPr>
            <w:tcW w:w="1095" w:type="dxa"/>
          </w:tcPr>
          <w:p w14:paraId="27FB3F73">
            <w:pPr>
              <w:widowControl/>
              <w:spacing w:line="600" w:lineRule="exact"/>
              <w:jc w:val="both"/>
              <w:rPr>
                <w:rFonts w:hint="eastAsia" w:ascii="宋体" w:hAnsi="宋体" w:cs="宋体"/>
                <w:color w:val="auto"/>
                <w:sz w:val="24"/>
                <w:highlight w:val="none"/>
              </w:rPr>
            </w:pPr>
          </w:p>
        </w:tc>
      </w:tr>
      <w:tr w14:paraId="053A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A1E75F2">
            <w:pPr>
              <w:widowControl/>
              <w:spacing w:line="600" w:lineRule="exact"/>
              <w:jc w:val="both"/>
              <w:rPr>
                <w:rFonts w:hint="eastAsia" w:ascii="宋体" w:hAnsi="宋体" w:cs="宋体"/>
                <w:color w:val="auto"/>
                <w:sz w:val="24"/>
                <w:highlight w:val="none"/>
              </w:rPr>
            </w:pPr>
          </w:p>
        </w:tc>
        <w:tc>
          <w:tcPr>
            <w:tcW w:w="1095" w:type="dxa"/>
          </w:tcPr>
          <w:p w14:paraId="554DF67A">
            <w:pPr>
              <w:widowControl/>
              <w:spacing w:line="600" w:lineRule="exact"/>
              <w:jc w:val="both"/>
              <w:rPr>
                <w:rFonts w:hint="eastAsia" w:ascii="宋体" w:hAnsi="宋体" w:cs="宋体"/>
                <w:color w:val="auto"/>
                <w:sz w:val="24"/>
                <w:highlight w:val="none"/>
              </w:rPr>
            </w:pPr>
          </w:p>
        </w:tc>
        <w:tc>
          <w:tcPr>
            <w:tcW w:w="1095" w:type="dxa"/>
          </w:tcPr>
          <w:p w14:paraId="333C494D">
            <w:pPr>
              <w:widowControl/>
              <w:spacing w:line="600" w:lineRule="exact"/>
              <w:jc w:val="both"/>
              <w:rPr>
                <w:rFonts w:hint="eastAsia" w:ascii="宋体" w:hAnsi="宋体" w:cs="宋体"/>
                <w:color w:val="auto"/>
                <w:sz w:val="24"/>
                <w:highlight w:val="none"/>
              </w:rPr>
            </w:pPr>
          </w:p>
        </w:tc>
        <w:tc>
          <w:tcPr>
            <w:tcW w:w="1095" w:type="dxa"/>
          </w:tcPr>
          <w:p w14:paraId="2B19B560">
            <w:pPr>
              <w:widowControl/>
              <w:spacing w:line="600" w:lineRule="exact"/>
              <w:jc w:val="both"/>
              <w:rPr>
                <w:rFonts w:hint="eastAsia" w:ascii="宋体" w:hAnsi="宋体" w:cs="宋体"/>
                <w:color w:val="auto"/>
                <w:sz w:val="24"/>
                <w:highlight w:val="none"/>
              </w:rPr>
            </w:pPr>
          </w:p>
        </w:tc>
        <w:tc>
          <w:tcPr>
            <w:tcW w:w="1095" w:type="dxa"/>
          </w:tcPr>
          <w:p w14:paraId="10DC3B37">
            <w:pPr>
              <w:widowControl/>
              <w:spacing w:line="600" w:lineRule="exact"/>
              <w:jc w:val="both"/>
              <w:rPr>
                <w:rFonts w:hint="eastAsia" w:ascii="宋体" w:hAnsi="宋体" w:cs="宋体"/>
                <w:color w:val="auto"/>
                <w:sz w:val="24"/>
                <w:highlight w:val="none"/>
              </w:rPr>
            </w:pPr>
          </w:p>
        </w:tc>
        <w:tc>
          <w:tcPr>
            <w:tcW w:w="1095" w:type="dxa"/>
          </w:tcPr>
          <w:p w14:paraId="6E35F27B">
            <w:pPr>
              <w:widowControl/>
              <w:spacing w:line="600" w:lineRule="exact"/>
              <w:jc w:val="both"/>
              <w:rPr>
                <w:rFonts w:hint="eastAsia" w:ascii="宋体" w:hAnsi="宋体" w:cs="宋体"/>
                <w:color w:val="auto"/>
                <w:sz w:val="24"/>
                <w:highlight w:val="none"/>
              </w:rPr>
            </w:pPr>
          </w:p>
        </w:tc>
        <w:tc>
          <w:tcPr>
            <w:tcW w:w="1095" w:type="dxa"/>
          </w:tcPr>
          <w:p w14:paraId="51AE311A">
            <w:pPr>
              <w:widowControl/>
              <w:spacing w:line="600" w:lineRule="exact"/>
              <w:jc w:val="both"/>
              <w:rPr>
                <w:rFonts w:hint="eastAsia" w:ascii="宋体" w:hAnsi="宋体" w:cs="宋体"/>
                <w:color w:val="auto"/>
                <w:sz w:val="24"/>
                <w:highlight w:val="none"/>
              </w:rPr>
            </w:pPr>
          </w:p>
        </w:tc>
        <w:tc>
          <w:tcPr>
            <w:tcW w:w="1095" w:type="dxa"/>
          </w:tcPr>
          <w:p w14:paraId="371E21EC">
            <w:pPr>
              <w:widowControl/>
              <w:spacing w:line="600" w:lineRule="exact"/>
              <w:jc w:val="both"/>
              <w:rPr>
                <w:rFonts w:hint="eastAsia" w:ascii="宋体" w:hAnsi="宋体" w:cs="宋体"/>
                <w:color w:val="auto"/>
                <w:sz w:val="24"/>
                <w:highlight w:val="none"/>
              </w:rPr>
            </w:pPr>
          </w:p>
        </w:tc>
        <w:tc>
          <w:tcPr>
            <w:tcW w:w="1095" w:type="dxa"/>
          </w:tcPr>
          <w:p w14:paraId="04AACABE">
            <w:pPr>
              <w:widowControl/>
              <w:spacing w:line="600" w:lineRule="exact"/>
              <w:jc w:val="both"/>
              <w:rPr>
                <w:rFonts w:hint="eastAsia" w:ascii="宋体" w:hAnsi="宋体" w:cs="宋体"/>
                <w:color w:val="auto"/>
                <w:sz w:val="24"/>
                <w:highlight w:val="none"/>
              </w:rPr>
            </w:pPr>
          </w:p>
        </w:tc>
      </w:tr>
      <w:tr w14:paraId="54AE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7AB56010">
            <w:pPr>
              <w:widowControl/>
              <w:spacing w:line="600" w:lineRule="exact"/>
              <w:jc w:val="both"/>
              <w:rPr>
                <w:rFonts w:hint="eastAsia" w:ascii="宋体" w:hAnsi="宋体" w:cs="宋体"/>
                <w:color w:val="auto"/>
                <w:sz w:val="24"/>
                <w:highlight w:val="none"/>
              </w:rPr>
            </w:pPr>
          </w:p>
        </w:tc>
        <w:tc>
          <w:tcPr>
            <w:tcW w:w="1095" w:type="dxa"/>
          </w:tcPr>
          <w:p w14:paraId="35FC75F8">
            <w:pPr>
              <w:widowControl/>
              <w:spacing w:line="600" w:lineRule="exact"/>
              <w:jc w:val="both"/>
              <w:rPr>
                <w:rFonts w:hint="eastAsia" w:ascii="宋体" w:hAnsi="宋体" w:cs="宋体"/>
                <w:color w:val="auto"/>
                <w:sz w:val="24"/>
                <w:highlight w:val="none"/>
              </w:rPr>
            </w:pPr>
          </w:p>
        </w:tc>
        <w:tc>
          <w:tcPr>
            <w:tcW w:w="1095" w:type="dxa"/>
          </w:tcPr>
          <w:p w14:paraId="2031F163">
            <w:pPr>
              <w:widowControl/>
              <w:spacing w:line="600" w:lineRule="exact"/>
              <w:jc w:val="both"/>
              <w:rPr>
                <w:rFonts w:hint="eastAsia" w:ascii="宋体" w:hAnsi="宋体" w:cs="宋体"/>
                <w:color w:val="auto"/>
                <w:sz w:val="24"/>
                <w:highlight w:val="none"/>
              </w:rPr>
            </w:pPr>
          </w:p>
        </w:tc>
        <w:tc>
          <w:tcPr>
            <w:tcW w:w="1095" w:type="dxa"/>
          </w:tcPr>
          <w:p w14:paraId="681F5056">
            <w:pPr>
              <w:widowControl/>
              <w:spacing w:line="600" w:lineRule="exact"/>
              <w:jc w:val="both"/>
              <w:rPr>
                <w:rFonts w:hint="eastAsia" w:ascii="宋体" w:hAnsi="宋体" w:cs="宋体"/>
                <w:color w:val="auto"/>
                <w:sz w:val="24"/>
                <w:highlight w:val="none"/>
              </w:rPr>
            </w:pPr>
          </w:p>
        </w:tc>
        <w:tc>
          <w:tcPr>
            <w:tcW w:w="1095" w:type="dxa"/>
          </w:tcPr>
          <w:p w14:paraId="582FAF3A">
            <w:pPr>
              <w:widowControl/>
              <w:spacing w:line="600" w:lineRule="exact"/>
              <w:jc w:val="both"/>
              <w:rPr>
                <w:rFonts w:hint="eastAsia" w:ascii="宋体" w:hAnsi="宋体" w:cs="宋体"/>
                <w:color w:val="auto"/>
                <w:sz w:val="24"/>
                <w:highlight w:val="none"/>
              </w:rPr>
            </w:pPr>
          </w:p>
        </w:tc>
        <w:tc>
          <w:tcPr>
            <w:tcW w:w="1095" w:type="dxa"/>
          </w:tcPr>
          <w:p w14:paraId="768A7CB3">
            <w:pPr>
              <w:widowControl/>
              <w:spacing w:line="600" w:lineRule="exact"/>
              <w:jc w:val="both"/>
              <w:rPr>
                <w:rFonts w:hint="eastAsia" w:ascii="宋体" w:hAnsi="宋体" w:cs="宋体"/>
                <w:color w:val="auto"/>
                <w:sz w:val="24"/>
                <w:highlight w:val="none"/>
              </w:rPr>
            </w:pPr>
          </w:p>
        </w:tc>
        <w:tc>
          <w:tcPr>
            <w:tcW w:w="1095" w:type="dxa"/>
          </w:tcPr>
          <w:p w14:paraId="09E80747">
            <w:pPr>
              <w:widowControl/>
              <w:spacing w:line="600" w:lineRule="exact"/>
              <w:jc w:val="both"/>
              <w:rPr>
                <w:rFonts w:hint="eastAsia" w:ascii="宋体" w:hAnsi="宋体" w:cs="宋体"/>
                <w:color w:val="auto"/>
                <w:sz w:val="24"/>
                <w:highlight w:val="none"/>
              </w:rPr>
            </w:pPr>
          </w:p>
        </w:tc>
        <w:tc>
          <w:tcPr>
            <w:tcW w:w="1095" w:type="dxa"/>
          </w:tcPr>
          <w:p w14:paraId="4D867235">
            <w:pPr>
              <w:widowControl/>
              <w:spacing w:line="600" w:lineRule="exact"/>
              <w:jc w:val="both"/>
              <w:rPr>
                <w:rFonts w:hint="eastAsia" w:ascii="宋体" w:hAnsi="宋体" w:cs="宋体"/>
                <w:color w:val="auto"/>
                <w:sz w:val="24"/>
                <w:highlight w:val="none"/>
              </w:rPr>
            </w:pPr>
          </w:p>
        </w:tc>
        <w:tc>
          <w:tcPr>
            <w:tcW w:w="1095" w:type="dxa"/>
          </w:tcPr>
          <w:p w14:paraId="5502FDEC">
            <w:pPr>
              <w:widowControl/>
              <w:spacing w:line="600" w:lineRule="exact"/>
              <w:jc w:val="both"/>
              <w:rPr>
                <w:rFonts w:hint="eastAsia" w:ascii="宋体" w:hAnsi="宋体" w:cs="宋体"/>
                <w:color w:val="auto"/>
                <w:sz w:val="24"/>
                <w:highlight w:val="none"/>
              </w:rPr>
            </w:pPr>
          </w:p>
        </w:tc>
      </w:tr>
      <w:tr w14:paraId="7EA0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38A46F0E">
            <w:pPr>
              <w:widowControl/>
              <w:spacing w:line="600" w:lineRule="exact"/>
              <w:jc w:val="both"/>
              <w:rPr>
                <w:rFonts w:hint="eastAsia" w:ascii="宋体" w:hAnsi="宋体" w:cs="宋体"/>
                <w:color w:val="auto"/>
                <w:sz w:val="24"/>
                <w:highlight w:val="none"/>
              </w:rPr>
            </w:pPr>
          </w:p>
        </w:tc>
        <w:tc>
          <w:tcPr>
            <w:tcW w:w="1095" w:type="dxa"/>
          </w:tcPr>
          <w:p w14:paraId="512542F8">
            <w:pPr>
              <w:widowControl/>
              <w:spacing w:line="600" w:lineRule="exact"/>
              <w:jc w:val="both"/>
              <w:rPr>
                <w:rFonts w:hint="eastAsia" w:ascii="宋体" w:hAnsi="宋体" w:cs="宋体"/>
                <w:color w:val="auto"/>
                <w:sz w:val="24"/>
                <w:highlight w:val="none"/>
              </w:rPr>
            </w:pPr>
          </w:p>
        </w:tc>
        <w:tc>
          <w:tcPr>
            <w:tcW w:w="1095" w:type="dxa"/>
          </w:tcPr>
          <w:p w14:paraId="6D55F7DD">
            <w:pPr>
              <w:widowControl/>
              <w:spacing w:line="600" w:lineRule="exact"/>
              <w:jc w:val="both"/>
              <w:rPr>
                <w:rFonts w:hint="eastAsia" w:ascii="宋体" w:hAnsi="宋体" w:cs="宋体"/>
                <w:color w:val="auto"/>
                <w:sz w:val="24"/>
                <w:highlight w:val="none"/>
              </w:rPr>
            </w:pPr>
          </w:p>
        </w:tc>
        <w:tc>
          <w:tcPr>
            <w:tcW w:w="1095" w:type="dxa"/>
          </w:tcPr>
          <w:p w14:paraId="018308C8">
            <w:pPr>
              <w:widowControl/>
              <w:spacing w:line="600" w:lineRule="exact"/>
              <w:jc w:val="both"/>
              <w:rPr>
                <w:rFonts w:hint="eastAsia" w:ascii="宋体" w:hAnsi="宋体" w:cs="宋体"/>
                <w:color w:val="auto"/>
                <w:sz w:val="24"/>
                <w:highlight w:val="none"/>
              </w:rPr>
            </w:pPr>
          </w:p>
        </w:tc>
        <w:tc>
          <w:tcPr>
            <w:tcW w:w="1095" w:type="dxa"/>
          </w:tcPr>
          <w:p w14:paraId="73AB9884">
            <w:pPr>
              <w:widowControl/>
              <w:spacing w:line="600" w:lineRule="exact"/>
              <w:jc w:val="both"/>
              <w:rPr>
                <w:rFonts w:hint="eastAsia" w:ascii="宋体" w:hAnsi="宋体" w:cs="宋体"/>
                <w:color w:val="auto"/>
                <w:sz w:val="24"/>
                <w:highlight w:val="none"/>
              </w:rPr>
            </w:pPr>
          </w:p>
        </w:tc>
        <w:tc>
          <w:tcPr>
            <w:tcW w:w="1095" w:type="dxa"/>
          </w:tcPr>
          <w:p w14:paraId="1386873A">
            <w:pPr>
              <w:widowControl/>
              <w:spacing w:line="600" w:lineRule="exact"/>
              <w:jc w:val="both"/>
              <w:rPr>
                <w:rFonts w:hint="eastAsia" w:ascii="宋体" w:hAnsi="宋体" w:cs="宋体"/>
                <w:color w:val="auto"/>
                <w:sz w:val="24"/>
                <w:highlight w:val="none"/>
              </w:rPr>
            </w:pPr>
          </w:p>
        </w:tc>
        <w:tc>
          <w:tcPr>
            <w:tcW w:w="1095" w:type="dxa"/>
          </w:tcPr>
          <w:p w14:paraId="6087DF42">
            <w:pPr>
              <w:widowControl/>
              <w:spacing w:line="600" w:lineRule="exact"/>
              <w:jc w:val="both"/>
              <w:rPr>
                <w:rFonts w:hint="eastAsia" w:ascii="宋体" w:hAnsi="宋体" w:cs="宋体"/>
                <w:color w:val="auto"/>
                <w:sz w:val="24"/>
                <w:highlight w:val="none"/>
              </w:rPr>
            </w:pPr>
          </w:p>
        </w:tc>
        <w:tc>
          <w:tcPr>
            <w:tcW w:w="1095" w:type="dxa"/>
          </w:tcPr>
          <w:p w14:paraId="5785696F">
            <w:pPr>
              <w:widowControl/>
              <w:spacing w:line="600" w:lineRule="exact"/>
              <w:jc w:val="both"/>
              <w:rPr>
                <w:rFonts w:hint="eastAsia" w:ascii="宋体" w:hAnsi="宋体" w:cs="宋体"/>
                <w:color w:val="auto"/>
                <w:sz w:val="24"/>
                <w:highlight w:val="none"/>
              </w:rPr>
            </w:pPr>
          </w:p>
        </w:tc>
        <w:tc>
          <w:tcPr>
            <w:tcW w:w="1095" w:type="dxa"/>
          </w:tcPr>
          <w:p w14:paraId="5ECB3F3D">
            <w:pPr>
              <w:widowControl/>
              <w:spacing w:line="600" w:lineRule="exact"/>
              <w:jc w:val="both"/>
              <w:rPr>
                <w:rFonts w:hint="eastAsia" w:ascii="宋体" w:hAnsi="宋体" w:cs="宋体"/>
                <w:color w:val="auto"/>
                <w:sz w:val="24"/>
                <w:highlight w:val="none"/>
              </w:rPr>
            </w:pPr>
          </w:p>
        </w:tc>
      </w:tr>
      <w:tr w14:paraId="7DEE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14:paraId="199C8339">
            <w:pPr>
              <w:widowControl/>
              <w:spacing w:line="600" w:lineRule="exact"/>
              <w:jc w:val="both"/>
              <w:rPr>
                <w:rFonts w:hint="eastAsia" w:ascii="宋体" w:hAnsi="宋体" w:cs="宋体"/>
                <w:color w:val="auto"/>
                <w:sz w:val="24"/>
                <w:highlight w:val="none"/>
              </w:rPr>
            </w:pPr>
          </w:p>
        </w:tc>
        <w:tc>
          <w:tcPr>
            <w:tcW w:w="1095" w:type="dxa"/>
          </w:tcPr>
          <w:p w14:paraId="456F34CB">
            <w:pPr>
              <w:widowControl/>
              <w:spacing w:line="600" w:lineRule="exact"/>
              <w:jc w:val="both"/>
              <w:rPr>
                <w:rFonts w:hint="eastAsia" w:ascii="宋体" w:hAnsi="宋体" w:cs="宋体"/>
                <w:color w:val="auto"/>
                <w:sz w:val="24"/>
                <w:highlight w:val="none"/>
              </w:rPr>
            </w:pPr>
          </w:p>
        </w:tc>
        <w:tc>
          <w:tcPr>
            <w:tcW w:w="1095" w:type="dxa"/>
          </w:tcPr>
          <w:p w14:paraId="6A0E6766">
            <w:pPr>
              <w:widowControl/>
              <w:spacing w:line="600" w:lineRule="exact"/>
              <w:jc w:val="both"/>
              <w:rPr>
                <w:rFonts w:hint="eastAsia" w:ascii="宋体" w:hAnsi="宋体" w:cs="宋体"/>
                <w:color w:val="auto"/>
                <w:sz w:val="24"/>
                <w:highlight w:val="none"/>
              </w:rPr>
            </w:pPr>
          </w:p>
        </w:tc>
        <w:tc>
          <w:tcPr>
            <w:tcW w:w="1095" w:type="dxa"/>
          </w:tcPr>
          <w:p w14:paraId="34AD8DF2">
            <w:pPr>
              <w:widowControl/>
              <w:spacing w:line="600" w:lineRule="exact"/>
              <w:jc w:val="both"/>
              <w:rPr>
                <w:rFonts w:hint="eastAsia" w:ascii="宋体" w:hAnsi="宋体" w:cs="宋体"/>
                <w:color w:val="auto"/>
                <w:sz w:val="24"/>
                <w:highlight w:val="none"/>
              </w:rPr>
            </w:pPr>
          </w:p>
        </w:tc>
        <w:tc>
          <w:tcPr>
            <w:tcW w:w="1095" w:type="dxa"/>
          </w:tcPr>
          <w:p w14:paraId="739BDECE">
            <w:pPr>
              <w:widowControl/>
              <w:spacing w:line="600" w:lineRule="exact"/>
              <w:jc w:val="both"/>
              <w:rPr>
                <w:rFonts w:hint="eastAsia" w:ascii="宋体" w:hAnsi="宋体" w:cs="宋体"/>
                <w:color w:val="auto"/>
                <w:sz w:val="24"/>
                <w:highlight w:val="none"/>
              </w:rPr>
            </w:pPr>
          </w:p>
        </w:tc>
        <w:tc>
          <w:tcPr>
            <w:tcW w:w="1095" w:type="dxa"/>
          </w:tcPr>
          <w:p w14:paraId="5DED2B22">
            <w:pPr>
              <w:widowControl/>
              <w:spacing w:line="600" w:lineRule="exact"/>
              <w:jc w:val="both"/>
              <w:rPr>
                <w:rFonts w:hint="eastAsia" w:ascii="宋体" w:hAnsi="宋体" w:cs="宋体"/>
                <w:color w:val="auto"/>
                <w:sz w:val="24"/>
                <w:highlight w:val="none"/>
              </w:rPr>
            </w:pPr>
          </w:p>
        </w:tc>
        <w:tc>
          <w:tcPr>
            <w:tcW w:w="1095" w:type="dxa"/>
          </w:tcPr>
          <w:p w14:paraId="5CA8D605">
            <w:pPr>
              <w:widowControl/>
              <w:spacing w:line="600" w:lineRule="exact"/>
              <w:jc w:val="both"/>
              <w:rPr>
                <w:rFonts w:hint="eastAsia" w:ascii="宋体" w:hAnsi="宋体" w:cs="宋体"/>
                <w:color w:val="auto"/>
                <w:sz w:val="24"/>
                <w:highlight w:val="none"/>
              </w:rPr>
            </w:pPr>
          </w:p>
        </w:tc>
        <w:tc>
          <w:tcPr>
            <w:tcW w:w="1095" w:type="dxa"/>
          </w:tcPr>
          <w:p w14:paraId="4C8246B2">
            <w:pPr>
              <w:widowControl/>
              <w:spacing w:line="600" w:lineRule="exact"/>
              <w:jc w:val="both"/>
              <w:rPr>
                <w:rFonts w:hint="eastAsia" w:ascii="宋体" w:hAnsi="宋体" w:cs="宋体"/>
                <w:color w:val="auto"/>
                <w:sz w:val="24"/>
                <w:highlight w:val="none"/>
              </w:rPr>
            </w:pPr>
          </w:p>
        </w:tc>
        <w:tc>
          <w:tcPr>
            <w:tcW w:w="1095" w:type="dxa"/>
          </w:tcPr>
          <w:p w14:paraId="0741B4EC">
            <w:pPr>
              <w:widowControl/>
              <w:spacing w:line="600" w:lineRule="exact"/>
              <w:jc w:val="both"/>
              <w:rPr>
                <w:rFonts w:hint="eastAsia" w:ascii="宋体" w:hAnsi="宋体" w:cs="宋体"/>
                <w:color w:val="auto"/>
                <w:sz w:val="24"/>
                <w:highlight w:val="none"/>
              </w:rPr>
            </w:pPr>
          </w:p>
        </w:tc>
      </w:tr>
    </w:tbl>
    <w:p w14:paraId="282E35AF">
      <w:pPr>
        <w:rPr>
          <w:rFonts w:hint="eastAsia" w:ascii="宋体" w:hAnsi="宋体" w:cs="宋体"/>
          <w:color w:val="auto"/>
          <w:sz w:val="24"/>
          <w:highlight w:val="none"/>
        </w:rPr>
      </w:pPr>
      <w:r>
        <w:rPr>
          <w:rFonts w:hint="eastAsia" w:ascii="宋体" w:hAnsi="宋体" w:cs="宋体"/>
          <w:color w:val="auto"/>
          <w:sz w:val="24"/>
          <w:highlight w:val="none"/>
        </w:rPr>
        <w:br w:type="page"/>
      </w:r>
    </w:p>
    <w:p w14:paraId="1D5C8E47">
      <w:pPr>
        <w:pStyle w:val="2"/>
        <w:spacing w:before="0" w:after="0" w:line="380" w:lineRule="atLeast"/>
        <w:jc w:val="center"/>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（五）主要人员简历表</w:t>
      </w:r>
    </w:p>
    <w:p w14:paraId="7895A258">
      <w:pPr>
        <w:autoSpaceDE w:val="0"/>
        <w:autoSpaceDN w:val="0"/>
        <w:spacing w:line="400" w:lineRule="atLeast"/>
        <w:jc w:val="center"/>
        <w:textAlignment w:val="bottom"/>
        <w:rPr>
          <w:rFonts w:hint="eastAsia" w:ascii="宋体" w:hAnsi="宋体" w:cs="宋体"/>
          <w:color w:val="auto"/>
          <w:highlight w:val="none"/>
        </w:rPr>
      </w:pPr>
    </w:p>
    <w:tbl>
      <w:tblPr>
        <w:tblStyle w:val="86"/>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71"/>
        <w:gridCol w:w="56"/>
        <w:gridCol w:w="1615"/>
        <w:gridCol w:w="1177"/>
        <w:gridCol w:w="1534"/>
        <w:gridCol w:w="374"/>
        <w:gridCol w:w="1714"/>
        <w:gridCol w:w="428"/>
        <w:gridCol w:w="1425"/>
      </w:tblGrid>
      <w:tr w14:paraId="1142A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60" w:hRule="atLeast"/>
        </w:trPr>
        <w:tc>
          <w:tcPr>
            <w:tcW w:w="1371" w:type="dxa"/>
            <w:vAlign w:val="center"/>
          </w:tcPr>
          <w:p w14:paraId="3F63DD13">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姓    名</w:t>
            </w:r>
          </w:p>
        </w:tc>
        <w:tc>
          <w:tcPr>
            <w:tcW w:w="1671" w:type="dxa"/>
            <w:gridSpan w:val="2"/>
            <w:vAlign w:val="center"/>
          </w:tcPr>
          <w:p w14:paraId="589DCF17">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1177" w:type="dxa"/>
            <w:vAlign w:val="center"/>
          </w:tcPr>
          <w:p w14:paraId="6A6728CC">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年    龄</w:t>
            </w:r>
          </w:p>
        </w:tc>
        <w:tc>
          <w:tcPr>
            <w:tcW w:w="1534" w:type="dxa"/>
          </w:tcPr>
          <w:p w14:paraId="4EB13CEC">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2088" w:type="dxa"/>
            <w:gridSpan w:val="2"/>
          </w:tcPr>
          <w:p w14:paraId="511EF708">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执业或职业资格证书名称</w:t>
            </w:r>
          </w:p>
        </w:tc>
        <w:tc>
          <w:tcPr>
            <w:tcW w:w="1853" w:type="dxa"/>
            <w:gridSpan w:val="2"/>
          </w:tcPr>
          <w:p w14:paraId="0030D29D">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r>
      <w:tr w14:paraId="6C67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3222B725">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671" w:type="dxa"/>
            <w:gridSpan w:val="2"/>
            <w:vAlign w:val="center"/>
          </w:tcPr>
          <w:p w14:paraId="1FBAB171">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1177" w:type="dxa"/>
            <w:vAlign w:val="center"/>
          </w:tcPr>
          <w:p w14:paraId="407DB95F">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学    历</w:t>
            </w:r>
          </w:p>
        </w:tc>
        <w:tc>
          <w:tcPr>
            <w:tcW w:w="1534" w:type="dxa"/>
          </w:tcPr>
          <w:p w14:paraId="6B61D039">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2088" w:type="dxa"/>
            <w:gridSpan w:val="2"/>
          </w:tcPr>
          <w:p w14:paraId="6EAD85BC">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拟在本项目任职</w:t>
            </w:r>
          </w:p>
        </w:tc>
        <w:tc>
          <w:tcPr>
            <w:tcW w:w="1853" w:type="dxa"/>
            <w:gridSpan w:val="2"/>
          </w:tcPr>
          <w:p w14:paraId="5843C0F6">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r>
      <w:tr w14:paraId="058B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371" w:type="dxa"/>
            <w:vAlign w:val="center"/>
          </w:tcPr>
          <w:p w14:paraId="77BAAE36">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工作年限</w:t>
            </w:r>
          </w:p>
        </w:tc>
        <w:tc>
          <w:tcPr>
            <w:tcW w:w="4382" w:type="dxa"/>
            <w:gridSpan w:val="4"/>
            <w:vAlign w:val="center"/>
          </w:tcPr>
          <w:p w14:paraId="5CBE6F7E">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2088" w:type="dxa"/>
            <w:gridSpan w:val="2"/>
            <w:vAlign w:val="center"/>
          </w:tcPr>
          <w:p w14:paraId="1BDFDE0B">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从事类似工作年限</w:t>
            </w:r>
          </w:p>
        </w:tc>
        <w:tc>
          <w:tcPr>
            <w:tcW w:w="1853" w:type="dxa"/>
            <w:gridSpan w:val="2"/>
          </w:tcPr>
          <w:p w14:paraId="20ACE474">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r>
      <w:tr w14:paraId="3CBF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371" w:type="dxa"/>
            <w:vAlign w:val="center"/>
          </w:tcPr>
          <w:p w14:paraId="2AEE62BB">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毕业学校</w:t>
            </w:r>
          </w:p>
        </w:tc>
        <w:tc>
          <w:tcPr>
            <w:tcW w:w="8323" w:type="dxa"/>
            <w:gridSpan w:val="8"/>
            <w:vAlign w:val="center"/>
          </w:tcPr>
          <w:p w14:paraId="49083E16">
            <w:pPr>
              <w:autoSpaceDE w:val="0"/>
              <w:autoSpaceDN w:val="0"/>
              <w:spacing w:before="60" w:beforeLines="25" w:after="60" w:afterLines="25" w:line="400" w:lineRule="atLeast"/>
              <w:ind w:left="-187" w:leftChars="-89"/>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______年___月毕业于___________________学校___________专业，学制______年</w:t>
            </w:r>
          </w:p>
        </w:tc>
      </w:tr>
      <w:tr w14:paraId="7046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14:paraId="32BB7F71">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主要工作经历</w:t>
            </w:r>
          </w:p>
        </w:tc>
      </w:tr>
      <w:tr w14:paraId="5FC0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3C91B87A">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highlight w:val="none"/>
              </w:rPr>
              <w:t>时  间</w:t>
            </w:r>
          </w:p>
        </w:tc>
        <w:tc>
          <w:tcPr>
            <w:tcW w:w="4700" w:type="dxa"/>
            <w:gridSpan w:val="4"/>
            <w:vAlign w:val="center"/>
          </w:tcPr>
          <w:p w14:paraId="5B36A19E">
            <w:pPr>
              <w:pStyle w:val="153"/>
              <w:adjustRightInd/>
              <w:snapToGrid/>
              <w:spacing w:before="60" w:beforeLines="25" w:after="60" w:afterLines="25" w:line="400" w:lineRule="atLeast"/>
              <w:textAlignment w:val="bottom"/>
              <w:rPr>
                <w:rFonts w:hint="eastAsia" w:ascii="宋体" w:hAnsi="宋体" w:cs="宋体"/>
                <w:color w:val="auto"/>
                <w:spacing w:val="0"/>
                <w:kern w:val="2"/>
                <w:szCs w:val="21"/>
                <w:highlight w:val="none"/>
              </w:rPr>
            </w:pPr>
            <w:r>
              <w:rPr>
                <w:rFonts w:hint="eastAsia" w:ascii="宋体" w:hAnsi="宋体" w:cs="宋体"/>
                <w:color w:val="auto"/>
                <w:spacing w:val="0"/>
                <w:kern w:val="2"/>
                <w:szCs w:val="21"/>
                <w:highlight w:val="none"/>
              </w:rPr>
              <w:t>参加过的类似项目</w:t>
            </w:r>
          </w:p>
        </w:tc>
        <w:tc>
          <w:tcPr>
            <w:tcW w:w="2142" w:type="dxa"/>
            <w:gridSpan w:val="2"/>
            <w:vAlign w:val="center"/>
          </w:tcPr>
          <w:p w14:paraId="4F4369C3">
            <w:pPr>
              <w:pStyle w:val="153"/>
              <w:adjustRightInd/>
              <w:snapToGrid/>
              <w:spacing w:before="60" w:beforeLines="25" w:after="60" w:afterLines="25" w:line="400" w:lineRule="atLeast"/>
              <w:textAlignment w:val="bottom"/>
              <w:rPr>
                <w:rFonts w:hint="eastAsia" w:ascii="宋体" w:hAnsi="宋体" w:cs="宋体"/>
                <w:color w:val="auto"/>
                <w:spacing w:val="0"/>
                <w:kern w:val="2"/>
                <w:szCs w:val="21"/>
                <w:highlight w:val="none"/>
              </w:rPr>
            </w:pPr>
            <w:r>
              <w:rPr>
                <w:rFonts w:hint="eastAsia" w:ascii="宋体" w:hAnsi="宋体" w:cs="宋体"/>
                <w:color w:val="auto"/>
                <w:spacing w:val="0"/>
                <w:kern w:val="2"/>
                <w:szCs w:val="21"/>
                <w:highlight w:val="none"/>
              </w:rPr>
              <w:t>担任职务</w:t>
            </w:r>
          </w:p>
        </w:tc>
        <w:tc>
          <w:tcPr>
            <w:tcW w:w="1425" w:type="dxa"/>
            <w:vAlign w:val="center"/>
          </w:tcPr>
          <w:p w14:paraId="271E4E32">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r>
              <w:rPr>
                <w:rFonts w:hint="eastAsia" w:ascii="宋体" w:hAnsi="宋体" w:cs="宋体"/>
                <w:color w:val="auto"/>
                <w:szCs w:val="21"/>
                <w:highlight w:val="none"/>
              </w:rPr>
              <w:t>发包人及联系电话</w:t>
            </w:r>
          </w:p>
        </w:tc>
      </w:tr>
      <w:tr w14:paraId="431F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B14DC43">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4700" w:type="dxa"/>
            <w:gridSpan w:val="4"/>
            <w:vAlign w:val="center"/>
          </w:tcPr>
          <w:p w14:paraId="26A6B5D8">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2142" w:type="dxa"/>
            <w:gridSpan w:val="2"/>
          </w:tcPr>
          <w:p w14:paraId="3A460D37">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c>
          <w:tcPr>
            <w:tcW w:w="1425" w:type="dxa"/>
          </w:tcPr>
          <w:p w14:paraId="24D912C9">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r>
      <w:tr w14:paraId="18165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7D06F47">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4700" w:type="dxa"/>
            <w:gridSpan w:val="4"/>
            <w:vAlign w:val="center"/>
          </w:tcPr>
          <w:p w14:paraId="3A1C60A5">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2142" w:type="dxa"/>
            <w:gridSpan w:val="2"/>
          </w:tcPr>
          <w:p w14:paraId="2786811A">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c>
          <w:tcPr>
            <w:tcW w:w="1425" w:type="dxa"/>
          </w:tcPr>
          <w:p w14:paraId="146DA103">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r>
      <w:tr w14:paraId="3084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06088C1E">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4700" w:type="dxa"/>
            <w:gridSpan w:val="4"/>
            <w:vAlign w:val="center"/>
          </w:tcPr>
          <w:p w14:paraId="3C7605EA">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2142" w:type="dxa"/>
            <w:gridSpan w:val="2"/>
          </w:tcPr>
          <w:p w14:paraId="45B9E99A">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c>
          <w:tcPr>
            <w:tcW w:w="1425" w:type="dxa"/>
          </w:tcPr>
          <w:p w14:paraId="4743B68F">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r>
      <w:tr w14:paraId="1BD1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48427D1">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4700" w:type="dxa"/>
            <w:gridSpan w:val="4"/>
            <w:vAlign w:val="center"/>
          </w:tcPr>
          <w:p w14:paraId="7F38837E">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2142" w:type="dxa"/>
            <w:gridSpan w:val="2"/>
          </w:tcPr>
          <w:p w14:paraId="2A7DBE0A">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c>
          <w:tcPr>
            <w:tcW w:w="1425" w:type="dxa"/>
          </w:tcPr>
          <w:p w14:paraId="604DC416">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r>
      <w:tr w14:paraId="2D5F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C8D22B1">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4700" w:type="dxa"/>
            <w:gridSpan w:val="4"/>
            <w:vAlign w:val="center"/>
          </w:tcPr>
          <w:p w14:paraId="50C7670E">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2142" w:type="dxa"/>
            <w:gridSpan w:val="2"/>
          </w:tcPr>
          <w:p w14:paraId="0CCB8F11">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c>
          <w:tcPr>
            <w:tcW w:w="1425" w:type="dxa"/>
          </w:tcPr>
          <w:p w14:paraId="32188C17">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r>
      <w:tr w14:paraId="00BC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665440BE">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4700" w:type="dxa"/>
            <w:gridSpan w:val="4"/>
            <w:vAlign w:val="center"/>
          </w:tcPr>
          <w:p w14:paraId="7B2A0D99">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2142" w:type="dxa"/>
            <w:gridSpan w:val="2"/>
          </w:tcPr>
          <w:p w14:paraId="2B815151">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c>
          <w:tcPr>
            <w:tcW w:w="1425" w:type="dxa"/>
          </w:tcPr>
          <w:p w14:paraId="19D103C0">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r>
      <w:tr w14:paraId="2177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14:paraId="1720D490">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4700" w:type="dxa"/>
            <w:gridSpan w:val="4"/>
            <w:vAlign w:val="center"/>
          </w:tcPr>
          <w:p w14:paraId="0320BC98">
            <w:pPr>
              <w:autoSpaceDE w:val="0"/>
              <w:autoSpaceDN w:val="0"/>
              <w:spacing w:before="60" w:beforeLines="25" w:after="60" w:afterLines="25" w:line="400" w:lineRule="atLeast"/>
              <w:jc w:val="center"/>
              <w:textAlignment w:val="bottom"/>
              <w:rPr>
                <w:rFonts w:hint="eastAsia" w:ascii="宋体" w:hAnsi="宋体" w:cs="宋体"/>
                <w:color w:val="auto"/>
                <w:szCs w:val="21"/>
                <w:highlight w:val="none"/>
              </w:rPr>
            </w:pPr>
          </w:p>
        </w:tc>
        <w:tc>
          <w:tcPr>
            <w:tcW w:w="2142" w:type="dxa"/>
            <w:gridSpan w:val="2"/>
          </w:tcPr>
          <w:p w14:paraId="732FDAFA">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c>
          <w:tcPr>
            <w:tcW w:w="1425" w:type="dxa"/>
          </w:tcPr>
          <w:p w14:paraId="438A91A6">
            <w:pPr>
              <w:autoSpaceDE w:val="0"/>
              <w:autoSpaceDN w:val="0"/>
              <w:spacing w:before="60" w:beforeLines="25" w:after="60" w:afterLines="25" w:line="400" w:lineRule="atLeast"/>
              <w:textAlignment w:val="bottom"/>
              <w:rPr>
                <w:rFonts w:hint="eastAsia" w:ascii="宋体" w:hAnsi="宋体" w:cs="宋体"/>
                <w:color w:val="auto"/>
                <w:szCs w:val="21"/>
                <w:highlight w:val="none"/>
              </w:rPr>
            </w:pPr>
          </w:p>
        </w:tc>
      </w:tr>
    </w:tbl>
    <w:p w14:paraId="759108F3">
      <w:pPr>
        <w:spacing w:line="600" w:lineRule="exact"/>
        <w:rPr>
          <w:rFonts w:hint="eastAsia" w:ascii="宋体" w:hAnsi="宋体" w:cs="宋体"/>
          <w:color w:val="auto"/>
          <w:sz w:val="24"/>
          <w:highlight w:val="none"/>
        </w:rPr>
      </w:pPr>
      <w:r>
        <w:rPr>
          <w:rFonts w:hint="eastAsia" w:ascii="宋体" w:hAnsi="宋体" w:cs="宋体"/>
          <w:color w:val="auto"/>
          <w:sz w:val="24"/>
          <w:highlight w:val="none"/>
        </w:rPr>
        <w:t>注：供应商应根据供应商须知前附表第3.5（6）项的要求在本表后附相关证明材料。</w:t>
      </w:r>
    </w:p>
    <w:p w14:paraId="48628C7B">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714B14A8">
      <w:pPr>
        <w:adjustRightInd w:val="0"/>
        <w:snapToGrid w:val="0"/>
        <w:spacing w:line="600" w:lineRule="exact"/>
        <w:ind w:firstLine="600" w:firstLineChars="2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八、响应方案</w:t>
      </w:r>
    </w:p>
    <w:p w14:paraId="30CE9E4E">
      <w:pPr>
        <w:pStyle w:val="72"/>
        <w:ind w:left="840" w:hanging="420"/>
        <w:rPr>
          <w:color w:val="auto"/>
          <w:highlight w:val="none"/>
        </w:rPr>
      </w:pPr>
    </w:p>
    <w:p w14:paraId="124551B5">
      <w:pPr>
        <w:adjustRightInd w:val="0"/>
        <w:snapToGrid w:val="0"/>
        <w:spacing w:line="6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响应方案一般包括(但不限于)下列内容：</w:t>
      </w:r>
    </w:p>
    <w:p w14:paraId="3E1F1DAB">
      <w:pPr>
        <w:widowControl/>
        <w:numPr>
          <w:ilvl w:val="0"/>
          <w:numId w:val="23"/>
        </w:numPr>
        <w:tabs>
          <w:tab w:val="left" w:pos="312"/>
        </w:tabs>
        <w:spacing w:after="200" w:line="6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项目实施方案; </w:t>
      </w:r>
    </w:p>
    <w:p w14:paraId="698CE0CD">
      <w:pPr>
        <w:widowControl/>
        <w:numPr>
          <w:ilvl w:val="0"/>
          <w:numId w:val="23"/>
        </w:numPr>
        <w:tabs>
          <w:tab w:val="left" w:pos="312"/>
        </w:tabs>
        <w:spacing w:after="200" w:line="6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对本服务项目工作步骤和程序的理解； </w:t>
      </w:r>
    </w:p>
    <w:p w14:paraId="4720A3F2">
      <w:pPr>
        <w:widowControl/>
        <w:numPr>
          <w:ilvl w:val="0"/>
          <w:numId w:val="23"/>
        </w:numPr>
        <w:tabs>
          <w:tab w:val="left" w:pos="312"/>
        </w:tabs>
        <w:spacing w:after="200" w:line="6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对本项目重点难点分析；</w:t>
      </w:r>
    </w:p>
    <w:p w14:paraId="47669E8E">
      <w:pPr>
        <w:widowControl/>
        <w:numPr>
          <w:ilvl w:val="0"/>
          <w:numId w:val="23"/>
        </w:numPr>
        <w:tabs>
          <w:tab w:val="left" w:pos="312"/>
        </w:tabs>
        <w:spacing w:after="200" w:line="6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质量保证措施、进度保证措施。</w:t>
      </w:r>
    </w:p>
    <w:p w14:paraId="64877A0A">
      <w:pPr>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277CA9FB">
      <w:pPr>
        <w:adjustRightInd w:val="0"/>
        <w:snapToGrid w:val="0"/>
        <w:spacing w:line="600" w:lineRule="exact"/>
        <w:ind w:left="420" w:leftChars="2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九、其他资料</w:t>
      </w:r>
    </w:p>
    <w:p w14:paraId="01C2CD2D">
      <w:pPr>
        <w:adjustRightInd w:val="0"/>
        <w:snapToGrid w:val="0"/>
        <w:spacing w:line="600" w:lineRule="exact"/>
        <w:ind w:left="420" w:leftChars="200"/>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供应商需提交的其他资料。</w:t>
      </w:r>
    </w:p>
    <w:p w14:paraId="091C1A77">
      <w:pPr>
        <w:spacing w:line="240" w:lineRule="auto"/>
        <w:rPr>
          <w:rFonts w:hint="eastAsia" w:ascii="宋体" w:hAnsi="宋体" w:cs="宋体"/>
          <w:color w:val="auto"/>
          <w:sz w:val="30"/>
          <w:szCs w:val="30"/>
          <w:highlight w:val="none"/>
        </w:rPr>
      </w:pPr>
      <w:r>
        <w:rPr>
          <w:rFonts w:hint="eastAsia" w:ascii="宋体" w:hAnsi="宋体" w:cs="宋体"/>
          <w:color w:val="auto"/>
          <w:sz w:val="30"/>
          <w:szCs w:val="30"/>
          <w:highlight w:val="none"/>
        </w:rPr>
        <w:br w:type="page"/>
      </w:r>
    </w:p>
    <w:p w14:paraId="39F79603">
      <w:pPr>
        <w:pStyle w:val="2"/>
        <w:spacing w:line="240" w:lineRule="auto"/>
        <w:rPr>
          <w:rFonts w:hint="eastAsia" w:ascii="宋体" w:hAnsi="宋体" w:cs="宋体"/>
          <w:b w:val="0"/>
          <w:bCs w:val="0"/>
          <w:color w:val="auto"/>
          <w:kern w:val="0"/>
          <w:sz w:val="33"/>
          <w:szCs w:val="21"/>
          <w:highlight w:val="none"/>
          <w:lang w:bidi="zh-CN"/>
        </w:rPr>
      </w:pPr>
      <w:r>
        <w:rPr>
          <w:rFonts w:hint="eastAsia" w:ascii="宋体" w:hAnsi="宋体" w:cs="宋体"/>
          <w:b w:val="0"/>
          <w:bCs w:val="0"/>
          <w:color w:val="auto"/>
          <w:kern w:val="0"/>
          <w:sz w:val="33"/>
          <w:szCs w:val="21"/>
          <w:highlight w:val="none"/>
          <w:lang w:bidi="zh-CN"/>
        </w:rPr>
        <w:t>附录：</w:t>
      </w:r>
    </w:p>
    <w:p w14:paraId="1B9DB53A">
      <w:pPr>
        <w:pStyle w:val="2"/>
        <w:spacing w:line="240" w:lineRule="auto"/>
        <w:jc w:val="center"/>
        <w:rPr>
          <w:rFonts w:hint="eastAsia" w:ascii="宋体" w:hAnsi="宋体" w:cs="宋体"/>
          <w:b w:val="0"/>
          <w:color w:val="auto"/>
          <w:sz w:val="2"/>
          <w:highlight w:val="none"/>
        </w:rPr>
      </w:pPr>
      <w:r>
        <w:rPr>
          <w:rFonts w:hint="eastAsia" w:ascii="宋体" w:hAnsi="宋体" w:cs="宋体"/>
          <w:color w:val="auto"/>
          <w:sz w:val="36"/>
          <w:highlight w:val="none"/>
        </w:rPr>
        <w:t>采购比价表（有抵税需求的采购项目）</w:t>
      </w:r>
    </w:p>
    <w:tbl>
      <w:tblPr>
        <w:tblStyle w:val="86"/>
        <w:tblW w:w="903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0"/>
        <w:gridCol w:w="1560"/>
        <w:gridCol w:w="1842"/>
        <w:gridCol w:w="4047"/>
      </w:tblGrid>
      <w:tr w14:paraId="4B4F2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90" w:type="dxa"/>
            <w:vAlign w:val="center"/>
          </w:tcPr>
          <w:p w14:paraId="7B603E65">
            <w:pPr>
              <w:jc w:val="center"/>
              <w:rPr>
                <w:rFonts w:hint="eastAsia" w:ascii="宋体" w:hAnsi="宋体" w:cs="宋体"/>
                <w:b/>
                <w:color w:val="auto"/>
                <w:highlight w:val="none"/>
              </w:rPr>
            </w:pPr>
            <w:r>
              <w:rPr>
                <w:rFonts w:hint="eastAsia" w:ascii="宋体" w:hAnsi="宋体" w:cs="宋体"/>
                <w:b/>
                <w:color w:val="auto"/>
                <w:highlight w:val="none"/>
              </w:rPr>
              <w:t>一般纳税人   抵扣率</w:t>
            </w:r>
          </w:p>
        </w:tc>
        <w:tc>
          <w:tcPr>
            <w:tcW w:w="1560" w:type="dxa"/>
            <w:vAlign w:val="center"/>
          </w:tcPr>
          <w:p w14:paraId="42AEE205">
            <w:pPr>
              <w:jc w:val="center"/>
              <w:rPr>
                <w:rFonts w:hint="eastAsia" w:ascii="宋体" w:hAnsi="宋体" w:cs="宋体"/>
                <w:b/>
                <w:color w:val="auto"/>
                <w:highlight w:val="none"/>
              </w:rPr>
            </w:pPr>
            <w:r>
              <w:rPr>
                <w:rFonts w:hint="eastAsia" w:ascii="宋体" w:hAnsi="宋体" w:cs="宋体"/>
                <w:b/>
                <w:color w:val="auto"/>
                <w:highlight w:val="none"/>
              </w:rPr>
              <w:t>小规模纳税人  抵扣率</w:t>
            </w:r>
          </w:p>
        </w:tc>
        <w:tc>
          <w:tcPr>
            <w:tcW w:w="1842" w:type="dxa"/>
            <w:vAlign w:val="center"/>
          </w:tcPr>
          <w:p w14:paraId="1B565F00">
            <w:pPr>
              <w:jc w:val="center"/>
              <w:rPr>
                <w:rFonts w:hint="eastAsia" w:ascii="宋体" w:hAnsi="宋体" w:cs="宋体"/>
                <w:b/>
                <w:color w:val="auto"/>
                <w:highlight w:val="none"/>
              </w:rPr>
            </w:pPr>
            <w:r>
              <w:rPr>
                <w:rFonts w:hint="eastAsia" w:ascii="宋体" w:hAnsi="宋体" w:cs="宋体"/>
                <w:b/>
                <w:color w:val="auto"/>
                <w:highlight w:val="none"/>
              </w:rPr>
              <w:t>含税价格          临界点</w:t>
            </w:r>
          </w:p>
        </w:tc>
        <w:tc>
          <w:tcPr>
            <w:tcW w:w="4047" w:type="dxa"/>
            <w:vAlign w:val="center"/>
          </w:tcPr>
          <w:p w14:paraId="01E79309">
            <w:pPr>
              <w:jc w:val="center"/>
              <w:rPr>
                <w:rFonts w:hint="eastAsia" w:ascii="宋体" w:hAnsi="宋体" w:cs="宋体"/>
                <w:b/>
                <w:color w:val="auto"/>
                <w:highlight w:val="none"/>
              </w:rPr>
            </w:pPr>
            <w:r>
              <w:rPr>
                <w:rFonts w:hint="eastAsia" w:ascii="宋体" w:hAnsi="宋体" w:cs="宋体"/>
                <w:b/>
                <w:color w:val="auto"/>
                <w:highlight w:val="none"/>
              </w:rPr>
              <w:t>同等需求下供应商选择原则</w:t>
            </w:r>
          </w:p>
        </w:tc>
      </w:tr>
      <w:tr w14:paraId="4DB87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9BE99AC">
            <w:pPr>
              <w:jc w:val="center"/>
              <w:rPr>
                <w:rFonts w:hint="eastAsia" w:ascii="宋体" w:hAnsi="宋体" w:cs="宋体"/>
                <w:color w:val="auto"/>
                <w:highlight w:val="none"/>
              </w:rPr>
            </w:pPr>
            <w:r>
              <w:rPr>
                <w:rFonts w:hint="eastAsia" w:ascii="宋体" w:hAnsi="宋体" w:cs="宋体"/>
                <w:color w:val="auto"/>
                <w:highlight w:val="none"/>
              </w:rPr>
              <w:t>13%</w:t>
            </w:r>
          </w:p>
        </w:tc>
        <w:tc>
          <w:tcPr>
            <w:tcW w:w="1560" w:type="dxa"/>
            <w:vAlign w:val="center"/>
          </w:tcPr>
          <w:p w14:paraId="349172C7">
            <w:pPr>
              <w:jc w:val="center"/>
              <w:rPr>
                <w:rFonts w:hint="eastAsia" w:ascii="宋体" w:hAnsi="宋体" w:cs="宋体"/>
                <w:color w:val="auto"/>
                <w:highlight w:val="none"/>
              </w:rPr>
            </w:pPr>
            <w:r>
              <w:rPr>
                <w:rFonts w:hint="eastAsia" w:ascii="宋体" w:hAnsi="宋体" w:cs="宋体"/>
                <w:color w:val="auto"/>
                <w:highlight w:val="none"/>
              </w:rPr>
              <w:t>3%</w:t>
            </w:r>
          </w:p>
        </w:tc>
        <w:tc>
          <w:tcPr>
            <w:tcW w:w="1842" w:type="dxa"/>
            <w:vAlign w:val="center"/>
          </w:tcPr>
          <w:p w14:paraId="3605B402">
            <w:pPr>
              <w:jc w:val="center"/>
              <w:rPr>
                <w:rFonts w:hint="eastAsia" w:ascii="宋体" w:hAnsi="宋体" w:cs="宋体"/>
                <w:color w:val="auto"/>
                <w:highlight w:val="none"/>
              </w:rPr>
            </w:pPr>
            <w:r>
              <w:rPr>
                <w:rFonts w:hint="eastAsia" w:ascii="宋体" w:hAnsi="宋体" w:cs="宋体"/>
                <w:color w:val="auto"/>
                <w:highlight w:val="none"/>
              </w:rPr>
              <w:t>90.05269%</w:t>
            </w:r>
          </w:p>
        </w:tc>
        <w:tc>
          <w:tcPr>
            <w:tcW w:w="4047" w:type="dxa"/>
            <w:vAlign w:val="center"/>
          </w:tcPr>
          <w:p w14:paraId="6DAEA18F">
            <w:pPr>
              <w:pStyle w:val="154"/>
              <w:spacing w:before="79" w:line="244" w:lineRule="auto"/>
              <w:ind w:left="108" w:right="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小规模供应商的含税价格小于一般纳税</w:t>
            </w:r>
            <w:r>
              <w:rPr>
                <w:rFonts w:hint="eastAsia" w:ascii="宋体" w:hAnsi="宋体" w:eastAsia="宋体" w:cs="宋体"/>
                <w:color w:val="auto"/>
                <w:spacing w:val="-9"/>
                <w:sz w:val="21"/>
                <w:szCs w:val="21"/>
                <w:highlight w:val="none"/>
              </w:rPr>
              <w:t xml:space="preserve">人含税价格的 </w:t>
            </w:r>
            <w:r>
              <w:rPr>
                <w:rFonts w:hint="eastAsia" w:ascii="宋体" w:hAnsi="宋体" w:eastAsia="宋体" w:cs="宋体"/>
                <w:color w:val="auto"/>
                <w:sz w:val="21"/>
                <w:szCs w:val="21"/>
                <w:highlight w:val="none"/>
              </w:rPr>
              <w:t>90.052</w:t>
            </w:r>
            <w:r>
              <w:rPr>
                <w:rFonts w:hint="eastAsia" w:ascii="宋体" w:hAnsi="宋体" w:eastAsia="宋体" w:cs="宋体"/>
                <w:color w:val="auto"/>
                <w:sz w:val="21"/>
                <w:szCs w:val="21"/>
                <w:highlight w:val="none"/>
                <w:lang w:val="en-US"/>
              </w:rPr>
              <w:t>69</w:t>
            </w:r>
            <w:r>
              <w:rPr>
                <w:rFonts w:hint="eastAsia" w:ascii="宋体" w:hAnsi="宋体" w:eastAsia="宋体" w:cs="宋体"/>
                <w:color w:val="auto"/>
                <w:sz w:val="21"/>
                <w:szCs w:val="21"/>
                <w:highlight w:val="none"/>
              </w:rPr>
              <w:t>%</w:t>
            </w:r>
            <w:r>
              <w:rPr>
                <w:rFonts w:hint="eastAsia" w:ascii="宋体" w:hAnsi="宋体" w:eastAsia="宋体" w:cs="宋体"/>
                <w:color w:val="auto"/>
                <w:spacing w:val="-5"/>
                <w:sz w:val="21"/>
                <w:szCs w:val="21"/>
                <w:highlight w:val="none"/>
              </w:rPr>
              <w:t>时，可选择小规</w:t>
            </w:r>
            <w:r>
              <w:rPr>
                <w:rFonts w:hint="eastAsia" w:ascii="宋体" w:hAnsi="宋体" w:eastAsia="宋体" w:cs="宋体"/>
                <w:color w:val="auto"/>
                <w:sz w:val="21"/>
                <w:szCs w:val="21"/>
                <w:highlight w:val="none"/>
              </w:rPr>
              <w:t>模纳税人。否则，选一般纳税人。</w:t>
            </w:r>
          </w:p>
        </w:tc>
      </w:tr>
      <w:tr w14:paraId="364D7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4B59DFFD">
            <w:pPr>
              <w:jc w:val="center"/>
              <w:rPr>
                <w:rFonts w:hint="eastAsia" w:ascii="宋体" w:hAnsi="宋体" w:cs="宋体"/>
                <w:color w:val="auto"/>
                <w:highlight w:val="none"/>
              </w:rPr>
            </w:pPr>
            <w:r>
              <w:rPr>
                <w:rFonts w:hint="eastAsia" w:ascii="宋体" w:hAnsi="宋体" w:cs="宋体"/>
                <w:color w:val="auto"/>
                <w:highlight w:val="none"/>
              </w:rPr>
              <w:t>13%</w:t>
            </w:r>
          </w:p>
        </w:tc>
        <w:tc>
          <w:tcPr>
            <w:tcW w:w="1560" w:type="dxa"/>
            <w:vAlign w:val="center"/>
          </w:tcPr>
          <w:p w14:paraId="68799392">
            <w:pPr>
              <w:jc w:val="center"/>
              <w:rPr>
                <w:rFonts w:hint="eastAsia" w:ascii="宋体" w:hAnsi="宋体" w:cs="宋体"/>
                <w:color w:val="auto"/>
                <w:highlight w:val="none"/>
              </w:rPr>
            </w:pPr>
            <w:r>
              <w:rPr>
                <w:rFonts w:hint="eastAsia" w:ascii="宋体" w:hAnsi="宋体" w:cs="宋体"/>
                <w:color w:val="auto"/>
                <w:highlight w:val="none"/>
              </w:rPr>
              <w:t>1%</w:t>
            </w:r>
          </w:p>
        </w:tc>
        <w:tc>
          <w:tcPr>
            <w:tcW w:w="1842" w:type="dxa"/>
            <w:vAlign w:val="center"/>
          </w:tcPr>
          <w:p w14:paraId="12FC8CC7">
            <w:pPr>
              <w:jc w:val="center"/>
              <w:rPr>
                <w:rFonts w:hint="eastAsia" w:ascii="宋体" w:hAnsi="宋体" w:cs="宋体"/>
                <w:color w:val="auto"/>
                <w:highlight w:val="none"/>
              </w:rPr>
            </w:pPr>
            <w:r>
              <w:rPr>
                <w:rFonts w:hint="eastAsia" w:ascii="宋体" w:hAnsi="宋体" w:cs="宋体"/>
                <w:color w:val="auto"/>
                <w:highlight w:val="none"/>
              </w:rPr>
              <w:t>88.09190%</w:t>
            </w:r>
          </w:p>
        </w:tc>
        <w:tc>
          <w:tcPr>
            <w:tcW w:w="4047" w:type="dxa"/>
            <w:vAlign w:val="center"/>
          </w:tcPr>
          <w:p w14:paraId="35744557">
            <w:pPr>
              <w:pStyle w:val="154"/>
              <w:spacing w:before="81" w:line="244" w:lineRule="auto"/>
              <w:ind w:left="108" w:right="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小规模供应商的含税价格小于一般纳税</w:t>
            </w:r>
            <w:r>
              <w:rPr>
                <w:rFonts w:hint="eastAsia" w:ascii="宋体" w:hAnsi="宋体" w:eastAsia="宋体" w:cs="宋体"/>
                <w:color w:val="auto"/>
                <w:spacing w:val="-9"/>
                <w:sz w:val="21"/>
                <w:szCs w:val="21"/>
                <w:highlight w:val="none"/>
              </w:rPr>
              <w:t xml:space="preserve">人含税价格的 </w:t>
            </w:r>
            <w:r>
              <w:rPr>
                <w:rFonts w:hint="eastAsia" w:ascii="宋体" w:hAnsi="宋体" w:eastAsia="宋体" w:cs="宋体"/>
                <w:color w:val="auto"/>
                <w:sz w:val="21"/>
                <w:szCs w:val="21"/>
                <w:highlight w:val="none"/>
                <w:lang w:val="en-US"/>
              </w:rPr>
              <w:t>88.09190</w:t>
            </w:r>
            <w:r>
              <w:rPr>
                <w:rFonts w:hint="eastAsia" w:ascii="宋体" w:hAnsi="宋体" w:eastAsia="宋体" w:cs="宋体"/>
                <w:color w:val="auto"/>
                <w:sz w:val="21"/>
                <w:szCs w:val="21"/>
                <w:highlight w:val="none"/>
              </w:rPr>
              <w:t>%</w:t>
            </w:r>
            <w:r>
              <w:rPr>
                <w:rFonts w:hint="eastAsia" w:ascii="宋体" w:hAnsi="宋体" w:eastAsia="宋体" w:cs="宋体"/>
                <w:color w:val="auto"/>
                <w:spacing w:val="-5"/>
                <w:sz w:val="21"/>
                <w:szCs w:val="21"/>
                <w:highlight w:val="none"/>
              </w:rPr>
              <w:t>时，可选择小规</w:t>
            </w:r>
            <w:r>
              <w:rPr>
                <w:rFonts w:hint="eastAsia" w:ascii="宋体" w:hAnsi="宋体" w:eastAsia="宋体" w:cs="宋体"/>
                <w:color w:val="auto"/>
                <w:sz w:val="21"/>
                <w:szCs w:val="21"/>
                <w:highlight w:val="none"/>
              </w:rPr>
              <w:t>模纳税人。否则，选一般纳税人。</w:t>
            </w:r>
          </w:p>
        </w:tc>
      </w:tr>
      <w:tr w14:paraId="3A92B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A99C52F">
            <w:pPr>
              <w:jc w:val="center"/>
              <w:rPr>
                <w:rFonts w:hint="eastAsia" w:ascii="宋体" w:hAnsi="宋体" w:cs="宋体"/>
                <w:color w:val="auto"/>
                <w:highlight w:val="none"/>
              </w:rPr>
            </w:pPr>
            <w:r>
              <w:rPr>
                <w:rFonts w:hint="eastAsia" w:ascii="宋体" w:hAnsi="宋体" w:cs="宋体"/>
                <w:color w:val="auto"/>
                <w:highlight w:val="none"/>
              </w:rPr>
              <w:t>13%</w:t>
            </w:r>
          </w:p>
        </w:tc>
        <w:tc>
          <w:tcPr>
            <w:tcW w:w="1560" w:type="dxa"/>
            <w:vAlign w:val="center"/>
          </w:tcPr>
          <w:p w14:paraId="1BA9AD84">
            <w:pPr>
              <w:jc w:val="center"/>
              <w:rPr>
                <w:rFonts w:hint="eastAsia" w:ascii="宋体" w:hAnsi="宋体" w:cs="宋体"/>
                <w:color w:val="auto"/>
                <w:highlight w:val="none"/>
              </w:rPr>
            </w:pPr>
            <w:r>
              <w:rPr>
                <w:rFonts w:hint="eastAsia" w:ascii="宋体" w:hAnsi="宋体" w:cs="宋体"/>
                <w:color w:val="auto"/>
                <w:highlight w:val="none"/>
              </w:rPr>
              <w:t>0%</w:t>
            </w:r>
          </w:p>
        </w:tc>
        <w:tc>
          <w:tcPr>
            <w:tcW w:w="1842" w:type="dxa"/>
            <w:vAlign w:val="center"/>
          </w:tcPr>
          <w:p w14:paraId="78DE8F70">
            <w:pPr>
              <w:jc w:val="center"/>
              <w:rPr>
                <w:rFonts w:hint="eastAsia" w:ascii="宋体" w:hAnsi="宋体" w:cs="宋体"/>
                <w:color w:val="auto"/>
                <w:highlight w:val="none"/>
              </w:rPr>
            </w:pPr>
            <w:r>
              <w:rPr>
                <w:rFonts w:hint="eastAsia" w:ascii="宋体" w:hAnsi="宋体" w:cs="宋体"/>
                <w:color w:val="auto"/>
                <w:highlight w:val="none"/>
              </w:rPr>
              <w:t>87.11504%</w:t>
            </w:r>
          </w:p>
        </w:tc>
        <w:tc>
          <w:tcPr>
            <w:tcW w:w="4047" w:type="dxa"/>
            <w:vAlign w:val="center"/>
          </w:tcPr>
          <w:p w14:paraId="2FE6011B">
            <w:pPr>
              <w:pStyle w:val="154"/>
              <w:spacing w:before="79" w:line="242" w:lineRule="auto"/>
              <w:ind w:left="108" w:right="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小规模供应商的含税价格小于一般纳税</w:t>
            </w:r>
            <w:r>
              <w:rPr>
                <w:rFonts w:hint="eastAsia" w:ascii="宋体" w:hAnsi="宋体" w:eastAsia="宋体" w:cs="宋体"/>
                <w:color w:val="auto"/>
                <w:spacing w:val="-9"/>
                <w:sz w:val="21"/>
                <w:szCs w:val="21"/>
                <w:highlight w:val="none"/>
              </w:rPr>
              <w:t xml:space="preserve">人含税价格的 </w:t>
            </w:r>
            <w:r>
              <w:rPr>
                <w:rFonts w:hint="eastAsia" w:ascii="宋体" w:hAnsi="宋体" w:eastAsia="宋体" w:cs="宋体"/>
                <w:color w:val="auto"/>
                <w:sz w:val="21"/>
                <w:szCs w:val="21"/>
                <w:highlight w:val="none"/>
                <w:lang w:val="en-US"/>
              </w:rPr>
              <w:t>87.11504</w:t>
            </w:r>
            <w:r>
              <w:rPr>
                <w:rFonts w:hint="eastAsia" w:ascii="宋体" w:hAnsi="宋体" w:eastAsia="宋体" w:cs="宋体"/>
                <w:color w:val="auto"/>
                <w:sz w:val="21"/>
                <w:szCs w:val="21"/>
                <w:highlight w:val="none"/>
              </w:rPr>
              <w:t>%</w:t>
            </w:r>
            <w:r>
              <w:rPr>
                <w:rFonts w:hint="eastAsia" w:ascii="宋体" w:hAnsi="宋体" w:eastAsia="宋体" w:cs="宋体"/>
                <w:color w:val="auto"/>
                <w:spacing w:val="-5"/>
                <w:sz w:val="21"/>
                <w:szCs w:val="21"/>
                <w:highlight w:val="none"/>
              </w:rPr>
              <w:t>时，可选择小规</w:t>
            </w:r>
            <w:r>
              <w:rPr>
                <w:rFonts w:hint="eastAsia" w:ascii="宋体" w:hAnsi="宋体" w:eastAsia="宋体" w:cs="宋体"/>
                <w:color w:val="auto"/>
                <w:sz w:val="21"/>
                <w:szCs w:val="21"/>
                <w:highlight w:val="none"/>
              </w:rPr>
              <w:t>模纳税人。否则，选一般纳税人。</w:t>
            </w:r>
          </w:p>
        </w:tc>
      </w:tr>
      <w:tr w14:paraId="07960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6FB5A6B">
            <w:pPr>
              <w:jc w:val="center"/>
              <w:rPr>
                <w:rFonts w:hint="eastAsia" w:ascii="宋体" w:hAnsi="宋体" w:cs="宋体"/>
                <w:color w:val="auto"/>
                <w:highlight w:val="none"/>
              </w:rPr>
            </w:pPr>
            <w:r>
              <w:rPr>
                <w:rFonts w:hint="eastAsia" w:ascii="宋体" w:hAnsi="宋体" w:cs="宋体"/>
                <w:color w:val="auto"/>
                <w:highlight w:val="none"/>
              </w:rPr>
              <w:t>9%</w:t>
            </w:r>
          </w:p>
        </w:tc>
        <w:tc>
          <w:tcPr>
            <w:tcW w:w="1560" w:type="dxa"/>
            <w:vAlign w:val="center"/>
          </w:tcPr>
          <w:p w14:paraId="6B49498B">
            <w:pPr>
              <w:jc w:val="center"/>
              <w:rPr>
                <w:rFonts w:hint="eastAsia" w:ascii="宋体" w:hAnsi="宋体" w:cs="宋体"/>
                <w:color w:val="auto"/>
                <w:highlight w:val="none"/>
              </w:rPr>
            </w:pPr>
            <w:r>
              <w:rPr>
                <w:rFonts w:hint="eastAsia" w:ascii="宋体" w:hAnsi="宋体" w:cs="宋体"/>
                <w:color w:val="auto"/>
                <w:highlight w:val="none"/>
              </w:rPr>
              <w:t>3%</w:t>
            </w:r>
          </w:p>
        </w:tc>
        <w:tc>
          <w:tcPr>
            <w:tcW w:w="1842" w:type="dxa"/>
            <w:vAlign w:val="center"/>
          </w:tcPr>
          <w:p w14:paraId="4BF7DB50">
            <w:pPr>
              <w:jc w:val="center"/>
              <w:rPr>
                <w:rFonts w:hint="eastAsia" w:ascii="宋体" w:hAnsi="宋体" w:cs="宋体"/>
                <w:color w:val="auto"/>
                <w:highlight w:val="none"/>
              </w:rPr>
            </w:pPr>
            <w:r>
              <w:rPr>
                <w:rFonts w:hint="eastAsia" w:ascii="宋体" w:hAnsi="宋体" w:cs="宋体"/>
                <w:color w:val="auto"/>
                <w:highlight w:val="none"/>
              </w:rPr>
              <w:t>93.81259%</w:t>
            </w:r>
          </w:p>
        </w:tc>
        <w:tc>
          <w:tcPr>
            <w:tcW w:w="4047" w:type="dxa"/>
            <w:vAlign w:val="center"/>
          </w:tcPr>
          <w:p w14:paraId="6C0E5438">
            <w:pPr>
              <w:pStyle w:val="154"/>
              <w:spacing w:before="79" w:line="242" w:lineRule="auto"/>
              <w:ind w:left="108" w:right="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小规模供应商的含税价格小于一般纳税</w:t>
            </w:r>
            <w:r>
              <w:rPr>
                <w:rFonts w:hint="eastAsia" w:ascii="宋体" w:hAnsi="宋体" w:eastAsia="宋体" w:cs="宋体"/>
                <w:color w:val="auto"/>
                <w:spacing w:val="-9"/>
                <w:sz w:val="21"/>
                <w:szCs w:val="21"/>
                <w:highlight w:val="none"/>
              </w:rPr>
              <w:t xml:space="preserve">人含税价格的 </w:t>
            </w:r>
            <w:r>
              <w:rPr>
                <w:rFonts w:hint="eastAsia" w:ascii="宋体" w:hAnsi="宋体" w:eastAsia="宋体" w:cs="宋体"/>
                <w:color w:val="auto"/>
                <w:sz w:val="21"/>
                <w:szCs w:val="21"/>
                <w:highlight w:val="none"/>
                <w:lang w:val="en-US"/>
              </w:rPr>
              <w:t>93.81259</w:t>
            </w:r>
            <w:r>
              <w:rPr>
                <w:rFonts w:hint="eastAsia" w:ascii="宋体" w:hAnsi="宋体" w:eastAsia="宋体" w:cs="宋体"/>
                <w:color w:val="auto"/>
                <w:sz w:val="21"/>
                <w:szCs w:val="21"/>
                <w:highlight w:val="none"/>
              </w:rPr>
              <w:t>%</w:t>
            </w:r>
            <w:r>
              <w:rPr>
                <w:rFonts w:hint="eastAsia" w:ascii="宋体" w:hAnsi="宋体" w:eastAsia="宋体" w:cs="宋体"/>
                <w:color w:val="auto"/>
                <w:spacing w:val="-5"/>
                <w:sz w:val="21"/>
                <w:szCs w:val="21"/>
                <w:highlight w:val="none"/>
              </w:rPr>
              <w:t>时，可选择小规</w:t>
            </w:r>
            <w:r>
              <w:rPr>
                <w:rFonts w:hint="eastAsia" w:ascii="宋体" w:hAnsi="宋体" w:eastAsia="宋体" w:cs="宋体"/>
                <w:color w:val="auto"/>
                <w:sz w:val="21"/>
                <w:szCs w:val="21"/>
                <w:highlight w:val="none"/>
              </w:rPr>
              <w:t>模纳税人。否则，选一般纳税人。</w:t>
            </w:r>
          </w:p>
        </w:tc>
      </w:tr>
      <w:tr w14:paraId="0CD3A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2DB5050">
            <w:pPr>
              <w:jc w:val="center"/>
              <w:rPr>
                <w:rFonts w:hint="eastAsia" w:ascii="宋体" w:hAnsi="宋体" w:cs="宋体"/>
                <w:color w:val="auto"/>
                <w:highlight w:val="none"/>
              </w:rPr>
            </w:pPr>
            <w:r>
              <w:rPr>
                <w:rFonts w:hint="eastAsia" w:ascii="宋体" w:hAnsi="宋体" w:cs="宋体"/>
                <w:color w:val="auto"/>
                <w:highlight w:val="none"/>
              </w:rPr>
              <w:t>9%</w:t>
            </w:r>
          </w:p>
        </w:tc>
        <w:tc>
          <w:tcPr>
            <w:tcW w:w="1560" w:type="dxa"/>
            <w:vAlign w:val="center"/>
          </w:tcPr>
          <w:p w14:paraId="6F917AA6">
            <w:pPr>
              <w:jc w:val="center"/>
              <w:rPr>
                <w:rFonts w:hint="eastAsia" w:ascii="宋体" w:hAnsi="宋体" w:cs="宋体"/>
                <w:color w:val="auto"/>
                <w:highlight w:val="none"/>
              </w:rPr>
            </w:pPr>
            <w:r>
              <w:rPr>
                <w:rFonts w:hint="eastAsia" w:ascii="宋体" w:hAnsi="宋体" w:cs="宋体"/>
                <w:color w:val="auto"/>
                <w:highlight w:val="none"/>
              </w:rPr>
              <w:t>1%</w:t>
            </w:r>
          </w:p>
        </w:tc>
        <w:tc>
          <w:tcPr>
            <w:tcW w:w="1842" w:type="dxa"/>
            <w:vAlign w:val="center"/>
          </w:tcPr>
          <w:p w14:paraId="33231B07">
            <w:pPr>
              <w:jc w:val="center"/>
              <w:rPr>
                <w:rFonts w:hint="eastAsia" w:ascii="宋体" w:hAnsi="宋体" w:cs="宋体"/>
                <w:color w:val="auto"/>
                <w:highlight w:val="none"/>
              </w:rPr>
            </w:pPr>
            <w:r>
              <w:rPr>
                <w:rFonts w:hint="eastAsia" w:ascii="宋体" w:hAnsi="宋体" w:cs="宋体"/>
                <w:color w:val="auto"/>
                <w:highlight w:val="none"/>
              </w:rPr>
              <w:t>91.76994%</w:t>
            </w:r>
          </w:p>
        </w:tc>
        <w:tc>
          <w:tcPr>
            <w:tcW w:w="4047" w:type="dxa"/>
            <w:vAlign w:val="center"/>
          </w:tcPr>
          <w:p w14:paraId="5D90C10F">
            <w:pPr>
              <w:pStyle w:val="154"/>
              <w:spacing w:before="79" w:line="242" w:lineRule="auto"/>
              <w:ind w:left="108" w:right="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小规模供应商的含税价格小于一般纳税</w:t>
            </w:r>
            <w:r>
              <w:rPr>
                <w:rFonts w:hint="eastAsia" w:ascii="宋体" w:hAnsi="宋体" w:eastAsia="宋体" w:cs="宋体"/>
                <w:color w:val="auto"/>
                <w:spacing w:val="-9"/>
                <w:sz w:val="21"/>
                <w:szCs w:val="21"/>
                <w:highlight w:val="none"/>
              </w:rPr>
              <w:t xml:space="preserve">人含税价格的 </w:t>
            </w:r>
            <w:r>
              <w:rPr>
                <w:rFonts w:hint="eastAsia" w:ascii="宋体" w:hAnsi="宋体" w:eastAsia="宋体" w:cs="宋体"/>
                <w:color w:val="auto"/>
                <w:sz w:val="21"/>
                <w:szCs w:val="21"/>
                <w:highlight w:val="none"/>
              </w:rPr>
              <w:t>88.9009%</w:t>
            </w:r>
            <w:r>
              <w:rPr>
                <w:rFonts w:hint="eastAsia" w:ascii="宋体" w:hAnsi="宋体" w:eastAsia="宋体" w:cs="宋体"/>
                <w:color w:val="auto"/>
                <w:spacing w:val="-5"/>
                <w:sz w:val="21"/>
                <w:szCs w:val="21"/>
                <w:highlight w:val="none"/>
              </w:rPr>
              <w:t>时，可选择小规</w:t>
            </w:r>
            <w:r>
              <w:rPr>
                <w:rFonts w:hint="eastAsia" w:ascii="宋体" w:hAnsi="宋体" w:eastAsia="宋体" w:cs="宋体"/>
                <w:color w:val="auto"/>
                <w:sz w:val="21"/>
                <w:szCs w:val="21"/>
                <w:highlight w:val="none"/>
              </w:rPr>
              <w:t>模纳税人。否则，选一般纳税人。</w:t>
            </w:r>
          </w:p>
        </w:tc>
      </w:tr>
      <w:tr w14:paraId="11D3C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2DF55EC4">
            <w:pPr>
              <w:jc w:val="center"/>
              <w:rPr>
                <w:rFonts w:hint="eastAsia" w:ascii="宋体" w:hAnsi="宋体" w:cs="宋体"/>
                <w:color w:val="auto"/>
                <w:highlight w:val="none"/>
              </w:rPr>
            </w:pPr>
            <w:r>
              <w:rPr>
                <w:rFonts w:hint="eastAsia" w:ascii="宋体" w:hAnsi="宋体" w:cs="宋体"/>
                <w:color w:val="auto"/>
                <w:highlight w:val="none"/>
              </w:rPr>
              <w:t>9%</w:t>
            </w:r>
          </w:p>
        </w:tc>
        <w:tc>
          <w:tcPr>
            <w:tcW w:w="1560" w:type="dxa"/>
            <w:vAlign w:val="center"/>
          </w:tcPr>
          <w:p w14:paraId="22F5FF84">
            <w:pPr>
              <w:jc w:val="center"/>
              <w:rPr>
                <w:rFonts w:hint="eastAsia" w:ascii="宋体" w:hAnsi="宋体" w:cs="宋体"/>
                <w:color w:val="auto"/>
                <w:highlight w:val="none"/>
              </w:rPr>
            </w:pPr>
            <w:r>
              <w:rPr>
                <w:rFonts w:hint="eastAsia" w:ascii="宋体" w:hAnsi="宋体" w:cs="宋体"/>
                <w:color w:val="auto"/>
                <w:highlight w:val="none"/>
              </w:rPr>
              <w:t>0%</w:t>
            </w:r>
          </w:p>
        </w:tc>
        <w:tc>
          <w:tcPr>
            <w:tcW w:w="1842" w:type="dxa"/>
            <w:vAlign w:val="center"/>
          </w:tcPr>
          <w:p w14:paraId="7FA272C8">
            <w:pPr>
              <w:jc w:val="center"/>
              <w:rPr>
                <w:rFonts w:hint="eastAsia" w:ascii="宋体" w:hAnsi="宋体" w:cs="宋体"/>
                <w:color w:val="auto"/>
                <w:highlight w:val="none"/>
              </w:rPr>
            </w:pPr>
            <w:r>
              <w:rPr>
                <w:rFonts w:hint="eastAsia" w:ascii="宋体" w:hAnsi="宋体" w:cs="宋体"/>
                <w:color w:val="auto"/>
                <w:highlight w:val="none"/>
              </w:rPr>
              <w:t>90.75229%</w:t>
            </w:r>
          </w:p>
        </w:tc>
        <w:tc>
          <w:tcPr>
            <w:tcW w:w="4047" w:type="dxa"/>
            <w:vAlign w:val="center"/>
          </w:tcPr>
          <w:p w14:paraId="7B7616DA">
            <w:pPr>
              <w:pStyle w:val="154"/>
              <w:spacing w:before="79" w:line="242" w:lineRule="auto"/>
              <w:ind w:left="108" w:right="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小规模供应商的含税价格小于一般纳税</w:t>
            </w:r>
            <w:r>
              <w:rPr>
                <w:rFonts w:hint="eastAsia" w:ascii="宋体" w:hAnsi="宋体" w:eastAsia="宋体" w:cs="宋体"/>
                <w:color w:val="auto"/>
                <w:spacing w:val="-9"/>
                <w:sz w:val="21"/>
                <w:szCs w:val="21"/>
                <w:highlight w:val="none"/>
              </w:rPr>
              <w:t xml:space="preserve">人含税价格的 </w:t>
            </w:r>
            <w:r>
              <w:rPr>
                <w:rFonts w:hint="eastAsia" w:ascii="宋体" w:hAnsi="宋体" w:eastAsia="宋体" w:cs="宋体"/>
                <w:color w:val="auto"/>
                <w:sz w:val="21"/>
                <w:szCs w:val="21"/>
                <w:highlight w:val="none"/>
                <w:lang w:val="en-US"/>
              </w:rPr>
              <w:t>90.75229</w:t>
            </w:r>
            <w:r>
              <w:rPr>
                <w:rFonts w:hint="eastAsia" w:ascii="宋体" w:hAnsi="宋体" w:eastAsia="宋体" w:cs="宋体"/>
                <w:color w:val="auto"/>
                <w:sz w:val="21"/>
                <w:szCs w:val="21"/>
                <w:highlight w:val="none"/>
              </w:rPr>
              <w:t>%</w:t>
            </w:r>
            <w:r>
              <w:rPr>
                <w:rFonts w:hint="eastAsia" w:ascii="宋体" w:hAnsi="宋体" w:eastAsia="宋体" w:cs="宋体"/>
                <w:color w:val="auto"/>
                <w:spacing w:val="-5"/>
                <w:sz w:val="21"/>
                <w:szCs w:val="21"/>
                <w:highlight w:val="none"/>
              </w:rPr>
              <w:t>时，可选择小规</w:t>
            </w:r>
            <w:r>
              <w:rPr>
                <w:rFonts w:hint="eastAsia" w:ascii="宋体" w:hAnsi="宋体" w:eastAsia="宋体" w:cs="宋体"/>
                <w:color w:val="auto"/>
                <w:sz w:val="21"/>
                <w:szCs w:val="21"/>
                <w:highlight w:val="none"/>
              </w:rPr>
              <w:t>模纳税人。否则，选一般纳税人。</w:t>
            </w:r>
          </w:p>
        </w:tc>
      </w:tr>
      <w:tr w14:paraId="7BF94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8F9F2C5">
            <w:pPr>
              <w:jc w:val="center"/>
              <w:rPr>
                <w:rFonts w:hint="eastAsia" w:ascii="宋体" w:hAnsi="宋体" w:cs="宋体"/>
                <w:color w:val="auto"/>
                <w:highlight w:val="none"/>
              </w:rPr>
            </w:pPr>
            <w:r>
              <w:rPr>
                <w:rFonts w:hint="eastAsia" w:ascii="宋体" w:hAnsi="宋体" w:cs="宋体"/>
                <w:color w:val="auto"/>
                <w:highlight w:val="none"/>
              </w:rPr>
              <w:t>6%</w:t>
            </w:r>
          </w:p>
        </w:tc>
        <w:tc>
          <w:tcPr>
            <w:tcW w:w="1560" w:type="dxa"/>
            <w:vAlign w:val="center"/>
          </w:tcPr>
          <w:p w14:paraId="6B9293C8">
            <w:pPr>
              <w:jc w:val="center"/>
              <w:rPr>
                <w:rFonts w:hint="eastAsia" w:ascii="宋体" w:hAnsi="宋体" w:cs="宋体"/>
                <w:color w:val="auto"/>
                <w:highlight w:val="none"/>
              </w:rPr>
            </w:pPr>
            <w:r>
              <w:rPr>
                <w:rFonts w:hint="eastAsia" w:ascii="宋体" w:hAnsi="宋体" w:cs="宋体"/>
                <w:color w:val="auto"/>
                <w:highlight w:val="none"/>
              </w:rPr>
              <w:t>3%</w:t>
            </w:r>
          </w:p>
        </w:tc>
        <w:tc>
          <w:tcPr>
            <w:tcW w:w="1842" w:type="dxa"/>
            <w:vAlign w:val="center"/>
          </w:tcPr>
          <w:p w14:paraId="6DB86CC5">
            <w:pPr>
              <w:jc w:val="center"/>
              <w:rPr>
                <w:rFonts w:hint="eastAsia" w:ascii="宋体" w:hAnsi="宋体" w:cs="宋体"/>
                <w:color w:val="auto"/>
                <w:highlight w:val="none"/>
              </w:rPr>
            </w:pPr>
            <w:r>
              <w:rPr>
                <w:rFonts w:hint="eastAsia" w:ascii="宋体" w:hAnsi="宋体" w:cs="宋体"/>
                <w:color w:val="auto"/>
                <w:highlight w:val="none"/>
              </w:rPr>
              <w:t>96.81874%</w:t>
            </w:r>
          </w:p>
        </w:tc>
        <w:tc>
          <w:tcPr>
            <w:tcW w:w="4047" w:type="dxa"/>
            <w:vAlign w:val="center"/>
          </w:tcPr>
          <w:p w14:paraId="4D9CEA75">
            <w:pPr>
              <w:pStyle w:val="154"/>
              <w:spacing w:before="79" w:line="244" w:lineRule="auto"/>
              <w:ind w:left="108" w:right="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小规模供应商的含税价格小于一般纳税</w:t>
            </w:r>
            <w:r>
              <w:rPr>
                <w:rFonts w:hint="eastAsia" w:ascii="宋体" w:hAnsi="宋体" w:eastAsia="宋体" w:cs="宋体"/>
                <w:color w:val="auto"/>
                <w:spacing w:val="-9"/>
                <w:sz w:val="21"/>
                <w:szCs w:val="21"/>
                <w:highlight w:val="none"/>
              </w:rPr>
              <w:t xml:space="preserve">人含税价格的 </w:t>
            </w:r>
            <w:r>
              <w:rPr>
                <w:rFonts w:hint="eastAsia" w:ascii="宋体" w:hAnsi="宋体" w:eastAsia="宋体" w:cs="宋体"/>
                <w:color w:val="auto"/>
                <w:sz w:val="21"/>
                <w:szCs w:val="21"/>
                <w:highlight w:val="none"/>
              </w:rPr>
              <w:t>96.8187</w:t>
            </w: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rPr>
              <w:t>%</w:t>
            </w:r>
            <w:r>
              <w:rPr>
                <w:rFonts w:hint="eastAsia" w:ascii="宋体" w:hAnsi="宋体" w:eastAsia="宋体" w:cs="宋体"/>
                <w:color w:val="auto"/>
                <w:spacing w:val="-5"/>
                <w:sz w:val="21"/>
                <w:szCs w:val="21"/>
                <w:highlight w:val="none"/>
              </w:rPr>
              <w:t>时，可选择小规</w:t>
            </w:r>
            <w:r>
              <w:rPr>
                <w:rFonts w:hint="eastAsia" w:ascii="宋体" w:hAnsi="宋体" w:eastAsia="宋体" w:cs="宋体"/>
                <w:color w:val="auto"/>
                <w:sz w:val="21"/>
                <w:szCs w:val="21"/>
                <w:highlight w:val="none"/>
              </w:rPr>
              <w:t>模纳税人。否则，选一般纳税人。</w:t>
            </w:r>
          </w:p>
        </w:tc>
      </w:tr>
      <w:tr w14:paraId="12873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6F83CDB3">
            <w:pPr>
              <w:jc w:val="center"/>
              <w:rPr>
                <w:rFonts w:hint="eastAsia" w:ascii="宋体" w:hAnsi="宋体" w:cs="宋体"/>
                <w:color w:val="auto"/>
                <w:highlight w:val="none"/>
              </w:rPr>
            </w:pPr>
            <w:r>
              <w:rPr>
                <w:rFonts w:hint="eastAsia" w:ascii="宋体" w:hAnsi="宋体" w:cs="宋体"/>
                <w:color w:val="auto"/>
                <w:highlight w:val="none"/>
              </w:rPr>
              <w:t>6%</w:t>
            </w:r>
          </w:p>
        </w:tc>
        <w:tc>
          <w:tcPr>
            <w:tcW w:w="1560" w:type="dxa"/>
            <w:vAlign w:val="center"/>
          </w:tcPr>
          <w:p w14:paraId="29A7344B">
            <w:pPr>
              <w:jc w:val="center"/>
              <w:rPr>
                <w:rFonts w:hint="eastAsia" w:ascii="宋体" w:hAnsi="宋体" w:cs="宋体"/>
                <w:color w:val="auto"/>
                <w:highlight w:val="none"/>
              </w:rPr>
            </w:pPr>
            <w:r>
              <w:rPr>
                <w:rFonts w:hint="eastAsia" w:ascii="宋体" w:hAnsi="宋体" w:cs="宋体"/>
                <w:color w:val="auto"/>
                <w:highlight w:val="none"/>
              </w:rPr>
              <w:t>1%</w:t>
            </w:r>
          </w:p>
        </w:tc>
        <w:tc>
          <w:tcPr>
            <w:tcW w:w="1842" w:type="dxa"/>
            <w:vAlign w:val="center"/>
          </w:tcPr>
          <w:p w14:paraId="2D936C0F">
            <w:pPr>
              <w:jc w:val="center"/>
              <w:rPr>
                <w:rFonts w:hint="eastAsia" w:ascii="宋体" w:hAnsi="宋体" w:cs="宋体"/>
                <w:color w:val="auto"/>
                <w:highlight w:val="none"/>
              </w:rPr>
            </w:pPr>
            <w:r>
              <w:rPr>
                <w:rFonts w:hint="eastAsia" w:ascii="宋体" w:hAnsi="宋体" w:cs="宋体"/>
                <w:color w:val="auto"/>
                <w:highlight w:val="none"/>
              </w:rPr>
              <w:t>94.71063%</w:t>
            </w:r>
          </w:p>
        </w:tc>
        <w:tc>
          <w:tcPr>
            <w:tcW w:w="4047" w:type="dxa"/>
            <w:vAlign w:val="center"/>
          </w:tcPr>
          <w:p w14:paraId="0048B117">
            <w:pPr>
              <w:pStyle w:val="154"/>
              <w:spacing w:before="79" w:line="244" w:lineRule="auto"/>
              <w:ind w:left="108" w:right="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小规模供应商的含税价格小于一般纳税</w:t>
            </w:r>
            <w:r>
              <w:rPr>
                <w:rFonts w:hint="eastAsia" w:ascii="宋体" w:hAnsi="宋体" w:eastAsia="宋体" w:cs="宋体"/>
                <w:color w:val="auto"/>
                <w:spacing w:val="-9"/>
                <w:sz w:val="21"/>
                <w:szCs w:val="21"/>
                <w:highlight w:val="none"/>
              </w:rPr>
              <w:t xml:space="preserve">人含税价格的 </w:t>
            </w:r>
            <w:r>
              <w:rPr>
                <w:rFonts w:hint="eastAsia" w:ascii="宋体" w:hAnsi="宋体" w:eastAsia="宋体" w:cs="宋体"/>
                <w:color w:val="auto"/>
                <w:sz w:val="21"/>
                <w:szCs w:val="21"/>
                <w:highlight w:val="none"/>
              </w:rPr>
              <w:t>93.6604%</w:t>
            </w:r>
            <w:r>
              <w:rPr>
                <w:rFonts w:hint="eastAsia" w:ascii="宋体" w:hAnsi="宋体" w:eastAsia="宋体" w:cs="宋体"/>
                <w:color w:val="auto"/>
                <w:spacing w:val="-5"/>
                <w:sz w:val="21"/>
                <w:szCs w:val="21"/>
                <w:highlight w:val="none"/>
              </w:rPr>
              <w:t>时，可选择小规</w:t>
            </w:r>
            <w:r>
              <w:rPr>
                <w:rFonts w:hint="eastAsia" w:ascii="宋体" w:hAnsi="宋体" w:eastAsia="宋体" w:cs="宋体"/>
                <w:color w:val="auto"/>
                <w:sz w:val="21"/>
                <w:szCs w:val="21"/>
                <w:highlight w:val="none"/>
              </w:rPr>
              <w:t>模纳税人。否则，选一般纳税人。</w:t>
            </w:r>
          </w:p>
        </w:tc>
      </w:tr>
      <w:tr w14:paraId="2CE5C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532756E3">
            <w:pPr>
              <w:jc w:val="center"/>
              <w:rPr>
                <w:rFonts w:hint="eastAsia" w:ascii="宋体" w:hAnsi="宋体" w:cs="宋体"/>
                <w:color w:val="auto"/>
                <w:highlight w:val="none"/>
              </w:rPr>
            </w:pPr>
            <w:r>
              <w:rPr>
                <w:rFonts w:hint="eastAsia" w:ascii="宋体" w:hAnsi="宋体" w:cs="宋体"/>
                <w:color w:val="auto"/>
                <w:highlight w:val="none"/>
              </w:rPr>
              <w:t>6%</w:t>
            </w:r>
          </w:p>
        </w:tc>
        <w:tc>
          <w:tcPr>
            <w:tcW w:w="1560" w:type="dxa"/>
            <w:vAlign w:val="center"/>
          </w:tcPr>
          <w:p w14:paraId="13315FE9">
            <w:pPr>
              <w:jc w:val="center"/>
              <w:rPr>
                <w:rFonts w:hint="eastAsia" w:ascii="宋体" w:hAnsi="宋体" w:cs="宋体"/>
                <w:color w:val="auto"/>
                <w:highlight w:val="none"/>
              </w:rPr>
            </w:pPr>
            <w:r>
              <w:rPr>
                <w:rFonts w:hint="eastAsia" w:ascii="宋体" w:hAnsi="宋体" w:cs="宋体"/>
                <w:color w:val="auto"/>
                <w:highlight w:val="none"/>
              </w:rPr>
              <w:t>0%</w:t>
            </w:r>
          </w:p>
        </w:tc>
        <w:tc>
          <w:tcPr>
            <w:tcW w:w="1842" w:type="dxa"/>
            <w:vAlign w:val="center"/>
          </w:tcPr>
          <w:p w14:paraId="5CA8F825">
            <w:pPr>
              <w:jc w:val="center"/>
              <w:rPr>
                <w:rFonts w:hint="eastAsia" w:ascii="宋体" w:hAnsi="宋体" w:cs="宋体"/>
                <w:color w:val="auto"/>
                <w:highlight w:val="none"/>
              </w:rPr>
            </w:pPr>
            <w:r>
              <w:rPr>
                <w:rFonts w:hint="eastAsia" w:ascii="宋体" w:hAnsi="宋体" w:cs="宋体"/>
                <w:color w:val="auto"/>
                <w:highlight w:val="none"/>
              </w:rPr>
              <w:t>93.66038%</w:t>
            </w:r>
          </w:p>
        </w:tc>
        <w:tc>
          <w:tcPr>
            <w:tcW w:w="4047" w:type="dxa"/>
            <w:vAlign w:val="center"/>
          </w:tcPr>
          <w:p w14:paraId="0B665660">
            <w:pPr>
              <w:pStyle w:val="154"/>
              <w:spacing w:before="79" w:line="244" w:lineRule="auto"/>
              <w:ind w:left="108" w:right="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小规模供应商的含税价格小于一般纳税</w:t>
            </w:r>
            <w:r>
              <w:rPr>
                <w:rFonts w:hint="eastAsia" w:ascii="宋体" w:hAnsi="宋体" w:eastAsia="宋体" w:cs="宋体"/>
                <w:color w:val="auto"/>
                <w:spacing w:val="-9"/>
                <w:sz w:val="21"/>
                <w:szCs w:val="21"/>
                <w:highlight w:val="none"/>
              </w:rPr>
              <w:t xml:space="preserve">人含税价格的 </w:t>
            </w:r>
            <w:r>
              <w:rPr>
                <w:rFonts w:hint="eastAsia" w:ascii="宋体" w:hAnsi="宋体" w:eastAsia="宋体" w:cs="宋体"/>
                <w:color w:val="auto"/>
                <w:sz w:val="21"/>
                <w:szCs w:val="21"/>
                <w:highlight w:val="none"/>
              </w:rPr>
              <w:t>93.660</w:t>
            </w:r>
            <w:r>
              <w:rPr>
                <w:rFonts w:hint="eastAsia" w:ascii="宋体" w:hAnsi="宋体" w:eastAsia="宋体" w:cs="宋体"/>
                <w:color w:val="auto"/>
                <w:sz w:val="21"/>
                <w:szCs w:val="21"/>
                <w:highlight w:val="none"/>
                <w:lang w:val="en-US"/>
              </w:rPr>
              <w:t>38</w:t>
            </w:r>
            <w:r>
              <w:rPr>
                <w:rFonts w:hint="eastAsia" w:ascii="宋体" w:hAnsi="宋体" w:eastAsia="宋体" w:cs="宋体"/>
                <w:color w:val="auto"/>
                <w:sz w:val="21"/>
                <w:szCs w:val="21"/>
                <w:highlight w:val="none"/>
              </w:rPr>
              <w:t>%</w:t>
            </w:r>
            <w:r>
              <w:rPr>
                <w:rFonts w:hint="eastAsia" w:ascii="宋体" w:hAnsi="宋体" w:eastAsia="宋体" w:cs="宋体"/>
                <w:color w:val="auto"/>
                <w:spacing w:val="-5"/>
                <w:sz w:val="21"/>
                <w:szCs w:val="21"/>
                <w:highlight w:val="none"/>
              </w:rPr>
              <w:t>时，可选择小规</w:t>
            </w:r>
            <w:r>
              <w:rPr>
                <w:rFonts w:hint="eastAsia" w:ascii="宋体" w:hAnsi="宋体" w:eastAsia="宋体" w:cs="宋体"/>
                <w:color w:val="auto"/>
                <w:sz w:val="21"/>
                <w:szCs w:val="21"/>
                <w:highlight w:val="none"/>
              </w:rPr>
              <w:t>模纳税人。否则，选一般纳税人。</w:t>
            </w:r>
          </w:p>
        </w:tc>
      </w:tr>
      <w:tr w14:paraId="1FD4C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1590" w:type="dxa"/>
            <w:vAlign w:val="center"/>
          </w:tcPr>
          <w:p w14:paraId="7F6EDD89">
            <w:pPr>
              <w:jc w:val="center"/>
              <w:rPr>
                <w:rFonts w:hint="eastAsia" w:ascii="宋体" w:hAnsi="宋体" w:cs="宋体"/>
                <w:color w:val="auto"/>
                <w:highlight w:val="none"/>
              </w:rPr>
            </w:pPr>
            <w:r>
              <w:rPr>
                <w:rFonts w:hint="eastAsia" w:ascii="宋体" w:hAnsi="宋体" w:cs="宋体"/>
                <w:color w:val="auto"/>
                <w:highlight w:val="none"/>
              </w:rPr>
              <w:t>3%</w:t>
            </w:r>
          </w:p>
        </w:tc>
        <w:tc>
          <w:tcPr>
            <w:tcW w:w="1560" w:type="dxa"/>
            <w:vAlign w:val="center"/>
          </w:tcPr>
          <w:p w14:paraId="47EE41DB">
            <w:pPr>
              <w:jc w:val="center"/>
              <w:rPr>
                <w:rFonts w:hint="eastAsia" w:ascii="宋体" w:hAnsi="宋体" w:cs="宋体"/>
                <w:color w:val="auto"/>
                <w:highlight w:val="none"/>
              </w:rPr>
            </w:pPr>
            <w:r>
              <w:rPr>
                <w:rFonts w:hint="eastAsia" w:ascii="宋体" w:hAnsi="宋体" w:cs="宋体"/>
                <w:color w:val="auto"/>
                <w:highlight w:val="none"/>
              </w:rPr>
              <w:t>0%</w:t>
            </w:r>
          </w:p>
        </w:tc>
        <w:tc>
          <w:tcPr>
            <w:tcW w:w="1842" w:type="dxa"/>
            <w:vAlign w:val="center"/>
          </w:tcPr>
          <w:p w14:paraId="02773A6B">
            <w:pPr>
              <w:jc w:val="center"/>
              <w:rPr>
                <w:rFonts w:hint="eastAsia" w:ascii="宋体" w:hAnsi="宋体" w:cs="宋体"/>
                <w:color w:val="auto"/>
                <w:highlight w:val="none"/>
              </w:rPr>
            </w:pPr>
            <w:r>
              <w:rPr>
                <w:rFonts w:hint="eastAsia" w:ascii="宋体" w:hAnsi="宋体" w:cs="宋体"/>
                <w:color w:val="auto"/>
                <w:highlight w:val="none"/>
              </w:rPr>
              <w:t>96.7379%</w:t>
            </w:r>
          </w:p>
        </w:tc>
        <w:tc>
          <w:tcPr>
            <w:tcW w:w="4047" w:type="dxa"/>
            <w:vAlign w:val="center"/>
          </w:tcPr>
          <w:p w14:paraId="2DF364EA">
            <w:pPr>
              <w:pStyle w:val="154"/>
              <w:spacing w:before="79" w:line="244" w:lineRule="auto"/>
              <w:ind w:left="108" w:right="95"/>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小规模供应商的含税价格小于一般纳税</w:t>
            </w:r>
            <w:r>
              <w:rPr>
                <w:rFonts w:hint="eastAsia" w:ascii="宋体" w:hAnsi="宋体" w:eastAsia="宋体" w:cs="宋体"/>
                <w:color w:val="auto"/>
                <w:spacing w:val="-9"/>
                <w:sz w:val="21"/>
                <w:szCs w:val="21"/>
                <w:highlight w:val="none"/>
              </w:rPr>
              <w:t xml:space="preserve">人含税价格的 </w:t>
            </w:r>
            <w:r>
              <w:rPr>
                <w:rFonts w:hint="eastAsia" w:ascii="宋体" w:hAnsi="宋体" w:eastAsia="宋体" w:cs="宋体"/>
                <w:color w:val="auto"/>
                <w:sz w:val="21"/>
                <w:szCs w:val="21"/>
                <w:highlight w:val="none"/>
              </w:rPr>
              <w:t>96.7379%</w:t>
            </w:r>
            <w:r>
              <w:rPr>
                <w:rFonts w:hint="eastAsia" w:ascii="宋体" w:hAnsi="宋体" w:eastAsia="宋体" w:cs="宋体"/>
                <w:color w:val="auto"/>
                <w:spacing w:val="-5"/>
                <w:sz w:val="21"/>
                <w:szCs w:val="21"/>
                <w:highlight w:val="none"/>
              </w:rPr>
              <w:t>时，可选择小规</w:t>
            </w:r>
            <w:r>
              <w:rPr>
                <w:rFonts w:hint="eastAsia" w:ascii="宋体" w:hAnsi="宋体" w:eastAsia="宋体" w:cs="宋体"/>
                <w:color w:val="auto"/>
                <w:sz w:val="21"/>
                <w:szCs w:val="21"/>
                <w:highlight w:val="none"/>
              </w:rPr>
              <w:t>模纳税人。否则，选一般纳税人。</w:t>
            </w:r>
          </w:p>
        </w:tc>
      </w:tr>
    </w:tbl>
    <w:p w14:paraId="4F7AC52A">
      <w:pPr>
        <w:rPr>
          <w:rFonts w:hint="eastAsia" w:ascii="宋体" w:hAnsi="宋体" w:cs="宋体"/>
          <w:color w:val="auto"/>
          <w:highlight w:val="none"/>
        </w:rPr>
      </w:pPr>
      <w:r>
        <w:rPr>
          <w:rFonts w:hint="eastAsia" w:ascii="宋体" w:hAnsi="宋体" w:cs="宋体"/>
          <w:color w:val="auto"/>
          <w:sz w:val="24"/>
          <w:highlight w:val="none"/>
        </w:rPr>
        <w:t>备注：取得增值税普通发票的，抵扣率在上表中视为 0%。</w:t>
      </w:r>
    </w:p>
    <w:p w14:paraId="6F5B5C99">
      <w:pPr>
        <w:rPr>
          <w:rFonts w:hint="eastAsia" w:ascii="宋体" w:hAnsi="宋体" w:cs="宋体"/>
          <w:color w:val="auto"/>
          <w:highlight w:val="none"/>
        </w:rPr>
      </w:pPr>
    </w:p>
    <w:sectPr>
      <w:headerReference r:id="rId9" w:type="default"/>
      <w:footerReference r:id="rId10" w:type="default"/>
      <w:pgSz w:w="11906" w:h="16838"/>
      <w:pgMar w:top="1134" w:right="1134" w:bottom="1134" w:left="1134" w:header="851" w:footer="5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Times New Roman Bold">
    <w:altName w:val="Arial"/>
    <w:panose1 w:val="02020803070505020304"/>
    <w:charset w:val="00"/>
    <w:family w:val="auto"/>
    <w:pitch w:val="default"/>
    <w:sig w:usb0="00000000" w:usb1="00000000" w:usb2="00520020" w:usb3="006D006F" w:csb0="006E0061" w:csb1="00420020"/>
  </w:font>
  <w:font w:name="华文楷体">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文鼎CS长美黑">
    <w:altName w:val="宋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087" w:usb1="28AF4000" w:usb2="00000016" w:usb3="00000000" w:csb0="00100009"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58AFC">
    <w:pPr>
      <w:pStyle w:val="3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02AF9">
    <w:pPr>
      <w:pStyle w:val="54"/>
      <w:tabs>
        <w:tab w:val="center" w:pos="4153"/>
        <w:tab w:val="right" w:pos="8306"/>
      </w:tabs>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DD267">
                          <w:pPr>
                            <w:pStyle w:val="54"/>
                            <w:tabs>
                              <w:tab w:val="center" w:pos="4153"/>
                              <w:tab w:val="right" w:pos="8306"/>
                            </w:tabs>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AADD267">
                    <w:pPr>
                      <w:pStyle w:val="54"/>
                      <w:tabs>
                        <w:tab w:val="center" w:pos="4153"/>
                        <w:tab w:val="right" w:pos="8306"/>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7397D">
    <w:pPr>
      <w:pStyle w:val="5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E4C17">
                          <w:pPr>
                            <w:pStyle w:val="5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58FE4C17">
                    <w:pPr>
                      <w:pStyle w:val="5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pPr>
      <w:r>
        <w:separator/>
      </w:r>
    </w:p>
  </w:footnote>
  <w:footnote w:type="continuationSeparator" w:id="3">
    <w:p>
      <w:pPr>
        <w:spacing w:line="240" w:lineRule="auto"/>
      </w:pPr>
      <w:r>
        <w:continuationSeparator/>
      </w:r>
    </w:p>
  </w:footnote>
  <w:footnote w:id="0">
    <w:p w14:paraId="244C58CC">
      <w:pPr>
        <w:pStyle w:val="66"/>
        <w:tabs>
          <w:tab w:val="left" w:pos="3780"/>
          <w:tab w:val="clear" w:pos="0"/>
        </w:tabs>
        <w:spacing w:line="340" w:lineRule="atLeast"/>
        <w:ind w:firstLine="0"/>
        <w:jc w:val="both"/>
      </w:pPr>
      <w:r>
        <w:rPr>
          <w:rStyle w:val="143"/>
        </w:rPr>
        <w:footnoteRef/>
      </w:r>
      <w:r>
        <w:rPr>
          <w:rFonts w:hint="eastAsia"/>
        </w:rPr>
        <w:t>本条内容可修改为：“</w:t>
      </w:r>
      <w:r>
        <w:t>本</w:t>
      </w:r>
      <w:r>
        <w:rPr>
          <w:rFonts w:hint="eastAsia"/>
        </w:rPr>
        <w:t>担保</w:t>
      </w:r>
      <w:r>
        <w:t>自</w:t>
      </w:r>
      <w:r>
        <w:rPr>
          <w:rFonts w:hint="eastAsia"/>
          <w:u w:val="single"/>
        </w:rPr>
        <w:t xml:space="preserve">         </w:t>
      </w:r>
      <w:r>
        <w:t>（生效日期）之日起生效，至</w:t>
      </w:r>
      <w:r>
        <w:rPr>
          <w:rFonts w:hint="eastAsia"/>
          <w:u w:val="single"/>
        </w:rPr>
        <w:t xml:space="preserve">         </w:t>
      </w:r>
      <w:r>
        <w:t>（失效日期）之日失效</w:t>
      </w:r>
      <w:r>
        <w:rPr>
          <w:rFonts w:hint="eastAsia"/>
        </w:rPr>
        <w:t>。”</w:t>
      </w:r>
      <w:r>
        <w:rPr>
          <w:rFonts w:hint="eastAsia"/>
          <w:sz w:val="21"/>
          <w:szCs w:val="21"/>
        </w:rPr>
        <w:t xml:space="preserve"> </w:t>
      </w:r>
      <w:r>
        <w:rPr>
          <w:rFonts w:hint="eastAsia"/>
        </w:rPr>
        <w:t>如委托人接受履约</w:t>
      </w:r>
      <w:r>
        <w:t>保函</w:t>
      </w:r>
      <w:r>
        <w:rPr>
          <w:rFonts w:hint="eastAsia"/>
        </w:rPr>
        <w:t>采用固定有效</w:t>
      </w:r>
      <w:r>
        <w:t>期，</w:t>
      </w:r>
      <w:r>
        <w:rPr>
          <w:rFonts w:hint="eastAsia"/>
        </w:rPr>
        <w:t>在项目</w:t>
      </w:r>
      <w:r>
        <w:t>专用合同条款中</w:t>
      </w:r>
      <w:r>
        <w:rPr>
          <w:rFonts w:hint="eastAsia"/>
        </w:rPr>
        <w:t>应</w:t>
      </w:r>
      <w:r>
        <w:t>增加</w:t>
      </w:r>
      <w:r>
        <w:rPr>
          <w:rFonts w:hint="eastAsia"/>
        </w:rPr>
        <w:t>保证咨询人在履约</w:t>
      </w:r>
      <w:r>
        <w:t>保函失效</w:t>
      </w:r>
      <w:r>
        <w:rPr>
          <w:rFonts w:hint="eastAsia"/>
        </w:rPr>
        <w:t>日</w:t>
      </w:r>
      <w:r>
        <w:t>前向委托人出具后续阶段履约保函</w:t>
      </w:r>
      <w:r>
        <w:rPr>
          <w:rFonts w:hint="eastAsia"/>
        </w:rPr>
        <w:t>的约束性</w:t>
      </w:r>
      <w:r>
        <w:t>条款，直至委托人签发交工验收证书且</w:t>
      </w:r>
      <w:r>
        <w:rPr>
          <w:rFonts w:hint="eastAsia"/>
        </w:rPr>
        <w:t>咨询</w:t>
      </w:r>
      <w:r>
        <w:t>人按照合同约定提交缺陷责任期保函之日</w:t>
      </w:r>
      <w:r>
        <w:rPr>
          <w:rFonts w:hint="eastAsia"/>
        </w:rPr>
        <w:t>为止</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0F33E">
    <w:pPr>
      <w:pStyle w:val="3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3451225</wp:posOffset>
              </wp:positionH>
              <wp:positionV relativeFrom="page">
                <wp:posOffset>560070</wp:posOffset>
              </wp:positionV>
              <wp:extent cx="3100070" cy="132715"/>
              <wp:effectExtent l="0" t="0" r="0" b="0"/>
              <wp:wrapNone/>
              <wp:docPr id="5" name="文本框 14"/>
              <wp:cNvGraphicFramePr/>
              <a:graphic xmlns:a="http://schemas.openxmlformats.org/drawingml/2006/main">
                <a:graphicData uri="http://schemas.microsoft.com/office/word/2010/wordprocessingShape">
                  <wps:wsp>
                    <wps:cNvSpPr txBox="1"/>
                    <wps:spPr>
                      <a:xfrm>
                        <a:off x="0" y="0"/>
                        <a:ext cx="3100070" cy="132715"/>
                      </a:xfrm>
                      <a:prstGeom prst="rect">
                        <a:avLst/>
                      </a:prstGeom>
                      <a:noFill/>
                      <a:ln>
                        <a:noFill/>
                      </a:ln>
                    </wps:spPr>
                    <wps:txbx>
                      <w:txbxContent>
                        <w:p w14:paraId="78536168">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wps:txbx>
                    <wps:bodyPr lIns="0" tIns="0" rIns="0" bIns="0" upright="1"/>
                  </wps:wsp>
                </a:graphicData>
              </a:graphic>
            </wp:anchor>
          </w:drawing>
        </mc:Choice>
        <mc:Fallback>
          <w:pict>
            <v:shape id="文本框 14" o:spid="_x0000_s1026" o:spt="202" type="#_x0000_t202" style="position:absolute;left:0pt;margin-left:271.75pt;margin-top:44.1pt;height:10.45pt;width:244.1pt;mso-position-horizontal-relative:page;mso-position-vertical-relative:page;z-index:-251657216;mso-width-relative:page;mso-height-relative:page;" filled="f" stroked="f" coordsize="21600,21600" o:gfxdata="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jPNtdoAAAALAQAADwAAAAAAAAABACAAAAAiAAAAZHJzL2Rvd25yZXYueG1sUEsB&#10;AhQAFAAAAAgAh07iQP+1s3e6AQAAcwMAAA4AAAAAAAAAAQAgAAAAKQEAAGRycy9lMm9Eb2MueG1s&#10;UEsFBgAAAAAGAAYAWQEAAFUFAAAAAA==&#10;">
              <v:fill on="f" focussize="0,0"/>
              <v:stroke on="f"/>
              <v:imagedata o:title=""/>
              <o:lock v:ext="edit" aspectratio="f"/>
              <v:textbox inset="0mm,0mm,0mm,0mm">
                <w:txbxContent>
                  <w:p w14:paraId="78536168">
                    <w:pPr>
                      <w:spacing w:line="209" w:lineRule="exact"/>
                      <w:rPr>
                        <w:rFonts w:ascii="黑体" w:eastAsia="黑体"/>
                      </w:rPr>
                    </w:pPr>
                    <w:r>
                      <w:rPr>
                        <w:rFonts w:hint="eastAsia" w:ascii="黑体" w:eastAsia="黑体"/>
                      </w:rPr>
                      <w:t>湖南省公路工程标准服务采购文件（2019</w:t>
                    </w:r>
                    <w:r>
                      <w:rPr>
                        <w:rFonts w:hint="eastAsia" w:ascii="黑体" w:eastAsia="黑体"/>
                        <w:spacing w:val="-22"/>
                      </w:rPr>
                      <w:t xml:space="preserve"> 年版</w:t>
                    </w:r>
                    <w:r>
                      <w:rPr>
                        <w:rFonts w:hint="eastAsia" w:ascii="黑体" w:eastAsia="黑体"/>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104775</wp:posOffset>
              </wp:positionH>
              <wp:positionV relativeFrom="page">
                <wp:posOffset>-114300</wp:posOffset>
              </wp:positionV>
              <wp:extent cx="7560310" cy="817880"/>
              <wp:effectExtent l="0" t="0" r="2540" b="1270"/>
              <wp:wrapNone/>
              <wp:docPr id="14" name="矩形 15"/>
              <wp:cNvGraphicFramePr/>
              <a:graphic xmlns:a="http://schemas.openxmlformats.org/drawingml/2006/main">
                <a:graphicData uri="http://schemas.microsoft.com/office/word/2010/wordprocessingShape">
                  <wps:wsp>
                    <wps:cNvSpPr/>
                    <wps:spPr>
                      <a:xfrm>
                        <a:off x="0" y="0"/>
                        <a:ext cx="7560310" cy="817880"/>
                      </a:xfrm>
                      <a:prstGeom prst="rect">
                        <a:avLst/>
                      </a:prstGeom>
                      <a:solidFill>
                        <a:srgbClr val="FFFFFF"/>
                      </a:solidFill>
                      <a:ln>
                        <a:noFill/>
                      </a:ln>
                    </wps:spPr>
                    <wps:bodyPr upright="1"/>
                  </wps:wsp>
                </a:graphicData>
              </a:graphic>
            </wp:anchor>
          </w:drawing>
        </mc:Choice>
        <mc:Fallback>
          <w:pict>
            <v:rect id="矩形 15" o:spid="_x0000_s1026" o:spt="1" style="position:absolute;left:0pt;margin-left:8.25pt;margin-top:-9pt;height:64.4pt;width:595.3pt;mso-position-horizontal-relative:page;mso-position-vertical-relative:page;z-index:-251656192;mso-width-relative:page;mso-height-relative:page;" fillcolor="#FFFFFF" filled="t" stroked="f" coordsize="21600,21600" o:gfxdata="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4hCN39cAAAALAQAADwAAAAAAAAABACAAAAAiAAAAZHJzL2Rvd25yZXYueG1sUEsBAhQAFAAAAAgA&#10;h07iQPM5edK0AQAAYQMAAA4AAAAAAAAAAQAgAAAAJgEAAGRycy9lMm9Eb2MueG1sUEsFBgAAAAAG&#10;AAYAWQEAAEwFAAAAAA==&#10;">
              <v:fill on="t" focussize="0,0"/>
              <v:stroke on="f"/>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AB89">
    <w:pPr>
      <w:pStyle w:val="5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576BC">
    <w:pPr>
      <w:pStyle w:val="56"/>
      <w:rPr>
        <w:b/>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D296B"/>
    <w:multiLevelType w:val="singleLevel"/>
    <w:tmpl w:val="944D296B"/>
    <w:lvl w:ilvl="0" w:tentative="0">
      <w:start w:val="1"/>
      <w:numFmt w:val="decimal"/>
      <w:suff w:val="space"/>
      <w:lvlText w:val="%1、"/>
      <w:lvlJc w:val="left"/>
    </w:lvl>
  </w:abstractNum>
  <w:abstractNum w:abstractNumId="1">
    <w:nsid w:val="A10D6C20"/>
    <w:multiLevelType w:val="multilevel"/>
    <w:tmpl w:val="A10D6C2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CC61DCFB"/>
    <w:multiLevelType w:val="singleLevel"/>
    <w:tmpl w:val="CC61DCFB"/>
    <w:lvl w:ilvl="0" w:tentative="0">
      <w:start w:val="1"/>
      <w:numFmt w:val="decimal"/>
      <w:lvlText w:val="%1."/>
      <w:lvlJc w:val="left"/>
      <w:pPr>
        <w:tabs>
          <w:tab w:val="left" w:pos="312"/>
        </w:tabs>
        <w:ind w:left="105" w:leftChars="0" w:firstLine="0" w:firstLineChars="0"/>
      </w:pPr>
    </w:lvl>
  </w:abstractNum>
  <w:abstractNum w:abstractNumId="3">
    <w:nsid w:val="D4EDC2D2"/>
    <w:multiLevelType w:val="singleLevel"/>
    <w:tmpl w:val="D4EDC2D2"/>
    <w:lvl w:ilvl="0" w:tentative="0">
      <w:start w:val="2"/>
      <w:numFmt w:val="decimal"/>
      <w:suff w:val="nothing"/>
      <w:lvlText w:val="%1、"/>
      <w:lvlJc w:val="left"/>
      <w:rPr>
        <w:rFonts w:hint="default"/>
        <w:color w:val="auto"/>
      </w:rPr>
    </w:lvl>
  </w:abstractNum>
  <w:abstractNum w:abstractNumId="4">
    <w:nsid w:val="DBA4F26E"/>
    <w:multiLevelType w:val="singleLevel"/>
    <w:tmpl w:val="DBA4F26E"/>
    <w:lvl w:ilvl="0" w:tentative="0">
      <w:start w:val="1"/>
      <w:numFmt w:val="decimal"/>
      <w:suff w:val="nothing"/>
      <w:lvlText w:val="（%1）"/>
      <w:lvlJc w:val="left"/>
    </w:lvl>
  </w:abstractNum>
  <w:abstractNum w:abstractNumId="5">
    <w:nsid w:val="DD469516"/>
    <w:multiLevelType w:val="singleLevel"/>
    <w:tmpl w:val="DD469516"/>
    <w:lvl w:ilvl="0" w:tentative="0">
      <w:start w:val="1"/>
      <w:numFmt w:val="decimal"/>
      <w:lvlText w:val="%1."/>
      <w:lvlJc w:val="left"/>
      <w:pPr>
        <w:tabs>
          <w:tab w:val="left" w:pos="312"/>
        </w:tabs>
      </w:pPr>
    </w:lvl>
  </w:abstractNum>
  <w:abstractNum w:abstractNumId="6">
    <w:nsid w:val="03ECED67"/>
    <w:multiLevelType w:val="singleLevel"/>
    <w:tmpl w:val="03ECED67"/>
    <w:lvl w:ilvl="0" w:tentative="0">
      <w:start w:val="4"/>
      <w:numFmt w:val="decimal"/>
      <w:lvlText w:val="%1."/>
      <w:lvlJc w:val="left"/>
      <w:pPr>
        <w:tabs>
          <w:tab w:val="left" w:pos="312"/>
        </w:tabs>
      </w:pPr>
    </w:lvl>
  </w:abstractNum>
  <w:abstractNum w:abstractNumId="7">
    <w:nsid w:val="13D578A4"/>
    <w:multiLevelType w:val="multilevel"/>
    <w:tmpl w:val="13D578A4"/>
    <w:lvl w:ilvl="0" w:tentative="0">
      <w:start w:val="3"/>
      <w:numFmt w:val="decimal"/>
      <w:pStyle w:val="349"/>
      <w:lvlText w:val="%1、"/>
      <w:lvlJc w:val="left"/>
      <w:pPr>
        <w:ind w:left="360" w:hanging="360"/>
      </w:pPr>
      <w:rPr>
        <w:rFonts w:hint="default"/>
      </w:rPr>
    </w:lvl>
    <w:lvl w:ilvl="1" w:tentative="0">
      <w:start w:val="1"/>
      <w:numFmt w:val="lowerLetter"/>
      <w:pStyle w:val="328"/>
      <w:lvlText w:val="%2)"/>
      <w:lvlJc w:val="left"/>
      <w:pPr>
        <w:ind w:left="840" w:hanging="420"/>
      </w:pPr>
    </w:lvl>
    <w:lvl w:ilvl="2" w:tentative="0">
      <w:start w:val="1"/>
      <w:numFmt w:val="lowerRoman"/>
      <w:pStyle w:val="329"/>
      <w:lvlText w:val="%3."/>
      <w:lvlJc w:val="right"/>
      <w:pPr>
        <w:ind w:left="1260" w:hanging="420"/>
      </w:pPr>
    </w:lvl>
    <w:lvl w:ilvl="3" w:tentative="0">
      <w:start w:val="1"/>
      <w:numFmt w:val="decimal"/>
      <w:pStyle w:val="522"/>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5D21BB"/>
    <w:multiLevelType w:val="multilevel"/>
    <w:tmpl w:val="215D21BB"/>
    <w:lvl w:ilvl="0" w:tentative="0">
      <w:start w:val="1"/>
      <w:numFmt w:val="japaneseCounting"/>
      <w:pStyle w:val="220"/>
      <w:lvlText w:val="%1、"/>
      <w:lvlJc w:val="left"/>
      <w:pPr>
        <w:ind w:left="657" w:hanging="450"/>
      </w:pPr>
      <w:rPr>
        <w:rFonts w:hint="default"/>
      </w:rPr>
    </w:lvl>
    <w:lvl w:ilvl="1" w:tentative="0">
      <w:start w:val="1"/>
      <w:numFmt w:val="lowerLetter"/>
      <w:lvlText w:val="%2)"/>
      <w:lvlJc w:val="left"/>
      <w:pPr>
        <w:ind w:left="1047" w:hanging="420"/>
      </w:pPr>
    </w:lvl>
    <w:lvl w:ilvl="2" w:tentative="0">
      <w:start w:val="1"/>
      <w:numFmt w:val="lowerRoman"/>
      <w:lvlText w:val="%3."/>
      <w:lvlJc w:val="right"/>
      <w:pPr>
        <w:ind w:left="1467" w:hanging="420"/>
      </w:pPr>
    </w:lvl>
    <w:lvl w:ilvl="3" w:tentative="0">
      <w:start w:val="1"/>
      <w:numFmt w:val="decimal"/>
      <w:lvlText w:val="%4."/>
      <w:lvlJc w:val="left"/>
      <w:pPr>
        <w:ind w:left="1887" w:hanging="420"/>
      </w:pPr>
    </w:lvl>
    <w:lvl w:ilvl="4" w:tentative="0">
      <w:start w:val="1"/>
      <w:numFmt w:val="lowerLetter"/>
      <w:lvlText w:val="%5)"/>
      <w:lvlJc w:val="left"/>
      <w:pPr>
        <w:ind w:left="2307" w:hanging="420"/>
      </w:pPr>
    </w:lvl>
    <w:lvl w:ilvl="5" w:tentative="0">
      <w:start w:val="1"/>
      <w:numFmt w:val="lowerRoman"/>
      <w:lvlText w:val="%6."/>
      <w:lvlJc w:val="right"/>
      <w:pPr>
        <w:ind w:left="2727" w:hanging="420"/>
      </w:pPr>
    </w:lvl>
    <w:lvl w:ilvl="6" w:tentative="0">
      <w:start w:val="1"/>
      <w:numFmt w:val="decimal"/>
      <w:lvlText w:val="%7."/>
      <w:lvlJc w:val="left"/>
      <w:pPr>
        <w:ind w:left="3147" w:hanging="420"/>
      </w:pPr>
    </w:lvl>
    <w:lvl w:ilvl="7" w:tentative="0">
      <w:start w:val="1"/>
      <w:numFmt w:val="lowerLetter"/>
      <w:lvlText w:val="%8)"/>
      <w:lvlJc w:val="left"/>
      <w:pPr>
        <w:ind w:left="3567" w:hanging="420"/>
      </w:pPr>
    </w:lvl>
    <w:lvl w:ilvl="8" w:tentative="0">
      <w:start w:val="1"/>
      <w:numFmt w:val="lowerRoman"/>
      <w:lvlText w:val="%9."/>
      <w:lvlJc w:val="right"/>
      <w:pPr>
        <w:ind w:left="3987" w:hanging="420"/>
      </w:pPr>
    </w:lvl>
  </w:abstractNum>
  <w:abstractNum w:abstractNumId="9">
    <w:nsid w:val="26304756"/>
    <w:multiLevelType w:val="multilevel"/>
    <w:tmpl w:val="26304756"/>
    <w:lvl w:ilvl="0" w:tentative="0">
      <w:start w:val="1"/>
      <w:numFmt w:val="decimal"/>
      <w:pStyle w:val="64"/>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9D7C12"/>
    <w:multiLevelType w:val="singleLevel"/>
    <w:tmpl w:val="2F9D7C12"/>
    <w:lvl w:ilvl="0" w:tentative="0">
      <w:start w:val="1"/>
      <w:numFmt w:val="decimal"/>
      <w:suff w:val="nothing"/>
      <w:lvlText w:val="（%1）"/>
      <w:lvlJc w:val="left"/>
      <w:pPr>
        <w:ind w:left="-60"/>
      </w:pPr>
    </w:lvl>
  </w:abstractNum>
  <w:abstractNum w:abstractNumId="11">
    <w:nsid w:val="3601A173"/>
    <w:multiLevelType w:val="singleLevel"/>
    <w:tmpl w:val="3601A173"/>
    <w:lvl w:ilvl="0" w:tentative="0">
      <w:start w:val="1"/>
      <w:numFmt w:val="chineseCounting"/>
      <w:suff w:val="nothing"/>
      <w:lvlText w:val="%1、"/>
      <w:lvlJc w:val="left"/>
      <w:rPr>
        <w:rFonts w:hint="eastAsia"/>
      </w:rPr>
    </w:lvl>
  </w:abstractNum>
  <w:abstractNum w:abstractNumId="12">
    <w:nsid w:val="4851542D"/>
    <w:multiLevelType w:val="singleLevel"/>
    <w:tmpl w:val="4851542D"/>
    <w:lvl w:ilvl="0" w:tentative="0">
      <w:start w:val="1"/>
      <w:numFmt w:val="decimal"/>
      <w:lvlText w:val="%1."/>
      <w:lvlJc w:val="left"/>
      <w:pPr>
        <w:tabs>
          <w:tab w:val="left" w:pos="312"/>
        </w:tabs>
      </w:pPr>
    </w:lvl>
  </w:abstractNum>
  <w:abstractNum w:abstractNumId="13">
    <w:nsid w:val="56A7532D"/>
    <w:multiLevelType w:val="singleLevel"/>
    <w:tmpl w:val="56A7532D"/>
    <w:lvl w:ilvl="0" w:tentative="0">
      <w:start w:val="5"/>
      <w:numFmt w:val="decimal"/>
      <w:pStyle w:val="13"/>
      <w:suff w:val="space"/>
      <w:lvlText w:val="%1."/>
      <w:lvlJc w:val="left"/>
    </w:lvl>
  </w:abstractNum>
  <w:abstractNum w:abstractNumId="14">
    <w:nsid w:val="5727FDAD"/>
    <w:multiLevelType w:val="singleLevel"/>
    <w:tmpl w:val="5727FDAD"/>
    <w:lvl w:ilvl="0" w:tentative="0">
      <w:start w:val="3"/>
      <w:numFmt w:val="decimal"/>
      <w:pStyle w:val="19"/>
      <w:suff w:val="nothing"/>
      <w:lvlText w:val="（%1）"/>
      <w:lvlJc w:val="left"/>
    </w:lvl>
  </w:abstractNum>
  <w:abstractNum w:abstractNumId="15">
    <w:nsid w:val="57319D87"/>
    <w:multiLevelType w:val="singleLevel"/>
    <w:tmpl w:val="57319D87"/>
    <w:lvl w:ilvl="0" w:tentative="0">
      <w:start w:val="2"/>
      <w:numFmt w:val="chineseCounting"/>
      <w:pStyle w:val="16"/>
      <w:suff w:val="nothing"/>
      <w:lvlText w:val="%1、"/>
      <w:lvlJc w:val="left"/>
    </w:lvl>
  </w:abstractNum>
  <w:abstractNum w:abstractNumId="16">
    <w:nsid w:val="59468949"/>
    <w:multiLevelType w:val="singleLevel"/>
    <w:tmpl w:val="59468949"/>
    <w:lvl w:ilvl="0" w:tentative="0">
      <w:start w:val="6"/>
      <w:numFmt w:val="chineseCounting"/>
      <w:pStyle w:val="23"/>
      <w:suff w:val="nothing"/>
      <w:lvlText w:val="%1、"/>
      <w:lvlJc w:val="left"/>
      <w:pPr>
        <w:ind w:left="0" w:firstLine="0"/>
      </w:pPr>
    </w:lvl>
  </w:abstractNum>
  <w:abstractNum w:abstractNumId="17">
    <w:nsid w:val="59508E65"/>
    <w:multiLevelType w:val="singleLevel"/>
    <w:tmpl w:val="59508E65"/>
    <w:lvl w:ilvl="0" w:tentative="0">
      <w:start w:val="1"/>
      <w:numFmt w:val="decimal"/>
      <w:pStyle w:val="45"/>
      <w:suff w:val="nothing"/>
      <w:lvlText w:val="%1、"/>
      <w:lvlJc w:val="left"/>
    </w:lvl>
  </w:abstractNum>
  <w:abstractNum w:abstractNumId="18">
    <w:nsid w:val="5958FBB0"/>
    <w:multiLevelType w:val="singleLevel"/>
    <w:tmpl w:val="5958FBB0"/>
    <w:lvl w:ilvl="0" w:tentative="0">
      <w:start w:val="3"/>
      <w:numFmt w:val="decimal"/>
      <w:pStyle w:val="35"/>
      <w:suff w:val="nothing"/>
      <w:lvlText w:val="%1、"/>
      <w:lvlJc w:val="left"/>
    </w:lvl>
  </w:abstractNum>
  <w:abstractNum w:abstractNumId="19">
    <w:nsid w:val="5959C87D"/>
    <w:multiLevelType w:val="singleLevel"/>
    <w:tmpl w:val="5959C87D"/>
    <w:lvl w:ilvl="0" w:tentative="0">
      <w:start w:val="1"/>
      <w:numFmt w:val="decimal"/>
      <w:pStyle w:val="46"/>
      <w:suff w:val="nothing"/>
      <w:lvlText w:val="（%1）"/>
      <w:lvlJc w:val="left"/>
    </w:lvl>
  </w:abstractNum>
  <w:abstractNum w:abstractNumId="20">
    <w:nsid w:val="59927EA5"/>
    <w:multiLevelType w:val="singleLevel"/>
    <w:tmpl w:val="59927EA5"/>
    <w:lvl w:ilvl="0" w:tentative="0">
      <w:start w:val="5"/>
      <w:numFmt w:val="decimal"/>
      <w:pStyle w:val="32"/>
      <w:suff w:val="nothing"/>
      <w:lvlText w:val="%1、"/>
      <w:lvlJc w:val="left"/>
    </w:lvl>
  </w:abstractNum>
  <w:abstractNum w:abstractNumId="21">
    <w:nsid w:val="61390DFD"/>
    <w:multiLevelType w:val="multilevel"/>
    <w:tmpl w:val="61390DFD"/>
    <w:lvl w:ilvl="0" w:tentative="0">
      <w:start w:val="1"/>
      <w:numFmt w:val="decimal"/>
      <w:pStyle w:val="3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FA0C54B"/>
    <w:multiLevelType w:val="singleLevel"/>
    <w:tmpl w:val="7FA0C54B"/>
    <w:lvl w:ilvl="0" w:tentative="0">
      <w:start w:val="1"/>
      <w:numFmt w:val="decimal"/>
      <w:lvlText w:val="%1."/>
      <w:lvlJc w:val="left"/>
      <w:pPr>
        <w:tabs>
          <w:tab w:val="left" w:pos="312"/>
        </w:tabs>
        <w:ind w:left="105" w:leftChars="0" w:firstLine="0" w:firstLineChars="0"/>
      </w:pPr>
    </w:lvl>
  </w:abstractNum>
  <w:num w:numId="1">
    <w:abstractNumId w:val="13"/>
  </w:num>
  <w:num w:numId="2">
    <w:abstractNumId w:val="15"/>
  </w:num>
  <w:num w:numId="3">
    <w:abstractNumId w:val="14"/>
  </w:num>
  <w:num w:numId="4">
    <w:abstractNumId w:val="16"/>
  </w:num>
  <w:num w:numId="5">
    <w:abstractNumId w:val="20"/>
  </w:num>
  <w:num w:numId="6">
    <w:abstractNumId w:val="18"/>
  </w:num>
  <w:num w:numId="7">
    <w:abstractNumId w:val="21"/>
  </w:num>
  <w:num w:numId="8">
    <w:abstractNumId w:val="17"/>
  </w:num>
  <w:num w:numId="9">
    <w:abstractNumId w:val="19"/>
  </w:num>
  <w:num w:numId="10">
    <w:abstractNumId w:val="9"/>
  </w:num>
  <w:num w:numId="11">
    <w:abstractNumId w:val="8"/>
  </w:num>
  <w:num w:numId="12">
    <w:abstractNumId w:val="7"/>
  </w:num>
  <w:num w:numId="13">
    <w:abstractNumId w:val="5"/>
  </w:num>
  <w:num w:numId="14">
    <w:abstractNumId w:val="2"/>
  </w:num>
  <w:num w:numId="15">
    <w:abstractNumId w:val="3"/>
  </w:num>
  <w:num w:numId="16">
    <w:abstractNumId w:val="22"/>
  </w:num>
  <w:num w:numId="17">
    <w:abstractNumId w:val="4"/>
  </w:num>
  <w:num w:numId="18">
    <w:abstractNumId w:val="10"/>
  </w:num>
  <w:num w:numId="19">
    <w:abstractNumId w:val="11"/>
  </w:num>
  <w:num w:numId="20">
    <w:abstractNumId w:val="6"/>
  </w:num>
  <w:num w:numId="21">
    <w:abstractNumId w:val="0"/>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ODJhMWVhYzkyMzg2ZmU1NWNiMTIxODkyNmE4YjUifQ=="/>
  </w:docVars>
  <w:rsids>
    <w:rsidRoot w:val="00172A27"/>
    <w:rsid w:val="00016E6B"/>
    <w:rsid w:val="0005364C"/>
    <w:rsid w:val="00073EC5"/>
    <w:rsid w:val="000C4EB3"/>
    <w:rsid w:val="000E470A"/>
    <w:rsid w:val="000E4C1D"/>
    <w:rsid w:val="000F05B3"/>
    <w:rsid w:val="00152E92"/>
    <w:rsid w:val="00172A27"/>
    <w:rsid w:val="00177842"/>
    <w:rsid w:val="001A5CEE"/>
    <w:rsid w:val="001B1A59"/>
    <w:rsid w:val="001B4FF6"/>
    <w:rsid w:val="001C2943"/>
    <w:rsid w:val="001D24A7"/>
    <w:rsid w:val="00224E6B"/>
    <w:rsid w:val="00255FBD"/>
    <w:rsid w:val="002865EA"/>
    <w:rsid w:val="002C375E"/>
    <w:rsid w:val="002D4EDD"/>
    <w:rsid w:val="00331595"/>
    <w:rsid w:val="00333F31"/>
    <w:rsid w:val="00372EE9"/>
    <w:rsid w:val="00385650"/>
    <w:rsid w:val="003E1F23"/>
    <w:rsid w:val="003E4400"/>
    <w:rsid w:val="00453F96"/>
    <w:rsid w:val="00473A29"/>
    <w:rsid w:val="004C643D"/>
    <w:rsid w:val="004F0F53"/>
    <w:rsid w:val="00503256"/>
    <w:rsid w:val="0051238C"/>
    <w:rsid w:val="005407C3"/>
    <w:rsid w:val="00544FBD"/>
    <w:rsid w:val="00566421"/>
    <w:rsid w:val="00567C6F"/>
    <w:rsid w:val="005A7558"/>
    <w:rsid w:val="005D64AD"/>
    <w:rsid w:val="005F1EB5"/>
    <w:rsid w:val="00616019"/>
    <w:rsid w:val="00642B1A"/>
    <w:rsid w:val="006C6C42"/>
    <w:rsid w:val="006C70FB"/>
    <w:rsid w:val="006D0B42"/>
    <w:rsid w:val="006D6CE3"/>
    <w:rsid w:val="006E49B9"/>
    <w:rsid w:val="00704E92"/>
    <w:rsid w:val="00717B18"/>
    <w:rsid w:val="007635D1"/>
    <w:rsid w:val="007A0B15"/>
    <w:rsid w:val="007A6922"/>
    <w:rsid w:val="007B32FC"/>
    <w:rsid w:val="007E6C0D"/>
    <w:rsid w:val="007E7C8E"/>
    <w:rsid w:val="007F65A9"/>
    <w:rsid w:val="008673CB"/>
    <w:rsid w:val="0088534B"/>
    <w:rsid w:val="008B7422"/>
    <w:rsid w:val="008C7639"/>
    <w:rsid w:val="009062C0"/>
    <w:rsid w:val="009719DD"/>
    <w:rsid w:val="009849BC"/>
    <w:rsid w:val="009E4E5D"/>
    <w:rsid w:val="00A115E4"/>
    <w:rsid w:val="00A42281"/>
    <w:rsid w:val="00A512F4"/>
    <w:rsid w:val="00A518EE"/>
    <w:rsid w:val="00A566D5"/>
    <w:rsid w:val="00A649C4"/>
    <w:rsid w:val="00A83356"/>
    <w:rsid w:val="00A83834"/>
    <w:rsid w:val="00AA2C14"/>
    <w:rsid w:val="00AD35E1"/>
    <w:rsid w:val="00AE326F"/>
    <w:rsid w:val="00B24DE1"/>
    <w:rsid w:val="00B27D67"/>
    <w:rsid w:val="00B37558"/>
    <w:rsid w:val="00B70A36"/>
    <w:rsid w:val="00B7163E"/>
    <w:rsid w:val="00BA1EA6"/>
    <w:rsid w:val="00BB2E3C"/>
    <w:rsid w:val="00BC72D0"/>
    <w:rsid w:val="00BE54C4"/>
    <w:rsid w:val="00C140A0"/>
    <w:rsid w:val="00CA3FD7"/>
    <w:rsid w:val="00CA6AEA"/>
    <w:rsid w:val="00D1529F"/>
    <w:rsid w:val="00D55FCA"/>
    <w:rsid w:val="00D93649"/>
    <w:rsid w:val="00DE4920"/>
    <w:rsid w:val="00DF51A3"/>
    <w:rsid w:val="00EA1296"/>
    <w:rsid w:val="00EB037D"/>
    <w:rsid w:val="00EC5CF0"/>
    <w:rsid w:val="00EE191F"/>
    <w:rsid w:val="00FF3EC6"/>
    <w:rsid w:val="014D0B1B"/>
    <w:rsid w:val="016F70A8"/>
    <w:rsid w:val="01D03FA9"/>
    <w:rsid w:val="02661091"/>
    <w:rsid w:val="026C5A60"/>
    <w:rsid w:val="02C32E1C"/>
    <w:rsid w:val="041134A8"/>
    <w:rsid w:val="042A335C"/>
    <w:rsid w:val="055F746B"/>
    <w:rsid w:val="05FC0367"/>
    <w:rsid w:val="062517AE"/>
    <w:rsid w:val="06610385"/>
    <w:rsid w:val="07195811"/>
    <w:rsid w:val="073B0D7B"/>
    <w:rsid w:val="07C801E7"/>
    <w:rsid w:val="08084B43"/>
    <w:rsid w:val="085E6918"/>
    <w:rsid w:val="09094AFB"/>
    <w:rsid w:val="09125B77"/>
    <w:rsid w:val="092D0E29"/>
    <w:rsid w:val="0A8E2C9E"/>
    <w:rsid w:val="0AC70C41"/>
    <w:rsid w:val="0AD55DC8"/>
    <w:rsid w:val="0AE11352"/>
    <w:rsid w:val="0B6C5BA6"/>
    <w:rsid w:val="0BAE52DA"/>
    <w:rsid w:val="0BB55C73"/>
    <w:rsid w:val="0BBC5DC9"/>
    <w:rsid w:val="0BBD328A"/>
    <w:rsid w:val="0BC01FA9"/>
    <w:rsid w:val="0C1B382B"/>
    <w:rsid w:val="0C377F97"/>
    <w:rsid w:val="0C840A60"/>
    <w:rsid w:val="0D246BD2"/>
    <w:rsid w:val="0D3E6217"/>
    <w:rsid w:val="0DDE4E56"/>
    <w:rsid w:val="0DF26C38"/>
    <w:rsid w:val="0E6C4718"/>
    <w:rsid w:val="0EF6215C"/>
    <w:rsid w:val="0F170624"/>
    <w:rsid w:val="0F4161C1"/>
    <w:rsid w:val="0F416D16"/>
    <w:rsid w:val="0F6427F5"/>
    <w:rsid w:val="10284C1B"/>
    <w:rsid w:val="10C812EB"/>
    <w:rsid w:val="11165E80"/>
    <w:rsid w:val="119B4F8B"/>
    <w:rsid w:val="11CD5076"/>
    <w:rsid w:val="11FA2DBB"/>
    <w:rsid w:val="120B5EDC"/>
    <w:rsid w:val="12511BDF"/>
    <w:rsid w:val="129F2C59"/>
    <w:rsid w:val="12AC1170"/>
    <w:rsid w:val="12EF25CE"/>
    <w:rsid w:val="13214BB4"/>
    <w:rsid w:val="137A067B"/>
    <w:rsid w:val="138709B7"/>
    <w:rsid w:val="142E3145"/>
    <w:rsid w:val="15686601"/>
    <w:rsid w:val="17725A0F"/>
    <w:rsid w:val="17E17EB1"/>
    <w:rsid w:val="18832F41"/>
    <w:rsid w:val="199D7048"/>
    <w:rsid w:val="1A4C5E4C"/>
    <w:rsid w:val="1A615F3A"/>
    <w:rsid w:val="1A6C1B54"/>
    <w:rsid w:val="1B90164D"/>
    <w:rsid w:val="1B992C85"/>
    <w:rsid w:val="1BA5432A"/>
    <w:rsid w:val="1BC84FCE"/>
    <w:rsid w:val="1BDC22DF"/>
    <w:rsid w:val="1BFD4981"/>
    <w:rsid w:val="1C36028E"/>
    <w:rsid w:val="1DA916F8"/>
    <w:rsid w:val="1E0240B7"/>
    <w:rsid w:val="1E101727"/>
    <w:rsid w:val="1E311220"/>
    <w:rsid w:val="1EBE5962"/>
    <w:rsid w:val="1EFD3064"/>
    <w:rsid w:val="1F4B59DA"/>
    <w:rsid w:val="1F5F033F"/>
    <w:rsid w:val="1F6A3955"/>
    <w:rsid w:val="1FBC0F60"/>
    <w:rsid w:val="209B19B1"/>
    <w:rsid w:val="21192B01"/>
    <w:rsid w:val="21A3147C"/>
    <w:rsid w:val="221A060D"/>
    <w:rsid w:val="22705849"/>
    <w:rsid w:val="22842F6E"/>
    <w:rsid w:val="22D12F02"/>
    <w:rsid w:val="22EC3898"/>
    <w:rsid w:val="232E6CE7"/>
    <w:rsid w:val="233D1AA4"/>
    <w:rsid w:val="237D6FAF"/>
    <w:rsid w:val="23D9242D"/>
    <w:rsid w:val="24685735"/>
    <w:rsid w:val="24AD0774"/>
    <w:rsid w:val="24B92A42"/>
    <w:rsid w:val="24CE7073"/>
    <w:rsid w:val="25597AB1"/>
    <w:rsid w:val="256156EA"/>
    <w:rsid w:val="259648B7"/>
    <w:rsid w:val="25AB770B"/>
    <w:rsid w:val="25EF55F2"/>
    <w:rsid w:val="25FC20FC"/>
    <w:rsid w:val="26197955"/>
    <w:rsid w:val="26521939"/>
    <w:rsid w:val="26B00E3D"/>
    <w:rsid w:val="26EA36DD"/>
    <w:rsid w:val="2724135B"/>
    <w:rsid w:val="27710C92"/>
    <w:rsid w:val="27835B4A"/>
    <w:rsid w:val="279B1E5B"/>
    <w:rsid w:val="27C448FA"/>
    <w:rsid w:val="27DE2A7F"/>
    <w:rsid w:val="28473FEC"/>
    <w:rsid w:val="287D7C53"/>
    <w:rsid w:val="296936F9"/>
    <w:rsid w:val="29734590"/>
    <w:rsid w:val="29765D08"/>
    <w:rsid w:val="297844CD"/>
    <w:rsid w:val="29FF2103"/>
    <w:rsid w:val="2A674078"/>
    <w:rsid w:val="2B014E72"/>
    <w:rsid w:val="2B4359F4"/>
    <w:rsid w:val="2B9652EF"/>
    <w:rsid w:val="2B9B4B60"/>
    <w:rsid w:val="2BBB7E68"/>
    <w:rsid w:val="2BD26FEE"/>
    <w:rsid w:val="2C2D2D09"/>
    <w:rsid w:val="2C432691"/>
    <w:rsid w:val="2C7042AA"/>
    <w:rsid w:val="2CC10762"/>
    <w:rsid w:val="2CE576AE"/>
    <w:rsid w:val="2CEF7D0D"/>
    <w:rsid w:val="2CF94143"/>
    <w:rsid w:val="2D184061"/>
    <w:rsid w:val="2D415EA5"/>
    <w:rsid w:val="2D5B7F98"/>
    <w:rsid w:val="2E2E4899"/>
    <w:rsid w:val="2E585FC8"/>
    <w:rsid w:val="2E937F67"/>
    <w:rsid w:val="2ED14C1B"/>
    <w:rsid w:val="2EE251FF"/>
    <w:rsid w:val="2EEC5556"/>
    <w:rsid w:val="2F0D6742"/>
    <w:rsid w:val="2F355FDA"/>
    <w:rsid w:val="2FEE50F3"/>
    <w:rsid w:val="303F2980"/>
    <w:rsid w:val="306D3856"/>
    <w:rsid w:val="30757208"/>
    <w:rsid w:val="30805097"/>
    <w:rsid w:val="3099394C"/>
    <w:rsid w:val="311618E1"/>
    <w:rsid w:val="316E5D9D"/>
    <w:rsid w:val="322B4D8C"/>
    <w:rsid w:val="32FE0ED9"/>
    <w:rsid w:val="33F71F62"/>
    <w:rsid w:val="3462581E"/>
    <w:rsid w:val="34795E57"/>
    <w:rsid w:val="34C62452"/>
    <w:rsid w:val="34C927BF"/>
    <w:rsid w:val="353E4E8E"/>
    <w:rsid w:val="356303D3"/>
    <w:rsid w:val="357B2045"/>
    <w:rsid w:val="36021CA3"/>
    <w:rsid w:val="363D0966"/>
    <w:rsid w:val="36550CA7"/>
    <w:rsid w:val="3689701F"/>
    <w:rsid w:val="36B71155"/>
    <w:rsid w:val="36E70ACA"/>
    <w:rsid w:val="36EF2AC8"/>
    <w:rsid w:val="36F37B75"/>
    <w:rsid w:val="37323080"/>
    <w:rsid w:val="37D266BF"/>
    <w:rsid w:val="380C3930"/>
    <w:rsid w:val="393238D7"/>
    <w:rsid w:val="39A97805"/>
    <w:rsid w:val="39DB57EC"/>
    <w:rsid w:val="3A31270D"/>
    <w:rsid w:val="3A491492"/>
    <w:rsid w:val="3A712BA9"/>
    <w:rsid w:val="3ABC3A8E"/>
    <w:rsid w:val="3AEA1A26"/>
    <w:rsid w:val="3AF3131B"/>
    <w:rsid w:val="3B425EC8"/>
    <w:rsid w:val="3B7D557D"/>
    <w:rsid w:val="3C58453A"/>
    <w:rsid w:val="3CD17C07"/>
    <w:rsid w:val="3D686B7B"/>
    <w:rsid w:val="3D835E5E"/>
    <w:rsid w:val="3E244FAA"/>
    <w:rsid w:val="3E8466DB"/>
    <w:rsid w:val="3EDC25BB"/>
    <w:rsid w:val="3EF71DF6"/>
    <w:rsid w:val="3F5C1407"/>
    <w:rsid w:val="3FA961A5"/>
    <w:rsid w:val="40715A1D"/>
    <w:rsid w:val="407C2FC4"/>
    <w:rsid w:val="408F143A"/>
    <w:rsid w:val="40964395"/>
    <w:rsid w:val="40DB14D8"/>
    <w:rsid w:val="415D795C"/>
    <w:rsid w:val="418832E1"/>
    <w:rsid w:val="42517EB4"/>
    <w:rsid w:val="425C2682"/>
    <w:rsid w:val="434138DC"/>
    <w:rsid w:val="4362066E"/>
    <w:rsid w:val="438356FB"/>
    <w:rsid w:val="43FC0E24"/>
    <w:rsid w:val="445C6B2A"/>
    <w:rsid w:val="44A3519B"/>
    <w:rsid w:val="44BE2E53"/>
    <w:rsid w:val="45404BDA"/>
    <w:rsid w:val="455A7C8D"/>
    <w:rsid w:val="456A043F"/>
    <w:rsid w:val="45B405E8"/>
    <w:rsid w:val="45EE036C"/>
    <w:rsid w:val="460A3EB2"/>
    <w:rsid w:val="461F4605"/>
    <w:rsid w:val="466C2A4B"/>
    <w:rsid w:val="46BF6086"/>
    <w:rsid w:val="46CE415D"/>
    <w:rsid w:val="4707219F"/>
    <w:rsid w:val="47280419"/>
    <w:rsid w:val="48456610"/>
    <w:rsid w:val="48617FD2"/>
    <w:rsid w:val="487E2D95"/>
    <w:rsid w:val="487E445C"/>
    <w:rsid w:val="48FF325B"/>
    <w:rsid w:val="491017DF"/>
    <w:rsid w:val="492F2221"/>
    <w:rsid w:val="4A2F62A8"/>
    <w:rsid w:val="4A505C22"/>
    <w:rsid w:val="4A771B19"/>
    <w:rsid w:val="4AB36025"/>
    <w:rsid w:val="4AD04275"/>
    <w:rsid w:val="4B732870"/>
    <w:rsid w:val="4C3619F7"/>
    <w:rsid w:val="4C827D69"/>
    <w:rsid w:val="4CB6638D"/>
    <w:rsid w:val="4CE2473A"/>
    <w:rsid w:val="4E2D0850"/>
    <w:rsid w:val="4EA50069"/>
    <w:rsid w:val="4EEC5E6E"/>
    <w:rsid w:val="4F427818"/>
    <w:rsid w:val="4F441D32"/>
    <w:rsid w:val="4F6208BA"/>
    <w:rsid w:val="509372E2"/>
    <w:rsid w:val="509858A6"/>
    <w:rsid w:val="51162CAD"/>
    <w:rsid w:val="51605CB0"/>
    <w:rsid w:val="51642977"/>
    <w:rsid w:val="516C6539"/>
    <w:rsid w:val="51F61ED4"/>
    <w:rsid w:val="523E2A49"/>
    <w:rsid w:val="52F447C1"/>
    <w:rsid w:val="537F0C74"/>
    <w:rsid w:val="53876B42"/>
    <w:rsid w:val="538B1C1C"/>
    <w:rsid w:val="53A4471E"/>
    <w:rsid w:val="543E4043"/>
    <w:rsid w:val="55027D80"/>
    <w:rsid w:val="55393C6A"/>
    <w:rsid w:val="55720B2B"/>
    <w:rsid w:val="55765FB4"/>
    <w:rsid w:val="55833E12"/>
    <w:rsid w:val="56615D34"/>
    <w:rsid w:val="568058BB"/>
    <w:rsid w:val="569662A8"/>
    <w:rsid w:val="56A065D2"/>
    <w:rsid w:val="56AE4063"/>
    <w:rsid w:val="56EF5B23"/>
    <w:rsid w:val="56F31FCC"/>
    <w:rsid w:val="572B743B"/>
    <w:rsid w:val="57B7707A"/>
    <w:rsid w:val="57B8753F"/>
    <w:rsid w:val="580F250B"/>
    <w:rsid w:val="581E3404"/>
    <w:rsid w:val="592E180D"/>
    <w:rsid w:val="593E2377"/>
    <w:rsid w:val="59B371B4"/>
    <w:rsid w:val="5A1336BD"/>
    <w:rsid w:val="5A641A90"/>
    <w:rsid w:val="5AD96E3C"/>
    <w:rsid w:val="5B05582F"/>
    <w:rsid w:val="5B486DE4"/>
    <w:rsid w:val="5B6339F0"/>
    <w:rsid w:val="5B6F3F4E"/>
    <w:rsid w:val="5BA37B5F"/>
    <w:rsid w:val="5BE079E7"/>
    <w:rsid w:val="5C5E0039"/>
    <w:rsid w:val="5C60670D"/>
    <w:rsid w:val="5C735B7B"/>
    <w:rsid w:val="5CEA77CB"/>
    <w:rsid w:val="5D185541"/>
    <w:rsid w:val="5D7E3B0C"/>
    <w:rsid w:val="5D7E5948"/>
    <w:rsid w:val="5E057014"/>
    <w:rsid w:val="5E360388"/>
    <w:rsid w:val="5E745F14"/>
    <w:rsid w:val="5E75112B"/>
    <w:rsid w:val="5ED846F5"/>
    <w:rsid w:val="5F0C12BE"/>
    <w:rsid w:val="5F121FCF"/>
    <w:rsid w:val="5F3B6A32"/>
    <w:rsid w:val="5F472153"/>
    <w:rsid w:val="5F5C285D"/>
    <w:rsid w:val="5FE7280E"/>
    <w:rsid w:val="60454DC7"/>
    <w:rsid w:val="60961128"/>
    <w:rsid w:val="60C01CDF"/>
    <w:rsid w:val="61081AD0"/>
    <w:rsid w:val="61671D60"/>
    <w:rsid w:val="61E80A23"/>
    <w:rsid w:val="62035015"/>
    <w:rsid w:val="624D2D01"/>
    <w:rsid w:val="6272342F"/>
    <w:rsid w:val="62FD4432"/>
    <w:rsid w:val="63077502"/>
    <w:rsid w:val="632A6F6D"/>
    <w:rsid w:val="633620EF"/>
    <w:rsid w:val="633932AD"/>
    <w:rsid w:val="635600BB"/>
    <w:rsid w:val="63B1787B"/>
    <w:rsid w:val="643473CB"/>
    <w:rsid w:val="643E4B5B"/>
    <w:rsid w:val="645F267A"/>
    <w:rsid w:val="64E1102F"/>
    <w:rsid w:val="653050C6"/>
    <w:rsid w:val="660F6CFC"/>
    <w:rsid w:val="66137A39"/>
    <w:rsid w:val="666A0D1B"/>
    <w:rsid w:val="667575B9"/>
    <w:rsid w:val="66904361"/>
    <w:rsid w:val="66C03DE8"/>
    <w:rsid w:val="66F90B6F"/>
    <w:rsid w:val="677B676A"/>
    <w:rsid w:val="678254E9"/>
    <w:rsid w:val="67927EC8"/>
    <w:rsid w:val="6850575C"/>
    <w:rsid w:val="6861126B"/>
    <w:rsid w:val="689C48EE"/>
    <w:rsid w:val="69111C45"/>
    <w:rsid w:val="69BF6BDD"/>
    <w:rsid w:val="6A192E9F"/>
    <w:rsid w:val="6A232ED1"/>
    <w:rsid w:val="6A3536D6"/>
    <w:rsid w:val="6A6515F1"/>
    <w:rsid w:val="6A7E1EF5"/>
    <w:rsid w:val="6B533AE2"/>
    <w:rsid w:val="6C4C3BA2"/>
    <w:rsid w:val="6C892726"/>
    <w:rsid w:val="6C895281"/>
    <w:rsid w:val="6C9A43A8"/>
    <w:rsid w:val="6D8C294A"/>
    <w:rsid w:val="6E6115F5"/>
    <w:rsid w:val="6E911615"/>
    <w:rsid w:val="6ECD3B4B"/>
    <w:rsid w:val="6EF015E7"/>
    <w:rsid w:val="6F1800C4"/>
    <w:rsid w:val="6F546AE4"/>
    <w:rsid w:val="6F835F21"/>
    <w:rsid w:val="6FA174AF"/>
    <w:rsid w:val="6FB92EDC"/>
    <w:rsid w:val="6FCD5235"/>
    <w:rsid w:val="70AB52F9"/>
    <w:rsid w:val="7102708C"/>
    <w:rsid w:val="7104037D"/>
    <w:rsid w:val="71151229"/>
    <w:rsid w:val="7185070D"/>
    <w:rsid w:val="718D11F7"/>
    <w:rsid w:val="7230329F"/>
    <w:rsid w:val="723D15B0"/>
    <w:rsid w:val="72955F70"/>
    <w:rsid w:val="729A35A5"/>
    <w:rsid w:val="729A4A2A"/>
    <w:rsid w:val="72D53FBD"/>
    <w:rsid w:val="72F7625E"/>
    <w:rsid w:val="732302F5"/>
    <w:rsid w:val="738B0358"/>
    <w:rsid w:val="73C15998"/>
    <w:rsid w:val="73CC76EB"/>
    <w:rsid w:val="73FC69FE"/>
    <w:rsid w:val="73FE0E8D"/>
    <w:rsid w:val="74482016"/>
    <w:rsid w:val="74CC77F2"/>
    <w:rsid w:val="76150888"/>
    <w:rsid w:val="762A1A9D"/>
    <w:rsid w:val="76A95A38"/>
    <w:rsid w:val="772E53A2"/>
    <w:rsid w:val="773B40FA"/>
    <w:rsid w:val="77DD0367"/>
    <w:rsid w:val="781F604F"/>
    <w:rsid w:val="78671595"/>
    <w:rsid w:val="78A016EB"/>
    <w:rsid w:val="78B84528"/>
    <w:rsid w:val="78F42BB0"/>
    <w:rsid w:val="792B3280"/>
    <w:rsid w:val="79625843"/>
    <w:rsid w:val="79D2386B"/>
    <w:rsid w:val="7A16377B"/>
    <w:rsid w:val="7A71468A"/>
    <w:rsid w:val="7B4E6DDA"/>
    <w:rsid w:val="7BB93B12"/>
    <w:rsid w:val="7BCE30B4"/>
    <w:rsid w:val="7C7904BB"/>
    <w:rsid w:val="7C8034F2"/>
    <w:rsid w:val="7CA44674"/>
    <w:rsid w:val="7CC3297D"/>
    <w:rsid w:val="7CE32724"/>
    <w:rsid w:val="7DBA54C3"/>
    <w:rsid w:val="7DF702F1"/>
    <w:rsid w:val="7E6469EF"/>
    <w:rsid w:val="7F110481"/>
    <w:rsid w:val="7F2612DC"/>
    <w:rsid w:val="7F265A59"/>
    <w:rsid w:val="7F491821"/>
    <w:rsid w:val="7F6B54EC"/>
    <w:rsid w:val="7F721579"/>
    <w:rsid w:val="7FAC6129"/>
    <w:rsid w:val="7FCF5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2">
    <w:name w:val="heading 1"/>
    <w:basedOn w:val="1"/>
    <w:next w:val="1"/>
    <w:link w:val="7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6"/>
    <w:qFormat/>
    <w:uiPriority w:val="0"/>
    <w:pPr>
      <w:keepNext/>
      <w:keepLines/>
      <w:widowControl w:val="0"/>
      <w:spacing w:line="360" w:lineRule="auto"/>
      <w:jc w:val="both"/>
      <w:outlineLvl w:val="1"/>
    </w:pPr>
    <w:rPr>
      <w:rFonts w:ascii="Arial" w:hAnsi="Arial"/>
      <w:b/>
      <w:bCs/>
      <w:sz w:val="32"/>
      <w:szCs w:val="32"/>
    </w:rPr>
  </w:style>
  <w:style w:type="paragraph" w:styleId="4">
    <w:name w:val="heading 3"/>
    <w:basedOn w:val="1"/>
    <w:next w:val="1"/>
    <w:link w:val="728"/>
    <w:qFormat/>
    <w:uiPriority w:val="0"/>
    <w:pPr>
      <w:keepNext/>
      <w:jc w:val="center"/>
      <w:outlineLvl w:val="2"/>
    </w:pPr>
    <w:rPr>
      <w:rFonts w:ascii="宋体" w:hAnsi="宋体"/>
      <w:b/>
      <w:bCs/>
      <w:sz w:val="24"/>
    </w:rPr>
  </w:style>
  <w:style w:type="paragraph" w:styleId="5">
    <w:name w:val="heading 4"/>
    <w:basedOn w:val="1"/>
    <w:next w:val="1"/>
    <w:link w:val="729"/>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187"/>
    <w:qFormat/>
    <w:uiPriority w:val="0"/>
    <w:pPr>
      <w:keepNext/>
      <w:keepLines/>
      <w:widowControl w:val="0"/>
      <w:adjustRightInd w:val="0"/>
      <w:spacing w:before="280" w:after="290" w:line="376" w:lineRule="atLeast"/>
      <w:outlineLvl w:val="4"/>
    </w:pPr>
    <w:rPr>
      <w:rFonts w:ascii="Calibri" w:hAnsi="Calibri"/>
      <w:b/>
      <w:bCs/>
      <w:kern w:val="0"/>
      <w:sz w:val="28"/>
      <w:szCs w:val="28"/>
    </w:rPr>
  </w:style>
  <w:style w:type="paragraph" w:styleId="7">
    <w:name w:val="heading 6"/>
    <w:basedOn w:val="1"/>
    <w:next w:val="1"/>
    <w:link w:val="188"/>
    <w:qFormat/>
    <w:uiPriority w:val="0"/>
    <w:pPr>
      <w:keepNext/>
      <w:keepLines/>
      <w:widowControl w:val="0"/>
      <w:adjustRightInd w:val="0"/>
      <w:spacing w:before="240" w:after="64" w:line="320" w:lineRule="atLeast"/>
      <w:outlineLvl w:val="5"/>
    </w:pPr>
    <w:rPr>
      <w:rFonts w:ascii="Arial" w:hAnsi="Arial" w:eastAsia="黑体"/>
      <w:b/>
      <w:bCs/>
      <w:kern w:val="0"/>
      <w:sz w:val="24"/>
    </w:rPr>
  </w:style>
  <w:style w:type="paragraph" w:styleId="8">
    <w:name w:val="heading 7"/>
    <w:basedOn w:val="1"/>
    <w:next w:val="1"/>
    <w:link w:val="189"/>
    <w:qFormat/>
    <w:uiPriority w:val="1"/>
    <w:pPr>
      <w:keepNext/>
      <w:keepLines/>
      <w:widowControl w:val="0"/>
      <w:adjustRightInd w:val="0"/>
      <w:spacing w:before="240" w:after="64" w:line="320" w:lineRule="atLeast"/>
      <w:outlineLvl w:val="6"/>
    </w:pPr>
    <w:rPr>
      <w:rFonts w:ascii="Calibri" w:hAnsi="Calibri"/>
      <w:b/>
      <w:bCs/>
      <w:kern w:val="0"/>
      <w:sz w:val="24"/>
    </w:rPr>
  </w:style>
  <w:style w:type="paragraph" w:styleId="9">
    <w:name w:val="heading 8"/>
    <w:basedOn w:val="1"/>
    <w:next w:val="1"/>
    <w:link w:val="190"/>
    <w:qFormat/>
    <w:uiPriority w:val="0"/>
    <w:pPr>
      <w:keepNext/>
      <w:keepLines/>
      <w:widowControl w:val="0"/>
      <w:adjustRightInd w:val="0"/>
      <w:spacing w:before="240" w:after="64" w:line="320" w:lineRule="atLeast"/>
      <w:outlineLvl w:val="7"/>
    </w:pPr>
    <w:rPr>
      <w:rFonts w:ascii="Arial" w:hAnsi="Arial" w:eastAsia="黑体"/>
      <w:kern w:val="0"/>
      <w:sz w:val="24"/>
    </w:rPr>
  </w:style>
  <w:style w:type="paragraph" w:styleId="10">
    <w:name w:val="heading 9"/>
    <w:basedOn w:val="1"/>
    <w:next w:val="1"/>
    <w:link w:val="191"/>
    <w:qFormat/>
    <w:uiPriority w:val="0"/>
    <w:pPr>
      <w:keepNext/>
      <w:keepLines/>
      <w:widowControl w:val="0"/>
      <w:adjustRightInd w:val="0"/>
      <w:spacing w:before="240" w:after="64" w:line="320" w:lineRule="atLeast"/>
      <w:outlineLvl w:val="8"/>
    </w:pPr>
    <w:rPr>
      <w:rFonts w:ascii="Arial" w:hAnsi="Arial" w:eastAsia="黑体"/>
      <w:kern w:val="0"/>
      <w:szCs w:val="21"/>
    </w:rPr>
  </w:style>
  <w:style w:type="character" w:default="1" w:styleId="128">
    <w:name w:val="Default Paragraph Font"/>
    <w:semiHidden/>
    <w:unhideWhenUsed/>
    <w:qFormat/>
    <w:uiPriority w:val="1"/>
  </w:style>
  <w:style w:type="table" w:default="1" w:styleId="8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widowControl w:val="0"/>
      <w:spacing w:line="240" w:lineRule="auto"/>
      <w:ind w:left="100" w:leftChars="400" w:hanging="200" w:hangingChars="200"/>
      <w:jc w:val="both"/>
    </w:pPr>
    <w:rPr>
      <w:rFonts w:ascii="Calibri" w:hAnsi="Calibri"/>
    </w:rPr>
  </w:style>
  <w:style w:type="paragraph" w:styleId="12">
    <w:name w:val="toc 7"/>
    <w:basedOn w:val="1"/>
    <w:next w:val="1"/>
    <w:qFormat/>
    <w:uiPriority w:val="39"/>
    <w:pPr>
      <w:widowControl w:val="0"/>
      <w:spacing w:line="240" w:lineRule="auto"/>
      <w:ind w:left="2520" w:leftChars="1200"/>
      <w:jc w:val="both"/>
    </w:pPr>
    <w:rPr>
      <w:rFonts w:ascii="Calibri" w:hAnsi="Calibri" w:eastAsia="微软雅黑"/>
      <w:szCs w:val="22"/>
    </w:rPr>
  </w:style>
  <w:style w:type="paragraph" w:styleId="13">
    <w:name w:val="List Number 2"/>
    <w:basedOn w:val="1"/>
    <w:qFormat/>
    <w:uiPriority w:val="0"/>
    <w:pPr>
      <w:widowControl w:val="0"/>
      <w:numPr>
        <w:ilvl w:val="0"/>
        <w:numId w:val="1"/>
      </w:numPr>
      <w:tabs>
        <w:tab w:val="left" w:pos="780"/>
      </w:tabs>
      <w:spacing w:line="240" w:lineRule="auto"/>
      <w:jc w:val="both"/>
    </w:pPr>
    <w:rPr>
      <w:rFonts w:ascii="Calibri" w:hAnsi="Calibri"/>
    </w:rPr>
  </w:style>
  <w:style w:type="paragraph" w:styleId="14">
    <w:name w:val="table of authorities"/>
    <w:basedOn w:val="1"/>
    <w:next w:val="1"/>
    <w:qFormat/>
    <w:uiPriority w:val="0"/>
    <w:pPr>
      <w:widowControl w:val="0"/>
      <w:adjustRightInd w:val="0"/>
      <w:snapToGrid w:val="0"/>
      <w:spacing w:line="240" w:lineRule="auto"/>
      <w:ind w:left="420" w:leftChars="200"/>
      <w:jc w:val="both"/>
    </w:pPr>
    <w:rPr>
      <w:rFonts w:ascii="宋体" w:hAnsi="Calibri"/>
      <w:szCs w:val="20"/>
    </w:rPr>
  </w:style>
  <w:style w:type="paragraph" w:styleId="15">
    <w:name w:val="Note Heading"/>
    <w:basedOn w:val="1"/>
    <w:next w:val="1"/>
    <w:link w:val="194"/>
    <w:qFormat/>
    <w:uiPriority w:val="0"/>
    <w:pPr>
      <w:widowControl w:val="0"/>
      <w:spacing w:line="240" w:lineRule="auto"/>
      <w:jc w:val="center"/>
    </w:pPr>
    <w:rPr>
      <w:rFonts w:ascii="Calibri" w:hAnsi="Calibri"/>
    </w:rPr>
  </w:style>
  <w:style w:type="paragraph" w:styleId="16">
    <w:name w:val="List Bullet 4"/>
    <w:basedOn w:val="1"/>
    <w:qFormat/>
    <w:uiPriority w:val="0"/>
    <w:pPr>
      <w:widowControl w:val="0"/>
      <w:numPr>
        <w:ilvl w:val="0"/>
        <w:numId w:val="2"/>
      </w:numPr>
      <w:tabs>
        <w:tab w:val="left" w:pos="1620"/>
      </w:tabs>
      <w:spacing w:line="240" w:lineRule="auto"/>
      <w:jc w:val="both"/>
    </w:pPr>
    <w:rPr>
      <w:rFonts w:ascii="Calibri" w:hAnsi="Calibri"/>
    </w:rPr>
  </w:style>
  <w:style w:type="paragraph" w:styleId="17">
    <w:name w:val="index 8"/>
    <w:basedOn w:val="1"/>
    <w:next w:val="1"/>
    <w:qFormat/>
    <w:uiPriority w:val="0"/>
    <w:pPr>
      <w:widowControl w:val="0"/>
      <w:adjustRightInd w:val="0"/>
      <w:snapToGrid w:val="0"/>
      <w:spacing w:line="240" w:lineRule="auto"/>
      <w:ind w:left="1400" w:leftChars="1400"/>
      <w:jc w:val="both"/>
    </w:pPr>
    <w:rPr>
      <w:rFonts w:ascii="宋体" w:hAnsi="Calibri"/>
      <w:szCs w:val="20"/>
    </w:rPr>
  </w:style>
  <w:style w:type="paragraph" w:styleId="18">
    <w:name w:val="E-mail Signature"/>
    <w:basedOn w:val="1"/>
    <w:link w:val="195"/>
    <w:qFormat/>
    <w:uiPriority w:val="0"/>
    <w:pPr>
      <w:widowControl w:val="0"/>
      <w:spacing w:line="240" w:lineRule="auto"/>
      <w:jc w:val="both"/>
    </w:pPr>
    <w:rPr>
      <w:rFonts w:ascii="Calibri" w:hAnsi="Calibri"/>
    </w:rPr>
  </w:style>
  <w:style w:type="paragraph" w:styleId="19">
    <w:name w:val="List Number"/>
    <w:basedOn w:val="1"/>
    <w:qFormat/>
    <w:uiPriority w:val="0"/>
    <w:pPr>
      <w:widowControl w:val="0"/>
      <w:numPr>
        <w:ilvl w:val="0"/>
        <w:numId w:val="3"/>
      </w:numPr>
      <w:tabs>
        <w:tab w:val="left" w:pos="360"/>
      </w:tabs>
      <w:spacing w:line="240" w:lineRule="auto"/>
      <w:jc w:val="both"/>
    </w:pPr>
    <w:rPr>
      <w:rFonts w:ascii="Calibri" w:hAnsi="Calibri"/>
    </w:rPr>
  </w:style>
  <w:style w:type="paragraph" w:styleId="20">
    <w:name w:val="Normal Indent"/>
    <w:basedOn w:val="1"/>
    <w:link w:val="730"/>
    <w:qFormat/>
    <w:uiPriority w:val="0"/>
    <w:pPr>
      <w:ind w:firstLine="420"/>
    </w:pPr>
  </w:style>
  <w:style w:type="paragraph" w:styleId="21">
    <w:name w:val="caption"/>
    <w:basedOn w:val="1"/>
    <w:next w:val="1"/>
    <w:qFormat/>
    <w:uiPriority w:val="0"/>
    <w:pPr>
      <w:widowControl w:val="0"/>
      <w:spacing w:line="240" w:lineRule="auto"/>
      <w:jc w:val="both"/>
    </w:pPr>
    <w:rPr>
      <w:rFonts w:ascii="Arial" w:hAnsi="Arial" w:eastAsia="黑体" w:cs="Arial"/>
      <w:sz w:val="20"/>
      <w:szCs w:val="20"/>
    </w:rPr>
  </w:style>
  <w:style w:type="paragraph" w:styleId="22">
    <w:name w:val="index 5"/>
    <w:basedOn w:val="1"/>
    <w:next w:val="1"/>
    <w:qFormat/>
    <w:uiPriority w:val="0"/>
    <w:pPr>
      <w:widowControl w:val="0"/>
      <w:adjustRightInd w:val="0"/>
      <w:snapToGrid w:val="0"/>
      <w:spacing w:line="240" w:lineRule="auto"/>
      <w:ind w:left="800" w:leftChars="800"/>
      <w:jc w:val="both"/>
    </w:pPr>
    <w:rPr>
      <w:rFonts w:ascii="宋体" w:hAnsi="Calibri"/>
      <w:szCs w:val="20"/>
    </w:rPr>
  </w:style>
  <w:style w:type="paragraph" w:styleId="23">
    <w:name w:val="List Bullet"/>
    <w:basedOn w:val="1"/>
    <w:qFormat/>
    <w:uiPriority w:val="0"/>
    <w:pPr>
      <w:widowControl w:val="0"/>
      <w:numPr>
        <w:ilvl w:val="0"/>
        <w:numId w:val="4"/>
      </w:numPr>
      <w:tabs>
        <w:tab w:val="left" w:pos="360"/>
      </w:tabs>
      <w:spacing w:line="240" w:lineRule="auto"/>
      <w:jc w:val="both"/>
    </w:pPr>
    <w:rPr>
      <w:rFonts w:ascii="Calibri" w:hAnsi="Calibri"/>
    </w:rPr>
  </w:style>
  <w:style w:type="paragraph" w:styleId="24">
    <w:name w:val="envelope address"/>
    <w:basedOn w:val="1"/>
    <w:qFormat/>
    <w:uiPriority w:val="0"/>
    <w:pPr>
      <w:framePr w:w="7920" w:h="1980" w:hRule="exact" w:hSpace="180" w:wrap="around" w:vAnchor="margin" w:hAnchor="page" w:xAlign="center" w:yAlign="bottom"/>
      <w:widowControl w:val="0"/>
      <w:snapToGrid w:val="0"/>
      <w:spacing w:line="240" w:lineRule="auto"/>
      <w:ind w:left="100" w:leftChars="1400"/>
      <w:jc w:val="both"/>
    </w:pPr>
    <w:rPr>
      <w:rFonts w:ascii="Arial" w:hAnsi="Arial" w:cs="Arial"/>
      <w:sz w:val="24"/>
    </w:rPr>
  </w:style>
  <w:style w:type="paragraph" w:styleId="25">
    <w:name w:val="Document Map"/>
    <w:basedOn w:val="1"/>
    <w:link w:val="196"/>
    <w:qFormat/>
    <w:uiPriority w:val="0"/>
    <w:pPr>
      <w:widowControl w:val="0"/>
      <w:shd w:val="clear" w:color="auto" w:fill="000080"/>
      <w:spacing w:line="240" w:lineRule="auto"/>
      <w:jc w:val="both"/>
    </w:pPr>
    <w:rPr>
      <w:rFonts w:ascii="Calibri" w:hAnsi="Calibri"/>
      <w:kern w:val="0"/>
      <w:sz w:val="20"/>
    </w:rPr>
  </w:style>
  <w:style w:type="paragraph" w:styleId="26">
    <w:name w:val="toa heading"/>
    <w:basedOn w:val="1"/>
    <w:next w:val="1"/>
    <w:qFormat/>
    <w:uiPriority w:val="99"/>
    <w:pPr>
      <w:widowControl w:val="0"/>
      <w:adjustRightInd w:val="0"/>
      <w:snapToGrid w:val="0"/>
      <w:spacing w:before="120" w:line="440" w:lineRule="exact"/>
      <w:jc w:val="both"/>
    </w:pPr>
    <w:rPr>
      <w:rFonts w:ascii="Arial" w:hAnsi="Arial"/>
      <w:b/>
      <w:bCs/>
      <w:sz w:val="28"/>
    </w:rPr>
  </w:style>
  <w:style w:type="paragraph" w:styleId="27">
    <w:name w:val="annotation text"/>
    <w:basedOn w:val="1"/>
    <w:link w:val="192"/>
    <w:qFormat/>
    <w:uiPriority w:val="0"/>
  </w:style>
  <w:style w:type="paragraph" w:styleId="28">
    <w:name w:val="index 6"/>
    <w:basedOn w:val="1"/>
    <w:next w:val="1"/>
    <w:qFormat/>
    <w:uiPriority w:val="0"/>
    <w:pPr>
      <w:widowControl w:val="0"/>
      <w:adjustRightInd w:val="0"/>
      <w:snapToGrid w:val="0"/>
      <w:spacing w:line="240" w:lineRule="auto"/>
      <w:ind w:left="1000" w:leftChars="1000"/>
      <w:jc w:val="both"/>
    </w:pPr>
    <w:rPr>
      <w:rFonts w:ascii="宋体" w:hAnsi="Calibri"/>
      <w:szCs w:val="20"/>
    </w:rPr>
  </w:style>
  <w:style w:type="paragraph" w:styleId="29">
    <w:name w:val="Salutation"/>
    <w:basedOn w:val="1"/>
    <w:next w:val="1"/>
    <w:link w:val="197"/>
    <w:qFormat/>
    <w:uiPriority w:val="0"/>
    <w:pPr>
      <w:widowControl w:val="0"/>
      <w:spacing w:line="240" w:lineRule="auto"/>
      <w:jc w:val="both"/>
    </w:pPr>
    <w:rPr>
      <w:rFonts w:ascii="仿宋_GB2312" w:hAnsi="Calibri" w:eastAsia="仿宋_GB2312"/>
      <w:kern w:val="0"/>
      <w:sz w:val="24"/>
    </w:rPr>
  </w:style>
  <w:style w:type="paragraph" w:styleId="30">
    <w:name w:val="Body Text 3"/>
    <w:basedOn w:val="1"/>
    <w:link w:val="198"/>
    <w:qFormat/>
    <w:uiPriority w:val="0"/>
    <w:pPr>
      <w:widowControl w:val="0"/>
      <w:autoSpaceDE w:val="0"/>
      <w:autoSpaceDN w:val="0"/>
      <w:adjustRightInd w:val="0"/>
      <w:spacing w:line="410" w:lineRule="atLeast"/>
    </w:pPr>
    <w:rPr>
      <w:rFonts w:ascii="宋体" w:hAnsi="Calibri"/>
      <w:color w:val="000000"/>
      <w:kern w:val="0"/>
      <w:sz w:val="24"/>
      <w:szCs w:val="20"/>
    </w:rPr>
  </w:style>
  <w:style w:type="paragraph" w:styleId="31">
    <w:name w:val="Closing"/>
    <w:basedOn w:val="1"/>
    <w:link w:val="199"/>
    <w:qFormat/>
    <w:uiPriority w:val="0"/>
    <w:pPr>
      <w:widowControl w:val="0"/>
      <w:spacing w:line="240" w:lineRule="auto"/>
      <w:ind w:left="100" w:leftChars="2100"/>
      <w:jc w:val="both"/>
    </w:pPr>
    <w:rPr>
      <w:rFonts w:ascii="Calibri" w:hAnsi="Calibri"/>
    </w:rPr>
  </w:style>
  <w:style w:type="paragraph" w:styleId="32">
    <w:name w:val="List Bullet 3"/>
    <w:basedOn w:val="1"/>
    <w:qFormat/>
    <w:uiPriority w:val="0"/>
    <w:pPr>
      <w:widowControl w:val="0"/>
      <w:numPr>
        <w:ilvl w:val="0"/>
        <w:numId w:val="5"/>
      </w:numPr>
      <w:tabs>
        <w:tab w:val="left" w:pos="1200"/>
      </w:tabs>
      <w:spacing w:line="240" w:lineRule="auto"/>
      <w:jc w:val="both"/>
    </w:pPr>
    <w:rPr>
      <w:rFonts w:ascii="Calibri" w:hAnsi="Calibri"/>
    </w:rPr>
  </w:style>
  <w:style w:type="paragraph" w:styleId="33">
    <w:name w:val="Body Text"/>
    <w:basedOn w:val="1"/>
    <w:link w:val="731"/>
    <w:unhideWhenUsed/>
    <w:qFormat/>
    <w:uiPriority w:val="0"/>
    <w:pPr>
      <w:spacing w:after="120"/>
    </w:pPr>
  </w:style>
  <w:style w:type="paragraph" w:styleId="34">
    <w:name w:val="Body Text Indent"/>
    <w:basedOn w:val="1"/>
    <w:link w:val="155"/>
    <w:qFormat/>
    <w:uiPriority w:val="0"/>
    <w:pPr>
      <w:widowControl w:val="0"/>
      <w:spacing w:after="120"/>
      <w:ind w:left="420" w:leftChars="200"/>
      <w:jc w:val="both"/>
    </w:pPr>
  </w:style>
  <w:style w:type="paragraph" w:styleId="35">
    <w:name w:val="List Number 3"/>
    <w:basedOn w:val="1"/>
    <w:qFormat/>
    <w:uiPriority w:val="0"/>
    <w:pPr>
      <w:widowControl w:val="0"/>
      <w:numPr>
        <w:ilvl w:val="0"/>
        <w:numId w:val="6"/>
      </w:numPr>
      <w:tabs>
        <w:tab w:val="left" w:pos="1200"/>
      </w:tabs>
      <w:spacing w:line="240" w:lineRule="auto"/>
      <w:jc w:val="both"/>
    </w:pPr>
    <w:rPr>
      <w:rFonts w:ascii="Calibri" w:hAnsi="Calibri"/>
    </w:rPr>
  </w:style>
  <w:style w:type="paragraph" w:styleId="36">
    <w:name w:val="List 2"/>
    <w:basedOn w:val="1"/>
    <w:qFormat/>
    <w:uiPriority w:val="0"/>
    <w:pPr>
      <w:widowControl w:val="0"/>
      <w:spacing w:line="240" w:lineRule="auto"/>
      <w:ind w:left="100" w:leftChars="200" w:hanging="200" w:hangingChars="200"/>
      <w:jc w:val="both"/>
    </w:pPr>
    <w:rPr>
      <w:rFonts w:ascii="Calibri" w:hAnsi="Calibri"/>
    </w:rPr>
  </w:style>
  <w:style w:type="paragraph" w:styleId="37">
    <w:name w:val="List Continue"/>
    <w:basedOn w:val="1"/>
    <w:qFormat/>
    <w:uiPriority w:val="0"/>
    <w:pPr>
      <w:widowControl w:val="0"/>
      <w:spacing w:after="120" w:line="240" w:lineRule="auto"/>
      <w:ind w:left="420" w:leftChars="200"/>
      <w:jc w:val="both"/>
    </w:pPr>
    <w:rPr>
      <w:rFonts w:ascii="Calibri" w:hAnsi="Calibri"/>
    </w:rPr>
  </w:style>
  <w:style w:type="paragraph" w:styleId="38">
    <w:name w:val="Block Text"/>
    <w:basedOn w:val="1"/>
    <w:qFormat/>
    <w:uiPriority w:val="0"/>
    <w:pPr>
      <w:widowControl w:val="0"/>
      <w:spacing w:line="240" w:lineRule="auto"/>
      <w:ind w:left="1171" w:right="91" w:hanging="1080"/>
      <w:jc w:val="both"/>
    </w:pPr>
    <w:rPr>
      <w:rFonts w:ascii="Calibri" w:hAnsi="Calibri" w:eastAsia="楷体_GB2312"/>
      <w:szCs w:val="20"/>
    </w:rPr>
  </w:style>
  <w:style w:type="paragraph" w:styleId="39">
    <w:name w:val="List Bullet 2"/>
    <w:basedOn w:val="1"/>
    <w:qFormat/>
    <w:uiPriority w:val="0"/>
    <w:pPr>
      <w:widowControl w:val="0"/>
      <w:numPr>
        <w:ilvl w:val="0"/>
        <w:numId w:val="7"/>
      </w:numPr>
      <w:tabs>
        <w:tab w:val="left" w:pos="780"/>
      </w:tabs>
      <w:spacing w:line="240" w:lineRule="auto"/>
      <w:jc w:val="both"/>
    </w:pPr>
    <w:rPr>
      <w:rFonts w:ascii="Calibri" w:hAnsi="Calibri"/>
    </w:rPr>
  </w:style>
  <w:style w:type="paragraph" w:styleId="40">
    <w:name w:val="HTML Address"/>
    <w:basedOn w:val="1"/>
    <w:link w:val="200"/>
    <w:qFormat/>
    <w:uiPriority w:val="0"/>
    <w:pPr>
      <w:widowControl w:val="0"/>
      <w:spacing w:line="240" w:lineRule="auto"/>
      <w:jc w:val="both"/>
    </w:pPr>
    <w:rPr>
      <w:rFonts w:ascii="Calibri" w:hAnsi="Calibri"/>
      <w:i/>
      <w:iCs/>
    </w:rPr>
  </w:style>
  <w:style w:type="paragraph" w:styleId="41">
    <w:name w:val="index 4"/>
    <w:basedOn w:val="1"/>
    <w:next w:val="1"/>
    <w:qFormat/>
    <w:uiPriority w:val="0"/>
    <w:pPr>
      <w:widowControl w:val="0"/>
      <w:spacing w:line="440" w:lineRule="exact"/>
      <w:ind w:left="600" w:leftChars="600" w:firstLine="200" w:firstLineChars="200"/>
      <w:jc w:val="both"/>
    </w:pPr>
    <w:rPr>
      <w:rFonts w:ascii="Calibri" w:hAnsi="Calibri"/>
      <w:sz w:val="24"/>
    </w:rPr>
  </w:style>
  <w:style w:type="paragraph" w:styleId="42">
    <w:name w:val="toc 5"/>
    <w:basedOn w:val="1"/>
    <w:next w:val="1"/>
    <w:qFormat/>
    <w:uiPriority w:val="39"/>
    <w:pPr>
      <w:widowControl w:val="0"/>
      <w:spacing w:line="240" w:lineRule="auto"/>
      <w:ind w:left="1680" w:leftChars="800"/>
      <w:jc w:val="both"/>
    </w:pPr>
    <w:rPr>
      <w:rFonts w:ascii="Calibri" w:hAnsi="Calibri" w:eastAsia="微软雅黑"/>
      <w:szCs w:val="22"/>
    </w:rPr>
  </w:style>
  <w:style w:type="paragraph" w:styleId="43">
    <w:name w:val="toc 3"/>
    <w:basedOn w:val="1"/>
    <w:next w:val="1"/>
    <w:qFormat/>
    <w:uiPriority w:val="39"/>
    <w:pPr>
      <w:widowControl w:val="0"/>
      <w:spacing w:line="440" w:lineRule="exact"/>
      <w:ind w:left="400" w:leftChars="400"/>
      <w:jc w:val="both"/>
    </w:pPr>
    <w:rPr>
      <w:rFonts w:ascii="Calibri" w:hAnsi="Calibri"/>
      <w:sz w:val="28"/>
    </w:rPr>
  </w:style>
  <w:style w:type="paragraph" w:styleId="44">
    <w:name w:val="Plain Text"/>
    <w:basedOn w:val="1"/>
    <w:link w:val="732"/>
    <w:qFormat/>
    <w:uiPriority w:val="0"/>
    <w:pPr>
      <w:widowControl w:val="0"/>
      <w:spacing w:line="240" w:lineRule="auto"/>
      <w:jc w:val="both"/>
    </w:pPr>
    <w:rPr>
      <w:rFonts w:ascii="宋体" w:hAnsi="Courier New" w:cs="Courier New"/>
      <w:szCs w:val="21"/>
    </w:rPr>
  </w:style>
  <w:style w:type="paragraph" w:styleId="45">
    <w:name w:val="List Bullet 5"/>
    <w:basedOn w:val="1"/>
    <w:qFormat/>
    <w:uiPriority w:val="0"/>
    <w:pPr>
      <w:widowControl w:val="0"/>
      <w:numPr>
        <w:ilvl w:val="0"/>
        <w:numId w:val="8"/>
      </w:numPr>
      <w:tabs>
        <w:tab w:val="left" w:pos="2040"/>
      </w:tabs>
      <w:spacing w:line="240" w:lineRule="auto"/>
      <w:jc w:val="both"/>
    </w:pPr>
    <w:rPr>
      <w:rFonts w:ascii="Calibri" w:hAnsi="Calibri"/>
    </w:rPr>
  </w:style>
  <w:style w:type="paragraph" w:styleId="46">
    <w:name w:val="List Number 4"/>
    <w:basedOn w:val="1"/>
    <w:qFormat/>
    <w:uiPriority w:val="0"/>
    <w:pPr>
      <w:widowControl w:val="0"/>
      <w:numPr>
        <w:ilvl w:val="0"/>
        <w:numId w:val="9"/>
      </w:numPr>
      <w:tabs>
        <w:tab w:val="left" w:pos="1620"/>
      </w:tabs>
      <w:spacing w:line="240" w:lineRule="auto"/>
      <w:jc w:val="both"/>
    </w:pPr>
    <w:rPr>
      <w:rFonts w:ascii="Calibri" w:hAnsi="Calibri"/>
    </w:rPr>
  </w:style>
  <w:style w:type="paragraph" w:styleId="47">
    <w:name w:val="toc 8"/>
    <w:basedOn w:val="1"/>
    <w:next w:val="1"/>
    <w:qFormat/>
    <w:uiPriority w:val="39"/>
    <w:pPr>
      <w:widowControl w:val="0"/>
      <w:spacing w:line="240" w:lineRule="auto"/>
      <w:ind w:left="2940" w:leftChars="1400"/>
      <w:jc w:val="both"/>
    </w:pPr>
    <w:rPr>
      <w:rFonts w:ascii="Calibri" w:hAnsi="Calibri" w:eastAsia="微软雅黑"/>
      <w:szCs w:val="22"/>
    </w:rPr>
  </w:style>
  <w:style w:type="paragraph" w:styleId="48">
    <w:name w:val="index 3"/>
    <w:basedOn w:val="1"/>
    <w:next w:val="1"/>
    <w:qFormat/>
    <w:uiPriority w:val="0"/>
    <w:pPr>
      <w:widowControl w:val="0"/>
      <w:adjustRightInd w:val="0"/>
      <w:snapToGrid w:val="0"/>
      <w:spacing w:line="240" w:lineRule="auto"/>
      <w:ind w:left="400" w:leftChars="400"/>
      <w:jc w:val="both"/>
    </w:pPr>
    <w:rPr>
      <w:rFonts w:ascii="宋体" w:hAnsi="Calibri"/>
      <w:szCs w:val="20"/>
    </w:rPr>
  </w:style>
  <w:style w:type="paragraph" w:styleId="49">
    <w:name w:val="Date"/>
    <w:basedOn w:val="1"/>
    <w:next w:val="1"/>
    <w:link w:val="733"/>
    <w:qFormat/>
    <w:uiPriority w:val="0"/>
    <w:pPr>
      <w:widowControl w:val="0"/>
      <w:spacing w:line="240" w:lineRule="auto"/>
      <w:jc w:val="both"/>
    </w:pPr>
    <w:rPr>
      <w:rFonts w:ascii="宋体" w:hAnsi="宋体"/>
      <w:sz w:val="24"/>
      <w:szCs w:val="20"/>
    </w:rPr>
  </w:style>
  <w:style w:type="paragraph" w:styleId="50">
    <w:name w:val="Body Text Indent 2"/>
    <w:basedOn w:val="1"/>
    <w:link w:val="203"/>
    <w:qFormat/>
    <w:uiPriority w:val="0"/>
    <w:pPr>
      <w:widowControl w:val="0"/>
      <w:spacing w:after="120" w:line="480" w:lineRule="auto"/>
      <w:ind w:left="420" w:leftChars="200"/>
      <w:jc w:val="both"/>
    </w:pPr>
    <w:rPr>
      <w:rFonts w:ascii="Calibri" w:hAnsi="Calibri"/>
      <w:kern w:val="0"/>
      <w:sz w:val="20"/>
    </w:rPr>
  </w:style>
  <w:style w:type="paragraph" w:styleId="51">
    <w:name w:val="endnote text"/>
    <w:basedOn w:val="1"/>
    <w:link w:val="204"/>
    <w:qFormat/>
    <w:uiPriority w:val="0"/>
    <w:pPr>
      <w:overflowPunct w:val="0"/>
      <w:autoSpaceDE w:val="0"/>
      <w:autoSpaceDN w:val="0"/>
      <w:spacing w:line="240" w:lineRule="auto"/>
      <w:ind w:firstLine="200" w:firstLineChars="200"/>
      <w:jc w:val="both"/>
      <w:textAlignment w:val="baseline"/>
    </w:pPr>
    <w:rPr>
      <w:rFonts w:ascii="宋体" w:hAnsi="Calibri"/>
      <w:kern w:val="0"/>
      <w:sz w:val="24"/>
      <w:szCs w:val="20"/>
    </w:rPr>
  </w:style>
  <w:style w:type="paragraph" w:styleId="52">
    <w:name w:val="List Continue 5"/>
    <w:basedOn w:val="1"/>
    <w:qFormat/>
    <w:uiPriority w:val="0"/>
    <w:pPr>
      <w:widowControl w:val="0"/>
      <w:spacing w:after="120" w:line="240" w:lineRule="auto"/>
      <w:ind w:left="2100" w:leftChars="1000"/>
      <w:jc w:val="both"/>
    </w:pPr>
    <w:rPr>
      <w:rFonts w:ascii="Calibri" w:hAnsi="Calibri"/>
    </w:rPr>
  </w:style>
  <w:style w:type="paragraph" w:styleId="53">
    <w:name w:val="Balloon Text"/>
    <w:basedOn w:val="1"/>
    <w:next w:val="1"/>
    <w:link w:val="205"/>
    <w:qFormat/>
    <w:uiPriority w:val="99"/>
    <w:pPr>
      <w:widowControl w:val="0"/>
      <w:spacing w:line="240" w:lineRule="auto"/>
      <w:jc w:val="both"/>
    </w:pPr>
    <w:rPr>
      <w:rFonts w:ascii="Calibri" w:hAnsi="Calibri"/>
      <w:sz w:val="18"/>
      <w:szCs w:val="18"/>
    </w:rPr>
  </w:style>
  <w:style w:type="paragraph" w:styleId="54">
    <w:name w:val="footer"/>
    <w:basedOn w:val="1"/>
    <w:link w:val="734"/>
    <w:qFormat/>
    <w:uiPriority w:val="99"/>
    <w:pPr>
      <w:snapToGrid w:val="0"/>
      <w:ind w:right="210" w:rightChars="100"/>
      <w:jc w:val="right"/>
    </w:pPr>
    <w:rPr>
      <w:rFonts w:asciiTheme="minorHAnsi" w:hAnsiTheme="minorHAnsi" w:eastAsiaTheme="minorEastAsia" w:cstheme="minorBidi"/>
      <w:sz w:val="18"/>
      <w:szCs w:val="18"/>
    </w:rPr>
  </w:style>
  <w:style w:type="paragraph" w:styleId="55">
    <w:name w:val="envelope return"/>
    <w:basedOn w:val="1"/>
    <w:qFormat/>
    <w:uiPriority w:val="0"/>
    <w:pPr>
      <w:widowControl w:val="0"/>
      <w:snapToGrid w:val="0"/>
      <w:spacing w:line="240" w:lineRule="auto"/>
      <w:jc w:val="both"/>
    </w:pPr>
    <w:rPr>
      <w:rFonts w:ascii="Arial" w:hAnsi="Arial" w:cs="Arial"/>
    </w:rPr>
  </w:style>
  <w:style w:type="paragraph" w:styleId="56">
    <w:name w:val="header"/>
    <w:basedOn w:val="1"/>
    <w:link w:val="73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57">
    <w:name w:val="Signature"/>
    <w:basedOn w:val="1"/>
    <w:link w:val="206"/>
    <w:qFormat/>
    <w:uiPriority w:val="0"/>
    <w:pPr>
      <w:widowControl w:val="0"/>
      <w:spacing w:line="240" w:lineRule="auto"/>
      <w:ind w:left="100" w:leftChars="2100"/>
      <w:jc w:val="both"/>
    </w:pPr>
    <w:rPr>
      <w:rFonts w:ascii="Calibri" w:hAnsi="Calibri"/>
    </w:rPr>
  </w:style>
  <w:style w:type="paragraph" w:styleId="58">
    <w:name w:val="toc 1"/>
    <w:basedOn w:val="1"/>
    <w:next w:val="1"/>
    <w:qFormat/>
    <w:uiPriority w:val="39"/>
    <w:pPr>
      <w:widowControl w:val="0"/>
      <w:spacing w:line="400" w:lineRule="exact"/>
      <w:jc w:val="both"/>
    </w:pPr>
    <w:rPr>
      <w:rFonts w:ascii="Calibri" w:hAnsi="Calibri"/>
      <w:sz w:val="24"/>
    </w:rPr>
  </w:style>
  <w:style w:type="paragraph" w:styleId="59">
    <w:name w:val="List Continue 4"/>
    <w:basedOn w:val="1"/>
    <w:qFormat/>
    <w:uiPriority w:val="0"/>
    <w:pPr>
      <w:widowControl w:val="0"/>
      <w:spacing w:after="120" w:line="240" w:lineRule="auto"/>
      <w:ind w:left="1680" w:leftChars="800"/>
      <w:jc w:val="both"/>
    </w:pPr>
    <w:rPr>
      <w:rFonts w:ascii="Calibri" w:hAnsi="Calibri"/>
    </w:rPr>
  </w:style>
  <w:style w:type="paragraph" w:styleId="60">
    <w:name w:val="toc 4"/>
    <w:basedOn w:val="1"/>
    <w:next w:val="1"/>
    <w:qFormat/>
    <w:uiPriority w:val="39"/>
    <w:pPr>
      <w:widowControl w:val="0"/>
      <w:spacing w:line="240" w:lineRule="auto"/>
      <w:ind w:left="1260" w:leftChars="600"/>
      <w:jc w:val="both"/>
    </w:pPr>
    <w:rPr>
      <w:rFonts w:ascii="Calibri" w:hAnsi="Calibri" w:eastAsia="微软雅黑"/>
    </w:rPr>
  </w:style>
  <w:style w:type="paragraph" w:styleId="61">
    <w:name w:val="index heading"/>
    <w:basedOn w:val="1"/>
    <w:next w:val="62"/>
    <w:qFormat/>
    <w:uiPriority w:val="0"/>
    <w:pPr>
      <w:widowControl w:val="0"/>
      <w:adjustRightInd w:val="0"/>
      <w:snapToGrid w:val="0"/>
      <w:spacing w:line="240" w:lineRule="auto"/>
      <w:jc w:val="both"/>
    </w:pPr>
    <w:rPr>
      <w:rFonts w:ascii="宋体" w:hAnsi="Calibri"/>
      <w:szCs w:val="20"/>
    </w:rPr>
  </w:style>
  <w:style w:type="paragraph" w:styleId="62">
    <w:name w:val="index 1"/>
    <w:basedOn w:val="1"/>
    <w:next w:val="1"/>
    <w:autoRedefine/>
    <w:qFormat/>
    <w:uiPriority w:val="0"/>
  </w:style>
  <w:style w:type="paragraph" w:styleId="63">
    <w:name w:val="Subtitle"/>
    <w:basedOn w:val="1"/>
    <w:link w:val="207"/>
    <w:qFormat/>
    <w:uiPriority w:val="0"/>
    <w:pPr>
      <w:widowControl w:val="0"/>
      <w:spacing w:before="240" w:after="60" w:line="312" w:lineRule="auto"/>
      <w:jc w:val="center"/>
      <w:outlineLvl w:val="1"/>
    </w:pPr>
    <w:rPr>
      <w:rFonts w:ascii="Arial" w:hAnsi="Arial"/>
      <w:b/>
      <w:bCs/>
      <w:kern w:val="28"/>
      <w:sz w:val="32"/>
      <w:szCs w:val="32"/>
    </w:rPr>
  </w:style>
  <w:style w:type="paragraph" w:styleId="64">
    <w:name w:val="List Number 5"/>
    <w:basedOn w:val="1"/>
    <w:qFormat/>
    <w:uiPriority w:val="0"/>
    <w:pPr>
      <w:widowControl w:val="0"/>
      <w:numPr>
        <w:ilvl w:val="0"/>
        <w:numId w:val="10"/>
      </w:numPr>
      <w:tabs>
        <w:tab w:val="left" w:pos="2040"/>
      </w:tabs>
      <w:spacing w:line="240" w:lineRule="auto"/>
      <w:jc w:val="both"/>
    </w:pPr>
    <w:rPr>
      <w:rFonts w:ascii="Calibri" w:hAnsi="Calibri"/>
    </w:rPr>
  </w:style>
  <w:style w:type="paragraph" w:styleId="65">
    <w:name w:val="List"/>
    <w:basedOn w:val="1"/>
    <w:qFormat/>
    <w:uiPriority w:val="0"/>
    <w:pPr>
      <w:widowControl w:val="0"/>
      <w:spacing w:line="240" w:lineRule="auto"/>
      <w:ind w:left="200" w:hanging="200" w:hangingChars="200"/>
      <w:jc w:val="both"/>
    </w:pPr>
    <w:rPr>
      <w:rFonts w:ascii="Calibri" w:hAnsi="Calibri"/>
    </w:rPr>
  </w:style>
  <w:style w:type="paragraph" w:styleId="66">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67">
    <w:name w:val="toc 6"/>
    <w:basedOn w:val="1"/>
    <w:next w:val="1"/>
    <w:qFormat/>
    <w:uiPriority w:val="39"/>
    <w:pPr>
      <w:widowControl w:val="0"/>
      <w:spacing w:line="240" w:lineRule="auto"/>
      <w:ind w:left="2100" w:leftChars="1000"/>
      <w:jc w:val="both"/>
    </w:pPr>
    <w:rPr>
      <w:rFonts w:ascii="Calibri" w:hAnsi="Calibri" w:eastAsia="微软雅黑"/>
      <w:szCs w:val="22"/>
    </w:rPr>
  </w:style>
  <w:style w:type="paragraph" w:styleId="68">
    <w:name w:val="List 5"/>
    <w:basedOn w:val="1"/>
    <w:qFormat/>
    <w:uiPriority w:val="0"/>
    <w:pPr>
      <w:widowControl w:val="0"/>
      <w:spacing w:line="240" w:lineRule="auto"/>
      <w:ind w:left="100" w:leftChars="800" w:hanging="200" w:hangingChars="200"/>
      <w:jc w:val="both"/>
    </w:pPr>
    <w:rPr>
      <w:rFonts w:ascii="Calibri" w:hAnsi="Calibri"/>
    </w:rPr>
  </w:style>
  <w:style w:type="paragraph" w:styleId="69">
    <w:name w:val="Body Text Indent 3"/>
    <w:basedOn w:val="1"/>
    <w:link w:val="208"/>
    <w:qFormat/>
    <w:uiPriority w:val="0"/>
    <w:pPr>
      <w:widowControl w:val="0"/>
      <w:spacing w:after="120" w:line="240" w:lineRule="auto"/>
      <w:ind w:left="420" w:leftChars="200"/>
      <w:jc w:val="both"/>
    </w:pPr>
    <w:rPr>
      <w:rFonts w:ascii="宋体" w:hAnsi="宋体"/>
      <w:sz w:val="16"/>
      <w:szCs w:val="16"/>
    </w:rPr>
  </w:style>
  <w:style w:type="paragraph" w:styleId="70">
    <w:name w:val="index 7"/>
    <w:basedOn w:val="1"/>
    <w:next w:val="1"/>
    <w:qFormat/>
    <w:uiPriority w:val="0"/>
    <w:pPr>
      <w:widowControl w:val="0"/>
      <w:adjustRightInd w:val="0"/>
      <w:snapToGrid w:val="0"/>
      <w:spacing w:line="240" w:lineRule="auto"/>
      <w:ind w:left="1200" w:leftChars="1200"/>
      <w:jc w:val="both"/>
    </w:pPr>
    <w:rPr>
      <w:rFonts w:ascii="宋体" w:hAnsi="Calibri"/>
      <w:szCs w:val="20"/>
    </w:rPr>
  </w:style>
  <w:style w:type="paragraph" w:styleId="71">
    <w:name w:val="index 9"/>
    <w:basedOn w:val="1"/>
    <w:next w:val="1"/>
    <w:qFormat/>
    <w:uiPriority w:val="0"/>
    <w:pPr>
      <w:widowControl w:val="0"/>
      <w:adjustRightInd w:val="0"/>
      <w:snapToGrid w:val="0"/>
      <w:spacing w:line="240" w:lineRule="auto"/>
      <w:ind w:left="1600" w:leftChars="1600"/>
      <w:jc w:val="both"/>
    </w:pPr>
    <w:rPr>
      <w:rFonts w:ascii="宋体" w:hAnsi="Calibri"/>
      <w:szCs w:val="20"/>
    </w:rPr>
  </w:style>
  <w:style w:type="paragraph" w:styleId="72">
    <w:name w:val="table of figures"/>
    <w:basedOn w:val="1"/>
    <w:next w:val="1"/>
    <w:qFormat/>
    <w:uiPriority w:val="0"/>
    <w:pPr>
      <w:ind w:left="200" w:leftChars="200" w:hanging="200" w:hangingChars="200"/>
    </w:pPr>
  </w:style>
  <w:style w:type="paragraph" w:styleId="73">
    <w:name w:val="toc 2"/>
    <w:basedOn w:val="1"/>
    <w:next w:val="1"/>
    <w:qFormat/>
    <w:uiPriority w:val="39"/>
    <w:pPr>
      <w:widowControl w:val="0"/>
      <w:tabs>
        <w:tab w:val="right" w:leader="dot" w:pos="9061"/>
      </w:tabs>
      <w:spacing w:line="400" w:lineRule="exact"/>
      <w:ind w:left="200" w:leftChars="200"/>
      <w:jc w:val="both"/>
    </w:pPr>
    <w:rPr>
      <w:rFonts w:ascii="Calibri" w:hAnsi="Calibri"/>
      <w:sz w:val="24"/>
    </w:rPr>
  </w:style>
  <w:style w:type="paragraph" w:styleId="74">
    <w:name w:val="toc 9"/>
    <w:basedOn w:val="1"/>
    <w:next w:val="1"/>
    <w:qFormat/>
    <w:uiPriority w:val="39"/>
    <w:pPr>
      <w:widowControl w:val="0"/>
      <w:spacing w:line="240" w:lineRule="auto"/>
      <w:ind w:left="3360" w:leftChars="1600"/>
      <w:jc w:val="both"/>
    </w:pPr>
    <w:rPr>
      <w:rFonts w:ascii="Calibri" w:hAnsi="Calibri" w:eastAsia="微软雅黑"/>
      <w:szCs w:val="22"/>
    </w:rPr>
  </w:style>
  <w:style w:type="paragraph" w:styleId="75">
    <w:name w:val="Body Text 2"/>
    <w:basedOn w:val="1"/>
    <w:link w:val="209"/>
    <w:qFormat/>
    <w:uiPriority w:val="0"/>
    <w:pPr>
      <w:widowControl w:val="0"/>
      <w:spacing w:after="120" w:line="480" w:lineRule="auto"/>
      <w:jc w:val="both"/>
    </w:pPr>
    <w:rPr>
      <w:rFonts w:ascii="Calibri" w:hAnsi="Calibri"/>
      <w:kern w:val="0"/>
      <w:sz w:val="20"/>
    </w:rPr>
  </w:style>
  <w:style w:type="paragraph" w:styleId="76">
    <w:name w:val="List 4"/>
    <w:basedOn w:val="1"/>
    <w:qFormat/>
    <w:uiPriority w:val="0"/>
    <w:pPr>
      <w:widowControl w:val="0"/>
      <w:spacing w:line="240" w:lineRule="auto"/>
      <w:ind w:left="100" w:leftChars="600" w:hanging="200" w:hangingChars="200"/>
      <w:jc w:val="both"/>
    </w:pPr>
    <w:rPr>
      <w:rFonts w:ascii="Calibri" w:hAnsi="Calibri"/>
    </w:rPr>
  </w:style>
  <w:style w:type="paragraph" w:styleId="77">
    <w:name w:val="List Continue 2"/>
    <w:basedOn w:val="1"/>
    <w:qFormat/>
    <w:uiPriority w:val="0"/>
    <w:pPr>
      <w:widowControl w:val="0"/>
      <w:spacing w:after="120" w:line="240" w:lineRule="auto"/>
      <w:ind w:left="840" w:leftChars="400"/>
      <w:jc w:val="both"/>
    </w:pPr>
    <w:rPr>
      <w:rFonts w:ascii="Calibri" w:hAnsi="Calibri"/>
    </w:rPr>
  </w:style>
  <w:style w:type="paragraph" w:styleId="78">
    <w:name w:val="Message Header"/>
    <w:basedOn w:val="1"/>
    <w:link w:val="210"/>
    <w:qFormat/>
    <w:uiPriority w:val="0"/>
    <w:pPr>
      <w:widowControl w:val="0"/>
      <w:pBdr>
        <w:top w:val="single" w:color="auto" w:sz="6" w:space="1"/>
        <w:left w:val="single" w:color="auto" w:sz="6" w:space="1"/>
        <w:bottom w:val="single" w:color="auto" w:sz="6" w:space="1"/>
        <w:right w:val="single" w:color="auto" w:sz="6" w:space="1"/>
      </w:pBdr>
      <w:shd w:val="pct20" w:color="auto" w:fill="auto"/>
      <w:spacing w:line="240" w:lineRule="auto"/>
      <w:ind w:left="1080" w:leftChars="500" w:hanging="1080" w:hangingChars="500"/>
      <w:jc w:val="both"/>
    </w:pPr>
    <w:rPr>
      <w:rFonts w:ascii="Arial" w:hAnsi="Arial"/>
      <w:sz w:val="24"/>
    </w:rPr>
  </w:style>
  <w:style w:type="paragraph" w:styleId="79">
    <w:name w:val="HTML Preformatted"/>
    <w:basedOn w:val="1"/>
    <w:link w:val="21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w:hAnsi="Arial"/>
      <w:kern w:val="0"/>
      <w:sz w:val="24"/>
    </w:rPr>
  </w:style>
  <w:style w:type="paragraph" w:styleId="80">
    <w:name w:val="Normal (Web)"/>
    <w:basedOn w:val="1"/>
    <w:link w:val="736"/>
    <w:unhideWhenUsed/>
    <w:qFormat/>
    <w:uiPriority w:val="0"/>
    <w:pPr>
      <w:spacing w:before="100" w:beforeAutospacing="1" w:after="100" w:afterAutospacing="1"/>
    </w:pPr>
    <w:rPr>
      <w:rFonts w:ascii="宋体" w:hAnsi="宋体" w:cs="宋体"/>
      <w:kern w:val="0"/>
      <w:sz w:val="24"/>
    </w:rPr>
  </w:style>
  <w:style w:type="paragraph" w:styleId="81">
    <w:name w:val="List Continue 3"/>
    <w:basedOn w:val="1"/>
    <w:qFormat/>
    <w:uiPriority w:val="0"/>
    <w:pPr>
      <w:widowControl w:val="0"/>
      <w:spacing w:after="120" w:line="240" w:lineRule="auto"/>
      <w:ind w:left="1260" w:leftChars="600"/>
      <w:jc w:val="both"/>
    </w:pPr>
    <w:rPr>
      <w:rFonts w:ascii="Calibri" w:hAnsi="Calibri"/>
    </w:rPr>
  </w:style>
  <w:style w:type="paragraph" w:styleId="82">
    <w:name w:val="index 2"/>
    <w:basedOn w:val="1"/>
    <w:next w:val="1"/>
    <w:qFormat/>
    <w:uiPriority w:val="0"/>
    <w:pPr>
      <w:widowControl w:val="0"/>
      <w:adjustRightInd w:val="0"/>
      <w:snapToGrid w:val="0"/>
      <w:spacing w:line="240" w:lineRule="auto"/>
      <w:ind w:left="200" w:leftChars="200"/>
      <w:jc w:val="both"/>
    </w:pPr>
    <w:rPr>
      <w:rFonts w:ascii="宋体" w:hAnsi="Calibri"/>
      <w:szCs w:val="20"/>
    </w:rPr>
  </w:style>
  <w:style w:type="paragraph" w:styleId="83">
    <w:name w:val="Title"/>
    <w:basedOn w:val="1"/>
    <w:link w:val="150"/>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84">
    <w:name w:val="annotation subject"/>
    <w:basedOn w:val="27"/>
    <w:next w:val="27"/>
    <w:link w:val="193"/>
    <w:qFormat/>
    <w:uiPriority w:val="0"/>
    <w:pPr>
      <w:widowControl w:val="0"/>
      <w:spacing w:line="240" w:lineRule="auto"/>
    </w:pPr>
    <w:rPr>
      <w:rFonts w:ascii="宋体" w:hAnsi="宋体"/>
      <w:b/>
      <w:bCs/>
    </w:rPr>
  </w:style>
  <w:style w:type="paragraph" w:styleId="85">
    <w:name w:val="Body Text First Indent 2"/>
    <w:basedOn w:val="34"/>
    <w:link w:val="156"/>
    <w:qFormat/>
    <w:uiPriority w:val="0"/>
    <w:pPr>
      <w:ind w:firstLine="420" w:firstLineChars="200"/>
    </w:pPr>
  </w:style>
  <w:style w:type="table" w:styleId="87">
    <w:name w:val="Table Grid"/>
    <w:basedOn w:val="8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8">
    <w:name w:val="Table Theme"/>
    <w:basedOn w:val="86"/>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9">
    <w:name w:val="Table Colorful 1"/>
    <w:basedOn w:val="86"/>
    <w:qFormat/>
    <w:uiPriority w:val="0"/>
    <w:pPr>
      <w:widowControl w:val="0"/>
      <w:jc w:val="both"/>
    </w:pPr>
    <w:rPr>
      <w:rFonts w:ascii="Calibri" w:hAnsi="Calibri" w:cs="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0">
    <w:name w:val="Table Colorful 2"/>
    <w:basedOn w:val="86"/>
    <w:qFormat/>
    <w:uiPriority w:val="0"/>
    <w:pPr>
      <w:widowControl w:val="0"/>
      <w:jc w:val="both"/>
    </w:pPr>
    <w:rPr>
      <w:rFonts w:ascii="Calibri" w:hAnsi="Calibri" w:cs="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1">
    <w:name w:val="Table Colorful 3"/>
    <w:basedOn w:val="86"/>
    <w:qFormat/>
    <w:uiPriority w:val="0"/>
    <w:pPr>
      <w:widowControl w:val="0"/>
      <w:jc w:val="both"/>
    </w:pPr>
    <w:rPr>
      <w:rFonts w:ascii="Calibri" w:hAnsi="Calibri" w:cs="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Elegant"/>
    <w:basedOn w:val="86"/>
    <w:qFormat/>
    <w:uiPriority w:val="0"/>
    <w:pPr>
      <w:widowControl w:val="0"/>
      <w:jc w:val="both"/>
    </w:pPr>
    <w:rPr>
      <w:rFonts w:ascii="Calibri" w:hAnsi="Calibri" w:cs="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3">
    <w:name w:val="Table Classic 1"/>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Classic 2"/>
    <w:basedOn w:val="86"/>
    <w:qFormat/>
    <w:uiPriority w:val="0"/>
    <w:pPr>
      <w:widowControl w:val="0"/>
      <w:jc w:val="both"/>
    </w:pPr>
    <w:rPr>
      <w:rFonts w:ascii="Calibri" w:hAnsi="Calibri" w:cs="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Classic 3"/>
    <w:basedOn w:val="86"/>
    <w:qFormat/>
    <w:uiPriority w:val="0"/>
    <w:pPr>
      <w:widowControl w:val="0"/>
      <w:jc w:val="both"/>
    </w:pPr>
    <w:rPr>
      <w:rFonts w:ascii="Calibri" w:hAnsi="Calibri" w:cs="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6">
    <w:name w:val="Table Classic 4"/>
    <w:basedOn w:val="86"/>
    <w:qFormat/>
    <w:uiPriority w:val="0"/>
    <w:pPr>
      <w:widowControl w:val="0"/>
      <w:jc w:val="both"/>
    </w:pPr>
    <w:rPr>
      <w:rFonts w:ascii="Calibri" w:hAnsi="Calibri" w:cs="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Simple 1"/>
    <w:basedOn w:val="86"/>
    <w:qFormat/>
    <w:uiPriority w:val="0"/>
    <w:pPr>
      <w:widowControl w:val="0"/>
      <w:jc w:val="both"/>
    </w:pPr>
    <w:rPr>
      <w:rFonts w:ascii="Calibri" w:hAnsi="Calibri" w:cs="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8">
    <w:name w:val="Table Simple 2"/>
    <w:basedOn w:val="86"/>
    <w:qFormat/>
    <w:uiPriority w:val="0"/>
    <w:pPr>
      <w:widowControl w:val="0"/>
      <w:jc w:val="both"/>
    </w:pPr>
    <w:rPr>
      <w:rFonts w:ascii="Calibri" w:hAnsi="Calibri" w:cs="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Simple 3"/>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0">
    <w:name w:val="Table Subtle 1"/>
    <w:basedOn w:val="86"/>
    <w:qFormat/>
    <w:uiPriority w:val="0"/>
    <w:pPr>
      <w:widowControl w:val="0"/>
      <w:jc w:val="both"/>
    </w:pPr>
    <w:rPr>
      <w:rFonts w:ascii="Calibri" w:hAnsi="Calibri" w:cs="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ubtle 2"/>
    <w:basedOn w:val="86"/>
    <w:qFormat/>
    <w:uiPriority w:val="0"/>
    <w:pPr>
      <w:widowControl w:val="0"/>
      <w:jc w:val="both"/>
    </w:pPr>
    <w:rPr>
      <w:rFonts w:ascii="Calibri" w:hAnsi="Calibri" w:cs="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2">
    <w:name w:val="Table List 1"/>
    <w:basedOn w:val="86"/>
    <w:qFormat/>
    <w:uiPriority w:val="0"/>
    <w:pPr>
      <w:widowControl w:val="0"/>
      <w:jc w:val="both"/>
    </w:pPr>
    <w:rPr>
      <w:rFonts w:ascii="Calibri" w:hAnsi="Calibri" w:cs="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List 2"/>
    <w:basedOn w:val="86"/>
    <w:qFormat/>
    <w:uiPriority w:val="0"/>
    <w:pPr>
      <w:widowControl w:val="0"/>
      <w:jc w:val="both"/>
    </w:pPr>
    <w:rPr>
      <w:rFonts w:ascii="Calibri" w:hAnsi="Calibri" w:cs="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3"/>
    <w:basedOn w:val="86"/>
    <w:qFormat/>
    <w:uiPriority w:val="0"/>
    <w:pPr>
      <w:widowControl w:val="0"/>
      <w:jc w:val="both"/>
    </w:pPr>
    <w:rPr>
      <w:rFonts w:ascii="Calibri" w:hAnsi="Calibri" w:cs="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5">
    <w:name w:val="Table List 4"/>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6">
    <w:name w:val="Table List 5"/>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7">
    <w:name w:val="Table List 6"/>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8">
    <w:name w:val="Table List 7"/>
    <w:basedOn w:val="86"/>
    <w:qFormat/>
    <w:uiPriority w:val="0"/>
    <w:pPr>
      <w:widowControl w:val="0"/>
      <w:jc w:val="both"/>
    </w:pPr>
    <w:rPr>
      <w:rFonts w:ascii="Calibri" w:hAnsi="Calibri" w:cs="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9">
    <w:name w:val="Table List 8"/>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0">
    <w:name w:val="Table Contemporary"/>
    <w:basedOn w:val="86"/>
    <w:qFormat/>
    <w:uiPriority w:val="0"/>
    <w:pPr>
      <w:widowControl w:val="0"/>
      <w:jc w:val="both"/>
    </w:pPr>
    <w:rPr>
      <w:rFonts w:ascii="Calibri" w:hAnsi="Calibri" w:cs="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1">
    <w:name w:val="Table Columns 1"/>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2">
    <w:name w:val="Table Columns 2"/>
    <w:basedOn w:val="86"/>
    <w:qFormat/>
    <w:uiPriority w:val="0"/>
    <w:pPr>
      <w:widowControl w:val="0"/>
      <w:jc w:val="both"/>
    </w:pPr>
    <w:rPr>
      <w:rFonts w:ascii="Calibri" w:hAnsi="Calibri" w:cs="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3">
    <w:name w:val="Table Columns 3"/>
    <w:basedOn w:val="86"/>
    <w:qFormat/>
    <w:uiPriority w:val="0"/>
    <w:pPr>
      <w:widowControl w:val="0"/>
      <w:jc w:val="both"/>
    </w:pPr>
    <w:rPr>
      <w:rFonts w:ascii="Calibri" w:hAnsi="Calibri" w:cs="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4">
    <w:name w:val="Table Columns 4"/>
    <w:basedOn w:val="86"/>
    <w:qFormat/>
    <w:uiPriority w:val="0"/>
    <w:pPr>
      <w:widowControl w:val="0"/>
      <w:jc w:val="both"/>
    </w:pPr>
    <w:rPr>
      <w:rFonts w:ascii="Calibri" w:hAnsi="Calibri" w:cs="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5">
    <w:name w:val="Table Columns 5"/>
    <w:basedOn w:val="86"/>
    <w:qFormat/>
    <w:uiPriority w:val="0"/>
    <w:pPr>
      <w:widowControl w:val="0"/>
      <w:jc w:val="both"/>
    </w:pPr>
    <w:rPr>
      <w:rFonts w:ascii="Calibri" w:hAnsi="Calibri" w:cs="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6">
    <w:name w:val="Table Grid 1"/>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2"/>
    <w:basedOn w:val="86"/>
    <w:qFormat/>
    <w:uiPriority w:val="0"/>
    <w:pPr>
      <w:widowControl w:val="0"/>
      <w:jc w:val="both"/>
    </w:pPr>
    <w:rPr>
      <w:rFonts w:ascii="Calibri" w:hAnsi="Calibri" w:cs="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8">
    <w:name w:val="Table Grid 3"/>
    <w:basedOn w:val="86"/>
    <w:qFormat/>
    <w:uiPriority w:val="0"/>
    <w:pPr>
      <w:widowControl w:val="0"/>
      <w:jc w:val="both"/>
    </w:pPr>
    <w:rPr>
      <w:rFonts w:ascii="Calibri" w:hAnsi="Calibri" w:cs="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4"/>
    <w:basedOn w:val="86"/>
    <w:qFormat/>
    <w:uiPriority w:val="0"/>
    <w:pPr>
      <w:widowControl w:val="0"/>
      <w:jc w:val="both"/>
    </w:pPr>
    <w:rPr>
      <w:rFonts w:ascii="Calibri" w:hAnsi="Calibri" w:cs="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0">
    <w:name w:val="Table Grid 5"/>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6"/>
    <w:basedOn w:val="86"/>
    <w:qFormat/>
    <w:uiPriority w:val="0"/>
    <w:pPr>
      <w:widowControl w:val="0"/>
      <w:jc w:val="both"/>
    </w:pPr>
    <w:rPr>
      <w:rFonts w:ascii="Calibri" w:hAnsi="Calibri" w:cs="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2">
    <w:name w:val="Table Grid 7"/>
    <w:basedOn w:val="86"/>
    <w:qFormat/>
    <w:uiPriority w:val="0"/>
    <w:pPr>
      <w:widowControl w:val="0"/>
      <w:jc w:val="both"/>
    </w:pPr>
    <w:rPr>
      <w:rFonts w:ascii="Calibri" w:hAnsi="Calibri" w:cs="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8"/>
    <w:basedOn w:val="86"/>
    <w:qFormat/>
    <w:uiPriority w:val="0"/>
    <w:pPr>
      <w:widowControl w:val="0"/>
      <w:jc w:val="both"/>
    </w:pPr>
    <w:rPr>
      <w:rFonts w:ascii="Calibri" w:hAnsi="Calibri" w:cs="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4">
    <w:name w:val="Table Web 1"/>
    <w:basedOn w:val="86"/>
    <w:qFormat/>
    <w:uiPriority w:val="0"/>
    <w:pPr>
      <w:widowControl w:val="0"/>
      <w:jc w:val="both"/>
    </w:pPr>
    <w:rPr>
      <w:rFonts w:ascii="Calibri" w:hAnsi="Calibri" w:cs="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5">
    <w:name w:val="Table Web 2"/>
    <w:basedOn w:val="86"/>
    <w:qFormat/>
    <w:uiPriority w:val="0"/>
    <w:pPr>
      <w:widowControl w:val="0"/>
      <w:jc w:val="both"/>
    </w:pPr>
    <w:rPr>
      <w:rFonts w:ascii="Calibri" w:hAnsi="Calibri" w:cs="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6">
    <w:name w:val="Table Web 3"/>
    <w:basedOn w:val="86"/>
    <w:qFormat/>
    <w:uiPriority w:val="0"/>
    <w:pPr>
      <w:widowControl w:val="0"/>
      <w:jc w:val="both"/>
    </w:pPr>
    <w:rPr>
      <w:rFonts w:ascii="Calibri" w:hAnsi="Calibri" w:cs="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Professional"/>
    <w:basedOn w:val="86"/>
    <w:qFormat/>
    <w:uiPriority w:val="0"/>
    <w:pPr>
      <w:widowControl w:val="0"/>
      <w:jc w:val="both"/>
    </w:pPr>
    <w:rPr>
      <w:rFonts w:ascii="Calibri" w:hAnsi="Calibri" w:cs="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9">
    <w:name w:val="Strong"/>
    <w:qFormat/>
    <w:uiPriority w:val="22"/>
    <w:rPr>
      <w:b/>
      <w:bCs/>
    </w:rPr>
  </w:style>
  <w:style w:type="character" w:styleId="130">
    <w:name w:val="endnote reference"/>
    <w:qFormat/>
    <w:uiPriority w:val="0"/>
    <w:rPr>
      <w:vertAlign w:val="superscript"/>
    </w:rPr>
  </w:style>
  <w:style w:type="character" w:styleId="131">
    <w:name w:val="page number"/>
    <w:qFormat/>
    <w:uiPriority w:val="0"/>
  </w:style>
  <w:style w:type="character" w:styleId="132">
    <w:name w:val="FollowedHyperlink"/>
    <w:qFormat/>
    <w:uiPriority w:val="0"/>
    <w:rPr>
      <w:color w:val="800080"/>
      <w:u w:val="none"/>
    </w:rPr>
  </w:style>
  <w:style w:type="character" w:styleId="133">
    <w:name w:val="Emphasis"/>
    <w:qFormat/>
    <w:uiPriority w:val="0"/>
  </w:style>
  <w:style w:type="character" w:styleId="134">
    <w:name w:val="line number"/>
    <w:qFormat/>
    <w:uiPriority w:val="0"/>
  </w:style>
  <w:style w:type="character" w:styleId="135">
    <w:name w:val="HTML Definition"/>
    <w:qFormat/>
    <w:uiPriority w:val="0"/>
  </w:style>
  <w:style w:type="character" w:styleId="136">
    <w:name w:val="HTML Typewriter"/>
    <w:qFormat/>
    <w:uiPriority w:val="0"/>
    <w:rPr>
      <w:rFonts w:ascii="Courier New" w:hAnsi="Courier New" w:cs="Courier New"/>
      <w:sz w:val="20"/>
      <w:szCs w:val="20"/>
    </w:rPr>
  </w:style>
  <w:style w:type="character" w:styleId="137">
    <w:name w:val="HTML Acronym"/>
    <w:qFormat/>
    <w:uiPriority w:val="0"/>
  </w:style>
  <w:style w:type="character" w:styleId="138">
    <w:name w:val="HTML Variable"/>
    <w:qFormat/>
    <w:uiPriority w:val="0"/>
  </w:style>
  <w:style w:type="character" w:styleId="139">
    <w:name w:val="Hyperlink"/>
    <w:qFormat/>
    <w:uiPriority w:val="99"/>
    <w:rPr>
      <w:color w:val="136EC2"/>
      <w:u w:val="single"/>
    </w:rPr>
  </w:style>
  <w:style w:type="character" w:styleId="140">
    <w:name w:val="HTML Code"/>
    <w:qFormat/>
    <w:uiPriority w:val="0"/>
    <w:rPr>
      <w:rFonts w:hint="default" w:ascii="Courier New" w:hAnsi="Courier New" w:eastAsia="Courier New" w:cs="Courier New"/>
      <w:sz w:val="20"/>
    </w:rPr>
  </w:style>
  <w:style w:type="character" w:styleId="141">
    <w:name w:val="annotation reference"/>
    <w:qFormat/>
    <w:uiPriority w:val="0"/>
    <w:rPr>
      <w:sz w:val="21"/>
      <w:szCs w:val="21"/>
    </w:rPr>
  </w:style>
  <w:style w:type="character" w:styleId="142">
    <w:name w:val="HTML Cite"/>
    <w:qFormat/>
    <w:uiPriority w:val="0"/>
  </w:style>
  <w:style w:type="character" w:styleId="143">
    <w:name w:val="footnote reference"/>
    <w:qFormat/>
    <w:uiPriority w:val="0"/>
    <w:rPr>
      <w:vertAlign w:val="superscript"/>
    </w:rPr>
  </w:style>
  <w:style w:type="character" w:styleId="144">
    <w:name w:val="HTML Keyboard"/>
    <w:qFormat/>
    <w:uiPriority w:val="0"/>
    <w:rPr>
      <w:rFonts w:ascii="Courier New" w:hAnsi="Courier New" w:eastAsia="Courier New" w:cs="Courier New"/>
      <w:sz w:val="20"/>
    </w:rPr>
  </w:style>
  <w:style w:type="character" w:styleId="145">
    <w:name w:val="HTML Sample"/>
    <w:qFormat/>
    <w:uiPriority w:val="0"/>
    <w:rPr>
      <w:rFonts w:hint="default" w:ascii="Courier New" w:hAnsi="Courier New" w:eastAsia="Courier New" w:cs="Courier New"/>
    </w:rPr>
  </w:style>
  <w:style w:type="paragraph" w:customStyle="1" w:styleId="146">
    <w:name w:val="style4"/>
    <w:basedOn w:val="147"/>
    <w:next w:val="148"/>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2"/>
    <w:basedOn w:val="1"/>
    <w:next w:val="1"/>
    <w:autoRedefine/>
    <w:qFormat/>
    <w:uiPriority w:val="0"/>
    <w:pPr>
      <w:adjustRightInd w:val="0"/>
      <w:spacing w:line="420" w:lineRule="atLeast"/>
      <w:ind w:left="1134" w:hanging="227"/>
      <w:textAlignment w:val="baseline"/>
    </w:pPr>
    <w:rPr>
      <w:kern w:val="0"/>
      <w:szCs w:val="20"/>
    </w:rPr>
  </w:style>
  <w:style w:type="paragraph" w:customStyle="1" w:styleId="149">
    <w:name w:val="段"/>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150">
    <w:name w:val="标题 字符"/>
    <w:basedOn w:val="128"/>
    <w:link w:val="83"/>
    <w:qFormat/>
    <w:uiPriority w:val="0"/>
    <w:rPr>
      <w:rFonts w:ascii="Arial" w:hAnsi="Arial"/>
      <w:b/>
      <w:kern w:val="0"/>
      <w:sz w:val="32"/>
      <w:szCs w:val="20"/>
    </w:rPr>
  </w:style>
  <w:style w:type="paragraph" w:customStyle="1" w:styleId="151">
    <w:name w:val="一级条标题"/>
    <w:next w:val="149"/>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paragraph" w:styleId="152">
    <w:name w:val="List Paragraph"/>
    <w:basedOn w:val="1"/>
    <w:qFormat/>
    <w:uiPriority w:val="1"/>
    <w:pPr>
      <w:ind w:firstLine="420" w:firstLineChars="200"/>
    </w:pPr>
    <w:rPr>
      <w:rFonts w:ascii="宋体" w:hAnsi="宋体" w:cs="宋体"/>
      <w:kern w:val="0"/>
      <w:sz w:val="24"/>
    </w:rPr>
  </w:style>
  <w:style w:type="paragraph" w:customStyle="1" w:styleId="15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54">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55">
    <w:name w:val="正文文本缩进 字符"/>
    <w:basedOn w:val="128"/>
    <w:link w:val="34"/>
    <w:qFormat/>
    <w:uiPriority w:val="0"/>
    <w:rPr>
      <w:rFonts w:hint="default" w:ascii="Calibri" w:hAnsi="Calibri" w:cs="Calibri"/>
      <w:kern w:val="2"/>
      <w:sz w:val="21"/>
      <w:szCs w:val="24"/>
    </w:rPr>
  </w:style>
  <w:style w:type="character" w:customStyle="1" w:styleId="156">
    <w:name w:val="正文文本首行缩进 2 字符"/>
    <w:basedOn w:val="155"/>
    <w:link w:val="85"/>
    <w:qFormat/>
    <w:uiPriority w:val="0"/>
    <w:rPr>
      <w:rFonts w:hint="default" w:ascii="Calibri" w:hAnsi="Calibri" w:cs="Calibri"/>
      <w:kern w:val="2"/>
      <w:sz w:val="21"/>
      <w:szCs w:val="24"/>
    </w:rPr>
  </w:style>
  <w:style w:type="character" w:customStyle="1" w:styleId="157">
    <w:name w:val="脚注文本 Char"/>
    <w:basedOn w:val="128"/>
    <w:qFormat/>
    <w:uiPriority w:val="0"/>
    <w:rPr>
      <w:rFonts w:hint="eastAsia" w:ascii="宋体" w:hAnsi="宋体" w:eastAsia="宋体" w:cs="宋体"/>
      <w:sz w:val="18"/>
      <w:szCs w:val="18"/>
    </w:rPr>
  </w:style>
  <w:style w:type="character" w:customStyle="1" w:styleId="158">
    <w:name w:val="脚注文本 字符"/>
    <w:basedOn w:val="128"/>
    <w:link w:val="66"/>
    <w:qFormat/>
    <w:uiPriority w:val="0"/>
    <w:rPr>
      <w:rFonts w:hint="eastAsia" w:ascii="宋体" w:hAnsi="宋体" w:eastAsia="宋体" w:cs="宋体"/>
      <w:sz w:val="18"/>
      <w:szCs w:val="18"/>
    </w:rPr>
  </w:style>
  <w:style w:type="paragraph" w:customStyle="1" w:styleId="159">
    <w:name w:val="列出段落1"/>
    <w:basedOn w:val="1"/>
    <w:qFormat/>
    <w:uiPriority w:val="0"/>
    <w:pPr>
      <w:ind w:firstLine="420" w:firstLineChars="200"/>
    </w:pPr>
    <w:rPr>
      <w:szCs w:val="22"/>
    </w:rPr>
  </w:style>
  <w:style w:type="paragraph" w:customStyle="1" w:styleId="160">
    <w:name w:val="Normal_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1">
    <w:name w:val="Normal_48"/>
    <w:qFormat/>
    <w:uiPriority w:val="0"/>
    <w:pPr>
      <w:spacing w:before="120" w:after="240"/>
      <w:jc w:val="both"/>
    </w:pPr>
    <w:rPr>
      <w:rFonts w:ascii="Calibri" w:hAnsi="Calibri" w:eastAsia="Calibri" w:cs="Times New Roman"/>
      <w:sz w:val="22"/>
      <w:szCs w:val="22"/>
      <w:lang w:val="en-US" w:eastAsia="en-US" w:bidi="ar-SA"/>
    </w:rPr>
  </w:style>
  <w:style w:type="paragraph" w:customStyle="1" w:styleId="162">
    <w:name w:val="Normal_49"/>
    <w:qFormat/>
    <w:uiPriority w:val="0"/>
    <w:pPr>
      <w:spacing w:before="120" w:after="240"/>
      <w:jc w:val="both"/>
    </w:pPr>
    <w:rPr>
      <w:rFonts w:ascii="Calibri" w:hAnsi="Calibri" w:eastAsia="Calibri" w:cs="Times New Roman"/>
      <w:sz w:val="22"/>
      <w:szCs w:val="22"/>
      <w:lang w:val="en-US" w:eastAsia="en-US" w:bidi="ar-SA"/>
    </w:rPr>
  </w:style>
  <w:style w:type="paragraph" w:customStyle="1" w:styleId="163">
    <w:name w:val="Normal_47"/>
    <w:qFormat/>
    <w:uiPriority w:val="0"/>
    <w:pPr>
      <w:spacing w:before="120" w:after="240"/>
      <w:jc w:val="both"/>
    </w:pPr>
    <w:rPr>
      <w:rFonts w:ascii="Calibri" w:hAnsi="Calibri" w:eastAsia="Calibri" w:cs="Times New Roman"/>
      <w:sz w:val="22"/>
      <w:szCs w:val="22"/>
      <w:lang w:val="en-US" w:eastAsia="en-US" w:bidi="ar-SA"/>
    </w:rPr>
  </w:style>
  <w:style w:type="paragraph" w:customStyle="1" w:styleId="164">
    <w:name w:val="Normal_43"/>
    <w:qFormat/>
    <w:uiPriority w:val="0"/>
    <w:pPr>
      <w:spacing w:before="120" w:after="240"/>
      <w:jc w:val="both"/>
    </w:pPr>
    <w:rPr>
      <w:rFonts w:ascii="Calibri" w:hAnsi="Calibri" w:eastAsia="Calibri" w:cs="Times New Roman"/>
      <w:sz w:val="22"/>
      <w:szCs w:val="22"/>
      <w:lang w:val="en-US" w:eastAsia="en-US" w:bidi="ar-SA"/>
    </w:rPr>
  </w:style>
  <w:style w:type="paragraph" w:customStyle="1" w:styleId="165">
    <w:name w:val="Normal_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6">
    <w:name w:val="Normal_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7">
    <w:name w:val="Normal_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8">
    <w:name w:val="Normal_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69">
    <w:name w:val="Normal_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0">
    <w:name w:val="Normal_5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1">
    <w:name w:val="Normal_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2">
    <w:name w:val="Normal_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3">
    <w:name w:val="Normal_8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4">
    <w:name w:val="Normal_9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5">
    <w:name w:val="Normal_11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6">
    <w:name w:val="Normal_1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7">
    <w:name w:val="Normal_1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8">
    <w:name w:val="Normal_12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79">
    <w:name w:val="Normal_1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0">
    <w:name w:val="Normal_16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1">
    <w:name w:val="Normal_17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2">
    <w:name w:val="Normal_20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3">
    <w:name w:val="Normal_24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4">
    <w:name w:val="Normal_23_0"/>
    <w:qFormat/>
    <w:uiPriority w:val="0"/>
    <w:pPr>
      <w:spacing w:before="120" w:after="240"/>
      <w:jc w:val="both"/>
    </w:pPr>
    <w:rPr>
      <w:rFonts w:ascii="Calibri" w:hAnsi="Calibri" w:eastAsia="Calibri" w:cs="Times New Roman"/>
      <w:sz w:val="22"/>
      <w:szCs w:val="22"/>
      <w:lang w:val="en-US" w:eastAsia="en-US" w:bidi="ar-SA"/>
    </w:rPr>
  </w:style>
  <w:style w:type="paragraph" w:customStyle="1" w:styleId="185">
    <w:name w:val="正文_1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86">
    <w:name w:val="标题 2 字符"/>
    <w:basedOn w:val="128"/>
    <w:link w:val="3"/>
    <w:qFormat/>
    <w:uiPriority w:val="0"/>
    <w:rPr>
      <w:rFonts w:ascii="Arial" w:hAnsi="Arial"/>
      <w:b/>
      <w:bCs/>
      <w:kern w:val="2"/>
      <w:sz w:val="32"/>
      <w:szCs w:val="32"/>
    </w:rPr>
  </w:style>
  <w:style w:type="character" w:customStyle="1" w:styleId="187">
    <w:name w:val="标题 5 字符"/>
    <w:basedOn w:val="128"/>
    <w:link w:val="6"/>
    <w:qFormat/>
    <w:uiPriority w:val="0"/>
    <w:rPr>
      <w:rFonts w:ascii="Calibri" w:hAnsi="Calibri"/>
      <w:b/>
      <w:bCs/>
      <w:sz w:val="28"/>
      <w:szCs w:val="28"/>
    </w:rPr>
  </w:style>
  <w:style w:type="character" w:customStyle="1" w:styleId="188">
    <w:name w:val="标题 6 字符"/>
    <w:basedOn w:val="128"/>
    <w:link w:val="7"/>
    <w:qFormat/>
    <w:uiPriority w:val="0"/>
    <w:rPr>
      <w:rFonts w:ascii="Arial" w:hAnsi="Arial" w:eastAsia="黑体"/>
      <w:b/>
      <w:bCs/>
      <w:sz w:val="24"/>
      <w:szCs w:val="24"/>
    </w:rPr>
  </w:style>
  <w:style w:type="character" w:customStyle="1" w:styleId="189">
    <w:name w:val="标题 7 字符"/>
    <w:basedOn w:val="128"/>
    <w:link w:val="8"/>
    <w:qFormat/>
    <w:uiPriority w:val="1"/>
    <w:rPr>
      <w:rFonts w:ascii="Calibri" w:hAnsi="Calibri"/>
      <w:b/>
      <w:bCs/>
      <w:sz w:val="24"/>
      <w:szCs w:val="24"/>
    </w:rPr>
  </w:style>
  <w:style w:type="character" w:customStyle="1" w:styleId="190">
    <w:name w:val="标题 8 字符"/>
    <w:basedOn w:val="128"/>
    <w:link w:val="9"/>
    <w:qFormat/>
    <w:uiPriority w:val="0"/>
    <w:rPr>
      <w:rFonts w:ascii="Arial" w:hAnsi="Arial" w:eastAsia="黑体"/>
      <w:sz w:val="24"/>
      <w:szCs w:val="24"/>
    </w:rPr>
  </w:style>
  <w:style w:type="character" w:customStyle="1" w:styleId="191">
    <w:name w:val="标题 9 字符"/>
    <w:basedOn w:val="128"/>
    <w:link w:val="10"/>
    <w:qFormat/>
    <w:uiPriority w:val="0"/>
    <w:rPr>
      <w:rFonts w:ascii="Arial" w:hAnsi="Arial" w:eastAsia="黑体"/>
      <w:sz w:val="21"/>
      <w:szCs w:val="21"/>
    </w:rPr>
  </w:style>
  <w:style w:type="character" w:customStyle="1" w:styleId="192">
    <w:name w:val="批注文字 字符"/>
    <w:basedOn w:val="128"/>
    <w:link w:val="27"/>
    <w:qFormat/>
    <w:uiPriority w:val="0"/>
    <w:rPr>
      <w:kern w:val="2"/>
      <w:sz w:val="21"/>
      <w:szCs w:val="24"/>
    </w:rPr>
  </w:style>
  <w:style w:type="character" w:customStyle="1" w:styleId="193">
    <w:name w:val="批注主题 字符"/>
    <w:basedOn w:val="192"/>
    <w:link w:val="84"/>
    <w:qFormat/>
    <w:uiPriority w:val="0"/>
    <w:rPr>
      <w:rFonts w:ascii="宋体" w:hAnsi="宋体"/>
      <w:b/>
      <w:bCs/>
      <w:kern w:val="2"/>
      <w:sz w:val="21"/>
      <w:szCs w:val="24"/>
    </w:rPr>
  </w:style>
  <w:style w:type="character" w:customStyle="1" w:styleId="194">
    <w:name w:val="注释标题 字符"/>
    <w:basedOn w:val="128"/>
    <w:link w:val="15"/>
    <w:qFormat/>
    <w:uiPriority w:val="0"/>
    <w:rPr>
      <w:rFonts w:ascii="Calibri" w:hAnsi="Calibri"/>
      <w:kern w:val="2"/>
      <w:sz w:val="21"/>
      <w:szCs w:val="24"/>
    </w:rPr>
  </w:style>
  <w:style w:type="character" w:customStyle="1" w:styleId="195">
    <w:name w:val="电子邮件签名 字符"/>
    <w:basedOn w:val="128"/>
    <w:link w:val="18"/>
    <w:qFormat/>
    <w:uiPriority w:val="0"/>
    <w:rPr>
      <w:rFonts w:ascii="Calibri" w:hAnsi="Calibri"/>
      <w:kern w:val="2"/>
      <w:sz w:val="21"/>
      <w:szCs w:val="24"/>
    </w:rPr>
  </w:style>
  <w:style w:type="character" w:customStyle="1" w:styleId="196">
    <w:name w:val="文档结构图 字符"/>
    <w:basedOn w:val="128"/>
    <w:link w:val="25"/>
    <w:qFormat/>
    <w:uiPriority w:val="0"/>
    <w:rPr>
      <w:rFonts w:ascii="Calibri" w:hAnsi="Calibri"/>
      <w:szCs w:val="24"/>
      <w:shd w:val="clear" w:color="auto" w:fill="000080"/>
    </w:rPr>
  </w:style>
  <w:style w:type="character" w:customStyle="1" w:styleId="197">
    <w:name w:val="称呼 字符"/>
    <w:basedOn w:val="128"/>
    <w:link w:val="29"/>
    <w:qFormat/>
    <w:uiPriority w:val="0"/>
    <w:rPr>
      <w:rFonts w:ascii="仿宋_GB2312" w:hAnsi="Calibri" w:eastAsia="仿宋_GB2312"/>
      <w:sz w:val="24"/>
      <w:szCs w:val="24"/>
    </w:rPr>
  </w:style>
  <w:style w:type="character" w:customStyle="1" w:styleId="198">
    <w:name w:val="正文文本 3 字符"/>
    <w:basedOn w:val="128"/>
    <w:link w:val="30"/>
    <w:qFormat/>
    <w:uiPriority w:val="0"/>
    <w:rPr>
      <w:rFonts w:ascii="宋体" w:hAnsi="Calibri"/>
      <w:color w:val="000000"/>
      <w:sz w:val="24"/>
    </w:rPr>
  </w:style>
  <w:style w:type="character" w:customStyle="1" w:styleId="199">
    <w:name w:val="结束语 字符"/>
    <w:basedOn w:val="128"/>
    <w:link w:val="31"/>
    <w:qFormat/>
    <w:uiPriority w:val="0"/>
    <w:rPr>
      <w:rFonts w:ascii="Calibri" w:hAnsi="Calibri"/>
      <w:kern w:val="2"/>
      <w:sz w:val="21"/>
      <w:szCs w:val="24"/>
    </w:rPr>
  </w:style>
  <w:style w:type="character" w:customStyle="1" w:styleId="200">
    <w:name w:val="HTML 地址 字符"/>
    <w:basedOn w:val="128"/>
    <w:link w:val="40"/>
    <w:qFormat/>
    <w:uiPriority w:val="0"/>
    <w:rPr>
      <w:rFonts w:ascii="Calibri" w:hAnsi="Calibri"/>
      <w:i/>
      <w:iCs/>
      <w:kern w:val="2"/>
      <w:sz w:val="21"/>
      <w:szCs w:val="24"/>
    </w:rPr>
  </w:style>
  <w:style w:type="character" w:customStyle="1" w:styleId="201">
    <w:name w:val="纯文本 字符"/>
    <w:basedOn w:val="128"/>
    <w:qFormat/>
    <w:uiPriority w:val="0"/>
    <w:rPr>
      <w:rFonts w:hAnsi="Courier New" w:cs="Courier New" w:asciiTheme="minorEastAsia" w:eastAsiaTheme="minorEastAsia"/>
      <w:kern w:val="2"/>
      <w:sz w:val="21"/>
      <w:szCs w:val="24"/>
    </w:rPr>
  </w:style>
  <w:style w:type="character" w:customStyle="1" w:styleId="202">
    <w:name w:val="日期 字符"/>
    <w:basedOn w:val="128"/>
    <w:qFormat/>
    <w:uiPriority w:val="0"/>
    <w:rPr>
      <w:kern w:val="2"/>
      <w:sz w:val="21"/>
      <w:szCs w:val="24"/>
    </w:rPr>
  </w:style>
  <w:style w:type="character" w:customStyle="1" w:styleId="203">
    <w:name w:val="正文文本缩进 2 字符"/>
    <w:basedOn w:val="128"/>
    <w:link w:val="50"/>
    <w:qFormat/>
    <w:uiPriority w:val="0"/>
    <w:rPr>
      <w:rFonts w:ascii="Calibri" w:hAnsi="Calibri"/>
      <w:szCs w:val="24"/>
    </w:rPr>
  </w:style>
  <w:style w:type="character" w:customStyle="1" w:styleId="204">
    <w:name w:val="尾注文本 字符"/>
    <w:basedOn w:val="128"/>
    <w:link w:val="51"/>
    <w:qFormat/>
    <w:uiPriority w:val="0"/>
    <w:rPr>
      <w:rFonts w:ascii="宋体" w:hAnsi="Calibri"/>
      <w:sz w:val="24"/>
    </w:rPr>
  </w:style>
  <w:style w:type="character" w:customStyle="1" w:styleId="205">
    <w:name w:val="批注框文本 字符"/>
    <w:basedOn w:val="128"/>
    <w:link w:val="53"/>
    <w:qFormat/>
    <w:uiPriority w:val="99"/>
    <w:rPr>
      <w:rFonts w:ascii="Calibri" w:hAnsi="Calibri"/>
      <w:kern w:val="2"/>
      <w:sz w:val="18"/>
      <w:szCs w:val="18"/>
    </w:rPr>
  </w:style>
  <w:style w:type="character" w:customStyle="1" w:styleId="206">
    <w:name w:val="签名 字符"/>
    <w:basedOn w:val="128"/>
    <w:link w:val="57"/>
    <w:qFormat/>
    <w:uiPriority w:val="0"/>
    <w:rPr>
      <w:rFonts w:ascii="Calibri" w:hAnsi="Calibri"/>
      <w:kern w:val="2"/>
      <w:sz w:val="21"/>
      <w:szCs w:val="24"/>
    </w:rPr>
  </w:style>
  <w:style w:type="character" w:customStyle="1" w:styleId="207">
    <w:name w:val="副标题 字符"/>
    <w:basedOn w:val="128"/>
    <w:link w:val="63"/>
    <w:qFormat/>
    <w:uiPriority w:val="0"/>
    <w:rPr>
      <w:rFonts w:ascii="Arial" w:hAnsi="Arial"/>
      <w:b/>
      <w:bCs/>
      <w:kern w:val="28"/>
      <w:sz w:val="32"/>
      <w:szCs w:val="32"/>
    </w:rPr>
  </w:style>
  <w:style w:type="character" w:customStyle="1" w:styleId="208">
    <w:name w:val="正文文本缩进 3 字符"/>
    <w:basedOn w:val="128"/>
    <w:link w:val="69"/>
    <w:qFormat/>
    <w:uiPriority w:val="0"/>
    <w:rPr>
      <w:rFonts w:ascii="宋体" w:hAnsi="宋体"/>
      <w:kern w:val="2"/>
      <w:sz w:val="16"/>
      <w:szCs w:val="16"/>
    </w:rPr>
  </w:style>
  <w:style w:type="character" w:customStyle="1" w:styleId="209">
    <w:name w:val="正文文本 2 字符"/>
    <w:basedOn w:val="128"/>
    <w:link w:val="75"/>
    <w:qFormat/>
    <w:uiPriority w:val="0"/>
    <w:rPr>
      <w:rFonts w:ascii="Calibri" w:hAnsi="Calibri"/>
      <w:szCs w:val="24"/>
    </w:rPr>
  </w:style>
  <w:style w:type="character" w:customStyle="1" w:styleId="210">
    <w:name w:val="信息标题 字符"/>
    <w:basedOn w:val="128"/>
    <w:link w:val="78"/>
    <w:qFormat/>
    <w:uiPriority w:val="0"/>
    <w:rPr>
      <w:rFonts w:ascii="Arial" w:hAnsi="Arial"/>
      <w:kern w:val="2"/>
      <w:sz w:val="24"/>
      <w:szCs w:val="24"/>
      <w:shd w:val="pct20" w:color="auto" w:fill="auto"/>
    </w:rPr>
  </w:style>
  <w:style w:type="character" w:customStyle="1" w:styleId="211">
    <w:name w:val="HTML 预设格式 字符"/>
    <w:basedOn w:val="128"/>
    <w:link w:val="79"/>
    <w:qFormat/>
    <w:uiPriority w:val="99"/>
    <w:rPr>
      <w:rFonts w:ascii="Arial" w:hAnsi="Arial"/>
      <w:sz w:val="24"/>
      <w:szCs w:val="24"/>
    </w:rPr>
  </w:style>
  <w:style w:type="paragraph" w:customStyle="1" w:styleId="212">
    <w:name w:val="正文文本首行缩进1"/>
    <w:basedOn w:val="33"/>
    <w:link w:val="737"/>
    <w:qFormat/>
    <w:uiPriority w:val="0"/>
    <w:pPr>
      <w:widowControl w:val="0"/>
      <w:spacing w:line="240" w:lineRule="auto"/>
      <w:ind w:firstLine="420" w:firstLineChars="100"/>
      <w:jc w:val="both"/>
    </w:pPr>
    <w:rPr>
      <w:rFonts w:ascii="Calibri" w:hAnsi="Calibri"/>
    </w:rPr>
  </w:style>
  <w:style w:type="paragraph" w:customStyle="1" w:styleId="213">
    <w:name w:val="正文文本首行缩进 21"/>
    <w:basedOn w:val="34"/>
    <w:unhideWhenUsed/>
    <w:qFormat/>
    <w:uiPriority w:val="0"/>
    <w:pPr>
      <w:autoSpaceDE w:val="0"/>
      <w:autoSpaceDN w:val="0"/>
      <w:adjustRightInd w:val="0"/>
      <w:spacing w:line="240" w:lineRule="auto"/>
      <w:ind w:firstLine="420"/>
      <w:jc w:val="left"/>
    </w:pPr>
    <w:rPr>
      <w:rFonts w:ascii="Calibri" w:hAnsi="Calibri"/>
    </w:rPr>
  </w:style>
  <w:style w:type="paragraph" w:customStyle="1" w:styleId="214">
    <w:name w:val="样式 样式 宋体 四号 行距: 1.5 倍行距 + 四号"/>
    <w:basedOn w:val="1"/>
    <w:link w:val="738"/>
    <w:qFormat/>
    <w:uiPriority w:val="0"/>
    <w:pPr>
      <w:widowControl w:val="0"/>
      <w:spacing w:line="360" w:lineRule="auto"/>
      <w:ind w:firstLine="480" w:firstLineChars="200"/>
      <w:jc w:val="both"/>
    </w:pPr>
    <w:rPr>
      <w:rFonts w:ascii="宋体" w:hAnsi="宋体"/>
      <w:sz w:val="24"/>
    </w:rPr>
  </w:style>
  <w:style w:type="paragraph" w:customStyle="1" w:styleId="215">
    <w:name w:val="加重文字"/>
    <w:basedOn w:val="1"/>
    <w:link w:val="742"/>
    <w:qFormat/>
    <w:uiPriority w:val="0"/>
    <w:pPr>
      <w:widowControl w:val="0"/>
      <w:spacing w:line="360" w:lineRule="auto"/>
      <w:jc w:val="both"/>
    </w:pPr>
    <w:rPr>
      <w:rFonts w:ascii="Calibri" w:hAnsi="Calibri"/>
      <w:b/>
      <w:kern w:val="0"/>
      <w:sz w:val="20"/>
      <w:u w:val="thick"/>
      <w:lang w:val="zh-CN"/>
    </w:rPr>
  </w:style>
  <w:style w:type="paragraph" w:customStyle="1" w:styleId="216">
    <w:name w:val="font5"/>
    <w:basedOn w:val="1"/>
    <w:link w:val="747"/>
    <w:qFormat/>
    <w:uiPriority w:val="0"/>
    <w:pPr>
      <w:spacing w:before="100" w:beforeAutospacing="1" w:after="100" w:afterAutospacing="1" w:line="240" w:lineRule="auto"/>
    </w:pPr>
    <w:rPr>
      <w:rFonts w:ascii="宋体" w:hAnsi="宋体"/>
      <w:kern w:val="0"/>
      <w:sz w:val="24"/>
    </w:rPr>
  </w:style>
  <w:style w:type="paragraph" w:customStyle="1" w:styleId="217">
    <w:name w:val="正文(条款)"/>
    <w:basedOn w:val="1"/>
    <w:link w:val="760"/>
    <w:qFormat/>
    <w:uiPriority w:val="0"/>
    <w:pPr>
      <w:widowControl w:val="0"/>
      <w:adjustRightInd w:val="0"/>
      <w:snapToGrid w:val="0"/>
      <w:spacing w:line="460" w:lineRule="exact"/>
      <w:ind w:firstLine="480" w:firstLineChars="200"/>
      <w:jc w:val="both"/>
    </w:pPr>
    <w:rPr>
      <w:rFonts w:ascii="Calibri" w:hAnsi="Calibri"/>
      <w:kern w:val="0"/>
      <w:sz w:val="24"/>
    </w:rPr>
  </w:style>
  <w:style w:type="paragraph" w:customStyle="1" w:styleId="218">
    <w:name w:val="表格"/>
    <w:basedOn w:val="44"/>
    <w:link w:val="773"/>
    <w:qFormat/>
    <w:uiPriority w:val="0"/>
    <w:pPr>
      <w:snapToGrid w:val="0"/>
      <w:jc w:val="center"/>
    </w:pPr>
    <w:rPr>
      <w:rFonts w:hAnsi="宋体" w:cs="Times New Roman"/>
    </w:rPr>
  </w:style>
  <w:style w:type="paragraph" w:customStyle="1" w:styleId="219">
    <w:name w:val="表名"/>
    <w:basedOn w:val="20"/>
    <w:link w:val="774"/>
    <w:qFormat/>
    <w:uiPriority w:val="0"/>
    <w:pPr>
      <w:widowControl w:val="0"/>
      <w:spacing w:after="60" w:line="460" w:lineRule="exact"/>
      <w:ind w:firstLine="100" w:firstLineChars="100"/>
    </w:pPr>
    <w:rPr>
      <w:rFonts w:ascii="黑体" w:eastAsia="黑体"/>
    </w:rPr>
  </w:style>
  <w:style w:type="paragraph" w:customStyle="1" w:styleId="220">
    <w:name w:val="scyzw0"/>
    <w:basedOn w:val="1"/>
    <w:link w:val="777"/>
    <w:qFormat/>
    <w:uiPriority w:val="0"/>
    <w:pPr>
      <w:numPr>
        <w:ilvl w:val="0"/>
        <w:numId w:val="11"/>
      </w:numPr>
      <w:spacing w:line="520" w:lineRule="exact"/>
      <w:ind w:left="0" w:firstLine="200" w:firstLineChars="200"/>
    </w:pPr>
    <w:rPr>
      <w:rFonts w:ascii="仿宋_GB2312" w:hAnsi="宋体" w:eastAsia="仿宋_GB2312"/>
      <w:bCs/>
      <w:kern w:val="0"/>
      <w:sz w:val="28"/>
      <w:szCs w:val="18"/>
    </w:rPr>
  </w:style>
  <w:style w:type="paragraph" w:customStyle="1" w:styleId="221">
    <w:name w:val="样式7"/>
    <w:basedOn w:val="1"/>
    <w:link w:val="780"/>
    <w:qFormat/>
    <w:uiPriority w:val="0"/>
    <w:pPr>
      <w:widowControl w:val="0"/>
      <w:spacing w:line="460" w:lineRule="exact"/>
      <w:ind w:firstLine="480" w:firstLineChars="200"/>
      <w:jc w:val="both"/>
    </w:pPr>
    <w:rPr>
      <w:rFonts w:ascii="宋体" w:hAnsi="Calibri"/>
      <w:sz w:val="24"/>
    </w:rPr>
  </w:style>
  <w:style w:type="paragraph" w:customStyle="1" w:styleId="222">
    <w:name w:val="标题4"/>
    <w:basedOn w:val="41"/>
    <w:link w:val="785"/>
    <w:qFormat/>
    <w:uiPriority w:val="0"/>
    <w:rPr>
      <w:rFonts w:ascii="宋体" w:hAnsi="宋体"/>
    </w:rPr>
  </w:style>
  <w:style w:type="paragraph" w:customStyle="1" w:styleId="223">
    <w:name w:val="z-窗体底端1"/>
    <w:basedOn w:val="1"/>
    <w:next w:val="1"/>
    <w:link w:val="787"/>
    <w:qFormat/>
    <w:uiPriority w:val="0"/>
    <w:pPr>
      <w:pBdr>
        <w:top w:val="single" w:color="auto" w:sz="6" w:space="1"/>
      </w:pBdr>
      <w:spacing w:line="240" w:lineRule="auto"/>
      <w:jc w:val="center"/>
    </w:pPr>
    <w:rPr>
      <w:rFonts w:ascii="Arial" w:hAnsi="Arial"/>
      <w:vanish/>
      <w:kern w:val="0"/>
      <w:sz w:val="16"/>
      <w:szCs w:val="16"/>
    </w:rPr>
  </w:style>
  <w:style w:type="paragraph" w:customStyle="1" w:styleId="224">
    <w:name w:val="样式1"/>
    <w:basedOn w:val="1"/>
    <w:link w:val="788"/>
    <w:qFormat/>
    <w:uiPriority w:val="0"/>
    <w:pPr>
      <w:widowControl w:val="0"/>
      <w:tabs>
        <w:tab w:val="left" w:pos="360"/>
      </w:tabs>
      <w:adjustRightInd w:val="0"/>
      <w:spacing w:line="240" w:lineRule="auto"/>
      <w:ind w:left="360" w:hanging="360"/>
      <w:jc w:val="both"/>
      <w:textAlignment w:val="baseline"/>
    </w:pPr>
    <w:rPr>
      <w:rFonts w:ascii="宋体" w:hAnsi="宋体"/>
      <w:kern w:val="0"/>
      <w:sz w:val="20"/>
      <w:szCs w:val="21"/>
    </w:rPr>
  </w:style>
  <w:style w:type="paragraph" w:customStyle="1" w:styleId="225">
    <w:name w:val="样式 样式 首行缩进:  2 字符1 + 首行缩进:  2 字符"/>
    <w:basedOn w:val="1"/>
    <w:link w:val="798"/>
    <w:qFormat/>
    <w:uiPriority w:val="0"/>
    <w:pPr>
      <w:widowControl w:val="0"/>
      <w:spacing w:line="360" w:lineRule="auto"/>
      <w:ind w:firstLine="480" w:firstLineChars="200"/>
      <w:jc w:val="both"/>
    </w:pPr>
    <w:rPr>
      <w:rFonts w:ascii="宋体" w:hAnsi="宋体"/>
      <w:sz w:val="24"/>
      <w:szCs w:val="20"/>
    </w:rPr>
  </w:style>
  <w:style w:type="paragraph" w:customStyle="1" w:styleId="226">
    <w:name w:val="p0"/>
    <w:basedOn w:val="1"/>
    <w:link w:val="810"/>
    <w:qFormat/>
    <w:uiPriority w:val="99"/>
    <w:pPr>
      <w:spacing w:line="240" w:lineRule="auto"/>
      <w:jc w:val="both"/>
    </w:pPr>
    <w:rPr>
      <w:rFonts w:ascii="宋体" w:hAnsi="宋体"/>
      <w:kern w:val="0"/>
      <w:szCs w:val="21"/>
    </w:rPr>
  </w:style>
  <w:style w:type="paragraph" w:customStyle="1" w:styleId="227">
    <w:name w:val="正文小4号字"/>
    <w:basedOn w:val="1"/>
    <w:link w:val="817"/>
    <w:qFormat/>
    <w:uiPriority w:val="0"/>
    <w:pPr>
      <w:widowControl w:val="0"/>
      <w:tabs>
        <w:tab w:val="left" w:pos="0"/>
        <w:tab w:val="left" w:pos="567"/>
      </w:tabs>
      <w:spacing w:line="360" w:lineRule="auto"/>
      <w:ind w:firstLine="560"/>
      <w:textAlignment w:val="top"/>
    </w:pPr>
    <w:rPr>
      <w:rFonts w:ascii="宋体" w:hAnsi="宋体"/>
      <w:kern w:val="0"/>
      <w:position w:val="-14"/>
      <w:sz w:val="28"/>
      <w:szCs w:val="30"/>
    </w:rPr>
  </w:style>
  <w:style w:type="paragraph" w:customStyle="1" w:styleId="228">
    <w:name w:val="样式 首行缩进:  2 字符1"/>
    <w:basedOn w:val="1"/>
    <w:link w:val="819"/>
    <w:qFormat/>
    <w:uiPriority w:val="0"/>
    <w:pPr>
      <w:widowControl w:val="0"/>
      <w:spacing w:line="440" w:lineRule="exact"/>
      <w:jc w:val="both"/>
    </w:pPr>
    <w:rPr>
      <w:rFonts w:ascii="Arial" w:hAnsi="Arial"/>
      <w:sz w:val="24"/>
      <w:szCs w:val="20"/>
    </w:rPr>
  </w:style>
  <w:style w:type="paragraph" w:customStyle="1" w:styleId="229">
    <w:name w:val="样式 宋体 四号 行距: 1.5 倍行距"/>
    <w:basedOn w:val="1"/>
    <w:link w:val="833"/>
    <w:qFormat/>
    <w:uiPriority w:val="0"/>
    <w:pPr>
      <w:widowControl w:val="0"/>
      <w:spacing w:line="360" w:lineRule="auto"/>
      <w:ind w:firstLine="480" w:firstLineChars="200"/>
      <w:jc w:val="both"/>
    </w:pPr>
    <w:rPr>
      <w:rFonts w:ascii="宋体" w:hAnsi="宋体"/>
      <w:sz w:val="24"/>
    </w:rPr>
  </w:style>
  <w:style w:type="paragraph" w:customStyle="1" w:styleId="230">
    <w:name w:val="样式38"/>
    <w:basedOn w:val="231"/>
    <w:link w:val="844"/>
    <w:qFormat/>
    <w:uiPriority w:val="0"/>
    <w:pPr>
      <w:spacing w:before="0" w:beforeLines="0" w:line="240" w:lineRule="auto"/>
      <w:ind w:firstLine="0" w:firstLineChars="0"/>
    </w:pPr>
    <w:rPr>
      <w:rFonts w:ascii="Times New Roman" w:hAnsi="Times New Roman" w:cs="Times New Roman"/>
      <w:color w:val="000000"/>
      <w:kern w:val="0"/>
    </w:rPr>
  </w:style>
  <w:style w:type="paragraph" w:customStyle="1" w:styleId="231">
    <w:name w:val="样式4"/>
    <w:basedOn w:val="1"/>
    <w:qFormat/>
    <w:uiPriority w:val="0"/>
    <w:pPr>
      <w:widowControl w:val="0"/>
      <w:spacing w:before="312" w:beforeLines="100" w:line="440" w:lineRule="exact"/>
      <w:ind w:firstLine="420" w:firstLineChars="200"/>
      <w:jc w:val="both"/>
    </w:pPr>
    <w:rPr>
      <w:rFonts w:ascii="宋体" w:hAnsi="Garamond" w:cs="Garamond"/>
      <w:sz w:val="24"/>
    </w:rPr>
  </w:style>
  <w:style w:type="paragraph" w:customStyle="1" w:styleId="232">
    <w:name w:val="样式8"/>
    <w:basedOn w:val="233"/>
    <w:link w:val="851"/>
    <w:qFormat/>
    <w:uiPriority w:val="0"/>
    <w:pPr>
      <w:spacing w:before="156" w:beforeLines="50" w:after="156" w:line="320" w:lineRule="exact"/>
    </w:pPr>
    <w:rPr>
      <w:rFonts w:ascii="Times New Roman" w:hAnsi="Times New Roman"/>
      <w:sz w:val="21"/>
      <w:szCs w:val="21"/>
      <w:lang w:val="zh-CN"/>
    </w:rPr>
  </w:style>
  <w:style w:type="paragraph" w:customStyle="1" w:styleId="233">
    <w:name w:val="样式 标题 4 + 宋体 段前: 0.5 行 行距: 单倍行距"/>
    <w:basedOn w:val="5"/>
    <w:link w:val="852"/>
    <w:qFormat/>
    <w:uiPriority w:val="0"/>
    <w:pPr>
      <w:widowControl w:val="0"/>
      <w:overflowPunct w:val="0"/>
      <w:topLinePunct/>
      <w:snapToGrid w:val="0"/>
      <w:spacing w:before="0" w:after="188" w:afterLines="50" w:line="240" w:lineRule="auto"/>
    </w:pPr>
    <w:rPr>
      <w:rFonts w:ascii="宋体" w:hAnsi="宋体" w:eastAsia="宋体" w:cs="Times New Roman"/>
      <w:b w:val="0"/>
      <w:bCs w:val="0"/>
      <w:kern w:val="0"/>
      <w:sz w:val="24"/>
      <w:szCs w:val="20"/>
    </w:rPr>
  </w:style>
  <w:style w:type="paragraph" w:customStyle="1" w:styleId="234">
    <w:name w:val="样式 首行缩进:  2 字符2"/>
    <w:basedOn w:val="1"/>
    <w:link w:val="855"/>
    <w:qFormat/>
    <w:uiPriority w:val="0"/>
    <w:pPr>
      <w:widowControl w:val="0"/>
      <w:spacing w:line="500" w:lineRule="exact"/>
      <w:ind w:firstLine="480" w:firstLineChars="200"/>
      <w:jc w:val="both"/>
    </w:pPr>
    <w:rPr>
      <w:rFonts w:ascii="宋体" w:hAnsi="宋体"/>
      <w:kern w:val="18"/>
      <w:sz w:val="24"/>
      <w:szCs w:val="20"/>
    </w:rPr>
  </w:style>
  <w:style w:type="paragraph" w:customStyle="1" w:styleId="235">
    <w:name w:val="表格1"/>
    <w:basedOn w:val="1"/>
    <w:link w:val="858"/>
    <w:qFormat/>
    <w:uiPriority w:val="0"/>
    <w:pPr>
      <w:adjustRightInd w:val="0"/>
      <w:snapToGrid w:val="0"/>
      <w:spacing w:line="240" w:lineRule="exact"/>
      <w:jc w:val="center"/>
      <w:textAlignment w:val="baseline"/>
    </w:pPr>
    <w:rPr>
      <w:rFonts w:ascii="宋体" w:hAnsi="宋体"/>
      <w:spacing w:val="-20"/>
      <w:kern w:val="0"/>
      <w:szCs w:val="21"/>
    </w:rPr>
  </w:style>
  <w:style w:type="paragraph" w:customStyle="1" w:styleId="236">
    <w:name w:val="样式 标题 3 + 红色"/>
    <w:basedOn w:val="4"/>
    <w:link w:val="859"/>
    <w:qFormat/>
    <w:uiPriority w:val="0"/>
    <w:pPr>
      <w:keepLines/>
      <w:widowControl w:val="0"/>
      <w:spacing w:line="360" w:lineRule="auto"/>
      <w:jc w:val="both"/>
    </w:pPr>
    <w:rPr>
      <w:rFonts w:hAnsi="Calibri"/>
      <w:bCs w:val="0"/>
      <w:color w:val="FF0000"/>
      <w:kern w:val="0"/>
      <w:szCs w:val="32"/>
    </w:rPr>
  </w:style>
  <w:style w:type="paragraph" w:customStyle="1" w:styleId="237">
    <w:name w:val="引用1"/>
    <w:basedOn w:val="1"/>
    <w:next w:val="1"/>
    <w:link w:val="860"/>
    <w:qFormat/>
    <w:uiPriority w:val="29"/>
    <w:pPr>
      <w:widowControl w:val="0"/>
      <w:spacing w:after="156" w:afterLines="50" w:line="240" w:lineRule="auto"/>
      <w:jc w:val="both"/>
    </w:pPr>
    <w:rPr>
      <w:rFonts w:ascii="Calibri" w:hAnsi="Calibri"/>
      <w:i/>
      <w:iCs/>
      <w:color w:val="000000"/>
    </w:rPr>
  </w:style>
  <w:style w:type="paragraph" w:customStyle="1" w:styleId="238">
    <w:name w:val="样式 标题 3 + 宋体 段前: 0.5 行 行距: 单倍行距"/>
    <w:basedOn w:val="4"/>
    <w:link w:val="865"/>
    <w:qFormat/>
    <w:uiPriority w:val="0"/>
    <w:pPr>
      <w:keepLines/>
      <w:widowControl w:val="0"/>
      <w:overflowPunct w:val="0"/>
      <w:topLinePunct/>
      <w:snapToGrid w:val="0"/>
      <w:spacing w:before="188" w:beforeLines="50" w:after="188" w:afterLines="50" w:line="240" w:lineRule="auto"/>
      <w:jc w:val="left"/>
    </w:pPr>
    <w:rPr>
      <w:b w:val="0"/>
      <w:bCs w:val="0"/>
      <w:kern w:val="0"/>
      <w:szCs w:val="20"/>
      <w:lang w:val="zh-CN"/>
    </w:rPr>
  </w:style>
  <w:style w:type="paragraph" w:customStyle="1" w:styleId="239">
    <w:name w:val="正  文"/>
    <w:basedOn w:val="1"/>
    <w:link w:val="868"/>
    <w:qFormat/>
    <w:uiPriority w:val="0"/>
    <w:pPr>
      <w:widowControl w:val="0"/>
      <w:spacing w:line="360" w:lineRule="auto"/>
      <w:ind w:firstLine="200" w:firstLineChars="200"/>
      <w:jc w:val="both"/>
    </w:pPr>
    <w:rPr>
      <w:rFonts w:ascii="宋体" w:hAnsi="Calibri"/>
      <w:sz w:val="24"/>
    </w:rPr>
  </w:style>
  <w:style w:type="paragraph" w:customStyle="1" w:styleId="240">
    <w:name w:val="我编辑文档正文"/>
    <w:basedOn w:val="1"/>
    <w:link w:val="885"/>
    <w:qFormat/>
    <w:uiPriority w:val="0"/>
    <w:pPr>
      <w:widowControl w:val="0"/>
      <w:spacing w:line="360" w:lineRule="auto"/>
      <w:ind w:right="69" w:rightChars="33" w:firstLine="420"/>
    </w:pPr>
    <w:rPr>
      <w:rFonts w:ascii="Calibri" w:hAnsi="Calibri"/>
      <w:sz w:val="24"/>
    </w:rPr>
  </w:style>
  <w:style w:type="paragraph" w:customStyle="1" w:styleId="241">
    <w:name w:val="样式2"/>
    <w:basedOn w:val="56"/>
    <w:link w:val="896"/>
    <w:qFormat/>
    <w:uiPriority w:val="0"/>
    <w:pPr>
      <w:widowControl w:val="0"/>
      <w:pBdr>
        <w:top w:val="none" w:color="auto" w:sz="0" w:space="0"/>
        <w:left w:val="none" w:color="auto" w:sz="0" w:space="0"/>
        <w:bottom w:val="single" w:color="auto" w:sz="4" w:space="1"/>
        <w:right w:val="none" w:color="auto" w:sz="0" w:space="0"/>
      </w:pBdr>
      <w:jc w:val="center"/>
    </w:pPr>
    <w:rPr>
      <w:rFonts w:ascii="Calibri" w:hAnsi="Calibri"/>
      <w:szCs w:val="18"/>
    </w:rPr>
  </w:style>
  <w:style w:type="paragraph" w:customStyle="1" w:styleId="242">
    <w:name w:val="样式 样式 样式3 + + (西文) 宋体"/>
    <w:basedOn w:val="1"/>
    <w:link w:val="900"/>
    <w:qFormat/>
    <w:uiPriority w:val="0"/>
    <w:pPr>
      <w:widowControl w:val="0"/>
      <w:adjustRightInd w:val="0"/>
      <w:spacing w:line="240" w:lineRule="auto"/>
      <w:jc w:val="center"/>
    </w:pPr>
    <w:rPr>
      <w:rFonts w:ascii="宋体" w:hAnsi="宋体"/>
      <w:kern w:val="0"/>
      <w:szCs w:val="32"/>
    </w:rPr>
  </w:style>
  <w:style w:type="paragraph" w:customStyle="1" w:styleId="243">
    <w:name w:val="样式 宋体 四号 行距: 最小值 25 磅"/>
    <w:basedOn w:val="1"/>
    <w:link w:val="904"/>
    <w:qFormat/>
    <w:uiPriority w:val="0"/>
    <w:pPr>
      <w:widowControl w:val="0"/>
      <w:spacing w:line="500" w:lineRule="atLeast"/>
      <w:ind w:firstLine="523" w:firstLineChars="218"/>
      <w:jc w:val="both"/>
    </w:pPr>
    <w:rPr>
      <w:rFonts w:ascii="Calibri" w:hAnsi="Calibri"/>
      <w:sz w:val="24"/>
      <w:szCs w:val="20"/>
    </w:rPr>
  </w:style>
  <w:style w:type="paragraph" w:customStyle="1" w:styleId="244">
    <w:name w:val="样式5"/>
    <w:basedOn w:val="1"/>
    <w:link w:val="905"/>
    <w:qFormat/>
    <w:uiPriority w:val="0"/>
    <w:pPr>
      <w:widowControl w:val="0"/>
      <w:tabs>
        <w:tab w:val="left" w:pos="5400"/>
      </w:tabs>
      <w:adjustRightInd w:val="0"/>
      <w:snapToGrid w:val="0"/>
      <w:spacing w:line="240" w:lineRule="auto"/>
      <w:ind w:firstLine="420" w:firstLineChars="200"/>
      <w:jc w:val="both"/>
    </w:pPr>
    <w:rPr>
      <w:rFonts w:ascii="宋体" w:hAnsi="宋体"/>
      <w:bCs/>
      <w:szCs w:val="21"/>
    </w:rPr>
  </w:style>
  <w:style w:type="paragraph" w:customStyle="1" w:styleId="245">
    <w:name w:val="表号"/>
    <w:basedOn w:val="1"/>
    <w:link w:val="906"/>
    <w:qFormat/>
    <w:uiPriority w:val="0"/>
    <w:pPr>
      <w:widowControl w:val="0"/>
      <w:adjustRightInd w:val="0"/>
      <w:snapToGrid w:val="0"/>
      <w:spacing w:line="240" w:lineRule="auto"/>
      <w:jc w:val="right"/>
    </w:pPr>
    <w:rPr>
      <w:rFonts w:ascii="宋体" w:hAnsi="Calibri" w:eastAsia="仿宋_GB2312"/>
      <w:kern w:val="0"/>
      <w:szCs w:val="21"/>
    </w:rPr>
  </w:style>
  <w:style w:type="paragraph" w:customStyle="1" w:styleId="246">
    <w:name w:val="范本-正文"/>
    <w:qFormat/>
    <w:uiPriority w:val="0"/>
    <w:pPr>
      <w:spacing w:line="360" w:lineRule="auto"/>
      <w:ind w:firstLine="420"/>
    </w:pPr>
    <w:rPr>
      <w:rFonts w:ascii="Calibri" w:hAnsi="Calibri" w:eastAsia="宋体" w:cs="Times New Roman"/>
      <w:iCs/>
      <w:kern w:val="2"/>
      <w:sz w:val="24"/>
      <w:szCs w:val="21"/>
      <w:lang w:val="en-US" w:eastAsia="zh-CN" w:bidi="ar-SA"/>
    </w:rPr>
  </w:style>
  <w:style w:type="paragraph" w:customStyle="1" w:styleId="247">
    <w:name w:val="Char Char Char1 Char"/>
    <w:basedOn w:val="1"/>
    <w:qFormat/>
    <w:uiPriority w:val="0"/>
    <w:pPr>
      <w:widowControl w:val="0"/>
      <w:spacing w:after="156" w:afterLines="50" w:line="240" w:lineRule="auto"/>
      <w:jc w:val="both"/>
    </w:pPr>
    <w:rPr>
      <w:rFonts w:ascii="Calibri" w:hAnsi="Calibri"/>
    </w:rPr>
  </w:style>
  <w:style w:type="paragraph" w:customStyle="1" w:styleId="248">
    <w:name w:val="Style77"/>
    <w:basedOn w:val="1"/>
    <w:unhideWhenUsed/>
    <w:qFormat/>
    <w:uiPriority w:val="0"/>
    <w:pPr>
      <w:widowControl w:val="0"/>
      <w:spacing w:line="240" w:lineRule="auto"/>
      <w:jc w:val="both"/>
    </w:pPr>
    <w:rPr>
      <w:rFonts w:ascii="Calibri" w:hAnsi="Calibri" w:eastAsia="微软雅黑"/>
    </w:rPr>
  </w:style>
  <w:style w:type="paragraph" w:customStyle="1" w:styleId="249">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0">
    <w:name w:val="Char Char Char2 Char"/>
    <w:basedOn w:val="1"/>
    <w:qFormat/>
    <w:uiPriority w:val="0"/>
    <w:pPr>
      <w:widowControl w:val="0"/>
      <w:spacing w:line="240" w:lineRule="auto"/>
      <w:jc w:val="both"/>
    </w:pPr>
    <w:rPr>
      <w:rFonts w:ascii="Calibri" w:hAnsi="Calibri"/>
    </w:rPr>
  </w:style>
  <w:style w:type="paragraph" w:customStyle="1" w:styleId="251">
    <w:name w:val="reader-word-layer reader-word-s1-1"/>
    <w:basedOn w:val="1"/>
    <w:qFormat/>
    <w:uiPriority w:val="0"/>
    <w:pPr>
      <w:spacing w:before="100" w:beforeAutospacing="1" w:after="100" w:afterAutospacing="1" w:line="240" w:lineRule="auto"/>
    </w:pPr>
    <w:rPr>
      <w:rFonts w:ascii="宋体" w:hAnsi="宋体" w:eastAsia="微软雅黑" w:cs="宋体"/>
      <w:kern w:val="0"/>
      <w:sz w:val="24"/>
    </w:rPr>
  </w:style>
  <w:style w:type="paragraph" w:customStyle="1" w:styleId="252">
    <w:name w:val="Char Char1 Char Char Char Char Char1 Char Char Char Char"/>
    <w:basedOn w:val="25"/>
    <w:qFormat/>
    <w:uiPriority w:val="0"/>
    <w:rPr>
      <w:rFonts w:ascii="Tahoma" w:hAnsi="Tahoma"/>
    </w:rPr>
  </w:style>
  <w:style w:type="paragraph" w:customStyle="1" w:styleId="253">
    <w:name w:val="Style11"/>
    <w:basedOn w:val="1"/>
    <w:unhideWhenUsed/>
    <w:qFormat/>
    <w:uiPriority w:val="0"/>
    <w:pPr>
      <w:widowControl w:val="0"/>
      <w:spacing w:line="559" w:lineRule="exact"/>
      <w:ind w:firstLine="590"/>
      <w:jc w:val="both"/>
    </w:pPr>
    <w:rPr>
      <w:rFonts w:ascii="Calibri" w:hAnsi="Calibri" w:eastAsia="微软雅黑"/>
    </w:rPr>
  </w:style>
  <w:style w:type="paragraph" w:customStyle="1" w:styleId="254">
    <w:name w:val="CM57"/>
    <w:basedOn w:val="255"/>
    <w:next w:val="255"/>
    <w:qFormat/>
    <w:uiPriority w:val="0"/>
    <w:pPr>
      <w:spacing w:line="400" w:lineRule="atLeast"/>
    </w:pPr>
    <w:rPr>
      <w:rFonts w:ascii="宋体" w:hAnsi="Times New Roman" w:eastAsia="宋体" w:cs="宋体"/>
      <w:sz w:val="24"/>
      <w:szCs w:val="24"/>
    </w:rPr>
  </w:style>
  <w:style w:type="paragraph" w:customStyle="1" w:styleId="255">
    <w:name w:val="Default"/>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256">
    <w:name w:val="xl6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57">
    <w:name w:val="Char Char Char Char Char Char Char Char Char"/>
    <w:basedOn w:val="1"/>
    <w:qFormat/>
    <w:uiPriority w:val="0"/>
    <w:pPr>
      <w:widowControl w:val="0"/>
      <w:snapToGrid w:val="0"/>
      <w:spacing w:line="360" w:lineRule="auto"/>
      <w:ind w:left="1" w:firstLine="200" w:firstLineChars="200"/>
      <w:jc w:val="both"/>
      <w:textAlignment w:val="bottom"/>
    </w:pPr>
    <w:rPr>
      <w:rFonts w:hint="eastAsia" w:ascii="宋体" w:hAnsi="宋体"/>
      <w:kern w:val="0"/>
      <w:sz w:val="24"/>
      <w:szCs w:val="20"/>
    </w:rPr>
  </w:style>
  <w:style w:type="paragraph" w:customStyle="1" w:styleId="258">
    <w:name w:val="样式 小四 黑色 两端对齐 行距: 最小值 23 磅"/>
    <w:basedOn w:val="1"/>
    <w:qFormat/>
    <w:uiPriority w:val="0"/>
    <w:pPr>
      <w:widowControl w:val="0"/>
      <w:adjustRightInd w:val="0"/>
      <w:spacing w:line="460" w:lineRule="atLeast"/>
      <w:ind w:firstLine="200" w:firstLineChars="200"/>
      <w:jc w:val="both"/>
      <w:textAlignment w:val="baseline"/>
    </w:pPr>
    <w:rPr>
      <w:rFonts w:ascii="Calibri" w:hAnsi="Calibri" w:cs="宋体"/>
      <w:color w:val="000000"/>
      <w:kern w:val="0"/>
      <w:sz w:val="24"/>
      <w:szCs w:val="20"/>
    </w:rPr>
  </w:style>
  <w:style w:type="paragraph" w:customStyle="1" w:styleId="259">
    <w:name w:val="段落"/>
    <w:basedOn w:val="1"/>
    <w:qFormat/>
    <w:uiPriority w:val="0"/>
    <w:pPr>
      <w:widowControl w:val="0"/>
      <w:spacing w:line="580" w:lineRule="exact"/>
      <w:ind w:firstLine="200" w:firstLineChars="200"/>
      <w:jc w:val="both"/>
    </w:pPr>
    <w:rPr>
      <w:rFonts w:ascii="Calibri" w:hAnsi="Calibri"/>
      <w:spacing w:val="6"/>
      <w:sz w:val="28"/>
      <w:szCs w:val="28"/>
    </w:rPr>
  </w:style>
  <w:style w:type="paragraph" w:customStyle="1" w:styleId="260">
    <w:name w:val="CM72"/>
    <w:basedOn w:val="255"/>
    <w:next w:val="255"/>
    <w:qFormat/>
    <w:uiPriority w:val="0"/>
    <w:rPr>
      <w:rFonts w:ascii="宋体" w:hAnsi="Times New Roman" w:eastAsia="宋体" w:cs="宋体"/>
      <w:sz w:val="24"/>
      <w:szCs w:val="24"/>
    </w:rPr>
  </w:style>
  <w:style w:type="paragraph" w:customStyle="1" w:styleId="261">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262">
    <w:name w:val="Style67"/>
    <w:basedOn w:val="1"/>
    <w:unhideWhenUsed/>
    <w:qFormat/>
    <w:uiPriority w:val="0"/>
    <w:pPr>
      <w:widowControl w:val="0"/>
      <w:spacing w:line="566" w:lineRule="exact"/>
      <w:ind w:firstLine="552"/>
      <w:jc w:val="both"/>
    </w:pPr>
    <w:rPr>
      <w:rFonts w:ascii="Calibri" w:hAnsi="Calibri" w:eastAsia="微软雅黑"/>
    </w:rPr>
  </w:style>
  <w:style w:type="paragraph" w:customStyle="1" w:styleId="263">
    <w:name w:val="Style64"/>
    <w:basedOn w:val="1"/>
    <w:unhideWhenUsed/>
    <w:qFormat/>
    <w:uiPriority w:val="0"/>
    <w:pPr>
      <w:widowControl w:val="0"/>
      <w:spacing w:line="240" w:lineRule="auto"/>
      <w:jc w:val="both"/>
    </w:pPr>
    <w:rPr>
      <w:rFonts w:ascii="Calibri" w:hAnsi="Calibri" w:eastAsia="微软雅黑"/>
    </w:rPr>
  </w:style>
  <w:style w:type="paragraph" w:customStyle="1" w:styleId="264">
    <w:name w:val="日期1"/>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265">
    <w:name w:val="1.1.1"/>
    <w:basedOn w:val="1"/>
    <w:qFormat/>
    <w:uiPriority w:val="0"/>
    <w:pPr>
      <w:widowControl w:val="0"/>
      <w:tabs>
        <w:tab w:val="left" w:pos="851"/>
      </w:tabs>
      <w:adjustRightInd w:val="0"/>
      <w:spacing w:before="60" w:after="60"/>
      <w:ind w:left="1134" w:hanging="851"/>
      <w:jc w:val="both"/>
      <w:textAlignment w:val="baseline"/>
    </w:pPr>
    <w:rPr>
      <w:rFonts w:ascii="Calibri" w:hAnsi="Calibri" w:eastAsia="黑体"/>
      <w:b/>
      <w:sz w:val="24"/>
      <w:szCs w:val="20"/>
    </w:rPr>
  </w:style>
  <w:style w:type="paragraph" w:customStyle="1" w:styleId="266">
    <w:name w:val="xl50"/>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67">
    <w:name w:val="Style68"/>
    <w:basedOn w:val="1"/>
    <w:unhideWhenUsed/>
    <w:qFormat/>
    <w:uiPriority w:val="0"/>
    <w:pPr>
      <w:widowControl w:val="0"/>
      <w:spacing w:line="547" w:lineRule="exact"/>
      <w:jc w:val="both"/>
    </w:pPr>
    <w:rPr>
      <w:rFonts w:ascii="Calibri" w:hAnsi="Calibri" w:eastAsia="微软雅黑"/>
    </w:rPr>
  </w:style>
  <w:style w:type="paragraph" w:customStyle="1" w:styleId="268">
    <w:name w:val="表内文1"/>
    <w:basedOn w:val="1"/>
    <w:qFormat/>
    <w:uiPriority w:val="0"/>
    <w:pPr>
      <w:widowControl w:val="0"/>
      <w:autoSpaceDE w:val="0"/>
      <w:autoSpaceDN w:val="0"/>
      <w:adjustRightInd w:val="0"/>
      <w:spacing w:line="240" w:lineRule="auto"/>
      <w:ind w:firstLine="2400" w:firstLineChars="1000"/>
      <w:jc w:val="center"/>
      <w:textAlignment w:val="bottom"/>
    </w:pPr>
    <w:rPr>
      <w:rFonts w:ascii="Calibri" w:hAnsi="Calibri"/>
      <w:kern w:val="0"/>
      <w:sz w:val="24"/>
      <w:szCs w:val="20"/>
    </w:rPr>
  </w:style>
  <w:style w:type="paragraph" w:customStyle="1" w:styleId="269">
    <w:name w:val="xl10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270">
    <w:name w:val="CM44"/>
    <w:basedOn w:val="255"/>
    <w:next w:val="255"/>
    <w:qFormat/>
    <w:uiPriority w:val="0"/>
    <w:pPr>
      <w:spacing w:line="440" w:lineRule="atLeast"/>
    </w:pPr>
    <w:rPr>
      <w:rFonts w:ascii="宋体" w:hAnsi="Times New Roman" w:eastAsia="宋体" w:cs="宋体"/>
      <w:sz w:val="24"/>
      <w:szCs w:val="24"/>
    </w:rPr>
  </w:style>
  <w:style w:type="paragraph" w:customStyle="1" w:styleId="271">
    <w:name w:val="Char11"/>
    <w:basedOn w:val="1"/>
    <w:qFormat/>
    <w:uiPriority w:val="0"/>
    <w:pPr>
      <w:spacing w:after="160" w:line="240" w:lineRule="exact"/>
    </w:pPr>
    <w:rPr>
      <w:rFonts w:ascii="Verdana" w:hAnsi="Verdana"/>
      <w:kern w:val="0"/>
      <w:sz w:val="20"/>
      <w:szCs w:val="20"/>
      <w:lang w:eastAsia="en-US"/>
    </w:rPr>
  </w:style>
  <w:style w:type="paragraph" w:customStyle="1" w:styleId="272">
    <w:name w:val="CM31"/>
    <w:basedOn w:val="255"/>
    <w:next w:val="255"/>
    <w:qFormat/>
    <w:uiPriority w:val="0"/>
    <w:pPr>
      <w:spacing w:line="400" w:lineRule="atLeast"/>
    </w:pPr>
    <w:rPr>
      <w:rFonts w:ascii="宋体" w:hAnsi="Times New Roman" w:eastAsia="宋体" w:cs="宋体"/>
      <w:sz w:val="24"/>
      <w:szCs w:val="24"/>
    </w:rPr>
  </w:style>
  <w:style w:type="paragraph" w:customStyle="1" w:styleId="273">
    <w:name w:val="样式 标题 2 + 宋体 段前: 6 磅 段后: 0 磅 行距: 1.5 倍行距"/>
    <w:basedOn w:val="3"/>
    <w:qFormat/>
    <w:uiPriority w:val="0"/>
    <w:pPr>
      <w:spacing w:before="120"/>
    </w:pPr>
    <w:rPr>
      <w:rFonts w:ascii="宋体" w:hAnsi="宋体" w:cs="宋体"/>
      <w:sz w:val="28"/>
      <w:szCs w:val="28"/>
    </w:rPr>
  </w:style>
  <w:style w:type="paragraph" w:customStyle="1" w:styleId="274">
    <w:name w:val="CM20"/>
    <w:basedOn w:val="255"/>
    <w:next w:val="255"/>
    <w:qFormat/>
    <w:uiPriority w:val="0"/>
    <w:pPr>
      <w:spacing w:line="400" w:lineRule="atLeast"/>
    </w:pPr>
    <w:rPr>
      <w:rFonts w:ascii="宋体" w:hAnsi="Times New Roman" w:eastAsia="宋体" w:cs="宋体"/>
      <w:sz w:val="24"/>
      <w:szCs w:val="24"/>
    </w:rPr>
  </w:style>
  <w:style w:type="paragraph" w:customStyle="1" w:styleId="275">
    <w:name w:val="CM23"/>
    <w:basedOn w:val="255"/>
    <w:next w:val="255"/>
    <w:qFormat/>
    <w:uiPriority w:val="0"/>
    <w:pPr>
      <w:spacing w:line="398" w:lineRule="atLeast"/>
    </w:pPr>
    <w:rPr>
      <w:rFonts w:ascii="宋体" w:hAnsi="Times New Roman" w:eastAsia="宋体" w:cs="宋体"/>
      <w:sz w:val="24"/>
      <w:szCs w:val="24"/>
    </w:rPr>
  </w:style>
  <w:style w:type="paragraph" w:customStyle="1" w:styleId="276">
    <w:name w:val="Style27"/>
    <w:basedOn w:val="1"/>
    <w:unhideWhenUsed/>
    <w:qFormat/>
    <w:uiPriority w:val="0"/>
    <w:pPr>
      <w:widowControl w:val="0"/>
      <w:spacing w:line="240" w:lineRule="auto"/>
      <w:jc w:val="both"/>
    </w:pPr>
    <w:rPr>
      <w:rFonts w:ascii="Calibri" w:hAnsi="Calibri" w:eastAsia="微软雅黑"/>
    </w:rPr>
  </w:style>
  <w:style w:type="paragraph" w:customStyle="1" w:styleId="277">
    <w:name w:val="xl4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278">
    <w:name w:val="Style15"/>
    <w:basedOn w:val="1"/>
    <w:unhideWhenUsed/>
    <w:qFormat/>
    <w:uiPriority w:val="0"/>
    <w:pPr>
      <w:widowControl w:val="0"/>
      <w:spacing w:line="557" w:lineRule="exact"/>
      <w:ind w:firstLine="672"/>
      <w:jc w:val="both"/>
    </w:pPr>
    <w:rPr>
      <w:rFonts w:ascii="Calibri" w:hAnsi="Calibri" w:eastAsia="微软雅黑"/>
    </w:rPr>
  </w:style>
  <w:style w:type="paragraph" w:customStyle="1" w:styleId="279">
    <w:name w:val="样式3"/>
    <w:basedOn w:val="1"/>
    <w:qFormat/>
    <w:uiPriority w:val="0"/>
    <w:pPr>
      <w:widowControl w:val="0"/>
      <w:spacing w:line="240" w:lineRule="auto"/>
      <w:jc w:val="both"/>
    </w:pPr>
    <w:rPr>
      <w:rFonts w:ascii="黑体" w:hAnsi="宋体" w:eastAsia="黑体"/>
      <w:b/>
      <w:bCs/>
      <w:sz w:val="24"/>
      <w:szCs w:val="20"/>
    </w:rPr>
  </w:style>
  <w:style w:type="paragraph" w:customStyle="1" w:styleId="280">
    <w:name w:val="表头2"/>
    <w:basedOn w:val="1"/>
    <w:qFormat/>
    <w:uiPriority w:val="0"/>
    <w:pPr>
      <w:widowControl w:val="0"/>
      <w:autoSpaceDE w:val="0"/>
      <w:autoSpaceDN w:val="0"/>
      <w:adjustRightInd w:val="0"/>
      <w:spacing w:line="240" w:lineRule="auto"/>
      <w:jc w:val="center"/>
      <w:textAlignment w:val="bottom"/>
    </w:pPr>
    <w:rPr>
      <w:rFonts w:ascii="Calibri" w:hAnsi="Calibri"/>
      <w:b/>
      <w:kern w:val="0"/>
      <w:sz w:val="24"/>
      <w:szCs w:val="20"/>
    </w:rPr>
  </w:style>
  <w:style w:type="paragraph" w:customStyle="1" w:styleId="281">
    <w:name w:val="t_black_12_b"/>
    <w:basedOn w:val="1"/>
    <w:qFormat/>
    <w:uiPriority w:val="0"/>
    <w:pPr>
      <w:spacing w:line="240" w:lineRule="auto"/>
    </w:pPr>
    <w:rPr>
      <w:rFonts w:ascii="宋体" w:hAnsi="宋体" w:cs="宋体"/>
      <w:b/>
      <w:bCs/>
      <w:color w:val="212121"/>
      <w:kern w:val="0"/>
      <w:sz w:val="9"/>
      <w:szCs w:val="9"/>
    </w:rPr>
  </w:style>
  <w:style w:type="paragraph" w:customStyle="1" w:styleId="28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仿宋_GB2312" w:hAnsi="宋体" w:eastAsia="仿宋_GB2312"/>
      <w:kern w:val="0"/>
      <w:sz w:val="24"/>
    </w:rPr>
  </w:style>
  <w:style w:type="paragraph" w:customStyle="1" w:styleId="283">
    <w:name w:val="xl53"/>
    <w:basedOn w:val="1"/>
    <w:qFormat/>
    <w:uiPriority w:val="0"/>
    <w:pPr>
      <w:pBdr>
        <w:top w:val="single" w:color="auto" w:sz="4" w:space="0"/>
        <w:left w:val="single" w:color="auto" w:sz="8"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84">
    <w:name w:val="xl71"/>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285">
    <w:name w:val="CM50"/>
    <w:basedOn w:val="255"/>
    <w:next w:val="255"/>
    <w:qFormat/>
    <w:uiPriority w:val="0"/>
    <w:pPr>
      <w:spacing w:line="1020" w:lineRule="atLeast"/>
    </w:pPr>
    <w:rPr>
      <w:rFonts w:ascii="宋体" w:hAnsi="Times New Roman" w:eastAsia="宋体" w:cs="宋体"/>
      <w:sz w:val="24"/>
      <w:szCs w:val="24"/>
    </w:rPr>
  </w:style>
  <w:style w:type="paragraph" w:customStyle="1" w:styleId="286">
    <w:name w:val="CM26"/>
    <w:basedOn w:val="255"/>
    <w:next w:val="255"/>
    <w:qFormat/>
    <w:uiPriority w:val="0"/>
    <w:pPr>
      <w:spacing w:line="400" w:lineRule="atLeast"/>
    </w:pPr>
    <w:rPr>
      <w:rFonts w:ascii="宋体" w:hAnsi="Times New Roman" w:eastAsia="宋体" w:cs="宋体"/>
      <w:sz w:val="24"/>
      <w:szCs w:val="24"/>
    </w:rPr>
  </w:style>
  <w:style w:type="paragraph" w:customStyle="1" w:styleId="287">
    <w:name w:val="Style78"/>
    <w:basedOn w:val="1"/>
    <w:unhideWhenUsed/>
    <w:qFormat/>
    <w:uiPriority w:val="0"/>
    <w:pPr>
      <w:widowControl w:val="0"/>
      <w:spacing w:line="240" w:lineRule="auto"/>
      <w:jc w:val="both"/>
    </w:pPr>
    <w:rPr>
      <w:rFonts w:ascii="Calibri" w:hAnsi="Calibri" w:eastAsia="微软雅黑"/>
    </w:rPr>
  </w:style>
  <w:style w:type="paragraph" w:customStyle="1" w:styleId="288">
    <w:name w:val="Style47"/>
    <w:basedOn w:val="1"/>
    <w:unhideWhenUsed/>
    <w:qFormat/>
    <w:uiPriority w:val="0"/>
    <w:pPr>
      <w:widowControl w:val="0"/>
      <w:spacing w:line="240" w:lineRule="auto"/>
      <w:jc w:val="both"/>
    </w:pPr>
    <w:rPr>
      <w:rFonts w:ascii="Calibri" w:hAnsi="Calibri" w:eastAsia="微软雅黑"/>
    </w:rPr>
  </w:style>
  <w:style w:type="paragraph" w:customStyle="1" w:styleId="289">
    <w:name w:val="奇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290">
    <w:name w:val="contentarticle"/>
    <w:basedOn w:val="1"/>
    <w:qFormat/>
    <w:uiPriority w:val="0"/>
    <w:pPr>
      <w:spacing w:before="100" w:beforeAutospacing="1" w:after="100" w:afterAutospacing="1" w:line="240" w:lineRule="auto"/>
    </w:pPr>
    <w:rPr>
      <w:rFonts w:ascii="宋体" w:hAnsi="宋体" w:cs="宋体"/>
      <w:kern w:val="0"/>
      <w:sz w:val="24"/>
    </w:rPr>
  </w:style>
  <w:style w:type="paragraph" w:customStyle="1" w:styleId="291">
    <w:name w:val="款"/>
    <w:basedOn w:val="1"/>
    <w:qFormat/>
    <w:uiPriority w:val="0"/>
    <w:pPr>
      <w:widowControl w:val="0"/>
      <w:tabs>
        <w:tab w:val="left" w:pos="1080"/>
      </w:tabs>
      <w:spacing w:line="240" w:lineRule="auto"/>
      <w:ind w:left="1080" w:hanging="1080"/>
      <w:jc w:val="both"/>
      <w:outlineLvl w:val="3"/>
    </w:pPr>
    <w:rPr>
      <w:rFonts w:ascii="Calibri" w:hAnsi="Calibri" w:eastAsia="仿宋_GB2312"/>
      <w:kern w:val="144"/>
      <w:sz w:val="32"/>
      <w:szCs w:val="20"/>
    </w:rPr>
  </w:style>
  <w:style w:type="paragraph" w:customStyle="1" w:styleId="292">
    <w:name w:val="Style34"/>
    <w:basedOn w:val="1"/>
    <w:unhideWhenUsed/>
    <w:qFormat/>
    <w:uiPriority w:val="0"/>
    <w:pPr>
      <w:widowControl w:val="0"/>
      <w:spacing w:line="375" w:lineRule="exact"/>
      <w:jc w:val="both"/>
    </w:pPr>
    <w:rPr>
      <w:rFonts w:ascii="Calibri" w:hAnsi="Calibri" w:eastAsia="微软雅黑"/>
    </w:rPr>
  </w:style>
  <w:style w:type="paragraph" w:customStyle="1" w:styleId="293">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4">
    <w:name w:val="Char Char Char Char Char"/>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5">
    <w:name w:val="xl49"/>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296">
    <w:name w:val="xl38"/>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297">
    <w:name w:val="Char Char Char Char2 Char"/>
    <w:basedOn w:val="1"/>
    <w:qFormat/>
    <w:uiPriority w:val="0"/>
    <w:pPr>
      <w:widowControl w:val="0"/>
      <w:spacing w:line="240" w:lineRule="auto"/>
      <w:jc w:val="both"/>
    </w:pPr>
    <w:rPr>
      <w:rFonts w:ascii="宋体" w:hAnsi="Calibri"/>
    </w:rPr>
  </w:style>
  <w:style w:type="paragraph" w:customStyle="1" w:styleId="298">
    <w:name w:val="Char3"/>
    <w:basedOn w:val="1"/>
    <w:qFormat/>
    <w:uiPriority w:val="0"/>
    <w:pPr>
      <w:widowControl w:val="0"/>
      <w:tabs>
        <w:tab w:val="left" w:pos="794"/>
        <w:tab w:val="left" w:pos="1191"/>
        <w:tab w:val="left" w:pos="1588"/>
        <w:tab w:val="left" w:pos="1985"/>
      </w:tabs>
      <w:autoSpaceDE w:val="0"/>
      <w:autoSpaceDN w:val="0"/>
      <w:adjustRightInd w:val="0"/>
      <w:spacing w:before="136" w:line="240" w:lineRule="auto"/>
      <w:jc w:val="both"/>
    </w:pPr>
    <w:rPr>
      <w:rFonts w:ascii="Tahoma" w:hAnsi="Tahoma"/>
      <w:kern w:val="0"/>
      <w:sz w:val="24"/>
      <w:szCs w:val="20"/>
    </w:rPr>
  </w:style>
  <w:style w:type="paragraph" w:customStyle="1" w:styleId="299">
    <w:name w:val="Style81"/>
    <w:basedOn w:val="1"/>
    <w:unhideWhenUsed/>
    <w:qFormat/>
    <w:uiPriority w:val="0"/>
    <w:pPr>
      <w:widowControl w:val="0"/>
      <w:spacing w:line="547" w:lineRule="exact"/>
      <w:jc w:val="both"/>
    </w:pPr>
    <w:rPr>
      <w:rFonts w:ascii="Calibri" w:hAnsi="Calibri" w:eastAsia="微软雅黑"/>
    </w:rPr>
  </w:style>
  <w:style w:type="paragraph" w:customStyle="1" w:styleId="300">
    <w:name w:val="9小四表格正文"/>
    <w:qFormat/>
    <w:uiPriority w:val="0"/>
    <w:pPr>
      <w:jc w:val="center"/>
    </w:pPr>
    <w:rPr>
      <w:rFonts w:ascii="Calibri" w:hAnsi="Calibri" w:eastAsia="仿宋_GB2312" w:cs="Times New Roman"/>
      <w:kern w:val="2"/>
      <w:sz w:val="24"/>
      <w:szCs w:val="24"/>
      <w:lang w:val="en-US" w:eastAsia="zh-CN" w:bidi="ar-SA"/>
    </w:rPr>
  </w:style>
  <w:style w:type="paragraph" w:customStyle="1" w:styleId="301">
    <w:name w:val="XW标题1"/>
    <w:basedOn w:val="302"/>
    <w:next w:val="302"/>
    <w:qFormat/>
    <w:uiPriority w:val="0"/>
    <w:pPr>
      <w:snapToGrid/>
      <w:spacing w:before="5000" w:line="360" w:lineRule="auto"/>
      <w:ind w:left="425" w:hanging="425" w:firstLineChars="0"/>
      <w:jc w:val="center"/>
      <w:outlineLvl w:val="0"/>
    </w:pPr>
    <w:rPr>
      <w:rFonts w:ascii="Arial" w:hAnsi="Arial" w:eastAsia="黑体"/>
      <w:sz w:val="44"/>
      <w:szCs w:val="20"/>
    </w:rPr>
  </w:style>
  <w:style w:type="paragraph" w:customStyle="1" w:styleId="302">
    <w:name w:val="XW正文"/>
    <w:basedOn w:val="34"/>
    <w:qFormat/>
    <w:uiPriority w:val="0"/>
    <w:pPr>
      <w:adjustRightInd w:val="0"/>
      <w:snapToGrid w:val="0"/>
      <w:spacing w:after="0" w:line="300" w:lineRule="auto"/>
      <w:ind w:left="0" w:leftChars="0" w:firstLine="520" w:firstLineChars="200"/>
      <w:jc w:val="left"/>
    </w:pPr>
    <w:rPr>
      <w:kern w:val="0"/>
    </w:rPr>
  </w:style>
  <w:style w:type="paragraph" w:customStyle="1" w:styleId="303">
    <w:name w:val="CM80"/>
    <w:basedOn w:val="255"/>
    <w:next w:val="255"/>
    <w:qFormat/>
    <w:uiPriority w:val="0"/>
    <w:pPr>
      <w:spacing w:line="440" w:lineRule="atLeast"/>
    </w:pPr>
    <w:rPr>
      <w:rFonts w:ascii="宋体" w:hAnsi="Times New Roman" w:eastAsia="宋体" w:cs="宋体"/>
      <w:sz w:val="24"/>
      <w:szCs w:val="24"/>
    </w:rPr>
  </w:style>
  <w:style w:type="paragraph" w:customStyle="1" w:styleId="304">
    <w:name w:val="封面"/>
    <w:basedOn w:val="1"/>
    <w:qFormat/>
    <w:uiPriority w:val="0"/>
    <w:pPr>
      <w:widowControl w:val="0"/>
      <w:spacing w:line="400" w:lineRule="exact"/>
      <w:ind w:firstLine="200" w:firstLineChars="200"/>
      <w:jc w:val="both"/>
    </w:pPr>
    <w:rPr>
      <w:rFonts w:ascii="Calibri" w:hAnsi="Calibri"/>
      <w:sz w:val="24"/>
    </w:rPr>
  </w:style>
  <w:style w:type="paragraph" w:customStyle="1" w:styleId="305">
    <w:name w:val="表 格"/>
    <w:basedOn w:val="1"/>
    <w:qFormat/>
    <w:uiPriority w:val="0"/>
    <w:pPr>
      <w:snapToGrid w:val="0"/>
      <w:spacing w:after="156" w:afterLines="50" w:line="0" w:lineRule="atLeast"/>
      <w:jc w:val="center"/>
    </w:pPr>
    <w:rPr>
      <w:rFonts w:ascii="宋体" w:hAnsi="宋体" w:cs="宋体"/>
      <w:snapToGrid w:val="0"/>
      <w:sz w:val="18"/>
      <w:szCs w:val="20"/>
    </w:rPr>
  </w:style>
  <w:style w:type="paragraph" w:customStyle="1" w:styleId="306">
    <w:name w:val="标题A"/>
    <w:basedOn w:val="1"/>
    <w:qFormat/>
    <w:uiPriority w:val="0"/>
    <w:pPr>
      <w:widowControl w:val="0"/>
      <w:adjustRightInd w:val="0"/>
      <w:snapToGrid w:val="0"/>
      <w:spacing w:line="312" w:lineRule="auto"/>
      <w:jc w:val="center"/>
    </w:pPr>
    <w:rPr>
      <w:rFonts w:ascii="仿宋_GB2312" w:hAnsi="Calibri" w:eastAsia="仿宋_GB2312"/>
      <w:b/>
      <w:bCs/>
      <w:sz w:val="28"/>
    </w:rPr>
  </w:style>
  <w:style w:type="paragraph" w:customStyle="1" w:styleId="307">
    <w:name w:val="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308">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309">
    <w:name w:val="CM46"/>
    <w:basedOn w:val="255"/>
    <w:next w:val="255"/>
    <w:qFormat/>
    <w:uiPriority w:val="0"/>
    <w:rPr>
      <w:rFonts w:ascii="宋体" w:hAnsi="Times New Roman" w:eastAsia="宋体" w:cs="宋体"/>
      <w:sz w:val="24"/>
      <w:szCs w:val="24"/>
    </w:rPr>
  </w:style>
  <w:style w:type="paragraph" w:customStyle="1" w:styleId="3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311">
    <w:name w:val="目录标题"/>
    <w:basedOn w:val="1"/>
    <w:next w:val="1"/>
    <w:qFormat/>
    <w:uiPriority w:val="0"/>
    <w:pPr>
      <w:widowControl w:val="0"/>
      <w:spacing w:before="104" w:after="209" w:line="0" w:lineRule="atLeast"/>
      <w:ind w:left="1"/>
      <w:jc w:val="center"/>
      <w:textAlignment w:val="bottom"/>
    </w:pPr>
    <w:rPr>
      <w:rFonts w:ascii="Arial" w:hAnsi="Arial" w:eastAsia="黑体"/>
      <w:spacing w:val="104"/>
      <w:kern w:val="0"/>
      <w:sz w:val="44"/>
      <w:szCs w:val="20"/>
    </w:rPr>
  </w:style>
  <w:style w:type="paragraph" w:customStyle="1" w:styleId="312">
    <w:name w:val="样式 标题 1 + 宋体 段前: 0 磅 段后: 0 磅 行距: 1.5 倍行距"/>
    <w:basedOn w:val="2"/>
    <w:qFormat/>
    <w:uiPriority w:val="0"/>
    <w:pPr>
      <w:widowControl w:val="0"/>
      <w:spacing w:before="0" w:after="0" w:line="360" w:lineRule="auto"/>
      <w:jc w:val="both"/>
      <w:outlineLvl w:val="1"/>
    </w:pPr>
    <w:rPr>
      <w:rFonts w:ascii="宋体" w:hAnsi="宋体" w:cs="宋体"/>
      <w:sz w:val="28"/>
      <w:szCs w:val="20"/>
    </w:rPr>
  </w:style>
  <w:style w:type="paragraph" w:customStyle="1" w:styleId="313">
    <w:name w:val="CM35"/>
    <w:basedOn w:val="255"/>
    <w:next w:val="255"/>
    <w:qFormat/>
    <w:uiPriority w:val="0"/>
    <w:pPr>
      <w:spacing w:line="400" w:lineRule="atLeast"/>
    </w:pPr>
    <w:rPr>
      <w:rFonts w:ascii="宋体" w:hAnsi="Times New Roman" w:eastAsia="宋体" w:cs="宋体"/>
      <w:sz w:val="24"/>
      <w:szCs w:val="24"/>
    </w:rPr>
  </w:style>
  <w:style w:type="paragraph" w:customStyle="1" w:styleId="314">
    <w:name w:val="Char Char Char Char1"/>
    <w:basedOn w:val="1"/>
    <w:qFormat/>
    <w:uiPriority w:val="0"/>
    <w:pPr>
      <w:widowControl w:val="0"/>
      <w:spacing w:line="240" w:lineRule="auto"/>
      <w:jc w:val="both"/>
    </w:pPr>
    <w:rPr>
      <w:rFonts w:ascii="宋体" w:hAnsi="Calibri"/>
    </w:rPr>
  </w:style>
  <w:style w:type="paragraph" w:customStyle="1" w:styleId="315">
    <w:name w:val="表内2"/>
    <w:basedOn w:val="1"/>
    <w:qFormat/>
    <w:uiPriority w:val="0"/>
    <w:pPr>
      <w:widowControl w:val="0"/>
      <w:spacing w:line="240" w:lineRule="auto"/>
    </w:pPr>
    <w:rPr>
      <w:rFonts w:ascii="宋体" w:hAnsi="宋体"/>
      <w:spacing w:val="-20"/>
      <w:szCs w:val="21"/>
    </w:rPr>
  </w:style>
  <w:style w:type="paragraph" w:customStyle="1" w:styleId="316">
    <w:name w:val="xl109"/>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17">
    <w:name w:val="标 题 2"/>
    <w:basedOn w:val="4"/>
    <w:qFormat/>
    <w:uiPriority w:val="0"/>
    <w:pPr>
      <w:keepLines/>
      <w:widowControl w:val="0"/>
      <w:snapToGrid w:val="0"/>
      <w:spacing w:after="156" w:afterLines="50" w:line="460" w:lineRule="exact"/>
      <w:jc w:val="both"/>
      <w:outlineLvl w:val="3"/>
    </w:pPr>
    <w:rPr>
      <w:rFonts w:ascii="Arial" w:hAnsi="Arial" w:eastAsia="黑体"/>
      <w:b w:val="0"/>
      <w:bCs w:val="0"/>
      <w:sz w:val="28"/>
      <w:szCs w:val="20"/>
    </w:rPr>
  </w:style>
  <w:style w:type="paragraph" w:customStyle="1" w:styleId="318">
    <w:name w:val="七级标题表头"/>
    <w:basedOn w:val="1"/>
    <w:qFormat/>
    <w:uiPriority w:val="0"/>
    <w:pPr>
      <w:widowControl w:val="0"/>
      <w:adjustRightInd w:val="0"/>
      <w:snapToGrid w:val="0"/>
      <w:spacing w:line="240" w:lineRule="auto"/>
      <w:jc w:val="center"/>
    </w:pPr>
    <w:rPr>
      <w:rFonts w:ascii="仿宋_GB2312" w:hAnsi="宋体" w:eastAsia="华文中宋"/>
      <w:b/>
      <w:bCs/>
      <w:snapToGrid w:val="0"/>
      <w:kern w:val="28"/>
      <w:sz w:val="24"/>
      <w:szCs w:val="28"/>
    </w:rPr>
  </w:style>
  <w:style w:type="paragraph" w:customStyle="1" w:styleId="319">
    <w:name w:val="Style28"/>
    <w:basedOn w:val="1"/>
    <w:unhideWhenUsed/>
    <w:qFormat/>
    <w:uiPriority w:val="0"/>
    <w:pPr>
      <w:widowControl w:val="0"/>
      <w:spacing w:line="552" w:lineRule="exact"/>
      <w:ind w:firstLine="547"/>
      <w:jc w:val="both"/>
    </w:pPr>
    <w:rPr>
      <w:rFonts w:ascii="Calibri" w:hAnsi="Calibri" w:eastAsia="微软雅黑"/>
    </w:rPr>
  </w:style>
  <w:style w:type="paragraph" w:customStyle="1" w:styleId="320">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321">
    <w:name w:val="样式 五号 居中 首行缩进:  2 字符"/>
    <w:basedOn w:val="1"/>
    <w:qFormat/>
    <w:uiPriority w:val="0"/>
    <w:pPr>
      <w:widowControl w:val="0"/>
      <w:spacing w:line="0" w:lineRule="atLeast"/>
      <w:jc w:val="center"/>
    </w:pPr>
    <w:rPr>
      <w:rFonts w:ascii="宋体" w:hAnsi="Garamond" w:cs="宋体"/>
      <w:szCs w:val="20"/>
    </w:rPr>
  </w:style>
  <w:style w:type="paragraph" w:customStyle="1" w:styleId="322">
    <w:name w:val="样式 (西文) 仿宋_GB2312 (符号) 宋体 小四 行距: 1.5 倍行距 首行缩进:  2 字符"/>
    <w:basedOn w:val="1"/>
    <w:qFormat/>
    <w:uiPriority w:val="0"/>
    <w:pPr>
      <w:widowControl w:val="0"/>
      <w:adjustRightInd w:val="0"/>
      <w:snapToGrid w:val="0"/>
      <w:spacing w:line="276" w:lineRule="auto"/>
      <w:ind w:firstLine="200" w:firstLineChars="200"/>
      <w:jc w:val="both"/>
    </w:pPr>
    <w:rPr>
      <w:rFonts w:ascii="仿宋_GB2312" w:hAnsi="宋体" w:eastAsia="仿宋_GB2312" w:cs="宋体"/>
      <w:szCs w:val="21"/>
    </w:rPr>
  </w:style>
  <w:style w:type="paragraph" w:customStyle="1" w:styleId="323">
    <w:name w:val="Style53"/>
    <w:basedOn w:val="1"/>
    <w:unhideWhenUsed/>
    <w:qFormat/>
    <w:uiPriority w:val="0"/>
    <w:pPr>
      <w:widowControl w:val="0"/>
      <w:spacing w:line="533" w:lineRule="exact"/>
      <w:ind w:firstLine="581"/>
      <w:jc w:val="both"/>
    </w:pPr>
    <w:rPr>
      <w:rFonts w:ascii="Calibri" w:hAnsi="Calibri" w:eastAsia="微软雅黑"/>
    </w:rPr>
  </w:style>
  <w:style w:type="paragraph" w:customStyle="1" w:styleId="324">
    <w:name w:val="Style74"/>
    <w:basedOn w:val="1"/>
    <w:unhideWhenUsed/>
    <w:qFormat/>
    <w:uiPriority w:val="0"/>
    <w:pPr>
      <w:widowControl w:val="0"/>
      <w:spacing w:line="437" w:lineRule="exact"/>
      <w:jc w:val="both"/>
    </w:pPr>
    <w:rPr>
      <w:rFonts w:ascii="Calibri" w:hAnsi="Calibri" w:eastAsia="微软雅黑"/>
    </w:rPr>
  </w:style>
  <w:style w:type="paragraph" w:customStyle="1" w:styleId="325">
    <w:name w:val="表格3"/>
    <w:basedOn w:val="1"/>
    <w:qFormat/>
    <w:uiPriority w:val="0"/>
    <w:pPr>
      <w:adjustRightInd w:val="0"/>
      <w:snapToGrid w:val="0"/>
      <w:spacing w:line="240" w:lineRule="auto"/>
      <w:jc w:val="center"/>
    </w:pPr>
    <w:rPr>
      <w:rFonts w:ascii="Calibri" w:hAnsi="Calibri"/>
      <w:snapToGrid w:val="0"/>
      <w:kern w:val="0"/>
      <w:szCs w:val="21"/>
    </w:rPr>
  </w:style>
  <w:style w:type="paragraph" w:customStyle="1" w:styleId="326">
    <w:name w:val="CM34"/>
    <w:basedOn w:val="255"/>
    <w:next w:val="255"/>
    <w:qFormat/>
    <w:uiPriority w:val="0"/>
    <w:pPr>
      <w:spacing w:line="398" w:lineRule="atLeast"/>
    </w:pPr>
    <w:rPr>
      <w:rFonts w:ascii="宋体" w:hAnsi="Times New Roman" w:eastAsia="宋体" w:cs="宋体"/>
      <w:sz w:val="24"/>
      <w:szCs w:val="24"/>
    </w:rPr>
  </w:style>
  <w:style w:type="paragraph" w:customStyle="1" w:styleId="327">
    <w:name w:val="XW图名表名"/>
    <w:basedOn w:val="1"/>
    <w:qFormat/>
    <w:uiPriority w:val="0"/>
    <w:pPr>
      <w:widowControl w:val="0"/>
      <w:adjustRightInd w:val="0"/>
      <w:spacing w:before="120" w:after="60" w:line="240" w:lineRule="auto"/>
      <w:ind w:firstLine="422" w:firstLineChars="200"/>
      <w:jc w:val="center"/>
    </w:pPr>
    <w:rPr>
      <w:rFonts w:ascii="Calibri" w:hAnsi="宋体" w:eastAsia="黑体"/>
      <w:kern w:val="0"/>
      <w:sz w:val="24"/>
      <w:szCs w:val="20"/>
    </w:rPr>
  </w:style>
  <w:style w:type="paragraph" w:customStyle="1" w:styleId="328">
    <w:name w:val="Sec1-Clauses"/>
    <w:basedOn w:val="329"/>
    <w:qFormat/>
    <w:uiPriority w:val="0"/>
    <w:pPr>
      <w:numPr>
        <w:ilvl w:val="1"/>
      </w:numPr>
      <w:tabs>
        <w:tab w:val="left" w:pos="432"/>
        <w:tab w:val="left" w:pos="480"/>
      </w:tabs>
      <w:ind w:left="480" w:hanging="480"/>
    </w:pPr>
  </w:style>
  <w:style w:type="paragraph" w:customStyle="1" w:styleId="329">
    <w:name w:val="Heading 1- Clause name"/>
    <w:basedOn w:val="1"/>
    <w:qFormat/>
    <w:uiPriority w:val="0"/>
    <w:pPr>
      <w:numPr>
        <w:ilvl w:val="2"/>
        <w:numId w:val="12"/>
      </w:numPr>
      <w:tabs>
        <w:tab w:val="left" w:pos="432"/>
      </w:tabs>
      <w:spacing w:before="120" w:after="120" w:line="240" w:lineRule="auto"/>
      <w:ind w:left="432"/>
    </w:pPr>
    <w:rPr>
      <w:rFonts w:ascii="Calibri" w:hAnsi="Calibri"/>
      <w:b/>
      <w:kern w:val="0"/>
      <w:sz w:val="24"/>
      <w:szCs w:val="20"/>
      <w:lang w:eastAsia="en-US"/>
    </w:rPr>
  </w:style>
  <w:style w:type="paragraph" w:customStyle="1" w:styleId="330">
    <w:name w:val="正文5"/>
    <w:basedOn w:val="1"/>
    <w:qFormat/>
    <w:uiPriority w:val="0"/>
    <w:pPr>
      <w:widowControl w:val="0"/>
      <w:spacing w:line="360" w:lineRule="auto"/>
      <w:ind w:left="500" w:leftChars="500"/>
      <w:jc w:val="both"/>
    </w:pPr>
    <w:rPr>
      <w:rFonts w:ascii="宋体" w:hAnsi="Calibri"/>
      <w:sz w:val="24"/>
    </w:rPr>
  </w:style>
  <w:style w:type="paragraph" w:customStyle="1" w:styleId="331">
    <w:name w:val="纯文本1"/>
    <w:basedOn w:val="1"/>
    <w:qFormat/>
    <w:uiPriority w:val="0"/>
    <w:pPr>
      <w:widowControl w:val="0"/>
      <w:adjustRightInd w:val="0"/>
      <w:spacing w:after="156" w:afterLines="50" w:line="240" w:lineRule="auto"/>
      <w:jc w:val="both"/>
      <w:textAlignment w:val="baseline"/>
    </w:pPr>
    <w:rPr>
      <w:rFonts w:ascii="宋体" w:hAnsi="Calibri"/>
      <w:kern w:val="0"/>
      <w:sz w:val="24"/>
      <w:szCs w:val="20"/>
    </w:rPr>
  </w:style>
  <w:style w:type="paragraph" w:customStyle="1" w:styleId="332">
    <w:name w:val="表格文字（5号）"/>
    <w:basedOn w:val="1"/>
    <w:qFormat/>
    <w:uiPriority w:val="0"/>
    <w:pPr>
      <w:widowControl w:val="0"/>
      <w:adjustRightInd w:val="0"/>
      <w:snapToGrid w:val="0"/>
      <w:jc w:val="center"/>
    </w:pPr>
    <w:rPr>
      <w:rFonts w:ascii="宋体" w:hAnsi="宋体" w:eastAsia="仿宋_GB2312"/>
      <w:snapToGrid w:val="0"/>
      <w:color w:val="000000"/>
      <w:szCs w:val="20"/>
    </w:rPr>
  </w:style>
  <w:style w:type="paragraph" w:customStyle="1" w:styleId="333">
    <w:name w:val="Char Char3 Char Char Char Char"/>
    <w:basedOn w:val="1"/>
    <w:qFormat/>
    <w:uiPriority w:val="0"/>
    <w:pPr>
      <w:spacing w:after="160" w:line="240" w:lineRule="exact"/>
    </w:pPr>
    <w:rPr>
      <w:rFonts w:ascii="Verdana" w:hAnsi="Verdana"/>
      <w:kern w:val="0"/>
      <w:sz w:val="20"/>
      <w:szCs w:val="20"/>
      <w:lang w:eastAsia="en-US"/>
    </w:rPr>
  </w:style>
  <w:style w:type="paragraph" w:customStyle="1" w:styleId="334">
    <w:name w:val="CM81"/>
    <w:basedOn w:val="255"/>
    <w:next w:val="255"/>
    <w:qFormat/>
    <w:uiPriority w:val="0"/>
    <w:pPr>
      <w:spacing w:line="440" w:lineRule="atLeast"/>
    </w:pPr>
    <w:rPr>
      <w:rFonts w:ascii="宋体" w:hAnsi="Times New Roman" w:eastAsia="宋体" w:cs="宋体"/>
      <w:sz w:val="24"/>
      <w:szCs w:val="24"/>
    </w:rPr>
  </w:style>
  <w:style w:type="paragraph" w:customStyle="1" w:styleId="335">
    <w:name w:val="xl9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336">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37">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Calibri" w:eastAsia="黑体" w:cs="Times New Roman"/>
      <w:sz w:val="32"/>
      <w:lang w:val="en-US" w:eastAsia="zh-CN" w:bidi="ar-SA"/>
    </w:rPr>
  </w:style>
  <w:style w:type="paragraph" w:customStyle="1" w:styleId="338">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39">
    <w:name w:val="(1)"/>
    <w:basedOn w:val="1"/>
    <w:next w:val="1"/>
    <w:qFormat/>
    <w:uiPriority w:val="0"/>
    <w:pPr>
      <w:widowControl w:val="0"/>
      <w:tabs>
        <w:tab w:val="left" w:pos="780"/>
      </w:tabs>
      <w:spacing w:line="240" w:lineRule="auto"/>
      <w:ind w:left="780" w:leftChars="200" w:hanging="360" w:hangingChars="200"/>
      <w:jc w:val="both"/>
    </w:pPr>
    <w:rPr>
      <w:rFonts w:ascii="Calibri" w:hAnsi="Calibri"/>
      <w:sz w:val="24"/>
      <w:szCs w:val="20"/>
    </w:rPr>
  </w:style>
  <w:style w:type="paragraph" w:customStyle="1" w:styleId="340">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1">
    <w:name w:val="xl6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342">
    <w:name w:val="Char Char1 Char Char Char Char Char Char Char"/>
    <w:basedOn w:val="1"/>
    <w:qFormat/>
    <w:uiPriority w:val="0"/>
    <w:pPr>
      <w:spacing w:after="160" w:line="240" w:lineRule="exact"/>
    </w:pPr>
    <w:rPr>
      <w:rFonts w:ascii="Calibri" w:hAnsi="Calibri" w:eastAsia="微软雅黑"/>
    </w:rPr>
  </w:style>
  <w:style w:type="paragraph" w:customStyle="1" w:styleId="34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44">
    <w:name w:val="CM15"/>
    <w:basedOn w:val="255"/>
    <w:next w:val="255"/>
    <w:qFormat/>
    <w:uiPriority w:val="0"/>
    <w:pPr>
      <w:spacing w:line="313" w:lineRule="atLeast"/>
    </w:pPr>
    <w:rPr>
      <w:rFonts w:ascii="宋体" w:hAnsi="Times New Roman" w:eastAsia="宋体" w:cs="宋体"/>
      <w:sz w:val="24"/>
      <w:szCs w:val="24"/>
    </w:rPr>
  </w:style>
  <w:style w:type="paragraph" w:customStyle="1" w:styleId="345">
    <w:name w:val="表格字"/>
    <w:basedOn w:val="1"/>
    <w:qFormat/>
    <w:uiPriority w:val="0"/>
    <w:pPr>
      <w:widowControl w:val="0"/>
      <w:adjustRightInd w:val="0"/>
      <w:spacing w:before="20" w:after="20" w:line="240" w:lineRule="auto"/>
      <w:jc w:val="center"/>
      <w:textAlignment w:val="baseline"/>
    </w:pPr>
    <w:rPr>
      <w:rFonts w:ascii="Calibri" w:hAnsi="Calibri" w:eastAsia="仿宋_GB2312"/>
      <w:kern w:val="0"/>
      <w:szCs w:val="20"/>
    </w:rPr>
  </w:style>
  <w:style w:type="paragraph" w:customStyle="1" w:styleId="346">
    <w:name w:val="Char1 Char Char Char"/>
    <w:basedOn w:val="1"/>
    <w:qFormat/>
    <w:uiPriority w:val="0"/>
    <w:pPr>
      <w:spacing w:after="160" w:line="240" w:lineRule="exact"/>
    </w:pPr>
    <w:rPr>
      <w:rFonts w:ascii="Calibri" w:hAnsi="Calibri" w:eastAsia="微软雅黑"/>
      <w:kern w:val="0"/>
      <w:sz w:val="24"/>
      <w:szCs w:val="20"/>
    </w:rPr>
  </w:style>
  <w:style w:type="paragraph" w:customStyle="1" w:styleId="347">
    <w:name w:val="Char Char Char1 Char1"/>
    <w:basedOn w:val="1"/>
    <w:qFormat/>
    <w:uiPriority w:val="0"/>
    <w:pPr>
      <w:widowControl w:val="0"/>
      <w:tabs>
        <w:tab w:val="left" w:pos="360"/>
      </w:tabs>
      <w:snapToGrid w:val="0"/>
      <w:spacing w:line="360" w:lineRule="auto"/>
      <w:jc w:val="both"/>
    </w:pPr>
    <w:rPr>
      <w:rFonts w:ascii="Calibri" w:hAnsi="Calibri" w:eastAsia="仿宋_GB2312" w:cs="宋体"/>
      <w:sz w:val="24"/>
    </w:rPr>
  </w:style>
  <w:style w:type="paragraph" w:customStyle="1" w:styleId="348">
    <w:name w:val="文档结构图1"/>
    <w:basedOn w:val="1"/>
    <w:qFormat/>
    <w:uiPriority w:val="0"/>
    <w:pPr>
      <w:widowControl w:val="0"/>
      <w:shd w:val="clear" w:color="auto" w:fill="000080"/>
      <w:adjustRightInd w:val="0"/>
      <w:spacing w:line="240" w:lineRule="auto"/>
      <w:jc w:val="both"/>
      <w:textAlignment w:val="baseline"/>
    </w:pPr>
    <w:rPr>
      <w:rFonts w:ascii="楷体_GB2312" w:hAnsi="Calibri" w:eastAsia="楷体_GB2312"/>
      <w:kern w:val="0"/>
      <w:sz w:val="28"/>
      <w:szCs w:val="20"/>
    </w:rPr>
  </w:style>
  <w:style w:type="paragraph" w:customStyle="1" w:styleId="349">
    <w:name w:val="Outline"/>
    <w:basedOn w:val="1"/>
    <w:qFormat/>
    <w:uiPriority w:val="0"/>
    <w:pPr>
      <w:numPr>
        <w:ilvl w:val="0"/>
        <w:numId w:val="12"/>
      </w:numPr>
      <w:tabs>
        <w:tab w:val="left" w:pos="972"/>
      </w:tabs>
      <w:spacing w:before="240" w:line="240" w:lineRule="auto"/>
    </w:pPr>
    <w:rPr>
      <w:rFonts w:ascii="Calibri" w:hAnsi="Calibri"/>
      <w:kern w:val="28"/>
      <w:sz w:val="24"/>
      <w:szCs w:val="20"/>
      <w:lang w:eastAsia="en-US"/>
    </w:rPr>
  </w:style>
  <w:style w:type="paragraph" w:customStyle="1" w:styleId="350">
    <w:name w:val="Style26"/>
    <w:basedOn w:val="1"/>
    <w:unhideWhenUsed/>
    <w:qFormat/>
    <w:uiPriority w:val="0"/>
    <w:pPr>
      <w:widowControl w:val="0"/>
      <w:spacing w:line="240" w:lineRule="auto"/>
      <w:jc w:val="both"/>
    </w:pPr>
    <w:rPr>
      <w:rFonts w:ascii="Calibri" w:hAnsi="Calibri" w:eastAsia="微软雅黑"/>
    </w:rPr>
  </w:style>
  <w:style w:type="paragraph" w:customStyle="1" w:styleId="351">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352">
    <w:name w:val="CM65"/>
    <w:basedOn w:val="255"/>
    <w:next w:val="255"/>
    <w:qFormat/>
    <w:uiPriority w:val="0"/>
    <w:rPr>
      <w:rFonts w:ascii="宋体" w:hAnsi="Times New Roman" w:eastAsia="宋体" w:cs="宋体"/>
      <w:sz w:val="24"/>
      <w:szCs w:val="24"/>
    </w:rPr>
  </w:style>
  <w:style w:type="paragraph" w:customStyle="1" w:styleId="353">
    <w:name w:val="CM25"/>
    <w:basedOn w:val="255"/>
    <w:next w:val="255"/>
    <w:qFormat/>
    <w:uiPriority w:val="0"/>
    <w:pPr>
      <w:spacing w:line="440" w:lineRule="atLeast"/>
    </w:pPr>
    <w:rPr>
      <w:rFonts w:ascii="宋体" w:hAnsi="Times New Roman" w:eastAsia="宋体" w:cs="宋体"/>
      <w:sz w:val="24"/>
      <w:szCs w:val="24"/>
    </w:rPr>
  </w:style>
  <w:style w:type="paragraph" w:customStyle="1" w:styleId="354">
    <w:name w:val="目录3"/>
    <w:basedOn w:val="1"/>
    <w:qFormat/>
    <w:uiPriority w:val="0"/>
    <w:pPr>
      <w:widowControl w:val="0"/>
      <w:adjustRightInd w:val="0"/>
      <w:spacing w:line="420" w:lineRule="atLeast"/>
      <w:ind w:left="454"/>
      <w:jc w:val="both"/>
      <w:textAlignment w:val="baseline"/>
    </w:pPr>
    <w:rPr>
      <w:rFonts w:ascii="Calibri" w:hAnsi="Calibri"/>
      <w:kern w:val="0"/>
      <w:szCs w:val="20"/>
    </w:rPr>
  </w:style>
  <w:style w:type="paragraph" w:customStyle="1" w:styleId="355">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356">
    <w:name w:val="Style70"/>
    <w:basedOn w:val="1"/>
    <w:unhideWhenUsed/>
    <w:qFormat/>
    <w:uiPriority w:val="0"/>
    <w:pPr>
      <w:widowControl w:val="0"/>
      <w:spacing w:line="549" w:lineRule="exact"/>
      <w:ind w:firstLine="686"/>
      <w:jc w:val="both"/>
    </w:pPr>
    <w:rPr>
      <w:rFonts w:ascii="Calibri" w:hAnsi="Calibri" w:eastAsia="微软雅黑"/>
    </w:rPr>
  </w:style>
  <w:style w:type="paragraph" w:customStyle="1" w:styleId="357">
    <w:name w:val="CM95"/>
    <w:basedOn w:val="255"/>
    <w:next w:val="255"/>
    <w:qFormat/>
    <w:uiPriority w:val="0"/>
    <w:pPr>
      <w:spacing w:after="115"/>
    </w:pPr>
    <w:rPr>
      <w:rFonts w:ascii="宋体" w:hAnsi="Times New Roman" w:eastAsia="宋体" w:cs="宋体"/>
      <w:sz w:val="24"/>
      <w:szCs w:val="24"/>
    </w:rPr>
  </w:style>
  <w:style w:type="paragraph" w:customStyle="1" w:styleId="358">
    <w:name w:val="样式 样式 样式 标题 3 + 段前: 0.5 行 + 段前: 0.5 行 + (符号) 宋体 黑色"/>
    <w:basedOn w:val="1"/>
    <w:qFormat/>
    <w:uiPriority w:val="0"/>
    <w:pPr>
      <w:keepNext/>
      <w:keepLines/>
      <w:widowControl w:val="0"/>
      <w:snapToGrid w:val="0"/>
      <w:spacing w:before="156" w:beforeLines="50" w:line="360" w:lineRule="auto"/>
      <w:outlineLvl w:val="2"/>
    </w:pPr>
    <w:rPr>
      <w:rFonts w:ascii="Calibri" w:hAnsi="Calibri"/>
      <w:color w:val="000000"/>
      <w:sz w:val="24"/>
      <w:szCs w:val="20"/>
    </w:rPr>
  </w:style>
  <w:style w:type="paragraph" w:customStyle="1" w:styleId="359">
    <w:name w:val="附录标识"/>
    <w:basedOn w:val="337"/>
    <w:qFormat/>
    <w:uiPriority w:val="0"/>
    <w:pPr>
      <w:tabs>
        <w:tab w:val="left" w:pos="6405"/>
        <w:tab w:val="clear" w:pos="360"/>
        <w:tab w:val="clear" w:pos="720"/>
      </w:tabs>
      <w:spacing w:after="200"/>
    </w:pPr>
    <w:rPr>
      <w:sz w:val="21"/>
    </w:rPr>
  </w:style>
  <w:style w:type="paragraph" w:customStyle="1" w:styleId="360">
    <w:name w:val="Style60"/>
    <w:basedOn w:val="1"/>
    <w:unhideWhenUsed/>
    <w:qFormat/>
    <w:uiPriority w:val="0"/>
    <w:pPr>
      <w:widowControl w:val="0"/>
      <w:spacing w:line="566" w:lineRule="exact"/>
      <w:jc w:val="both"/>
    </w:pPr>
    <w:rPr>
      <w:rFonts w:ascii="Calibri" w:hAnsi="Calibri" w:eastAsia="微软雅黑"/>
    </w:rPr>
  </w:style>
  <w:style w:type="paragraph" w:customStyle="1" w:styleId="361">
    <w:name w:val="titulo"/>
    <w:basedOn w:val="6"/>
    <w:qFormat/>
    <w:uiPriority w:val="0"/>
    <w:pPr>
      <w:widowControl/>
      <w:tabs>
        <w:tab w:val="left" w:pos="1418"/>
      </w:tabs>
      <w:adjustRightInd/>
      <w:spacing w:before="0" w:after="240" w:line="240" w:lineRule="auto"/>
      <w:jc w:val="center"/>
    </w:pPr>
    <w:rPr>
      <w:rFonts w:ascii="Times New Roman Bold" w:hAnsi="Times New Roman Bold"/>
      <w:bCs w:val="0"/>
      <w:sz w:val="24"/>
      <w:szCs w:val="20"/>
      <w:lang w:eastAsia="en-US"/>
    </w:rPr>
  </w:style>
  <w:style w:type="paragraph" w:customStyle="1" w:styleId="362">
    <w:name w:val="正文文本缩进 31"/>
    <w:basedOn w:val="1"/>
    <w:qFormat/>
    <w:uiPriority w:val="0"/>
    <w:pPr>
      <w:widowControl w:val="0"/>
      <w:adjustRightInd w:val="0"/>
      <w:spacing w:after="156" w:afterLines="50" w:line="360" w:lineRule="atLeast"/>
      <w:ind w:firstLine="555"/>
      <w:jc w:val="both"/>
      <w:textAlignment w:val="baseline"/>
    </w:pPr>
    <w:rPr>
      <w:rFonts w:ascii="宋体" w:hAnsi="Calibri"/>
      <w:color w:val="000000"/>
      <w:kern w:val="0"/>
      <w:sz w:val="24"/>
      <w:szCs w:val="20"/>
    </w:rPr>
  </w:style>
  <w:style w:type="paragraph" w:customStyle="1" w:styleId="363">
    <w:name w:val="Style24"/>
    <w:basedOn w:val="1"/>
    <w:unhideWhenUsed/>
    <w:qFormat/>
    <w:uiPriority w:val="0"/>
    <w:pPr>
      <w:widowControl w:val="0"/>
      <w:spacing w:line="240" w:lineRule="auto"/>
      <w:jc w:val="both"/>
    </w:pPr>
    <w:rPr>
      <w:rFonts w:ascii="Calibri" w:hAnsi="Calibri" w:eastAsia="微软雅黑"/>
    </w:rPr>
  </w:style>
  <w:style w:type="paragraph" w:customStyle="1" w:styleId="364">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365">
    <w:name w:val="表格文字"/>
    <w:qFormat/>
    <w:uiPriority w:val="0"/>
    <w:pPr>
      <w:adjustRightInd w:val="0"/>
      <w:snapToGrid w:val="0"/>
      <w:jc w:val="center"/>
    </w:pPr>
    <w:rPr>
      <w:rFonts w:ascii="Calibri" w:hAnsi="Calibri" w:eastAsia="宋体" w:cs="Times New Roman"/>
      <w:bCs/>
      <w:sz w:val="21"/>
      <w:lang w:val="en-US" w:eastAsia="zh-CN" w:bidi="ar-SA"/>
    </w:rPr>
  </w:style>
  <w:style w:type="paragraph" w:customStyle="1" w:styleId="366">
    <w:name w:val="默认段落字体 Para Char Char Char Char Char Char Char Char Char Char"/>
    <w:basedOn w:val="1"/>
    <w:semiHidden/>
    <w:qFormat/>
    <w:uiPriority w:val="0"/>
    <w:pPr>
      <w:widowControl w:val="0"/>
      <w:adjustRightInd w:val="0"/>
      <w:spacing w:line="360" w:lineRule="atLeast"/>
      <w:jc w:val="both"/>
    </w:pPr>
    <w:rPr>
      <w:rFonts w:ascii="Calibri" w:hAnsi="Calibri"/>
      <w:szCs w:val="28"/>
    </w:rPr>
  </w:style>
  <w:style w:type="paragraph" w:customStyle="1" w:styleId="367">
    <w:name w:val="font13"/>
    <w:basedOn w:val="1"/>
    <w:qFormat/>
    <w:uiPriority w:val="0"/>
    <w:pPr>
      <w:spacing w:before="100" w:beforeAutospacing="1" w:after="100" w:afterAutospacing="1" w:line="240" w:lineRule="auto"/>
    </w:pPr>
    <w:rPr>
      <w:rFonts w:ascii="Calibri" w:hAnsi="Calibri"/>
      <w:b/>
      <w:bCs/>
      <w:kern w:val="0"/>
      <w:sz w:val="18"/>
      <w:szCs w:val="18"/>
    </w:rPr>
  </w:style>
  <w:style w:type="paragraph" w:customStyle="1" w:styleId="368">
    <w:name w:val="text"/>
    <w:basedOn w:val="1"/>
    <w:qFormat/>
    <w:uiPriority w:val="0"/>
    <w:pPr>
      <w:spacing w:before="100" w:beforeAutospacing="1" w:after="100" w:afterAutospacing="1" w:line="240" w:lineRule="auto"/>
    </w:pPr>
    <w:rPr>
      <w:rFonts w:ascii="宋体" w:hAnsi="宋体" w:cs="宋体"/>
      <w:kern w:val="0"/>
      <w:sz w:val="24"/>
    </w:rPr>
  </w:style>
  <w:style w:type="paragraph" w:customStyle="1" w:styleId="369">
    <w:name w:val="Style71"/>
    <w:basedOn w:val="1"/>
    <w:unhideWhenUsed/>
    <w:qFormat/>
    <w:uiPriority w:val="0"/>
    <w:pPr>
      <w:widowControl w:val="0"/>
      <w:spacing w:line="538" w:lineRule="exact"/>
      <w:ind w:firstLine="101"/>
      <w:jc w:val="both"/>
    </w:pPr>
    <w:rPr>
      <w:rFonts w:ascii="Calibri" w:hAnsi="Calibri" w:eastAsia="微软雅黑"/>
    </w:rPr>
  </w:style>
  <w:style w:type="paragraph" w:customStyle="1" w:styleId="370">
    <w:name w:val="CM102"/>
    <w:basedOn w:val="255"/>
    <w:next w:val="255"/>
    <w:qFormat/>
    <w:uiPriority w:val="0"/>
    <w:pPr>
      <w:spacing w:after="878"/>
    </w:pPr>
    <w:rPr>
      <w:rFonts w:ascii="宋体" w:hAnsi="Times New Roman" w:eastAsia="宋体" w:cs="宋体"/>
      <w:sz w:val="24"/>
      <w:szCs w:val="24"/>
    </w:rPr>
  </w:style>
  <w:style w:type="paragraph" w:customStyle="1" w:styleId="371">
    <w:name w:val="1 Char"/>
    <w:basedOn w:val="1"/>
    <w:semiHidden/>
    <w:qFormat/>
    <w:uiPriority w:val="0"/>
    <w:pPr>
      <w:widowControl w:val="0"/>
      <w:spacing w:line="400" w:lineRule="exact"/>
      <w:ind w:firstLine="200" w:firstLineChars="200"/>
      <w:jc w:val="both"/>
    </w:pPr>
    <w:rPr>
      <w:rFonts w:ascii="Calibri" w:hAnsi="Calibri"/>
      <w:sz w:val="24"/>
    </w:rPr>
  </w:style>
  <w:style w:type="paragraph" w:customStyle="1" w:styleId="372">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73">
    <w:name w:val="Style80"/>
    <w:basedOn w:val="1"/>
    <w:unhideWhenUsed/>
    <w:qFormat/>
    <w:uiPriority w:val="0"/>
    <w:pPr>
      <w:widowControl w:val="0"/>
      <w:spacing w:line="240" w:lineRule="auto"/>
      <w:jc w:val="both"/>
    </w:pPr>
    <w:rPr>
      <w:rFonts w:ascii="Calibri" w:hAnsi="Calibri" w:eastAsia="微软雅黑"/>
    </w:rPr>
  </w:style>
  <w:style w:type="paragraph" w:customStyle="1" w:styleId="374">
    <w:name w:val="Char Char1 Char Char Char"/>
    <w:basedOn w:val="1"/>
    <w:qFormat/>
    <w:uiPriority w:val="0"/>
    <w:pPr>
      <w:widowControl w:val="0"/>
      <w:spacing w:line="240" w:lineRule="auto"/>
      <w:jc w:val="both"/>
    </w:pPr>
    <w:rPr>
      <w:rFonts w:ascii="Calibri" w:hAnsi="Calibri" w:eastAsia="微软雅黑"/>
      <w:kern w:val="0"/>
      <w:sz w:val="20"/>
      <w:szCs w:val="20"/>
    </w:rPr>
  </w:style>
  <w:style w:type="paragraph" w:customStyle="1" w:styleId="375">
    <w:name w:val="正文1"/>
    <w:basedOn w:val="1"/>
    <w:qFormat/>
    <w:uiPriority w:val="0"/>
    <w:pPr>
      <w:widowControl w:val="0"/>
      <w:adjustRightInd w:val="0"/>
      <w:spacing w:line="360" w:lineRule="atLeast"/>
      <w:jc w:val="both"/>
      <w:textAlignment w:val="baseline"/>
    </w:pPr>
    <w:rPr>
      <w:rFonts w:ascii="宋体" w:hAnsi="Calibri"/>
      <w:kern w:val="0"/>
      <w:sz w:val="36"/>
      <w:szCs w:val="20"/>
    </w:rPr>
  </w:style>
  <w:style w:type="paragraph" w:customStyle="1" w:styleId="376">
    <w:name w:val="ST20_1"/>
    <w:basedOn w:val="1"/>
    <w:qFormat/>
    <w:uiPriority w:val="0"/>
    <w:pPr>
      <w:widowControl w:val="0"/>
      <w:autoSpaceDE w:val="0"/>
      <w:autoSpaceDN w:val="0"/>
      <w:adjustRightInd w:val="0"/>
      <w:spacing w:line="240" w:lineRule="auto"/>
      <w:jc w:val="center"/>
      <w:textAlignment w:val="baseline"/>
    </w:pPr>
    <w:rPr>
      <w:rFonts w:ascii="Calibri" w:hAnsi="Calibri"/>
      <w:kern w:val="0"/>
      <w:sz w:val="24"/>
      <w:szCs w:val="20"/>
    </w:rPr>
  </w:style>
  <w:style w:type="paragraph" w:customStyle="1" w:styleId="377">
    <w:name w:val="默认段落字体 Para Char Char Char Char Char Char Char Char Char Char Char Char Char Char Char Char Char Char Char"/>
    <w:basedOn w:val="1"/>
    <w:qFormat/>
    <w:uiPriority w:val="0"/>
    <w:pPr>
      <w:widowControl w:val="0"/>
      <w:spacing w:line="240" w:lineRule="auto"/>
      <w:jc w:val="both"/>
    </w:pPr>
    <w:rPr>
      <w:rFonts w:ascii="Calibri" w:hAnsi="Calibri" w:eastAsia="微软雅黑"/>
    </w:rPr>
  </w:style>
  <w:style w:type="paragraph" w:customStyle="1" w:styleId="378">
    <w:name w:val="报告正文"/>
    <w:basedOn w:val="1"/>
    <w:qFormat/>
    <w:uiPriority w:val="0"/>
    <w:pPr>
      <w:widowControl w:val="0"/>
      <w:tabs>
        <w:tab w:val="left" w:pos="732"/>
      </w:tabs>
      <w:adjustRightInd w:val="0"/>
      <w:snapToGrid w:val="0"/>
      <w:spacing w:before="120" w:beforeLines="50"/>
      <w:ind w:left="720" w:right="176" w:hanging="720"/>
      <w:jc w:val="both"/>
    </w:pPr>
    <w:rPr>
      <w:rFonts w:ascii="宋体" w:hAnsi="宋体"/>
    </w:rPr>
  </w:style>
  <w:style w:type="paragraph" w:customStyle="1" w:styleId="379">
    <w:name w:val="xl8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380">
    <w:name w:val="样式 标题 1 + 小二 黑色"/>
    <w:basedOn w:val="2"/>
    <w:qFormat/>
    <w:uiPriority w:val="0"/>
    <w:pPr>
      <w:widowControl w:val="0"/>
      <w:suppressLineNumbers/>
      <w:tabs>
        <w:tab w:val="left" w:pos="4140"/>
      </w:tabs>
      <w:adjustRightInd w:val="0"/>
      <w:snapToGrid w:val="0"/>
      <w:spacing w:line="578" w:lineRule="atLeast"/>
      <w:jc w:val="center"/>
      <w:textAlignment w:val="baseline"/>
    </w:pPr>
    <w:rPr>
      <w:rFonts w:ascii="Calibri" w:hAnsi="Calibri"/>
      <w:color w:val="000000"/>
      <w:sz w:val="32"/>
      <w:szCs w:val="32"/>
    </w:rPr>
  </w:style>
  <w:style w:type="paragraph" w:customStyle="1" w:styleId="381">
    <w:name w:val="纯文本2"/>
    <w:basedOn w:val="1"/>
    <w:qFormat/>
    <w:uiPriority w:val="0"/>
    <w:pPr>
      <w:widowControl w:val="0"/>
      <w:adjustRightInd w:val="0"/>
      <w:spacing w:line="240" w:lineRule="auto"/>
      <w:jc w:val="both"/>
      <w:textAlignment w:val="baseline"/>
    </w:pPr>
    <w:rPr>
      <w:rFonts w:ascii="宋体" w:hAnsi="Calibri"/>
      <w:kern w:val="0"/>
      <w:sz w:val="24"/>
      <w:szCs w:val="20"/>
    </w:rPr>
  </w:style>
  <w:style w:type="paragraph" w:customStyle="1" w:styleId="382">
    <w:name w:val="xl9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383">
    <w:name w:val="0"/>
    <w:basedOn w:val="1"/>
    <w:qFormat/>
    <w:uiPriority w:val="0"/>
    <w:pPr>
      <w:snapToGrid w:val="0"/>
      <w:spacing w:line="240" w:lineRule="auto"/>
      <w:ind w:left="1"/>
      <w:jc w:val="both"/>
      <w:textAlignment w:val="bottom"/>
    </w:pPr>
    <w:rPr>
      <w:rFonts w:ascii="Calibri" w:hAnsi="Calibri"/>
      <w:b/>
      <w:bCs/>
      <w:i/>
      <w:iCs/>
      <w:color w:val="000000"/>
      <w:kern w:val="0"/>
      <w:szCs w:val="21"/>
    </w:rPr>
  </w:style>
  <w:style w:type="paragraph" w:customStyle="1" w:styleId="384">
    <w:name w:val="CM24"/>
    <w:basedOn w:val="255"/>
    <w:next w:val="255"/>
    <w:qFormat/>
    <w:uiPriority w:val="0"/>
    <w:pPr>
      <w:spacing w:line="440" w:lineRule="atLeast"/>
    </w:pPr>
    <w:rPr>
      <w:rFonts w:ascii="宋体" w:hAnsi="Times New Roman" w:eastAsia="宋体" w:cs="宋体"/>
      <w:sz w:val="24"/>
      <w:szCs w:val="24"/>
    </w:rPr>
  </w:style>
  <w:style w:type="paragraph" w:customStyle="1" w:styleId="385">
    <w:name w:val="Style63"/>
    <w:basedOn w:val="1"/>
    <w:unhideWhenUsed/>
    <w:qFormat/>
    <w:uiPriority w:val="0"/>
    <w:pPr>
      <w:widowControl w:val="0"/>
      <w:spacing w:line="564" w:lineRule="exact"/>
      <w:ind w:firstLine="682"/>
      <w:jc w:val="both"/>
    </w:pPr>
    <w:rPr>
      <w:rFonts w:ascii="Calibri" w:hAnsi="Calibri" w:eastAsia="微软雅黑"/>
    </w:rPr>
  </w:style>
  <w:style w:type="paragraph" w:customStyle="1" w:styleId="386">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387">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kern w:val="0"/>
      <w:sz w:val="24"/>
    </w:rPr>
  </w:style>
  <w:style w:type="paragraph" w:customStyle="1" w:styleId="388">
    <w:name w:val="1.1"/>
    <w:basedOn w:val="1"/>
    <w:qFormat/>
    <w:uiPriority w:val="0"/>
    <w:pPr>
      <w:widowControl w:val="0"/>
      <w:tabs>
        <w:tab w:val="left" w:pos="851"/>
      </w:tabs>
      <w:adjustRightInd w:val="0"/>
      <w:spacing w:after="120" w:line="240" w:lineRule="auto"/>
      <w:ind w:left="851" w:hanging="851"/>
      <w:jc w:val="both"/>
      <w:textAlignment w:val="baseline"/>
    </w:pPr>
    <w:rPr>
      <w:rFonts w:ascii="Calibri" w:hAnsi="Calibri" w:eastAsia="黑体"/>
      <w:sz w:val="28"/>
      <w:szCs w:val="20"/>
    </w:rPr>
  </w:style>
  <w:style w:type="paragraph" w:customStyle="1" w:styleId="389">
    <w:name w:val="Style58"/>
    <w:basedOn w:val="1"/>
    <w:unhideWhenUsed/>
    <w:qFormat/>
    <w:uiPriority w:val="0"/>
    <w:pPr>
      <w:widowControl w:val="0"/>
      <w:spacing w:line="413" w:lineRule="exact"/>
      <w:jc w:val="both"/>
    </w:pPr>
    <w:rPr>
      <w:rFonts w:ascii="Calibri" w:hAnsi="Calibri" w:eastAsia="微软雅黑"/>
    </w:rPr>
  </w:style>
  <w:style w:type="paragraph" w:customStyle="1" w:styleId="390">
    <w:name w:val="样式 样式 标题 3 + 宋体 小三 + Times New Roman 段前: 0 磅 段后: 0 磅"/>
    <w:basedOn w:val="391"/>
    <w:qFormat/>
    <w:uiPriority w:val="0"/>
    <w:pPr>
      <w:spacing w:before="312" w:beforeLines="100" w:after="0"/>
    </w:pPr>
    <w:rPr>
      <w:rFonts w:ascii="Times New Roman" w:hAnsi="Times New Roman" w:cs="宋体"/>
      <w:szCs w:val="20"/>
    </w:rPr>
  </w:style>
  <w:style w:type="paragraph" w:customStyle="1" w:styleId="391">
    <w:name w:val="样式 标题 3 + 宋体 小三"/>
    <w:basedOn w:val="4"/>
    <w:qFormat/>
    <w:uiPriority w:val="0"/>
    <w:pPr>
      <w:keepLines/>
      <w:widowControl w:val="0"/>
      <w:adjustRightInd w:val="0"/>
      <w:spacing w:before="120" w:after="120" w:line="360" w:lineRule="auto"/>
      <w:jc w:val="left"/>
      <w:textAlignment w:val="baseline"/>
    </w:pPr>
    <w:rPr>
      <w:kern w:val="0"/>
    </w:rPr>
  </w:style>
  <w:style w:type="paragraph" w:customStyle="1" w:styleId="392">
    <w:name w:val="Style54"/>
    <w:basedOn w:val="1"/>
    <w:unhideWhenUsed/>
    <w:qFormat/>
    <w:uiPriority w:val="0"/>
    <w:pPr>
      <w:widowControl w:val="0"/>
      <w:spacing w:line="240" w:lineRule="auto"/>
      <w:jc w:val="both"/>
    </w:pPr>
    <w:rPr>
      <w:rFonts w:ascii="Calibri" w:hAnsi="Calibri" w:eastAsia="微软雅黑"/>
    </w:rPr>
  </w:style>
  <w:style w:type="paragraph" w:customStyle="1" w:styleId="393">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394">
    <w:name w:val="Char Char Char Char Char Char1 Char"/>
    <w:basedOn w:val="1"/>
    <w:qFormat/>
    <w:uiPriority w:val="0"/>
    <w:pPr>
      <w:widowControl w:val="0"/>
      <w:spacing w:line="240" w:lineRule="auto"/>
      <w:jc w:val="both"/>
    </w:pPr>
    <w:rPr>
      <w:rFonts w:ascii="Calibri" w:hAnsi="Calibri"/>
    </w:rPr>
  </w:style>
  <w:style w:type="paragraph" w:customStyle="1" w:styleId="395">
    <w:name w:val="_Style 39"/>
    <w:basedOn w:val="396"/>
    <w:qFormat/>
    <w:uiPriority w:val="0"/>
  </w:style>
  <w:style w:type="paragraph" w:customStyle="1" w:styleId="396">
    <w:name w:val="正文 New New New"/>
    <w:qFormat/>
    <w:uiPriority w:val="0"/>
    <w:pPr>
      <w:widowControl w:val="0"/>
      <w:jc w:val="both"/>
    </w:pPr>
    <w:rPr>
      <w:rFonts w:ascii="Calibri" w:hAnsi="Calibri" w:eastAsia="微软雅黑" w:cs="Times New Roman"/>
      <w:kern w:val="2"/>
      <w:sz w:val="21"/>
      <w:szCs w:val="24"/>
      <w:lang w:val="en-US" w:eastAsia="zh-CN" w:bidi="ar-SA"/>
    </w:rPr>
  </w:style>
  <w:style w:type="paragraph" w:customStyle="1" w:styleId="397">
    <w:name w:val="表格文字居中"/>
    <w:basedOn w:val="1"/>
    <w:next w:val="1"/>
    <w:qFormat/>
    <w:uiPriority w:val="0"/>
    <w:pPr>
      <w:widowControl w:val="0"/>
      <w:tabs>
        <w:tab w:val="left" w:pos="720"/>
        <w:tab w:val="left" w:pos="900"/>
      </w:tabs>
      <w:adjustRightInd w:val="0"/>
      <w:snapToGrid w:val="0"/>
      <w:spacing w:before="62" w:beforeLines="20" w:after="62" w:afterLines="20" w:line="360" w:lineRule="auto"/>
      <w:jc w:val="center"/>
    </w:pPr>
    <w:rPr>
      <w:rFonts w:ascii="宋体" w:hAnsi="Arial"/>
      <w:kern w:val="0"/>
      <w:sz w:val="18"/>
      <w:szCs w:val="20"/>
    </w:rPr>
  </w:style>
  <w:style w:type="paragraph" w:customStyle="1" w:styleId="398">
    <w:name w:val="CM48"/>
    <w:basedOn w:val="255"/>
    <w:next w:val="255"/>
    <w:qFormat/>
    <w:uiPriority w:val="0"/>
    <w:pPr>
      <w:spacing w:line="540" w:lineRule="atLeast"/>
    </w:pPr>
    <w:rPr>
      <w:rFonts w:ascii="宋体" w:hAnsi="Times New Roman" w:eastAsia="宋体" w:cs="宋体"/>
      <w:sz w:val="24"/>
      <w:szCs w:val="24"/>
    </w:rPr>
  </w:style>
  <w:style w:type="paragraph" w:customStyle="1" w:styleId="399">
    <w:name w:val="表内文"/>
    <w:basedOn w:val="1"/>
    <w:qFormat/>
    <w:uiPriority w:val="0"/>
    <w:pPr>
      <w:widowControl w:val="0"/>
      <w:autoSpaceDE w:val="0"/>
      <w:autoSpaceDN w:val="0"/>
      <w:adjustRightInd w:val="0"/>
      <w:spacing w:line="240" w:lineRule="auto"/>
      <w:jc w:val="center"/>
      <w:textAlignment w:val="bottom"/>
    </w:pPr>
    <w:rPr>
      <w:rFonts w:ascii="Calibri" w:hAnsi="Calibri"/>
      <w:kern w:val="0"/>
      <w:sz w:val="24"/>
      <w:szCs w:val="20"/>
    </w:rPr>
  </w:style>
  <w:style w:type="paragraph" w:customStyle="1" w:styleId="400">
    <w:name w:val="Definition List"/>
    <w:basedOn w:val="1"/>
    <w:next w:val="1"/>
    <w:qFormat/>
    <w:uiPriority w:val="0"/>
    <w:pPr>
      <w:widowControl w:val="0"/>
      <w:spacing w:line="288" w:lineRule="auto"/>
      <w:ind w:left="360"/>
      <w:jc w:val="both"/>
    </w:pPr>
    <w:rPr>
      <w:rFonts w:ascii="Calibri" w:hAnsi="Calibri"/>
      <w:szCs w:val="20"/>
    </w:rPr>
  </w:style>
  <w:style w:type="paragraph" w:customStyle="1" w:styleId="401">
    <w:name w:val="CM92"/>
    <w:basedOn w:val="255"/>
    <w:next w:val="255"/>
    <w:qFormat/>
    <w:uiPriority w:val="0"/>
    <w:pPr>
      <w:spacing w:after="530"/>
    </w:pPr>
    <w:rPr>
      <w:rFonts w:ascii="宋体" w:hAnsi="Times New Roman" w:eastAsia="宋体" w:cs="宋体"/>
      <w:sz w:val="24"/>
      <w:szCs w:val="24"/>
    </w:rPr>
  </w:style>
  <w:style w:type="paragraph" w:customStyle="1" w:styleId="402">
    <w:name w:val="Char1 Char Char Char Char Char1 Char Char Char Char Char Char Char Char Char Char Char Char Char Char Char Char Char Char Char Char Char Char Char Char Char"/>
    <w:basedOn w:val="1"/>
    <w:qFormat/>
    <w:uiPriority w:val="0"/>
    <w:pPr>
      <w:widowControl w:val="0"/>
      <w:spacing w:line="360" w:lineRule="auto"/>
      <w:jc w:val="both"/>
    </w:pPr>
    <w:rPr>
      <w:rFonts w:ascii="华文楷体" w:hAnsi="华文楷体" w:eastAsia="华文楷体"/>
      <w:b/>
      <w:sz w:val="24"/>
      <w:szCs w:val="21"/>
    </w:rPr>
  </w:style>
  <w:style w:type="paragraph" w:customStyle="1" w:styleId="403">
    <w:name w:val="CM53"/>
    <w:basedOn w:val="255"/>
    <w:next w:val="255"/>
    <w:qFormat/>
    <w:uiPriority w:val="0"/>
    <w:pPr>
      <w:spacing w:line="400" w:lineRule="atLeast"/>
    </w:pPr>
    <w:rPr>
      <w:rFonts w:ascii="宋体" w:hAnsi="Times New Roman" w:eastAsia="宋体" w:cs="宋体"/>
      <w:sz w:val="24"/>
      <w:szCs w:val="24"/>
    </w:rPr>
  </w:style>
  <w:style w:type="paragraph" w:customStyle="1" w:styleId="404">
    <w:name w:val="MM"/>
    <w:basedOn w:val="1"/>
    <w:qFormat/>
    <w:uiPriority w:val="0"/>
    <w:pPr>
      <w:widowControl w:val="0"/>
      <w:adjustRightInd w:val="0"/>
      <w:spacing w:before="60" w:after="60" w:line="360" w:lineRule="atLeast"/>
      <w:ind w:left="1560" w:hanging="426"/>
      <w:jc w:val="both"/>
      <w:textAlignment w:val="baseline"/>
    </w:pPr>
    <w:rPr>
      <w:rFonts w:ascii="宋体" w:hAnsi="Calibri"/>
      <w:spacing w:val="5"/>
      <w:kern w:val="0"/>
      <w:sz w:val="24"/>
      <w:szCs w:val="20"/>
    </w:rPr>
  </w:style>
  <w:style w:type="paragraph" w:customStyle="1" w:styleId="405">
    <w:name w:val="正文0"/>
    <w:basedOn w:val="1"/>
    <w:qFormat/>
    <w:uiPriority w:val="0"/>
    <w:pPr>
      <w:widowControl w:val="0"/>
      <w:adjustRightInd w:val="0"/>
      <w:spacing w:line="360" w:lineRule="auto"/>
      <w:ind w:firstLine="482"/>
      <w:jc w:val="both"/>
      <w:textAlignment w:val="baseline"/>
    </w:pPr>
    <w:rPr>
      <w:rFonts w:ascii="Calibri" w:hAnsi="Calibri"/>
      <w:kern w:val="24"/>
      <w:sz w:val="24"/>
      <w:szCs w:val="20"/>
    </w:rPr>
  </w:style>
  <w:style w:type="paragraph" w:customStyle="1" w:styleId="406">
    <w:name w:val="xl10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07">
    <w:name w:val="NO3"/>
    <w:basedOn w:val="1"/>
    <w:qFormat/>
    <w:uiPriority w:val="0"/>
    <w:pPr>
      <w:widowControl w:val="0"/>
      <w:tabs>
        <w:tab w:val="left" w:pos="907"/>
      </w:tabs>
      <w:spacing w:line="360" w:lineRule="auto"/>
      <w:jc w:val="both"/>
    </w:pPr>
    <w:rPr>
      <w:rFonts w:ascii="宋体" w:hAnsi="宋体" w:eastAsia="微软雅黑"/>
      <w:sz w:val="24"/>
    </w:rPr>
  </w:style>
  <w:style w:type="paragraph" w:customStyle="1" w:styleId="408">
    <w:name w:val="xl55"/>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409">
    <w:name w:val="表格标题及框图标题"/>
    <w:basedOn w:val="1"/>
    <w:qFormat/>
    <w:uiPriority w:val="0"/>
    <w:pPr>
      <w:widowControl w:val="0"/>
      <w:adjustRightInd w:val="0"/>
      <w:snapToGrid w:val="0"/>
      <w:spacing w:before="156" w:beforeLines="50" w:after="156" w:afterLines="50" w:line="360" w:lineRule="auto"/>
      <w:ind w:firstLine="480" w:firstLineChars="200"/>
      <w:jc w:val="both"/>
      <w:outlineLvl w:val="4"/>
    </w:pPr>
    <w:rPr>
      <w:rFonts w:ascii="仿宋_GB2312" w:hAnsi="宋体" w:eastAsia="仿宋_GB2312"/>
      <w:bCs/>
      <w:snapToGrid w:val="0"/>
      <w:sz w:val="24"/>
      <w:szCs w:val="20"/>
    </w:rPr>
  </w:style>
  <w:style w:type="paragraph" w:customStyle="1" w:styleId="410">
    <w:name w:val="样式 正文缩进 Char正文（首行缩进两字）s4正文2正文缩进 Char Char Char正文缩进 Char Ch..."/>
    <w:basedOn w:val="20"/>
    <w:qFormat/>
    <w:uiPriority w:val="0"/>
    <w:pPr>
      <w:widowControl w:val="0"/>
      <w:spacing w:line="240" w:lineRule="auto"/>
      <w:ind w:firstLine="200" w:firstLineChars="200"/>
    </w:pPr>
    <w:rPr>
      <w:rFonts w:ascii="宋体" w:hAnsi="宋体" w:cs="宋体"/>
      <w:sz w:val="24"/>
      <w:szCs w:val="20"/>
    </w:rPr>
  </w:style>
  <w:style w:type="paragraph" w:customStyle="1" w:styleId="411">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2">
    <w:name w:val="Style29"/>
    <w:basedOn w:val="1"/>
    <w:unhideWhenUsed/>
    <w:qFormat/>
    <w:uiPriority w:val="0"/>
    <w:pPr>
      <w:widowControl w:val="0"/>
      <w:spacing w:line="547" w:lineRule="exact"/>
      <w:ind w:firstLine="547"/>
      <w:jc w:val="both"/>
    </w:pPr>
    <w:rPr>
      <w:rFonts w:ascii="Calibri" w:hAnsi="Calibri" w:eastAsia="微软雅黑"/>
    </w:rPr>
  </w:style>
  <w:style w:type="paragraph" w:customStyle="1" w:styleId="413">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b/>
      <w:bCs/>
      <w:kern w:val="0"/>
      <w:sz w:val="24"/>
    </w:rPr>
  </w:style>
  <w:style w:type="paragraph" w:customStyle="1" w:styleId="414">
    <w:name w:val="条款正文（四级标题）"/>
    <w:basedOn w:val="5"/>
    <w:qFormat/>
    <w:uiPriority w:val="0"/>
    <w:pPr>
      <w:widowControl w:val="0"/>
      <w:tabs>
        <w:tab w:val="left" w:pos="936"/>
      </w:tabs>
      <w:spacing w:before="50" w:beforeLines="50" w:after="0" w:line="360" w:lineRule="auto"/>
    </w:pPr>
    <w:rPr>
      <w:rFonts w:ascii="Times New Roman" w:hAnsi="Times New Roman" w:eastAsia="宋体" w:cs="Times New Roman"/>
      <w:b w:val="0"/>
      <w:bCs w:val="0"/>
      <w:sz w:val="24"/>
      <w:szCs w:val="20"/>
    </w:rPr>
  </w:style>
  <w:style w:type="paragraph" w:customStyle="1" w:styleId="415">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6">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17">
    <w:name w:val="2 Char Char Char Char"/>
    <w:basedOn w:val="1"/>
    <w:qFormat/>
    <w:uiPriority w:val="0"/>
    <w:pPr>
      <w:widowControl w:val="0"/>
      <w:spacing w:line="240" w:lineRule="auto"/>
      <w:jc w:val="both"/>
    </w:pPr>
    <w:rPr>
      <w:rFonts w:ascii="宋体" w:hAnsi="宋体"/>
      <w:b/>
      <w:color w:val="000000"/>
      <w:sz w:val="24"/>
    </w:rPr>
  </w:style>
  <w:style w:type="paragraph" w:customStyle="1" w:styleId="418">
    <w:name w:val="1级标题"/>
    <w:basedOn w:val="1"/>
    <w:next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419">
    <w:name w:val="CM105"/>
    <w:basedOn w:val="255"/>
    <w:next w:val="255"/>
    <w:qFormat/>
    <w:uiPriority w:val="0"/>
    <w:pPr>
      <w:spacing w:after="1040"/>
    </w:pPr>
    <w:rPr>
      <w:rFonts w:ascii="宋体" w:hAnsi="Times New Roman" w:eastAsia="宋体" w:cs="宋体"/>
      <w:sz w:val="24"/>
      <w:szCs w:val="24"/>
    </w:rPr>
  </w:style>
  <w:style w:type="paragraph" w:customStyle="1" w:styleId="420">
    <w:name w:val="样式6"/>
    <w:basedOn w:val="421"/>
    <w:qFormat/>
    <w:uiPriority w:val="0"/>
    <w:pPr>
      <w:tabs>
        <w:tab w:val="center" w:pos="4153"/>
        <w:tab w:val="right" w:pos="8306"/>
      </w:tabs>
      <w:textAlignment w:val="center"/>
    </w:pPr>
  </w:style>
  <w:style w:type="paragraph" w:customStyle="1" w:styleId="421">
    <w:name w:val="页眉2"/>
    <w:basedOn w:val="56"/>
    <w:qFormat/>
    <w:uiPriority w:val="0"/>
    <w:pPr>
      <w:widowControl w:val="0"/>
      <w:pBdr>
        <w:top w:val="none" w:color="auto" w:sz="0" w:space="0"/>
        <w:left w:val="none" w:color="auto" w:sz="0" w:space="0"/>
        <w:bottom w:val="single" w:color="auto" w:sz="4" w:space="1"/>
        <w:right w:val="none" w:color="auto" w:sz="0" w:space="0"/>
      </w:pBdr>
      <w:jc w:val="center"/>
    </w:pPr>
    <w:rPr>
      <w:rFonts w:ascii="宋体" w:hAnsi="宋体"/>
      <w:szCs w:val="18"/>
    </w:rPr>
  </w:style>
  <w:style w:type="paragraph" w:customStyle="1" w:styleId="422">
    <w:name w:val="Style10"/>
    <w:basedOn w:val="1"/>
    <w:unhideWhenUsed/>
    <w:qFormat/>
    <w:uiPriority w:val="0"/>
    <w:pPr>
      <w:widowControl w:val="0"/>
      <w:spacing w:line="538" w:lineRule="exact"/>
      <w:jc w:val="both"/>
    </w:pPr>
    <w:rPr>
      <w:rFonts w:ascii="Calibri" w:hAnsi="Calibri" w:eastAsia="微软雅黑"/>
    </w:rPr>
  </w:style>
  <w:style w:type="paragraph" w:customStyle="1" w:styleId="423">
    <w:name w:val="CM56"/>
    <w:basedOn w:val="255"/>
    <w:next w:val="255"/>
    <w:qFormat/>
    <w:uiPriority w:val="0"/>
    <w:rPr>
      <w:rFonts w:ascii="宋体" w:hAnsi="Times New Roman" w:eastAsia="宋体" w:cs="宋体"/>
      <w:sz w:val="24"/>
      <w:szCs w:val="24"/>
    </w:rPr>
  </w:style>
  <w:style w:type="paragraph" w:customStyle="1" w:styleId="424">
    <w:name w:val="CM4"/>
    <w:basedOn w:val="255"/>
    <w:next w:val="255"/>
    <w:qFormat/>
    <w:uiPriority w:val="0"/>
    <w:rPr>
      <w:rFonts w:ascii="宋体" w:hAnsi="Times New Roman" w:eastAsia="宋体" w:cs="宋体"/>
      <w:sz w:val="24"/>
      <w:szCs w:val="24"/>
    </w:rPr>
  </w:style>
  <w:style w:type="paragraph" w:customStyle="1" w:styleId="425">
    <w:name w:val="Style46"/>
    <w:basedOn w:val="1"/>
    <w:unhideWhenUsed/>
    <w:qFormat/>
    <w:uiPriority w:val="0"/>
    <w:pPr>
      <w:widowControl w:val="0"/>
      <w:spacing w:line="672" w:lineRule="exact"/>
      <w:jc w:val="both"/>
    </w:pPr>
    <w:rPr>
      <w:rFonts w:ascii="Calibri" w:hAnsi="Calibri" w:eastAsia="微软雅黑"/>
    </w:rPr>
  </w:style>
  <w:style w:type="paragraph" w:customStyle="1" w:styleId="426">
    <w:name w:val="Style41"/>
    <w:basedOn w:val="1"/>
    <w:unhideWhenUsed/>
    <w:qFormat/>
    <w:uiPriority w:val="0"/>
    <w:pPr>
      <w:widowControl w:val="0"/>
      <w:spacing w:line="542" w:lineRule="exact"/>
      <w:ind w:firstLine="125"/>
      <w:jc w:val="both"/>
    </w:pPr>
    <w:rPr>
      <w:rFonts w:ascii="Calibri" w:hAnsi="Calibri" w:eastAsia="微软雅黑"/>
    </w:rPr>
  </w:style>
  <w:style w:type="paragraph" w:customStyle="1" w:styleId="427">
    <w:name w:val="CM76"/>
    <w:basedOn w:val="255"/>
    <w:next w:val="255"/>
    <w:qFormat/>
    <w:uiPriority w:val="0"/>
    <w:pPr>
      <w:spacing w:line="400" w:lineRule="atLeast"/>
    </w:pPr>
    <w:rPr>
      <w:rFonts w:ascii="宋体" w:hAnsi="Times New Roman" w:eastAsia="宋体" w:cs="宋体"/>
      <w:sz w:val="24"/>
      <w:szCs w:val="24"/>
    </w:rPr>
  </w:style>
  <w:style w:type="paragraph" w:customStyle="1" w:styleId="428">
    <w:name w:val="样式7表名"/>
    <w:next w:val="429"/>
    <w:qFormat/>
    <w:uiPriority w:val="0"/>
    <w:pPr>
      <w:spacing w:before="120" w:line="360" w:lineRule="auto"/>
      <w:jc w:val="center"/>
    </w:pPr>
    <w:rPr>
      <w:rFonts w:ascii="黑体" w:hAnsi="Calibri" w:eastAsia="黑体" w:cs="Times New Roman"/>
      <w:spacing w:val="60"/>
      <w:sz w:val="24"/>
      <w:lang w:val="en-US" w:eastAsia="zh-CN" w:bidi="ar-SA"/>
    </w:rPr>
  </w:style>
  <w:style w:type="paragraph" w:customStyle="1" w:styleId="429">
    <w:name w:val="样式8表号"/>
    <w:next w:val="430"/>
    <w:qFormat/>
    <w:uiPriority w:val="0"/>
    <w:pPr>
      <w:spacing w:line="360" w:lineRule="auto"/>
      <w:ind w:firstLine="510"/>
      <w:jc w:val="both"/>
    </w:pPr>
    <w:rPr>
      <w:rFonts w:ascii="Calibri" w:hAnsi="Calibri" w:eastAsia="宋体" w:cs="Times New Roman"/>
      <w:lang w:val="en-US" w:eastAsia="zh-CN" w:bidi="ar-SA"/>
    </w:rPr>
  </w:style>
  <w:style w:type="paragraph" w:customStyle="1" w:styleId="430">
    <w:name w:val="样式9表格"/>
    <w:next w:val="1"/>
    <w:qFormat/>
    <w:uiPriority w:val="0"/>
    <w:pPr>
      <w:spacing w:before="120" w:line="300" w:lineRule="auto"/>
      <w:jc w:val="center"/>
    </w:pPr>
    <w:rPr>
      <w:rFonts w:ascii="Calibri" w:hAnsi="Calibri" w:eastAsia="宋体" w:cs="Times New Roman"/>
      <w:lang w:val="en-US" w:eastAsia="zh-CN" w:bidi="ar-SA"/>
    </w:rPr>
  </w:style>
  <w:style w:type="paragraph" w:customStyle="1" w:styleId="431">
    <w:name w:val="表正文"/>
    <w:qFormat/>
    <w:uiPriority w:val="0"/>
    <w:pPr>
      <w:widowControl w:val="0"/>
      <w:ind w:left="840" w:leftChars="350"/>
      <w:jc w:val="both"/>
      <w:outlineLvl w:val="0"/>
    </w:pPr>
    <w:rPr>
      <w:rFonts w:ascii="宋体" w:hAnsi="Calibri" w:eastAsia="微软雅黑" w:cs="Times New Roman"/>
      <w:b/>
      <w:sz w:val="24"/>
      <w:lang w:val="en-US" w:eastAsia="zh-CN" w:bidi="ar-SA"/>
    </w:rPr>
  </w:style>
  <w:style w:type="paragraph" w:customStyle="1" w:styleId="432">
    <w:name w:val="XW标题4"/>
    <w:basedOn w:val="302"/>
    <w:next w:val="302"/>
    <w:qFormat/>
    <w:uiPriority w:val="0"/>
    <w:pPr>
      <w:snapToGrid/>
      <w:spacing w:before="200" w:line="360" w:lineRule="auto"/>
      <w:ind w:firstLine="0" w:firstLineChars="0"/>
      <w:outlineLvl w:val="3"/>
    </w:pPr>
    <w:rPr>
      <w:rFonts w:hAnsi="宋体" w:eastAsia="仿宋_GB2312"/>
      <w:b/>
      <w:sz w:val="28"/>
      <w:szCs w:val="20"/>
    </w:rPr>
  </w:style>
  <w:style w:type="paragraph" w:customStyle="1" w:styleId="433">
    <w:name w:val="样式 标题 4 + Times New Roman 非加粗 黑色 段前: 12 磅 段后: 6 磅 行距: 最小值 2..."/>
    <w:basedOn w:val="5"/>
    <w:qFormat/>
    <w:uiPriority w:val="0"/>
    <w:pPr>
      <w:widowControl w:val="0"/>
      <w:spacing w:before="0" w:after="0" w:line="520" w:lineRule="atLeast"/>
      <w:jc w:val="both"/>
    </w:pPr>
    <w:rPr>
      <w:rFonts w:ascii="Times New Roman" w:hAnsi="Times New Roman" w:eastAsia="黑体" w:cs="宋体"/>
      <w:b w:val="0"/>
      <w:bCs w:val="0"/>
      <w:color w:val="000000"/>
      <w:szCs w:val="20"/>
    </w:rPr>
  </w:style>
  <w:style w:type="paragraph" w:customStyle="1" w:styleId="434">
    <w:name w:val="xl31"/>
    <w:basedOn w:val="1"/>
    <w:qFormat/>
    <w:uiPriority w:val="0"/>
    <w:pPr>
      <w:pBdr>
        <w:left w:val="single" w:color="auto" w:sz="4" w:space="0"/>
        <w:right w:val="single" w:color="auto" w:sz="4" w:space="0"/>
      </w:pBdr>
      <w:spacing w:before="100" w:beforeAutospacing="1" w:after="100" w:afterAutospacing="1" w:line="240" w:lineRule="auto"/>
      <w:jc w:val="center"/>
      <w:textAlignment w:val="center"/>
    </w:pPr>
    <w:rPr>
      <w:rFonts w:ascii="宋体" w:hAnsi="宋体" w:eastAsia="微软雅黑"/>
      <w:kern w:val="0"/>
      <w:sz w:val="24"/>
    </w:rPr>
  </w:style>
  <w:style w:type="paragraph" w:customStyle="1" w:styleId="435">
    <w:name w:val="Style21"/>
    <w:basedOn w:val="1"/>
    <w:unhideWhenUsed/>
    <w:qFormat/>
    <w:uiPriority w:val="0"/>
    <w:pPr>
      <w:widowControl w:val="0"/>
      <w:spacing w:line="566" w:lineRule="exact"/>
      <w:ind w:firstLine="682"/>
      <w:jc w:val="both"/>
    </w:pPr>
    <w:rPr>
      <w:rFonts w:ascii="Calibri" w:hAnsi="Calibri" w:eastAsia="微软雅黑"/>
    </w:rPr>
  </w:style>
  <w:style w:type="paragraph" w:customStyle="1" w:styleId="436">
    <w:name w:val="Blockquote"/>
    <w:basedOn w:val="1"/>
    <w:qFormat/>
    <w:uiPriority w:val="0"/>
    <w:pPr>
      <w:widowControl w:val="0"/>
      <w:autoSpaceDE w:val="0"/>
      <w:autoSpaceDN w:val="0"/>
      <w:adjustRightInd w:val="0"/>
      <w:spacing w:before="100" w:after="100" w:line="240" w:lineRule="auto"/>
      <w:ind w:left="360" w:right="360"/>
    </w:pPr>
    <w:rPr>
      <w:rFonts w:ascii="Calibri" w:hAnsi="Calibri" w:eastAsia="微软雅黑"/>
      <w:kern w:val="0"/>
      <w:sz w:val="24"/>
      <w:szCs w:val="20"/>
    </w:rPr>
  </w:style>
  <w:style w:type="paragraph" w:customStyle="1" w:styleId="437">
    <w:name w:val="Char Char Char Char Char Char Char1"/>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38">
    <w:name w:val="Style44"/>
    <w:basedOn w:val="1"/>
    <w:unhideWhenUsed/>
    <w:qFormat/>
    <w:uiPriority w:val="0"/>
    <w:pPr>
      <w:widowControl w:val="0"/>
      <w:spacing w:line="240" w:lineRule="auto"/>
      <w:jc w:val="both"/>
    </w:pPr>
    <w:rPr>
      <w:rFonts w:ascii="Calibri" w:hAnsi="Calibri" w:eastAsia="微软雅黑"/>
    </w:rPr>
  </w:style>
  <w:style w:type="paragraph" w:customStyle="1" w:styleId="439">
    <w:name w:val="Char Char Char Char"/>
    <w:basedOn w:val="1"/>
    <w:qFormat/>
    <w:uiPriority w:val="0"/>
    <w:pPr>
      <w:widowControl w:val="0"/>
      <w:spacing w:line="240" w:lineRule="auto"/>
      <w:jc w:val="both"/>
    </w:pPr>
    <w:rPr>
      <w:rFonts w:ascii="Calibri" w:hAnsi="Calibri"/>
    </w:rPr>
  </w:style>
  <w:style w:type="paragraph" w:customStyle="1" w:styleId="440">
    <w:name w:val="样式 样式 标题 3 + 宋体 小三 + Times New Roman 四号"/>
    <w:basedOn w:val="391"/>
    <w:qFormat/>
    <w:uiPriority w:val="0"/>
    <w:pPr>
      <w:spacing w:before="156" w:beforeLines="50" w:after="0"/>
    </w:pPr>
    <w:rPr>
      <w:rFonts w:ascii="Times New Roman" w:hAnsi="Times New Roman"/>
    </w:rPr>
  </w:style>
  <w:style w:type="paragraph" w:customStyle="1" w:styleId="441">
    <w:name w:val="font7"/>
    <w:basedOn w:val="1"/>
    <w:qFormat/>
    <w:uiPriority w:val="0"/>
    <w:pPr>
      <w:spacing w:before="100" w:beforeAutospacing="1" w:after="100" w:afterAutospacing="1" w:line="240" w:lineRule="auto"/>
    </w:pPr>
    <w:rPr>
      <w:rFonts w:ascii="Calibri" w:hAnsi="Calibri"/>
      <w:kern w:val="0"/>
      <w:sz w:val="24"/>
    </w:rPr>
  </w:style>
  <w:style w:type="paragraph" w:customStyle="1" w:styleId="442">
    <w:name w:val="Char Char Char Char Char Char Char Char Char Char Char Char1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443">
    <w:name w:val="1.1.1.1a"/>
    <w:basedOn w:val="1"/>
    <w:qFormat/>
    <w:uiPriority w:val="0"/>
    <w:pPr>
      <w:widowControl w:val="0"/>
      <w:tabs>
        <w:tab w:val="left" w:pos="0"/>
        <w:tab w:val="left" w:pos="567"/>
        <w:tab w:val="left" w:pos="1134"/>
        <w:tab w:val="left" w:pos="8505"/>
      </w:tabs>
      <w:adjustRightInd w:val="0"/>
      <w:spacing w:before="60" w:after="156" w:afterLines="50" w:line="400" w:lineRule="atLeast"/>
      <w:ind w:left="1134" w:hanging="567"/>
      <w:jc w:val="both"/>
      <w:textAlignment w:val="baseline"/>
    </w:pPr>
    <w:rPr>
      <w:rFonts w:ascii="Arial" w:hAnsi="Arial"/>
      <w:kern w:val="0"/>
      <w:sz w:val="24"/>
      <w:szCs w:val="20"/>
    </w:rPr>
  </w:style>
  <w:style w:type="paragraph" w:customStyle="1" w:styleId="444">
    <w:name w:val="CM101"/>
    <w:basedOn w:val="255"/>
    <w:next w:val="255"/>
    <w:qFormat/>
    <w:uiPriority w:val="0"/>
    <w:pPr>
      <w:spacing w:after="800"/>
    </w:pPr>
    <w:rPr>
      <w:rFonts w:ascii="宋体" w:hAnsi="Times New Roman" w:eastAsia="宋体" w:cs="宋体"/>
      <w:sz w:val="24"/>
      <w:szCs w:val="24"/>
    </w:rPr>
  </w:style>
  <w:style w:type="paragraph" w:customStyle="1" w:styleId="445">
    <w:name w:val="正文空2格  1."/>
    <w:basedOn w:val="1"/>
    <w:qFormat/>
    <w:uiPriority w:val="0"/>
    <w:pPr>
      <w:widowControl w:val="0"/>
      <w:adjustRightInd w:val="0"/>
      <w:spacing w:line="360" w:lineRule="auto"/>
      <w:ind w:firstLine="480" w:firstLineChars="200"/>
      <w:jc w:val="both"/>
      <w:textAlignment w:val="baseline"/>
    </w:pPr>
    <w:rPr>
      <w:rFonts w:ascii="宋体" w:hAnsi="Calibri" w:eastAsia="仿宋" w:cs="宋体"/>
      <w:kern w:val="0"/>
      <w:sz w:val="28"/>
      <w:szCs w:val="20"/>
    </w:rPr>
  </w:style>
  <w:style w:type="paragraph" w:customStyle="1" w:styleId="446">
    <w:name w:val="目录1"/>
    <w:basedOn w:val="1"/>
    <w:qFormat/>
    <w:uiPriority w:val="0"/>
    <w:pPr>
      <w:widowControl w:val="0"/>
      <w:adjustRightInd w:val="0"/>
      <w:spacing w:line="420" w:lineRule="atLeast"/>
      <w:jc w:val="both"/>
      <w:textAlignment w:val="baseline"/>
    </w:pPr>
    <w:rPr>
      <w:rFonts w:ascii="Calibri" w:hAnsi="Calibri" w:eastAsia="黑体"/>
      <w:b/>
      <w:kern w:val="0"/>
      <w:szCs w:val="20"/>
    </w:rPr>
  </w:style>
  <w:style w:type="paragraph" w:customStyle="1" w:styleId="447">
    <w:name w:val="Char18 Char Char"/>
    <w:basedOn w:val="1"/>
    <w:qFormat/>
    <w:uiPriority w:val="0"/>
    <w:pPr>
      <w:widowControl w:val="0"/>
      <w:spacing w:line="240" w:lineRule="auto"/>
      <w:jc w:val="both"/>
    </w:pPr>
    <w:rPr>
      <w:rFonts w:ascii="宋体" w:hAnsi="Calibri"/>
    </w:rPr>
  </w:style>
  <w:style w:type="paragraph" w:customStyle="1" w:styleId="448">
    <w:name w:val="表格内容"/>
    <w:basedOn w:val="33"/>
    <w:qFormat/>
    <w:uiPriority w:val="0"/>
    <w:pPr>
      <w:widowControl w:val="0"/>
      <w:suppressLineNumbers/>
      <w:suppressAutoHyphens/>
      <w:spacing w:line="240" w:lineRule="auto"/>
    </w:pPr>
    <w:rPr>
      <w:rFonts w:ascii="Calibri" w:hAnsi="Calibri" w:cs="Tahoma"/>
      <w:kern w:val="0"/>
      <w:sz w:val="24"/>
    </w:rPr>
  </w:style>
  <w:style w:type="paragraph" w:customStyle="1" w:styleId="449">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kern w:val="0"/>
      <w:sz w:val="24"/>
    </w:rPr>
  </w:style>
  <w:style w:type="paragraph" w:customStyle="1" w:styleId="450">
    <w:name w:val="1"/>
    <w:basedOn w:val="1"/>
    <w:qFormat/>
    <w:uiPriority w:val="0"/>
    <w:pPr>
      <w:widowControl w:val="0"/>
      <w:spacing w:after="156" w:afterLines="50" w:line="360" w:lineRule="auto"/>
      <w:jc w:val="both"/>
    </w:pPr>
    <w:rPr>
      <w:rFonts w:ascii="宋体" w:hAnsi="宋体" w:eastAsia="微软雅黑"/>
      <w:b/>
      <w:sz w:val="30"/>
      <w:szCs w:val="21"/>
    </w:rPr>
  </w:style>
  <w:style w:type="paragraph" w:customStyle="1" w:styleId="451">
    <w:name w:val="1.1.1.1A"/>
    <w:basedOn w:val="452"/>
    <w:qFormat/>
    <w:uiPriority w:val="0"/>
    <w:pPr>
      <w:tabs>
        <w:tab w:val="left" w:pos="1134"/>
        <w:tab w:val="left" w:pos="1843"/>
        <w:tab w:val="left" w:pos="26875"/>
      </w:tabs>
      <w:autoSpaceDE w:val="0"/>
      <w:autoSpaceDN w:val="0"/>
      <w:ind w:left="1560" w:hanging="426"/>
      <w:textAlignment w:val="auto"/>
    </w:pPr>
    <w:rPr>
      <w:rFonts w:ascii="宋体" w:hAnsi="Times New Roman"/>
      <w:sz w:val="24"/>
    </w:rPr>
  </w:style>
  <w:style w:type="paragraph" w:customStyle="1" w:styleId="452">
    <w:name w:val="1.1.1.1"/>
    <w:basedOn w:val="1"/>
    <w:qFormat/>
    <w:uiPriority w:val="0"/>
    <w:pPr>
      <w:widowControl w:val="0"/>
      <w:tabs>
        <w:tab w:val="left" w:pos="1134"/>
      </w:tabs>
      <w:adjustRightInd w:val="0"/>
      <w:spacing w:before="60" w:after="60" w:line="360" w:lineRule="atLeast"/>
      <w:ind w:left="1134" w:hanging="1134"/>
      <w:jc w:val="both"/>
      <w:textAlignment w:val="baseline"/>
    </w:pPr>
    <w:rPr>
      <w:rFonts w:ascii="Arial" w:hAnsi="Arial"/>
      <w:kern w:val="0"/>
      <w:szCs w:val="20"/>
    </w:rPr>
  </w:style>
  <w:style w:type="paragraph" w:customStyle="1" w:styleId="453">
    <w:name w:val="Char Char Char1 Char Char Char Char"/>
    <w:basedOn w:val="1"/>
    <w:next w:val="1"/>
    <w:qFormat/>
    <w:uiPriority w:val="0"/>
    <w:pPr>
      <w:widowControl w:val="0"/>
      <w:spacing w:line="240" w:lineRule="auto"/>
      <w:jc w:val="both"/>
    </w:pPr>
    <w:rPr>
      <w:rFonts w:ascii="Calibri" w:hAnsi="Calibri"/>
    </w:rPr>
  </w:style>
  <w:style w:type="paragraph" w:customStyle="1" w:styleId="454">
    <w:name w:val="Char18 Char Char Char"/>
    <w:basedOn w:val="1"/>
    <w:qFormat/>
    <w:uiPriority w:val="0"/>
    <w:pPr>
      <w:widowControl w:val="0"/>
      <w:spacing w:line="240" w:lineRule="auto"/>
      <w:jc w:val="both"/>
    </w:pPr>
    <w:rPr>
      <w:rFonts w:ascii="宋体" w:hAnsi="Calibri"/>
    </w:rPr>
  </w:style>
  <w:style w:type="paragraph" w:customStyle="1" w:styleId="455">
    <w:name w:val="表格2"/>
    <w:basedOn w:val="1"/>
    <w:qFormat/>
    <w:uiPriority w:val="0"/>
    <w:pPr>
      <w:widowControl w:val="0"/>
      <w:adjustRightInd w:val="0"/>
      <w:spacing w:before="60" w:after="60" w:line="240" w:lineRule="auto"/>
      <w:jc w:val="center"/>
    </w:pPr>
    <w:rPr>
      <w:rFonts w:ascii="宋体" w:hAnsi="Calibri"/>
      <w:color w:val="000000"/>
      <w:kern w:val="0"/>
      <w:sz w:val="24"/>
      <w:szCs w:val="20"/>
    </w:rPr>
  </w:style>
  <w:style w:type="paragraph" w:customStyle="1" w:styleId="456">
    <w:name w:val="表"/>
    <w:basedOn w:val="1"/>
    <w:qFormat/>
    <w:uiPriority w:val="0"/>
    <w:pPr>
      <w:widowControl w:val="0"/>
      <w:adjustRightInd w:val="0"/>
      <w:snapToGrid w:val="0"/>
      <w:spacing w:line="360" w:lineRule="auto"/>
      <w:jc w:val="center"/>
    </w:pPr>
    <w:rPr>
      <w:rFonts w:ascii="Calibri" w:hAnsi="Calibri"/>
      <w:kern w:val="0"/>
      <w:szCs w:val="20"/>
    </w:rPr>
  </w:style>
  <w:style w:type="paragraph" w:customStyle="1" w:styleId="457">
    <w:name w:val="标书正文2"/>
    <w:basedOn w:val="1"/>
    <w:qFormat/>
    <w:uiPriority w:val="0"/>
    <w:pPr>
      <w:snapToGrid w:val="0"/>
      <w:spacing w:before="78" w:beforeLines="25" w:after="78" w:afterLines="25" w:line="240" w:lineRule="auto"/>
      <w:ind w:firstLine="200" w:firstLineChars="200"/>
      <w:jc w:val="both"/>
    </w:pPr>
    <w:rPr>
      <w:rFonts w:ascii="华文细黑" w:hAnsi="华文细黑" w:eastAsia="华文细黑"/>
      <w:sz w:val="24"/>
      <w:szCs w:val="20"/>
    </w:rPr>
  </w:style>
  <w:style w:type="paragraph" w:customStyle="1" w:styleId="458">
    <w:name w:val="主文档"/>
    <w:basedOn w:val="1"/>
    <w:qFormat/>
    <w:uiPriority w:val="0"/>
    <w:pPr>
      <w:widowControl w:val="0"/>
      <w:spacing w:line="240" w:lineRule="auto"/>
      <w:ind w:firstLine="200" w:firstLineChars="200"/>
    </w:pPr>
    <w:rPr>
      <w:rFonts w:ascii="Calibri" w:hAnsi="Calibri"/>
      <w:sz w:val="28"/>
    </w:rPr>
  </w:style>
  <w:style w:type="paragraph" w:customStyle="1" w:styleId="459">
    <w:name w:val="xl25"/>
    <w:basedOn w:val="1"/>
    <w:qFormat/>
    <w:uiPriority w:val="0"/>
    <w:pPr>
      <w:pBdr>
        <w:left w:val="single" w:color="auto" w:sz="4" w:space="0"/>
        <w:bottom w:val="single" w:color="auto" w:sz="4" w:space="0"/>
        <w:right w:val="double" w:color="auto" w:sz="6" w:space="0"/>
      </w:pBdr>
      <w:spacing w:before="100" w:beforeAutospacing="1" w:after="100" w:afterAutospacing="1" w:line="240" w:lineRule="auto"/>
      <w:jc w:val="center"/>
    </w:pPr>
    <w:rPr>
      <w:rFonts w:ascii="Arial Unicode MS" w:hAnsi="Arial Unicode MS" w:eastAsia="Arial Unicode MS" w:cs="Arial Unicode MS"/>
      <w:kern w:val="0"/>
      <w:sz w:val="24"/>
    </w:rPr>
  </w:style>
  <w:style w:type="paragraph" w:customStyle="1" w:styleId="460">
    <w:name w:val="无间隔1"/>
    <w:qFormat/>
    <w:uiPriority w:val="1"/>
    <w:pPr>
      <w:widowControl w:val="0"/>
      <w:spacing w:after="156" w:afterLines="50"/>
      <w:jc w:val="both"/>
    </w:pPr>
    <w:rPr>
      <w:rFonts w:ascii="Calibri" w:hAnsi="Calibri" w:eastAsia="宋体" w:cs="Times New Roman"/>
      <w:kern w:val="2"/>
      <w:sz w:val="21"/>
      <w:szCs w:val="24"/>
      <w:lang w:val="en-US" w:eastAsia="zh-CN" w:bidi="ar-SA"/>
    </w:rPr>
  </w:style>
  <w:style w:type="paragraph" w:customStyle="1" w:styleId="461">
    <w:name w:val="xl66"/>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kern w:val="0"/>
      <w:sz w:val="20"/>
      <w:szCs w:val="20"/>
    </w:rPr>
  </w:style>
  <w:style w:type="paragraph" w:customStyle="1" w:styleId="462">
    <w:name w:val="CM89"/>
    <w:basedOn w:val="255"/>
    <w:next w:val="255"/>
    <w:qFormat/>
    <w:uiPriority w:val="0"/>
    <w:pPr>
      <w:spacing w:line="440" w:lineRule="atLeast"/>
    </w:pPr>
    <w:rPr>
      <w:rFonts w:ascii="宋体" w:hAnsi="Times New Roman" w:eastAsia="宋体" w:cs="宋体"/>
      <w:sz w:val="24"/>
      <w:szCs w:val="24"/>
    </w:rPr>
  </w:style>
  <w:style w:type="paragraph" w:customStyle="1" w:styleId="463">
    <w:name w:val="样式 样式 表名 + 首行缩进:  1 字符 + 首行缩进:  1 字符"/>
    <w:basedOn w:val="1"/>
    <w:qFormat/>
    <w:uiPriority w:val="0"/>
    <w:pPr>
      <w:widowControl w:val="0"/>
      <w:spacing w:after="60" w:line="440" w:lineRule="exact"/>
      <w:ind w:firstLine="100" w:firstLineChars="100"/>
    </w:pPr>
    <w:rPr>
      <w:rFonts w:ascii="黑体" w:hAnsi="Calibri" w:eastAsia="黑体" w:cs="宋体"/>
      <w:sz w:val="24"/>
      <w:szCs w:val="20"/>
    </w:rPr>
  </w:style>
  <w:style w:type="paragraph" w:customStyle="1" w:styleId="464">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65">
    <w:name w:val="Style56"/>
    <w:basedOn w:val="1"/>
    <w:unhideWhenUsed/>
    <w:qFormat/>
    <w:uiPriority w:val="0"/>
    <w:pPr>
      <w:widowControl w:val="0"/>
      <w:spacing w:line="240" w:lineRule="auto"/>
      <w:jc w:val="both"/>
    </w:pPr>
    <w:rPr>
      <w:rFonts w:ascii="Calibri" w:hAnsi="Calibri" w:eastAsia="微软雅黑"/>
    </w:rPr>
  </w:style>
  <w:style w:type="paragraph" w:customStyle="1" w:styleId="466">
    <w:name w:val="xl10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467">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468">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469">
    <w:name w:val="正文文本 21"/>
    <w:basedOn w:val="1"/>
    <w:qFormat/>
    <w:uiPriority w:val="0"/>
    <w:pPr>
      <w:widowControl w:val="0"/>
      <w:adjustRightInd w:val="0"/>
      <w:spacing w:after="156" w:afterLines="50" w:line="360" w:lineRule="atLeast"/>
      <w:ind w:firstLine="720"/>
      <w:jc w:val="both"/>
      <w:textAlignment w:val="baseline"/>
    </w:pPr>
    <w:rPr>
      <w:rFonts w:ascii="宋体" w:hAnsi="Calibri"/>
      <w:kern w:val="0"/>
      <w:sz w:val="28"/>
      <w:szCs w:val="20"/>
    </w:rPr>
  </w:style>
  <w:style w:type="paragraph" w:customStyle="1" w:styleId="470">
    <w:name w:val="CM103"/>
    <w:basedOn w:val="255"/>
    <w:next w:val="255"/>
    <w:qFormat/>
    <w:uiPriority w:val="0"/>
    <w:pPr>
      <w:spacing w:after="1508"/>
    </w:pPr>
    <w:rPr>
      <w:rFonts w:ascii="宋体" w:hAnsi="Times New Roman" w:eastAsia="宋体" w:cs="宋体"/>
      <w:sz w:val="24"/>
      <w:szCs w:val="24"/>
    </w:rPr>
  </w:style>
  <w:style w:type="paragraph" w:customStyle="1" w:styleId="471">
    <w:name w:val="A"/>
    <w:basedOn w:val="1"/>
    <w:next w:val="1"/>
    <w:qFormat/>
    <w:uiPriority w:val="0"/>
    <w:pPr>
      <w:widowControl w:val="0"/>
      <w:tabs>
        <w:tab w:val="left" w:pos="360"/>
      </w:tabs>
      <w:spacing w:line="240" w:lineRule="auto"/>
      <w:ind w:left="360" w:hanging="360" w:hangingChars="200"/>
      <w:jc w:val="both"/>
    </w:pPr>
    <w:rPr>
      <w:rFonts w:ascii="Calibri" w:hAnsi="Calibri"/>
      <w:sz w:val="24"/>
      <w:szCs w:val="20"/>
    </w:rPr>
  </w:style>
  <w:style w:type="paragraph" w:customStyle="1" w:styleId="472">
    <w:name w:val="日期2"/>
    <w:basedOn w:val="1"/>
    <w:next w:val="1"/>
    <w:qFormat/>
    <w:uiPriority w:val="0"/>
    <w:pPr>
      <w:widowControl w:val="0"/>
      <w:adjustRightInd w:val="0"/>
      <w:spacing w:before="156" w:beforeLines="50" w:after="156" w:afterLines="50" w:line="360" w:lineRule="auto"/>
      <w:ind w:firstLine="200" w:firstLineChars="200"/>
      <w:jc w:val="both"/>
      <w:textAlignment w:val="baseline"/>
    </w:pPr>
    <w:rPr>
      <w:rFonts w:ascii="Calibri" w:hAnsi="Calibri"/>
      <w:szCs w:val="20"/>
    </w:rPr>
  </w:style>
  <w:style w:type="paragraph" w:customStyle="1" w:styleId="473">
    <w:name w:val="Style73"/>
    <w:basedOn w:val="1"/>
    <w:unhideWhenUsed/>
    <w:qFormat/>
    <w:uiPriority w:val="0"/>
    <w:pPr>
      <w:widowControl w:val="0"/>
      <w:spacing w:line="538" w:lineRule="exact"/>
      <w:ind w:firstLine="533"/>
      <w:jc w:val="both"/>
    </w:pPr>
    <w:rPr>
      <w:rFonts w:ascii="Calibri" w:hAnsi="Calibri" w:eastAsia="微软雅黑"/>
    </w:rPr>
  </w:style>
  <w:style w:type="paragraph" w:customStyle="1" w:styleId="474">
    <w:name w:val="xl8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475">
    <w:name w:val="表格5号字"/>
    <w:basedOn w:val="1"/>
    <w:next w:val="1"/>
    <w:qFormat/>
    <w:uiPriority w:val="0"/>
    <w:pPr>
      <w:widowControl w:val="0"/>
      <w:spacing w:line="440" w:lineRule="exact"/>
      <w:ind w:firstLine="200" w:firstLineChars="200"/>
      <w:jc w:val="center"/>
    </w:pPr>
    <w:rPr>
      <w:rFonts w:ascii="Calibri" w:hAnsi="Calibri"/>
      <w:sz w:val="24"/>
    </w:rPr>
  </w:style>
  <w:style w:type="paragraph" w:customStyle="1" w:styleId="476">
    <w:name w:val="2 Char"/>
    <w:basedOn w:val="1"/>
    <w:qFormat/>
    <w:uiPriority w:val="0"/>
    <w:pPr>
      <w:widowControl w:val="0"/>
      <w:spacing w:line="240" w:lineRule="auto"/>
      <w:jc w:val="both"/>
    </w:pPr>
    <w:rPr>
      <w:rFonts w:ascii="宋体" w:hAnsi="Calibri"/>
    </w:rPr>
  </w:style>
  <w:style w:type="paragraph" w:customStyle="1" w:styleId="477">
    <w:name w:val="Style59"/>
    <w:basedOn w:val="1"/>
    <w:unhideWhenUsed/>
    <w:qFormat/>
    <w:uiPriority w:val="0"/>
    <w:pPr>
      <w:widowControl w:val="0"/>
      <w:spacing w:line="240" w:lineRule="auto"/>
      <w:jc w:val="both"/>
    </w:pPr>
    <w:rPr>
      <w:rFonts w:ascii="Calibri" w:hAnsi="Calibri" w:eastAsia="微软雅黑"/>
    </w:rPr>
  </w:style>
  <w:style w:type="paragraph" w:customStyle="1" w:styleId="478">
    <w:name w:val="CM98"/>
    <w:basedOn w:val="255"/>
    <w:next w:val="255"/>
    <w:qFormat/>
    <w:uiPriority w:val="0"/>
    <w:pPr>
      <w:spacing w:after="570"/>
    </w:pPr>
    <w:rPr>
      <w:rFonts w:ascii="宋体" w:hAnsi="Times New Roman" w:eastAsia="宋体" w:cs="宋体"/>
      <w:sz w:val="24"/>
      <w:szCs w:val="24"/>
    </w:rPr>
  </w:style>
  <w:style w:type="paragraph" w:customStyle="1" w:styleId="479">
    <w:name w:val="Char1 Char Char Char Char Char Char1"/>
    <w:basedOn w:val="1"/>
    <w:qFormat/>
    <w:uiPriority w:val="0"/>
    <w:pPr>
      <w:widowControl w:val="0"/>
      <w:spacing w:line="240" w:lineRule="auto"/>
      <w:jc w:val="both"/>
    </w:pPr>
    <w:rPr>
      <w:rFonts w:ascii="Calibri" w:hAnsi="Calibri"/>
    </w:rPr>
  </w:style>
  <w:style w:type="paragraph" w:customStyle="1" w:styleId="480">
    <w:name w:val="Char5 Char Char"/>
    <w:basedOn w:val="1"/>
    <w:qFormat/>
    <w:uiPriority w:val="0"/>
    <w:pPr>
      <w:widowControl w:val="0"/>
      <w:spacing w:line="240" w:lineRule="auto"/>
      <w:jc w:val="both"/>
    </w:pPr>
    <w:rPr>
      <w:rFonts w:ascii="宋体" w:hAnsi="Calibri"/>
    </w:rPr>
  </w:style>
  <w:style w:type="paragraph" w:customStyle="1" w:styleId="481">
    <w:name w:val="标题5"/>
    <w:basedOn w:val="5"/>
    <w:qFormat/>
    <w:uiPriority w:val="0"/>
    <w:pPr>
      <w:widowControl w:val="0"/>
      <w:spacing w:before="100" w:beforeAutospacing="1" w:after="100" w:afterAutospacing="1" w:line="360" w:lineRule="exact"/>
      <w:jc w:val="both"/>
    </w:pPr>
    <w:rPr>
      <w:rFonts w:ascii="宋体" w:hAnsi="宋体" w:eastAsia="宋体" w:cs="Times New Roman"/>
      <w:b w:val="0"/>
    </w:rPr>
  </w:style>
  <w:style w:type="paragraph" w:customStyle="1" w:styleId="482">
    <w:name w:val="默认段落字体 Para Char Char Char Char"/>
    <w:basedOn w:val="1"/>
    <w:qFormat/>
    <w:uiPriority w:val="0"/>
    <w:pPr>
      <w:widowControl w:val="0"/>
      <w:spacing w:line="240" w:lineRule="auto"/>
      <w:jc w:val="both"/>
    </w:pPr>
    <w:rPr>
      <w:rFonts w:ascii="Calibri" w:hAnsi="Calibri"/>
    </w:rPr>
  </w:style>
  <w:style w:type="paragraph" w:customStyle="1" w:styleId="483">
    <w:name w:val="Style8"/>
    <w:basedOn w:val="1"/>
    <w:unhideWhenUsed/>
    <w:qFormat/>
    <w:uiPriority w:val="0"/>
    <w:pPr>
      <w:widowControl w:val="0"/>
      <w:spacing w:line="566" w:lineRule="exact"/>
      <w:jc w:val="center"/>
    </w:pPr>
    <w:rPr>
      <w:rFonts w:ascii="Calibri" w:hAnsi="Calibri" w:eastAsia="微软雅黑"/>
    </w:rPr>
  </w:style>
  <w:style w:type="paragraph" w:customStyle="1" w:styleId="484">
    <w:name w:val="xl37"/>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485">
    <w:name w:val="xl8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86">
    <w:name w:val="基准标题"/>
    <w:basedOn w:val="33"/>
    <w:next w:val="33"/>
    <w:qFormat/>
    <w:uiPriority w:val="0"/>
    <w:pPr>
      <w:tabs>
        <w:tab w:val="left" w:pos="6000"/>
        <w:tab w:val="left" w:pos="7680"/>
      </w:tabs>
      <w:spacing w:after="0" w:line="360" w:lineRule="auto"/>
      <w:ind w:firstLine="422" w:firstLineChars="200"/>
    </w:pPr>
    <w:rPr>
      <w:rFonts w:ascii="Garamond" w:hAnsi="Garamond"/>
      <w:kern w:val="0"/>
      <w:szCs w:val="20"/>
    </w:rPr>
  </w:style>
  <w:style w:type="paragraph" w:customStyle="1" w:styleId="487">
    <w:name w:val="CM77"/>
    <w:basedOn w:val="255"/>
    <w:next w:val="255"/>
    <w:qFormat/>
    <w:uiPriority w:val="0"/>
    <w:pPr>
      <w:spacing w:line="400" w:lineRule="atLeast"/>
    </w:pPr>
    <w:rPr>
      <w:rFonts w:ascii="宋体" w:hAnsi="Times New Roman" w:eastAsia="宋体" w:cs="宋体"/>
      <w:sz w:val="24"/>
      <w:szCs w:val="24"/>
    </w:rPr>
  </w:style>
  <w:style w:type="paragraph" w:customStyle="1" w:styleId="488">
    <w:name w:val="CM54"/>
    <w:basedOn w:val="255"/>
    <w:next w:val="255"/>
    <w:qFormat/>
    <w:uiPriority w:val="0"/>
    <w:pPr>
      <w:spacing w:line="398" w:lineRule="atLeast"/>
    </w:pPr>
    <w:rPr>
      <w:rFonts w:ascii="宋体" w:hAnsi="Times New Roman" w:eastAsia="宋体" w:cs="宋体"/>
      <w:sz w:val="24"/>
      <w:szCs w:val="24"/>
    </w:rPr>
  </w:style>
  <w:style w:type="paragraph" w:customStyle="1" w:styleId="489">
    <w:name w:val="Style13"/>
    <w:basedOn w:val="1"/>
    <w:unhideWhenUsed/>
    <w:qFormat/>
    <w:uiPriority w:val="0"/>
    <w:pPr>
      <w:widowControl w:val="0"/>
      <w:spacing w:line="240" w:lineRule="auto"/>
      <w:jc w:val="both"/>
    </w:pPr>
    <w:rPr>
      <w:rFonts w:ascii="Calibri" w:hAnsi="Calibri" w:eastAsia="微软雅黑"/>
    </w:rPr>
  </w:style>
  <w:style w:type="paragraph" w:customStyle="1" w:styleId="490">
    <w:name w:val="应用正文文本"/>
    <w:basedOn w:val="1"/>
    <w:qFormat/>
    <w:uiPriority w:val="0"/>
    <w:pPr>
      <w:widowControl w:val="0"/>
      <w:spacing w:line="460" w:lineRule="atLeast"/>
      <w:ind w:firstLine="480" w:firstLineChars="200"/>
      <w:jc w:val="both"/>
    </w:pPr>
    <w:rPr>
      <w:rFonts w:ascii="Calibri" w:hAnsi="Calibri"/>
      <w:sz w:val="24"/>
    </w:rPr>
  </w:style>
  <w:style w:type="paragraph" w:customStyle="1" w:styleId="491">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2"/>
      <w:szCs w:val="22"/>
    </w:rPr>
  </w:style>
  <w:style w:type="paragraph" w:customStyle="1" w:styleId="492">
    <w:name w:val="列表段落1"/>
    <w:basedOn w:val="1"/>
    <w:qFormat/>
    <w:uiPriority w:val="34"/>
    <w:pPr>
      <w:widowControl w:val="0"/>
      <w:spacing w:line="240" w:lineRule="auto"/>
      <w:ind w:firstLine="420" w:firstLineChars="200"/>
      <w:jc w:val="both"/>
    </w:pPr>
    <w:rPr>
      <w:rFonts w:ascii="Calibri" w:hAnsi="Calibri" w:eastAsia="微软雅黑"/>
      <w:szCs w:val="22"/>
    </w:rPr>
  </w:style>
  <w:style w:type="paragraph" w:customStyle="1" w:styleId="493">
    <w:name w:val="XW悬挂正文"/>
    <w:basedOn w:val="302"/>
    <w:qFormat/>
    <w:uiPriority w:val="0"/>
    <w:pPr>
      <w:snapToGrid/>
      <w:spacing w:line="360" w:lineRule="auto"/>
      <w:ind w:left="1474" w:hanging="340" w:firstLineChars="0"/>
    </w:pPr>
    <w:rPr>
      <w:rFonts w:hAnsi="宋体"/>
      <w:sz w:val="24"/>
      <w:szCs w:val="20"/>
    </w:rPr>
  </w:style>
  <w:style w:type="paragraph" w:customStyle="1" w:styleId="494">
    <w:name w:val="font1"/>
    <w:basedOn w:val="1"/>
    <w:qFormat/>
    <w:uiPriority w:val="0"/>
    <w:pPr>
      <w:spacing w:before="100" w:beforeAutospacing="1" w:after="100" w:afterAutospacing="1" w:line="240" w:lineRule="auto"/>
    </w:pPr>
    <w:rPr>
      <w:rFonts w:ascii="宋体" w:hAnsi="宋体" w:cs="宋体"/>
      <w:kern w:val="0"/>
      <w:sz w:val="24"/>
    </w:rPr>
  </w:style>
  <w:style w:type="paragraph" w:customStyle="1" w:styleId="495">
    <w:name w:val="Char Char Char Char Char Char Char Char Char Char Char Char Char Char Char Char Char Char Char Char Char"/>
    <w:basedOn w:val="1"/>
    <w:qFormat/>
    <w:uiPriority w:val="0"/>
    <w:pPr>
      <w:widowControl w:val="0"/>
      <w:spacing w:line="240" w:lineRule="auto"/>
      <w:jc w:val="both"/>
    </w:pPr>
    <w:rPr>
      <w:rFonts w:ascii="Calibri" w:hAnsi="Calibri"/>
    </w:rPr>
  </w:style>
  <w:style w:type="paragraph" w:customStyle="1" w:styleId="496">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497">
    <w:name w:val="xl67"/>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498">
    <w:name w:val="Char Char"/>
    <w:basedOn w:val="1"/>
    <w:qFormat/>
    <w:uiPriority w:val="0"/>
    <w:pPr>
      <w:spacing w:after="160" w:line="240" w:lineRule="exact"/>
    </w:pPr>
    <w:rPr>
      <w:rFonts w:ascii="Verdana" w:hAnsi="Verdana" w:eastAsia="仿宋_GB2312"/>
      <w:kern w:val="0"/>
      <w:sz w:val="24"/>
      <w:szCs w:val="20"/>
      <w:lang w:eastAsia="en-US"/>
    </w:rPr>
  </w:style>
  <w:style w:type="paragraph" w:customStyle="1" w:styleId="499">
    <w:name w:val="表文字"/>
    <w:basedOn w:val="1"/>
    <w:qFormat/>
    <w:uiPriority w:val="0"/>
    <w:pPr>
      <w:widowControl w:val="0"/>
      <w:adjustRightInd w:val="0"/>
      <w:snapToGrid w:val="0"/>
      <w:spacing w:after="156" w:afterLines="50" w:line="240" w:lineRule="auto"/>
      <w:jc w:val="both"/>
    </w:pPr>
    <w:rPr>
      <w:rFonts w:ascii="Calibri" w:hAnsi="Calibri" w:eastAsia="仿宋_GB2312"/>
      <w:szCs w:val="21"/>
    </w:rPr>
  </w:style>
  <w:style w:type="paragraph" w:customStyle="1" w:styleId="500">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01">
    <w:name w:val="CM39"/>
    <w:basedOn w:val="255"/>
    <w:next w:val="255"/>
    <w:qFormat/>
    <w:uiPriority w:val="0"/>
    <w:pPr>
      <w:spacing w:line="400" w:lineRule="atLeast"/>
    </w:pPr>
    <w:rPr>
      <w:rFonts w:ascii="宋体" w:hAnsi="Times New Roman" w:eastAsia="宋体" w:cs="宋体"/>
      <w:sz w:val="24"/>
      <w:szCs w:val="24"/>
    </w:rPr>
  </w:style>
  <w:style w:type="paragraph" w:customStyle="1" w:styleId="502">
    <w:name w:val="xl56"/>
    <w:basedOn w:val="1"/>
    <w:qFormat/>
    <w:uiPriority w:val="0"/>
    <w:pPr>
      <w:pBdr>
        <w:top w:val="single" w:color="auto" w:sz="4" w:space="0"/>
        <w:left w:val="single" w:color="auto" w:sz="4" w:space="0"/>
        <w:right w:val="single" w:color="auto" w:sz="8"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03">
    <w:name w:val="CM47"/>
    <w:basedOn w:val="255"/>
    <w:next w:val="255"/>
    <w:qFormat/>
    <w:uiPriority w:val="0"/>
    <w:pPr>
      <w:spacing w:line="440" w:lineRule="atLeast"/>
    </w:pPr>
    <w:rPr>
      <w:rFonts w:ascii="宋体" w:hAnsi="Times New Roman" w:eastAsia="宋体" w:cs="宋体"/>
      <w:sz w:val="24"/>
      <w:szCs w:val="24"/>
    </w:rPr>
  </w:style>
  <w:style w:type="paragraph" w:customStyle="1" w:styleId="504">
    <w:name w:val="Style23"/>
    <w:basedOn w:val="1"/>
    <w:unhideWhenUsed/>
    <w:qFormat/>
    <w:uiPriority w:val="0"/>
    <w:pPr>
      <w:widowControl w:val="0"/>
      <w:spacing w:line="240" w:lineRule="auto"/>
      <w:jc w:val="both"/>
    </w:pPr>
    <w:rPr>
      <w:rFonts w:ascii="Calibri" w:hAnsi="Calibri" w:eastAsia="微软雅黑"/>
    </w:rPr>
  </w:style>
  <w:style w:type="paragraph" w:customStyle="1" w:styleId="505">
    <w:name w:val="CM18"/>
    <w:basedOn w:val="255"/>
    <w:next w:val="255"/>
    <w:qFormat/>
    <w:uiPriority w:val="0"/>
    <w:pPr>
      <w:spacing w:line="313" w:lineRule="atLeast"/>
    </w:pPr>
    <w:rPr>
      <w:rFonts w:ascii="宋体" w:hAnsi="Times New Roman" w:eastAsia="宋体" w:cs="宋体"/>
      <w:sz w:val="24"/>
      <w:szCs w:val="24"/>
    </w:rPr>
  </w:style>
  <w:style w:type="paragraph" w:customStyle="1" w:styleId="506">
    <w:name w:val="xl8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2"/>
      <w:szCs w:val="22"/>
    </w:rPr>
  </w:style>
  <w:style w:type="paragraph" w:customStyle="1" w:styleId="507">
    <w:name w:val="Style48"/>
    <w:basedOn w:val="1"/>
    <w:unhideWhenUsed/>
    <w:qFormat/>
    <w:uiPriority w:val="0"/>
    <w:pPr>
      <w:widowControl w:val="0"/>
      <w:spacing w:line="542" w:lineRule="exact"/>
      <w:jc w:val="right"/>
    </w:pPr>
    <w:rPr>
      <w:rFonts w:ascii="Calibri" w:hAnsi="Calibri" w:eastAsia="微软雅黑"/>
    </w:rPr>
  </w:style>
  <w:style w:type="paragraph" w:customStyle="1" w:styleId="508">
    <w:name w:val="Char2"/>
    <w:basedOn w:val="1"/>
    <w:qFormat/>
    <w:uiPriority w:val="0"/>
    <w:pPr>
      <w:widowControl w:val="0"/>
      <w:spacing w:after="156" w:afterLines="50" w:line="240" w:lineRule="auto"/>
      <w:jc w:val="both"/>
    </w:pPr>
    <w:rPr>
      <w:rFonts w:ascii="Tahoma" w:hAnsi="Tahoma"/>
      <w:sz w:val="24"/>
      <w:szCs w:val="20"/>
    </w:rPr>
  </w:style>
  <w:style w:type="paragraph" w:customStyle="1" w:styleId="509">
    <w:name w:val="节标题"/>
    <w:basedOn w:val="1"/>
    <w:qFormat/>
    <w:uiPriority w:val="0"/>
    <w:pPr>
      <w:widowControl w:val="0"/>
      <w:spacing w:before="240" w:after="240" w:line="240" w:lineRule="auto"/>
      <w:jc w:val="center"/>
    </w:pPr>
    <w:rPr>
      <w:rFonts w:ascii="Calibri" w:hAnsi="Calibri" w:eastAsia="文鼎CS长美黑"/>
      <w:w w:val="95"/>
      <w:sz w:val="32"/>
      <w:szCs w:val="20"/>
    </w:rPr>
  </w:style>
  <w:style w:type="paragraph" w:customStyle="1" w:styleId="510">
    <w:name w:val="xl8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1">
    <w:name w:val="样式 样式 标题 2标题 2 Char Char Char节标题 1.11.1标题2b2 + 加粗 段前: 0.3 行 段......"/>
    <w:basedOn w:val="1"/>
    <w:qFormat/>
    <w:uiPriority w:val="0"/>
    <w:pPr>
      <w:widowControl w:val="0"/>
      <w:autoSpaceDE w:val="0"/>
      <w:autoSpaceDN w:val="0"/>
      <w:adjustRightInd w:val="0"/>
      <w:spacing w:before="120" w:beforeLines="50" w:after="120" w:afterLines="50" w:line="460" w:lineRule="exact"/>
      <w:ind w:firstLine="200" w:firstLineChars="200"/>
      <w:outlineLvl w:val="1"/>
    </w:pPr>
    <w:rPr>
      <w:rFonts w:ascii="黑体" w:hAnsi="宋体" w:eastAsia="黑体" w:cs="宋体"/>
      <w:b/>
      <w:color w:val="000000"/>
      <w:kern w:val="28"/>
      <w:sz w:val="32"/>
      <w:szCs w:val="32"/>
    </w:rPr>
  </w:style>
  <w:style w:type="paragraph" w:customStyle="1" w:styleId="512">
    <w:name w:val="正文文本缩进 32"/>
    <w:basedOn w:val="1"/>
    <w:qFormat/>
    <w:uiPriority w:val="0"/>
    <w:pPr>
      <w:widowControl w:val="0"/>
      <w:adjustRightInd w:val="0"/>
      <w:spacing w:line="360" w:lineRule="atLeast"/>
      <w:ind w:firstLine="555"/>
      <w:jc w:val="both"/>
      <w:textAlignment w:val="baseline"/>
    </w:pPr>
    <w:rPr>
      <w:rFonts w:ascii="宋体" w:hAnsi="Calibri"/>
      <w:color w:val="000000"/>
      <w:kern w:val="0"/>
      <w:sz w:val="24"/>
      <w:szCs w:val="20"/>
    </w:rPr>
  </w:style>
  <w:style w:type="paragraph" w:customStyle="1" w:styleId="513">
    <w:name w:val="xl35"/>
    <w:basedOn w:val="1"/>
    <w:qFormat/>
    <w:uiPriority w:val="0"/>
    <w:pPr>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14">
    <w:name w:val="Char5"/>
    <w:basedOn w:val="1"/>
    <w:qFormat/>
    <w:uiPriority w:val="0"/>
    <w:pPr>
      <w:widowControl w:val="0"/>
      <w:spacing w:line="240" w:lineRule="auto"/>
      <w:jc w:val="both"/>
    </w:pPr>
    <w:rPr>
      <w:rFonts w:ascii="宋体" w:hAnsi="Calibri"/>
    </w:rPr>
  </w:style>
  <w:style w:type="paragraph" w:customStyle="1" w:styleId="515">
    <w:name w:val="xl83"/>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16">
    <w:name w:val="标 题 4"/>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17">
    <w:name w:val="xl108"/>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18">
    <w:name w:val="CM94"/>
    <w:basedOn w:val="255"/>
    <w:next w:val="255"/>
    <w:qFormat/>
    <w:uiPriority w:val="0"/>
    <w:pPr>
      <w:spacing w:after="63"/>
    </w:pPr>
    <w:rPr>
      <w:rFonts w:ascii="宋体" w:hAnsi="Times New Roman" w:eastAsia="宋体" w:cs="宋体"/>
      <w:sz w:val="24"/>
      <w:szCs w:val="24"/>
    </w:rPr>
  </w:style>
  <w:style w:type="paragraph" w:customStyle="1" w:styleId="519">
    <w:name w:val="font11"/>
    <w:basedOn w:val="1"/>
    <w:qFormat/>
    <w:uiPriority w:val="0"/>
    <w:pPr>
      <w:spacing w:before="100" w:beforeAutospacing="1" w:after="100" w:afterAutospacing="1" w:line="240" w:lineRule="auto"/>
    </w:pPr>
    <w:rPr>
      <w:rFonts w:ascii="Calibri" w:hAnsi="Calibri"/>
      <w:b/>
      <w:bCs/>
      <w:kern w:val="0"/>
      <w:sz w:val="20"/>
      <w:szCs w:val="20"/>
    </w:rPr>
  </w:style>
  <w:style w:type="paragraph" w:customStyle="1" w:styleId="520">
    <w:name w:val="表头1"/>
    <w:basedOn w:val="399"/>
    <w:qFormat/>
    <w:uiPriority w:val="0"/>
    <w:pPr>
      <w:jc w:val="right"/>
    </w:pPr>
  </w:style>
  <w:style w:type="paragraph" w:customStyle="1" w:styleId="521">
    <w:name w:val="Style65"/>
    <w:basedOn w:val="1"/>
    <w:unhideWhenUsed/>
    <w:qFormat/>
    <w:uiPriority w:val="0"/>
    <w:pPr>
      <w:widowControl w:val="0"/>
      <w:spacing w:line="240" w:lineRule="auto"/>
      <w:jc w:val="both"/>
    </w:pPr>
    <w:rPr>
      <w:rFonts w:ascii="Calibri" w:hAnsi="Calibri" w:eastAsia="微软雅黑"/>
    </w:rPr>
  </w:style>
  <w:style w:type="paragraph" w:customStyle="1" w:styleId="522">
    <w:name w:val="样式44"/>
    <w:basedOn w:val="1"/>
    <w:qFormat/>
    <w:uiPriority w:val="0"/>
    <w:pPr>
      <w:widowControl w:val="0"/>
      <w:numPr>
        <w:ilvl w:val="3"/>
        <w:numId w:val="12"/>
      </w:numPr>
      <w:spacing w:line="240" w:lineRule="auto"/>
      <w:ind w:left="0" w:firstLine="531" w:firstLineChars="200"/>
      <w:jc w:val="both"/>
    </w:pPr>
    <w:rPr>
      <w:rFonts w:ascii="Calibri" w:hAnsi="Calibri" w:eastAsia="仿宋_GB2312"/>
      <w:sz w:val="28"/>
    </w:rPr>
  </w:style>
  <w:style w:type="paragraph" w:customStyle="1" w:styleId="523">
    <w:name w:val="样式26"/>
    <w:basedOn w:val="44"/>
    <w:qFormat/>
    <w:uiPriority w:val="0"/>
    <w:pPr>
      <w:spacing w:line="520" w:lineRule="atLeast"/>
      <w:ind w:firstLine="480" w:firstLineChars="200"/>
    </w:pPr>
    <w:rPr>
      <w:rFonts w:ascii="Times New Roman" w:hAnsi="Times New Roman" w:cs="Times New Roman"/>
      <w:color w:val="000000"/>
      <w:kern w:val="0"/>
      <w:sz w:val="24"/>
      <w:szCs w:val="24"/>
    </w:rPr>
  </w:style>
  <w:style w:type="paragraph" w:customStyle="1" w:styleId="524">
    <w:name w:val="Style16"/>
    <w:basedOn w:val="1"/>
    <w:unhideWhenUsed/>
    <w:qFormat/>
    <w:uiPriority w:val="0"/>
    <w:pPr>
      <w:widowControl w:val="0"/>
      <w:spacing w:line="240" w:lineRule="auto"/>
      <w:jc w:val="right"/>
    </w:pPr>
    <w:rPr>
      <w:rFonts w:ascii="Calibri" w:hAnsi="Calibri" w:eastAsia="微软雅黑"/>
    </w:rPr>
  </w:style>
  <w:style w:type="paragraph" w:customStyle="1" w:styleId="525">
    <w:name w:val="p15"/>
    <w:basedOn w:val="1"/>
    <w:qFormat/>
    <w:uiPriority w:val="0"/>
    <w:pPr>
      <w:spacing w:line="220" w:lineRule="atLeast"/>
      <w:jc w:val="center"/>
    </w:pPr>
    <w:rPr>
      <w:rFonts w:ascii="仿宋_GB2312" w:hAnsi="宋体" w:eastAsia="仿宋_GB2312" w:cs="宋体"/>
      <w:kern w:val="0"/>
      <w:szCs w:val="21"/>
    </w:rPr>
  </w:style>
  <w:style w:type="paragraph" w:customStyle="1" w:styleId="526">
    <w:name w:val="正文21"/>
    <w:basedOn w:val="1"/>
    <w:next w:val="1"/>
    <w:qFormat/>
    <w:uiPriority w:val="0"/>
    <w:pPr>
      <w:widowControl w:val="0"/>
      <w:tabs>
        <w:tab w:val="left" w:pos="4025"/>
      </w:tabs>
      <w:spacing w:line="360" w:lineRule="auto"/>
      <w:ind w:left="4025" w:hanging="425" w:firstLineChars="200"/>
      <w:jc w:val="both"/>
    </w:pPr>
    <w:rPr>
      <w:rFonts w:ascii="Calibri" w:hAnsi="宋体"/>
      <w:sz w:val="24"/>
      <w:szCs w:val="20"/>
    </w:rPr>
  </w:style>
  <w:style w:type="paragraph" w:customStyle="1" w:styleId="527">
    <w:name w:val="xl9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528">
    <w:name w:val="Char1"/>
    <w:basedOn w:val="1"/>
    <w:qFormat/>
    <w:uiPriority w:val="0"/>
    <w:pPr>
      <w:spacing w:after="160" w:line="240" w:lineRule="exact"/>
    </w:pPr>
    <w:rPr>
      <w:rFonts w:ascii="Verdana" w:hAnsi="Verdana" w:eastAsia="微软雅黑"/>
      <w:kern w:val="0"/>
      <w:sz w:val="20"/>
      <w:szCs w:val="20"/>
      <w:lang w:eastAsia="en-US"/>
    </w:rPr>
  </w:style>
  <w:style w:type="paragraph" w:customStyle="1" w:styleId="529">
    <w:name w:val="Style62"/>
    <w:basedOn w:val="1"/>
    <w:unhideWhenUsed/>
    <w:qFormat/>
    <w:uiPriority w:val="0"/>
    <w:pPr>
      <w:widowControl w:val="0"/>
      <w:spacing w:line="240" w:lineRule="auto"/>
      <w:jc w:val="both"/>
    </w:pPr>
    <w:rPr>
      <w:rFonts w:ascii="Calibri" w:hAnsi="Calibri" w:eastAsia="微软雅黑"/>
    </w:rPr>
  </w:style>
  <w:style w:type="paragraph" w:customStyle="1" w:styleId="530">
    <w:name w:val="xl8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31">
    <w:name w:val="样式 小四 黑色 两端对齐 首行缩进:  0.9 厘米 行距: 最小值 23 磅"/>
    <w:basedOn w:val="1"/>
    <w:qFormat/>
    <w:uiPriority w:val="0"/>
    <w:pPr>
      <w:widowControl w:val="0"/>
      <w:adjustRightInd w:val="0"/>
      <w:spacing w:line="360" w:lineRule="auto"/>
      <w:ind w:firstLine="510"/>
      <w:jc w:val="both"/>
      <w:textAlignment w:val="baseline"/>
    </w:pPr>
    <w:rPr>
      <w:rFonts w:ascii="Calibri" w:hAnsi="Calibri" w:cs="宋体"/>
      <w:color w:val="000000"/>
      <w:kern w:val="0"/>
      <w:sz w:val="24"/>
      <w:szCs w:val="20"/>
    </w:rPr>
  </w:style>
  <w:style w:type="paragraph" w:customStyle="1" w:styleId="532">
    <w:name w:val="样式 行距: 1.5 倍行距"/>
    <w:basedOn w:val="1"/>
    <w:qFormat/>
    <w:uiPriority w:val="0"/>
    <w:pPr>
      <w:widowControl w:val="0"/>
      <w:spacing w:line="360" w:lineRule="auto"/>
      <w:jc w:val="both"/>
    </w:pPr>
    <w:rPr>
      <w:rFonts w:ascii="Calibri" w:hAnsi="Calibri" w:cs="宋体"/>
      <w:szCs w:val="20"/>
    </w:rPr>
  </w:style>
  <w:style w:type="paragraph" w:customStyle="1" w:styleId="533">
    <w:name w:val="Char"/>
    <w:basedOn w:val="1"/>
    <w:qFormat/>
    <w:uiPriority w:val="0"/>
    <w:pPr>
      <w:spacing w:after="160" w:line="240" w:lineRule="exact"/>
    </w:pPr>
    <w:rPr>
      <w:rFonts w:ascii="Verdana" w:hAnsi="Verdana" w:eastAsia="微软雅黑"/>
      <w:kern w:val="0"/>
      <w:sz w:val="20"/>
      <w:szCs w:val="20"/>
      <w:lang w:eastAsia="en-US"/>
    </w:rPr>
  </w:style>
  <w:style w:type="paragraph" w:customStyle="1" w:styleId="534">
    <w:name w:val="WPS Plain"/>
    <w:qFormat/>
    <w:uiPriority w:val="0"/>
    <w:rPr>
      <w:rFonts w:ascii="Calibri" w:hAnsi="Calibri" w:eastAsia="宋体" w:cs="Times New Roman"/>
      <w:lang w:val="en-US" w:eastAsia="zh-CN" w:bidi="ar-SA"/>
    </w:rPr>
  </w:style>
  <w:style w:type="paragraph" w:customStyle="1" w:styleId="535">
    <w:name w:val="xl90"/>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b/>
      <w:bCs/>
      <w:kern w:val="0"/>
      <w:sz w:val="20"/>
      <w:szCs w:val="20"/>
    </w:rPr>
  </w:style>
  <w:style w:type="paragraph" w:customStyle="1" w:styleId="536">
    <w:name w:val="CM1"/>
    <w:basedOn w:val="255"/>
    <w:next w:val="255"/>
    <w:qFormat/>
    <w:uiPriority w:val="0"/>
    <w:rPr>
      <w:rFonts w:ascii="宋体" w:hAnsi="Times New Roman" w:eastAsia="宋体" w:cs="宋体"/>
      <w:sz w:val="24"/>
      <w:szCs w:val="24"/>
    </w:rPr>
  </w:style>
  <w:style w:type="paragraph" w:customStyle="1" w:styleId="537">
    <w:name w:val="正文文本缩进 21"/>
    <w:basedOn w:val="1"/>
    <w:qFormat/>
    <w:uiPriority w:val="0"/>
    <w:pPr>
      <w:widowControl w:val="0"/>
      <w:adjustRightInd w:val="0"/>
      <w:spacing w:line="360" w:lineRule="atLeast"/>
      <w:ind w:firstLine="502"/>
      <w:jc w:val="both"/>
      <w:textAlignment w:val="baseline"/>
    </w:pPr>
    <w:rPr>
      <w:rFonts w:ascii="宋体" w:hAnsi="Calibri"/>
      <w:kern w:val="0"/>
      <w:sz w:val="28"/>
      <w:szCs w:val="20"/>
    </w:rPr>
  </w:style>
  <w:style w:type="paragraph" w:customStyle="1" w:styleId="538">
    <w:name w:val="CM83"/>
    <w:basedOn w:val="255"/>
    <w:next w:val="255"/>
    <w:qFormat/>
    <w:uiPriority w:val="0"/>
    <w:pPr>
      <w:spacing w:line="440" w:lineRule="atLeast"/>
    </w:pPr>
    <w:rPr>
      <w:rFonts w:ascii="宋体" w:hAnsi="Times New Roman" w:eastAsia="宋体" w:cs="宋体"/>
      <w:sz w:val="24"/>
      <w:szCs w:val="24"/>
    </w:rPr>
  </w:style>
  <w:style w:type="paragraph" w:customStyle="1" w:styleId="539">
    <w:name w:val="font8"/>
    <w:basedOn w:val="1"/>
    <w:qFormat/>
    <w:uiPriority w:val="0"/>
    <w:pPr>
      <w:spacing w:before="100" w:beforeAutospacing="1" w:after="100" w:afterAutospacing="1" w:line="240" w:lineRule="auto"/>
    </w:pPr>
    <w:rPr>
      <w:rFonts w:hint="eastAsia" w:ascii="宋体" w:hAnsi="宋体"/>
      <w:snapToGrid w:val="0"/>
      <w:kern w:val="0"/>
      <w:sz w:val="24"/>
    </w:rPr>
  </w:style>
  <w:style w:type="paragraph" w:customStyle="1" w:styleId="540">
    <w:name w:val="xl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41">
    <w:name w:val="样式 标题 3 + 宋体 段前: 5 磅 段后: 5 磅 行距: 固定值 22 磅"/>
    <w:basedOn w:val="4"/>
    <w:qFormat/>
    <w:uiPriority w:val="0"/>
    <w:pPr>
      <w:keepLines/>
      <w:widowControl w:val="0"/>
      <w:spacing w:before="100" w:after="100" w:line="440" w:lineRule="exact"/>
      <w:jc w:val="both"/>
    </w:pPr>
    <w:rPr>
      <w:rFonts w:cs="宋体"/>
      <w:kern w:val="0"/>
      <w:sz w:val="28"/>
      <w:szCs w:val="20"/>
    </w:rPr>
  </w:style>
  <w:style w:type="paragraph" w:customStyle="1" w:styleId="542">
    <w:name w:val="样式 表 名 + 首行缩进:  1 字符"/>
    <w:basedOn w:val="1"/>
    <w:qFormat/>
    <w:uiPriority w:val="0"/>
    <w:pPr>
      <w:widowControl w:val="0"/>
      <w:snapToGrid w:val="0"/>
      <w:spacing w:after="156" w:afterLines="50" w:line="460" w:lineRule="exact"/>
      <w:ind w:firstLine="210" w:firstLineChars="100"/>
      <w:jc w:val="both"/>
    </w:pPr>
    <w:rPr>
      <w:rFonts w:ascii="黑体" w:hAnsi="宋体" w:eastAsia="黑体" w:cs="宋体"/>
      <w:snapToGrid w:val="0"/>
      <w:szCs w:val="20"/>
    </w:rPr>
  </w:style>
  <w:style w:type="paragraph" w:customStyle="1" w:styleId="543">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544">
    <w:name w:val="CM96"/>
    <w:basedOn w:val="255"/>
    <w:next w:val="255"/>
    <w:qFormat/>
    <w:uiPriority w:val="0"/>
    <w:pPr>
      <w:spacing w:after="298"/>
    </w:pPr>
    <w:rPr>
      <w:rFonts w:ascii="宋体" w:hAnsi="Times New Roman" w:eastAsia="宋体" w:cs="宋体"/>
      <w:sz w:val="24"/>
      <w:szCs w:val="24"/>
    </w:rPr>
  </w:style>
  <w:style w:type="paragraph" w:customStyle="1" w:styleId="545">
    <w:name w:val="Style52"/>
    <w:basedOn w:val="1"/>
    <w:unhideWhenUsed/>
    <w:qFormat/>
    <w:uiPriority w:val="0"/>
    <w:pPr>
      <w:widowControl w:val="0"/>
      <w:spacing w:line="682" w:lineRule="exact"/>
      <w:ind w:firstLine="557"/>
      <w:jc w:val="both"/>
    </w:pPr>
    <w:rPr>
      <w:rFonts w:ascii="Calibri" w:hAnsi="Calibri" w:eastAsia="微软雅黑"/>
    </w:rPr>
  </w:style>
  <w:style w:type="paragraph" w:customStyle="1" w:styleId="546">
    <w:name w:val="Char1 Char Char Char Char Char Char Char Char Char"/>
    <w:basedOn w:val="1"/>
    <w:qFormat/>
    <w:uiPriority w:val="0"/>
    <w:pPr>
      <w:widowControl w:val="0"/>
      <w:spacing w:line="240" w:lineRule="auto"/>
      <w:jc w:val="both"/>
    </w:pPr>
    <w:rPr>
      <w:rFonts w:ascii="Calibri" w:hAnsi="Calibri" w:eastAsia="微软雅黑"/>
      <w:szCs w:val="20"/>
    </w:rPr>
  </w:style>
  <w:style w:type="paragraph" w:customStyle="1" w:styleId="547">
    <w:name w:val="CM36"/>
    <w:basedOn w:val="255"/>
    <w:next w:val="255"/>
    <w:qFormat/>
    <w:uiPriority w:val="0"/>
    <w:pPr>
      <w:spacing w:line="400" w:lineRule="atLeast"/>
    </w:pPr>
    <w:rPr>
      <w:rFonts w:ascii="宋体" w:hAnsi="Times New Roman" w:eastAsia="宋体" w:cs="宋体"/>
      <w:sz w:val="24"/>
      <w:szCs w:val="24"/>
    </w:rPr>
  </w:style>
  <w:style w:type="paragraph" w:customStyle="1" w:styleId="548">
    <w:name w:val="标题3"/>
    <w:basedOn w:val="2"/>
    <w:qFormat/>
    <w:uiPriority w:val="0"/>
    <w:pPr>
      <w:keepLines w:val="0"/>
      <w:widowControl w:val="0"/>
      <w:spacing w:before="0" w:beforeLines="50" w:after="0" w:line="400" w:lineRule="exact"/>
      <w:jc w:val="both"/>
    </w:pPr>
    <w:rPr>
      <w:rFonts w:ascii="宋体" w:hAnsi="宋体"/>
      <w:kern w:val="32"/>
      <w:sz w:val="24"/>
      <w:szCs w:val="32"/>
    </w:rPr>
  </w:style>
  <w:style w:type="paragraph" w:customStyle="1" w:styleId="549">
    <w:name w:val="样式 小四 两端对齐 行距: 最小值 23 磅"/>
    <w:basedOn w:val="1"/>
    <w:next w:val="213"/>
    <w:qFormat/>
    <w:uiPriority w:val="0"/>
    <w:pPr>
      <w:widowControl w:val="0"/>
      <w:adjustRightInd w:val="0"/>
      <w:spacing w:line="460" w:lineRule="atLeast"/>
      <w:jc w:val="both"/>
      <w:textAlignment w:val="baseline"/>
    </w:pPr>
    <w:rPr>
      <w:rFonts w:ascii="Calibri" w:hAnsi="Calibri" w:cs="宋体"/>
      <w:kern w:val="0"/>
      <w:sz w:val="24"/>
      <w:szCs w:val="20"/>
    </w:rPr>
  </w:style>
  <w:style w:type="paragraph" w:customStyle="1" w:styleId="550">
    <w:name w:val="样式 小四 首行缩进:  0.85 厘米 段前: 7.8 磅 段后: 2.5 磅 行距: 1.5 倍行距"/>
    <w:basedOn w:val="1"/>
    <w:qFormat/>
    <w:uiPriority w:val="0"/>
    <w:pPr>
      <w:widowControl w:val="0"/>
      <w:spacing w:before="156" w:after="50" w:line="360" w:lineRule="auto"/>
      <w:ind w:firstLine="480"/>
      <w:jc w:val="both"/>
    </w:pPr>
    <w:rPr>
      <w:rFonts w:ascii="Calibri" w:hAnsi="Calibri" w:cs="宋体"/>
      <w:szCs w:val="20"/>
    </w:rPr>
  </w:style>
  <w:style w:type="paragraph" w:customStyle="1" w:styleId="551">
    <w:name w:val="Char Char1 Char Char Char Char Char Char Char Char Char Char Char Char Char Char Char Char Char Char Char Char Char Char Char Char Char"/>
    <w:basedOn w:val="1"/>
    <w:next w:val="1"/>
    <w:qFormat/>
    <w:uiPriority w:val="0"/>
    <w:pPr>
      <w:widowControl w:val="0"/>
      <w:spacing w:line="240" w:lineRule="auto"/>
      <w:jc w:val="both"/>
    </w:pPr>
    <w:rPr>
      <w:rFonts w:ascii="Calibri" w:hAnsi="Calibri"/>
    </w:rPr>
  </w:style>
  <w:style w:type="paragraph" w:customStyle="1" w:styleId="552">
    <w:name w:val="Char Char Char Char2 Char Char Char Char"/>
    <w:basedOn w:val="1"/>
    <w:qFormat/>
    <w:uiPriority w:val="0"/>
    <w:pPr>
      <w:widowControl w:val="0"/>
      <w:spacing w:line="240" w:lineRule="auto"/>
      <w:jc w:val="both"/>
    </w:pPr>
    <w:rPr>
      <w:rFonts w:ascii="宋体" w:hAnsi="Calibri"/>
    </w:rPr>
  </w:style>
  <w:style w:type="paragraph" w:customStyle="1" w:styleId="553">
    <w:name w:val="font12"/>
    <w:basedOn w:val="1"/>
    <w:qFormat/>
    <w:uiPriority w:val="0"/>
    <w:pPr>
      <w:spacing w:before="100" w:beforeAutospacing="1" w:after="100" w:afterAutospacing="1" w:line="240" w:lineRule="auto"/>
    </w:pPr>
    <w:rPr>
      <w:rFonts w:ascii="Calibri" w:hAnsi="Calibri"/>
      <w:kern w:val="0"/>
      <w:sz w:val="20"/>
      <w:szCs w:val="20"/>
    </w:rPr>
  </w:style>
  <w:style w:type="paragraph" w:customStyle="1" w:styleId="55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Calibri" w:hAnsi="Calibri"/>
      <w:kern w:val="0"/>
      <w:sz w:val="24"/>
    </w:rPr>
  </w:style>
  <w:style w:type="paragraph" w:customStyle="1" w:styleId="555">
    <w:name w:val="Style61"/>
    <w:basedOn w:val="1"/>
    <w:unhideWhenUsed/>
    <w:qFormat/>
    <w:uiPriority w:val="0"/>
    <w:pPr>
      <w:widowControl w:val="0"/>
      <w:spacing w:line="240" w:lineRule="auto"/>
      <w:jc w:val="both"/>
    </w:pPr>
    <w:rPr>
      <w:rFonts w:ascii="Calibri" w:hAnsi="Calibri" w:eastAsia="微软雅黑"/>
    </w:rPr>
  </w:style>
  <w:style w:type="paragraph" w:customStyle="1" w:styleId="556">
    <w:name w:val="font9"/>
    <w:basedOn w:val="1"/>
    <w:qFormat/>
    <w:uiPriority w:val="0"/>
    <w:pPr>
      <w:spacing w:before="100" w:beforeAutospacing="1" w:after="100" w:afterAutospacing="1" w:line="240" w:lineRule="auto"/>
    </w:pPr>
    <w:rPr>
      <w:rFonts w:ascii="Calibri" w:hAnsi="Calibri"/>
      <w:b/>
      <w:bCs/>
      <w:kern w:val="0"/>
      <w:sz w:val="24"/>
    </w:rPr>
  </w:style>
  <w:style w:type="paragraph" w:customStyle="1" w:styleId="557">
    <w:name w:val="样式 标题 4标题 4XW标题 4 Char Char标题 41 + (符号) 宋体 自动设置 行距: 固定值 18 磅"/>
    <w:basedOn w:val="5"/>
    <w:qFormat/>
    <w:uiPriority w:val="0"/>
    <w:pPr>
      <w:widowControl w:val="0"/>
      <w:snapToGrid w:val="0"/>
      <w:spacing w:before="156" w:beforeLines="50" w:after="0" w:line="460" w:lineRule="exact"/>
    </w:pPr>
    <w:rPr>
      <w:rFonts w:ascii="Arial" w:hAnsi="Times New Roman" w:eastAsia="宋体" w:cs="宋体"/>
      <w:b w:val="0"/>
      <w:kern w:val="0"/>
      <w:sz w:val="24"/>
      <w:szCs w:val="20"/>
      <w:lang w:val="zh-CN"/>
    </w:rPr>
  </w:style>
  <w:style w:type="paragraph" w:customStyle="1" w:styleId="558">
    <w:name w:val="Style45"/>
    <w:basedOn w:val="1"/>
    <w:unhideWhenUsed/>
    <w:qFormat/>
    <w:uiPriority w:val="0"/>
    <w:pPr>
      <w:widowControl w:val="0"/>
      <w:spacing w:line="240" w:lineRule="auto"/>
      <w:jc w:val="both"/>
    </w:pPr>
    <w:rPr>
      <w:rFonts w:ascii="Calibri" w:hAnsi="Calibri" w:eastAsia="微软雅黑"/>
    </w:rPr>
  </w:style>
  <w:style w:type="paragraph" w:customStyle="1" w:styleId="559">
    <w:name w:val="样式 首行缩进:  2 字符3"/>
    <w:basedOn w:val="1"/>
    <w:qFormat/>
    <w:uiPriority w:val="0"/>
    <w:pPr>
      <w:widowControl w:val="0"/>
      <w:spacing w:line="440" w:lineRule="exact"/>
      <w:ind w:firstLine="479" w:firstLineChars="200"/>
      <w:jc w:val="both"/>
    </w:pPr>
    <w:rPr>
      <w:rFonts w:ascii="Calibri" w:hAnsi="Calibri"/>
      <w:sz w:val="24"/>
    </w:rPr>
  </w:style>
  <w:style w:type="paragraph" w:customStyle="1" w:styleId="560">
    <w:name w:val="Normal_0_2"/>
    <w:qFormat/>
    <w:uiPriority w:val="0"/>
    <w:rPr>
      <w:rFonts w:ascii="Calibri" w:hAnsi="Calibri" w:eastAsia="Times New Roman" w:cs="Times New Roman"/>
      <w:sz w:val="24"/>
      <w:szCs w:val="24"/>
      <w:lang w:val="en-US" w:eastAsia="zh-CN" w:bidi="ar-SA"/>
    </w:rPr>
  </w:style>
  <w:style w:type="paragraph" w:customStyle="1" w:styleId="561">
    <w:name w:val="Char Char1 Char Char Char Char Char Char Char Char Char Char Char Char Char Char Char"/>
    <w:basedOn w:val="1"/>
    <w:qFormat/>
    <w:uiPriority w:val="0"/>
    <w:pPr>
      <w:spacing w:after="160" w:line="240" w:lineRule="exact"/>
    </w:pPr>
    <w:rPr>
      <w:rFonts w:ascii="Verdana" w:hAnsi="Verdana" w:eastAsia="微软雅黑"/>
      <w:kern w:val="0"/>
      <w:sz w:val="20"/>
      <w:szCs w:val="20"/>
      <w:lang w:eastAsia="en-US"/>
    </w:rPr>
  </w:style>
  <w:style w:type="paragraph" w:customStyle="1" w:styleId="562">
    <w:name w:val="目录文字"/>
    <w:basedOn w:val="1"/>
    <w:qFormat/>
    <w:uiPriority w:val="0"/>
    <w:pPr>
      <w:widowControl w:val="0"/>
      <w:adjustRightInd w:val="0"/>
      <w:snapToGrid w:val="0"/>
      <w:spacing w:line="240" w:lineRule="auto"/>
      <w:jc w:val="both"/>
    </w:pPr>
    <w:rPr>
      <w:rFonts w:ascii="宋体" w:hAnsi="Calibri"/>
      <w:sz w:val="28"/>
      <w:szCs w:val="20"/>
    </w:rPr>
  </w:style>
  <w:style w:type="paragraph" w:customStyle="1" w:styleId="563">
    <w:name w:val="pa-4"/>
    <w:basedOn w:val="1"/>
    <w:qFormat/>
    <w:uiPriority w:val="0"/>
    <w:pPr>
      <w:spacing w:before="150" w:after="150" w:line="240" w:lineRule="auto"/>
    </w:pPr>
    <w:rPr>
      <w:rFonts w:ascii="宋体" w:hAnsi="宋体" w:cs="宋体"/>
      <w:kern w:val="0"/>
      <w:sz w:val="24"/>
    </w:rPr>
  </w:style>
  <w:style w:type="paragraph" w:customStyle="1" w:styleId="564">
    <w:name w:val="样式 样式 样式 黑色 首行缩进:  2 字符 + 首行缩进:  1.67 字符 + 首行缩进:  1.56 字符"/>
    <w:basedOn w:val="565"/>
    <w:qFormat/>
    <w:uiPriority w:val="0"/>
    <w:pPr>
      <w:ind w:firstLine="200" w:firstLineChars="200"/>
    </w:pPr>
  </w:style>
  <w:style w:type="paragraph" w:customStyle="1" w:styleId="565">
    <w:name w:val="首行缩进1"/>
    <w:basedOn w:val="1"/>
    <w:qFormat/>
    <w:uiPriority w:val="0"/>
    <w:pPr>
      <w:widowControl w:val="0"/>
      <w:adjustRightInd w:val="0"/>
      <w:snapToGrid w:val="0"/>
      <w:spacing w:line="460" w:lineRule="exact"/>
      <w:ind w:firstLine="160" w:firstLineChars="160"/>
      <w:jc w:val="both"/>
    </w:pPr>
    <w:rPr>
      <w:rFonts w:ascii="宋体" w:hAnsi="宋体" w:cs="宋体"/>
      <w:color w:val="000000"/>
      <w:sz w:val="24"/>
      <w:szCs w:val="20"/>
    </w:rPr>
  </w:style>
  <w:style w:type="paragraph" w:customStyle="1" w:styleId="566">
    <w:name w:val="CM19"/>
    <w:basedOn w:val="255"/>
    <w:next w:val="255"/>
    <w:qFormat/>
    <w:uiPriority w:val="0"/>
    <w:pPr>
      <w:spacing w:line="398" w:lineRule="atLeast"/>
    </w:pPr>
    <w:rPr>
      <w:rFonts w:ascii="宋体" w:hAnsi="Times New Roman" w:eastAsia="宋体" w:cs="宋体"/>
      <w:sz w:val="24"/>
      <w:szCs w:val="24"/>
    </w:rPr>
  </w:style>
  <w:style w:type="paragraph" w:customStyle="1" w:styleId="567">
    <w:name w:val="5号"/>
    <w:basedOn w:val="1"/>
    <w:qFormat/>
    <w:uiPriority w:val="0"/>
    <w:pPr>
      <w:widowControl w:val="0"/>
      <w:spacing w:line="240" w:lineRule="auto"/>
      <w:jc w:val="center"/>
    </w:pPr>
    <w:rPr>
      <w:rFonts w:ascii="Calibri" w:hAnsi="Calibri"/>
      <w:szCs w:val="20"/>
    </w:rPr>
  </w:style>
  <w:style w:type="paragraph" w:customStyle="1" w:styleId="568">
    <w:name w:val="CM90"/>
    <w:basedOn w:val="255"/>
    <w:next w:val="255"/>
    <w:qFormat/>
    <w:uiPriority w:val="0"/>
    <w:rPr>
      <w:rFonts w:ascii="宋体" w:hAnsi="Times New Roman" w:eastAsia="宋体" w:cs="宋体"/>
      <w:sz w:val="24"/>
      <w:szCs w:val="24"/>
    </w:rPr>
  </w:style>
  <w:style w:type="paragraph" w:customStyle="1" w:styleId="569">
    <w:name w:val="Char2 Char Char Char Char Char Char"/>
    <w:basedOn w:val="1"/>
    <w:qFormat/>
    <w:uiPriority w:val="0"/>
    <w:pPr>
      <w:widowControl w:val="0"/>
      <w:autoSpaceDE w:val="0"/>
      <w:autoSpaceDN w:val="0"/>
      <w:adjustRightInd w:val="0"/>
      <w:snapToGrid w:val="0"/>
      <w:spacing w:line="500" w:lineRule="exact"/>
      <w:ind w:firstLine="562" w:firstLineChars="200"/>
      <w:jc w:val="center"/>
    </w:pPr>
    <w:rPr>
      <w:rFonts w:ascii="Calibri" w:hAnsi="Calibri" w:eastAsia="仿宋_GB2312"/>
      <w:b/>
      <w:color w:val="000000"/>
      <w:sz w:val="28"/>
      <w:szCs w:val="28"/>
    </w:rPr>
  </w:style>
  <w:style w:type="paragraph" w:customStyle="1" w:styleId="570">
    <w:name w:val="Char1 Char Char Char 字元 Char Char 字元 Char 字元 Char1 Char Char Char"/>
    <w:basedOn w:val="1"/>
    <w:qFormat/>
    <w:uiPriority w:val="0"/>
    <w:pPr>
      <w:widowControl w:val="0"/>
      <w:spacing w:line="240" w:lineRule="auto"/>
      <w:jc w:val="both"/>
    </w:pPr>
    <w:rPr>
      <w:rFonts w:ascii="Calibri" w:hAnsi="Calibri" w:eastAsia="微软雅黑"/>
      <w:szCs w:val="20"/>
    </w:rPr>
  </w:style>
  <w:style w:type="paragraph" w:customStyle="1" w:styleId="571">
    <w:name w:val="CM85"/>
    <w:basedOn w:val="255"/>
    <w:next w:val="255"/>
    <w:qFormat/>
    <w:uiPriority w:val="0"/>
    <w:pPr>
      <w:spacing w:line="443" w:lineRule="atLeast"/>
    </w:pPr>
    <w:rPr>
      <w:rFonts w:ascii="宋体" w:hAnsi="Times New Roman" w:eastAsia="宋体" w:cs="宋体"/>
      <w:sz w:val="24"/>
      <w:szCs w:val="24"/>
    </w:rPr>
  </w:style>
  <w:style w:type="paragraph" w:customStyle="1" w:styleId="572">
    <w:name w:val="Char51"/>
    <w:basedOn w:val="1"/>
    <w:qFormat/>
    <w:uiPriority w:val="0"/>
    <w:pPr>
      <w:widowControl w:val="0"/>
      <w:spacing w:after="156" w:afterLines="50" w:line="240" w:lineRule="auto"/>
      <w:jc w:val="both"/>
    </w:pPr>
    <w:rPr>
      <w:rFonts w:ascii="宋体" w:hAnsi="Calibri"/>
    </w:rPr>
  </w:style>
  <w:style w:type="paragraph" w:customStyle="1" w:styleId="573">
    <w:name w:val="Style72"/>
    <w:basedOn w:val="1"/>
    <w:unhideWhenUsed/>
    <w:qFormat/>
    <w:uiPriority w:val="0"/>
    <w:pPr>
      <w:widowControl w:val="0"/>
      <w:spacing w:line="240" w:lineRule="auto"/>
      <w:jc w:val="both"/>
    </w:pPr>
    <w:rPr>
      <w:rFonts w:ascii="Calibri" w:hAnsi="Calibri" w:eastAsia="微软雅黑"/>
    </w:rPr>
  </w:style>
  <w:style w:type="paragraph" w:customStyle="1" w:styleId="574">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line="240" w:lineRule="auto"/>
      <w:ind w:left="840" w:hanging="420"/>
      <w:textAlignment w:val="baseline"/>
      <w:outlineLvl w:val="1"/>
    </w:pPr>
    <w:rPr>
      <w:rFonts w:ascii="宋体" w:hAnsi="宋体" w:eastAsia="微软雅黑"/>
      <w:b/>
      <w:bCs/>
      <w:color w:val="000000"/>
      <w:kern w:val="0"/>
      <w:szCs w:val="20"/>
    </w:rPr>
  </w:style>
  <w:style w:type="paragraph" w:customStyle="1" w:styleId="575">
    <w:name w:val="正文文本缩进 211"/>
    <w:basedOn w:val="1"/>
    <w:qFormat/>
    <w:uiPriority w:val="0"/>
    <w:pPr>
      <w:widowControl w:val="0"/>
      <w:adjustRightInd w:val="0"/>
      <w:spacing w:after="156" w:afterLines="50" w:line="360" w:lineRule="atLeast"/>
      <w:ind w:firstLine="502"/>
      <w:jc w:val="both"/>
      <w:textAlignment w:val="baseline"/>
    </w:pPr>
    <w:rPr>
      <w:rFonts w:ascii="宋体" w:hAnsi="Calibri"/>
      <w:kern w:val="0"/>
      <w:sz w:val="28"/>
      <w:szCs w:val="20"/>
    </w:rPr>
  </w:style>
  <w:style w:type="paragraph" w:customStyle="1" w:styleId="576">
    <w:name w:val="TOC Number1"/>
    <w:basedOn w:val="5"/>
    <w:qFormat/>
    <w:uiPriority w:val="0"/>
    <w:pPr>
      <w:tabs>
        <w:tab w:val="left" w:pos="992"/>
      </w:tabs>
      <w:spacing w:before="120" w:after="120" w:line="240" w:lineRule="auto"/>
      <w:outlineLvl w:val="9"/>
    </w:pPr>
    <w:rPr>
      <w:rFonts w:ascii="Times New Roman" w:hAnsi="Times New Roman" w:eastAsia="宋体" w:cs="Times New Roman"/>
      <w:bCs w:val="0"/>
      <w:kern w:val="0"/>
      <w:sz w:val="24"/>
      <w:szCs w:val="20"/>
      <w:lang w:eastAsia="en-US"/>
    </w:rPr>
  </w:style>
  <w:style w:type="paragraph" w:customStyle="1" w:styleId="577">
    <w:name w:val="CM33"/>
    <w:basedOn w:val="255"/>
    <w:next w:val="255"/>
    <w:qFormat/>
    <w:uiPriority w:val="0"/>
    <w:rPr>
      <w:rFonts w:ascii="宋体" w:hAnsi="Times New Roman" w:eastAsia="宋体" w:cs="宋体"/>
      <w:sz w:val="24"/>
      <w:szCs w:val="24"/>
    </w:rPr>
  </w:style>
  <w:style w:type="paragraph" w:customStyle="1" w:styleId="578">
    <w:name w:val="Style5"/>
    <w:basedOn w:val="1"/>
    <w:unhideWhenUsed/>
    <w:qFormat/>
    <w:uiPriority w:val="0"/>
    <w:pPr>
      <w:widowControl w:val="0"/>
      <w:spacing w:line="240" w:lineRule="auto"/>
      <w:jc w:val="both"/>
    </w:pPr>
    <w:rPr>
      <w:rFonts w:ascii="Calibri" w:hAnsi="Calibri" w:eastAsia="微软雅黑"/>
    </w:rPr>
  </w:style>
  <w:style w:type="paragraph" w:customStyle="1" w:styleId="579">
    <w:name w:val="日期11"/>
    <w:basedOn w:val="1"/>
    <w:next w:val="1"/>
    <w:qFormat/>
    <w:uiPriority w:val="0"/>
    <w:pPr>
      <w:widowControl w:val="0"/>
      <w:adjustRightInd w:val="0"/>
      <w:spacing w:after="156" w:afterLines="50" w:line="240" w:lineRule="auto"/>
      <w:jc w:val="both"/>
      <w:textAlignment w:val="baseline"/>
    </w:pPr>
    <w:rPr>
      <w:rFonts w:ascii="Calibri" w:hAnsi="Calibri"/>
      <w:szCs w:val="20"/>
    </w:rPr>
  </w:style>
  <w:style w:type="paragraph" w:customStyle="1" w:styleId="580">
    <w:name w:val="样式 标题 1 + 黑体 三号 非加粗 居中 段前: 6 磅 段后: 6 磅 行距: 固定值 20 磅"/>
    <w:basedOn w:val="2"/>
    <w:qFormat/>
    <w:uiPriority w:val="0"/>
    <w:pPr>
      <w:widowControl w:val="0"/>
      <w:spacing w:before="120" w:after="120" w:line="400" w:lineRule="exact"/>
      <w:jc w:val="center"/>
    </w:pPr>
    <w:rPr>
      <w:rFonts w:ascii="黑体" w:hAnsi="黑体" w:eastAsia="黑体" w:cs="宋体"/>
      <w:b w:val="0"/>
      <w:bCs w:val="0"/>
      <w:sz w:val="32"/>
      <w:szCs w:val="20"/>
    </w:rPr>
  </w:style>
  <w:style w:type="paragraph" w:customStyle="1" w:styleId="581">
    <w:name w:val="xl107"/>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582">
    <w:name w:val="CM29"/>
    <w:basedOn w:val="255"/>
    <w:next w:val="255"/>
    <w:qFormat/>
    <w:uiPriority w:val="0"/>
    <w:pPr>
      <w:spacing w:line="400" w:lineRule="atLeast"/>
    </w:pPr>
    <w:rPr>
      <w:rFonts w:ascii="宋体" w:hAnsi="Times New Roman" w:eastAsia="宋体" w:cs="宋体"/>
      <w:sz w:val="24"/>
      <w:szCs w:val="24"/>
    </w:rPr>
  </w:style>
  <w:style w:type="paragraph" w:customStyle="1" w:styleId="58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84">
    <w:name w:val="xl4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85">
    <w:name w:val="Style50"/>
    <w:basedOn w:val="1"/>
    <w:unhideWhenUsed/>
    <w:qFormat/>
    <w:uiPriority w:val="0"/>
    <w:pPr>
      <w:widowControl w:val="0"/>
      <w:spacing w:line="240" w:lineRule="auto"/>
      <w:jc w:val="both"/>
    </w:pPr>
    <w:rPr>
      <w:rFonts w:ascii="Calibri" w:hAnsi="Calibri" w:eastAsia="微软雅黑"/>
    </w:rPr>
  </w:style>
  <w:style w:type="paragraph" w:customStyle="1" w:styleId="586">
    <w:name w:val="xl54"/>
    <w:basedOn w:val="1"/>
    <w:qFormat/>
    <w:uiPriority w:val="0"/>
    <w:pPr>
      <w:pBdr>
        <w:top w:val="single" w:color="auto" w:sz="4" w:space="0"/>
        <w:left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kern w:val="0"/>
      <w:sz w:val="20"/>
      <w:szCs w:val="20"/>
    </w:rPr>
  </w:style>
  <w:style w:type="paragraph" w:customStyle="1" w:styleId="587">
    <w:name w:val="font14"/>
    <w:basedOn w:val="1"/>
    <w:qFormat/>
    <w:uiPriority w:val="0"/>
    <w:pPr>
      <w:spacing w:before="100" w:beforeAutospacing="1" w:after="100" w:afterAutospacing="1" w:line="240" w:lineRule="auto"/>
    </w:pPr>
    <w:rPr>
      <w:rFonts w:ascii="宋体" w:hAnsi="宋体" w:cs="宋体"/>
      <w:b/>
      <w:bCs/>
      <w:kern w:val="0"/>
      <w:sz w:val="18"/>
      <w:szCs w:val="18"/>
    </w:rPr>
  </w:style>
  <w:style w:type="paragraph" w:customStyle="1" w:styleId="588">
    <w:name w:val="列出段落11"/>
    <w:basedOn w:val="1"/>
    <w:qFormat/>
    <w:uiPriority w:val="34"/>
    <w:pPr>
      <w:widowControl w:val="0"/>
      <w:spacing w:line="240" w:lineRule="auto"/>
      <w:ind w:firstLine="420" w:firstLineChars="200"/>
      <w:jc w:val="both"/>
    </w:pPr>
    <w:rPr>
      <w:rFonts w:ascii="Calibri" w:hAnsi="Calibri"/>
    </w:rPr>
  </w:style>
  <w:style w:type="paragraph" w:customStyle="1" w:styleId="589">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pPr>
    <w:rPr>
      <w:rFonts w:ascii="宋体" w:hAnsi="宋体" w:cs="宋体"/>
      <w:b/>
      <w:bCs/>
      <w:kern w:val="0"/>
      <w:sz w:val="20"/>
      <w:szCs w:val="20"/>
    </w:rPr>
  </w:style>
  <w:style w:type="paragraph" w:customStyle="1" w:styleId="590">
    <w:name w:val="CM104"/>
    <w:basedOn w:val="255"/>
    <w:next w:val="255"/>
    <w:qFormat/>
    <w:uiPriority w:val="0"/>
    <w:pPr>
      <w:spacing w:after="1318"/>
    </w:pPr>
    <w:rPr>
      <w:rFonts w:ascii="宋体" w:hAnsi="Times New Roman" w:eastAsia="宋体" w:cs="宋体"/>
      <w:sz w:val="24"/>
      <w:szCs w:val="24"/>
    </w:rPr>
  </w:style>
  <w:style w:type="paragraph" w:customStyle="1" w:styleId="591">
    <w:name w:val="正文3"/>
    <w:basedOn w:val="1"/>
    <w:next w:val="1"/>
    <w:qFormat/>
    <w:uiPriority w:val="0"/>
    <w:pPr>
      <w:widowControl w:val="0"/>
      <w:tabs>
        <w:tab w:val="left" w:pos="1276"/>
      </w:tabs>
      <w:autoSpaceDE w:val="0"/>
      <w:autoSpaceDN w:val="0"/>
      <w:adjustRightInd w:val="0"/>
      <w:spacing w:line="360" w:lineRule="auto"/>
      <w:ind w:left="1276" w:hanging="425" w:firstLineChars="200"/>
      <w:jc w:val="both"/>
    </w:pPr>
    <w:rPr>
      <w:rFonts w:ascii="Calibri" w:hAnsi="宋体"/>
      <w:spacing w:val="4"/>
      <w:sz w:val="24"/>
      <w:szCs w:val="20"/>
    </w:rPr>
  </w:style>
  <w:style w:type="paragraph" w:customStyle="1" w:styleId="592">
    <w:name w:val="CM69"/>
    <w:basedOn w:val="255"/>
    <w:next w:val="255"/>
    <w:qFormat/>
    <w:uiPriority w:val="0"/>
    <w:pPr>
      <w:spacing w:line="400" w:lineRule="atLeast"/>
    </w:pPr>
    <w:rPr>
      <w:rFonts w:ascii="宋体" w:hAnsi="Times New Roman" w:eastAsia="宋体" w:cs="宋体"/>
      <w:sz w:val="24"/>
      <w:szCs w:val="24"/>
    </w:rPr>
  </w:style>
  <w:style w:type="paragraph" w:customStyle="1" w:styleId="593">
    <w:name w:val="Char4"/>
    <w:basedOn w:val="1"/>
    <w:qFormat/>
    <w:uiPriority w:val="0"/>
    <w:pPr>
      <w:widowControl w:val="0"/>
      <w:tabs>
        <w:tab w:val="left" w:pos="360"/>
      </w:tabs>
      <w:spacing w:line="240" w:lineRule="auto"/>
      <w:ind w:left="360" w:hanging="360" w:hangingChars="200"/>
      <w:jc w:val="both"/>
    </w:pPr>
    <w:rPr>
      <w:rFonts w:ascii="Calibri" w:hAnsi="Calibri" w:eastAsia="微软雅黑"/>
      <w:sz w:val="24"/>
    </w:rPr>
  </w:style>
  <w:style w:type="paragraph" w:customStyle="1" w:styleId="594">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595">
    <w:name w:val="正文泵站"/>
    <w:basedOn w:val="1"/>
    <w:next w:val="1"/>
    <w:qFormat/>
    <w:uiPriority w:val="0"/>
    <w:pPr>
      <w:widowControl w:val="0"/>
      <w:spacing w:line="360" w:lineRule="auto"/>
      <w:ind w:firstLine="200" w:firstLineChars="200"/>
      <w:jc w:val="both"/>
    </w:pPr>
    <w:rPr>
      <w:rFonts w:ascii="Calibri" w:hAnsi="Calibri"/>
    </w:rPr>
  </w:style>
  <w:style w:type="paragraph" w:customStyle="1" w:styleId="596">
    <w:name w:val="Style76"/>
    <w:basedOn w:val="1"/>
    <w:unhideWhenUsed/>
    <w:qFormat/>
    <w:uiPriority w:val="0"/>
    <w:pPr>
      <w:widowControl w:val="0"/>
      <w:spacing w:line="240" w:lineRule="auto"/>
      <w:jc w:val="both"/>
    </w:pPr>
    <w:rPr>
      <w:rFonts w:ascii="Calibri" w:hAnsi="Calibri" w:eastAsia="微软雅黑"/>
    </w:rPr>
  </w:style>
  <w:style w:type="paragraph" w:customStyle="1" w:styleId="597">
    <w:name w:val="font6"/>
    <w:basedOn w:val="1"/>
    <w:qFormat/>
    <w:uiPriority w:val="0"/>
    <w:pPr>
      <w:spacing w:before="100" w:beforeAutospacing="1" w:after="100" w:afterAutospacing="1" w:line="240" w:lineRule="auto"/>
    </w:pPr>
    <w:rPr>
      <w:rFonts w:ascii="Calibri" w:hAnsi="Calibri"/>
      <w:kern w:val="0"/>
      <w:sz w:val="24"/>
    </w:rPr>
  </w:style>
  <w:style w:type="paragraph" w:customStyle="1" w:styleId="598">
    <w:name w:val="Definition Term"/>
    <w:basedOn w:val="1"/>
    <w:next w:val="1"/>
    <w:qFormat/>
    <w:uiPriority w:val="0"/>
    <w:pPr>
      <w:widowControl w:val="0"/>
      <w:spacing w:line="288" w:lineRule="auto"/>
      <w:jc w:val="both"/>
    </w:pPr>
    <w:rPr>
      <w:rFonts w:ascii="Calibri" w:hAnsi="Calibri"/>
      <w:szCs w:val="20"/>
    </w:rPr>
  </w:style>
  <w:style w:type="paragraph" w:customStyle="1" w:styleId="599">
    <w:name w:val="font0"/>
    <w:basedOn w:val="1"/>
    <w:qFormat/>
    <w:uiPriority w:val="0"/>
    <w:pPr>
      <w:spacing w:before="100" w:beforeAutospacing="1" w:after="100" w:afterAutospacing="1" w:line="240" w:lineRule="auto"/>
    </w:pPr>
    <w:rPr>
      <w:rFonts w:ascii="宋体" w:hAnsi="宋体"/>
      <w:kern w:val="0"/>
      <w:sz w:val="24"/>
    </w:rPr>
  </w:style>
  <w:style w:type="paragraph" w:customStyle="1" w:styleId="600">
    <w:name w:val="p18"/>
    <w:basedOn w:val="1"/>
    <w:qFormat/>
    <w:uiPriority w:val="0"/>
    <w:pPr>
      <w:spacing w:line="240" w:lineRule="auto"/>
      <w:jc w:val="both"/>
    </w:pPr>
    <w:rPr>
      <w:rFonts w:ascii="Calibri" w:hAnsi="Calibri"/>
      <w:kern w:val="0"/>
      <w:sz w:val="24"/>
    </w:rPr>
  </w:style>
  <w:style w:type="paragraph" w:customStyle="1" w:styleId="601">
    <w:name w:val="首页脚样式"/>
    <w:basedOn w:val="54"/>
    <w:qFormat/>
    <w:uiPriority w:val="0"/>
    <w:pPr>
      <w:keepLines/>
      <w:tabs>
        <w:tab w:val="right" w:pos="-18551"/>
        <w:tab w:val="right" w:pos="4320"/>
      </w:tabs>
      <w:snapToGrid/>
      <w:spacing w:before="600" w:line="240" w:lineRule="atLeast"/>
      <w:ind w:left="-840" w:right="-840" w:rightChars="0"/>
      <w:jc w:val="center"/>
    </w:pPr>
    <w:rPr>
      <w:rFonts w:ascii="Garamond" w:hAnsi="Garamond" w:eastAsia="宋体" w:cs="Times New Roman"/>
      <w:smallCaps/>
      <w:spacing w:val="15"/>
      <w:kern w:val="0"/>
      <w:sz w:val="24"/>
      <w:szCs w:val="20"/>
    </w:rPr>
  </w:style>
  <w:style w:type="paragraph" w:customStyle="1" w:styleId="602">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kern w:val="0"/>
      <w:sz w:val="20"/>
      <w:szCs w:val="20"/>
    </w:rPr>
  </w:style>
  <w:style w:type="paragraph" w:customStyle="1" w:styleId="603">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04">
    <w:name w:val="xl5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05">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606">
    <w:name w:val="CM62"/>
    <w:basedOn w:val="255"/>
    <w:next w:val="255"/>
    <w:qFormat/>
    <w:uiPriority w:val="0"/>
    <w:pPr>
      <w:spacing w:line="400" w:lineRule="atLeast"/>
    </w:pPr>
    <w:rPr>
      <w:rFonts w:ascii="宋体" w:hAnsi="Times New Roman" w:eastAsia="宋体" w:cs="宋体"/>
      <w:sz w:val="24"/>
      <w:szCs w:val="24"/>
    </w:rPr>
  </w:style>
  <w:style w:type="paragraph" w:customStyle="1" w:styleId="607">
    <w:name w:val="bf"/>
    <w:basedOn w:val="1"/>
    <w:qFormat/>
    <w:uiPriority w:val="0"/>
    <w:pPr>
      <w:widowControl w:val="0"/>
      <w:tabs>
        <w:tab w:val="left" w:pos="0"/>
        <w:tab w:val="left" w:pos="2269"/>
      </w:tabs>
      <w:adjustRightInd w:val="0"/>
      <w:spacing w:before="480" w:after="240" w:line="360" w:lineRule="atLeast"/>
      <w:ind w:left="1134" w:hanging="1134"/>
      <w:jc w:val="center"/>
      <w:textAlignment w:val="baseline"/>
    </w:pPr>
    <w:rPr>
      <w:rFonts w:ascii="Arial" w:hAnsi="Arial" w:eastAsia="黑体"/>
      <w:kern w:val="0"/>
      <w:sz w:val="32"/>
      <w:szCs w:val="20"/>
    </w:rPr>
  </w:style>
  <w:style w:type="paragraph" w:customStyle="1" w:styleId="608">
    <w:name w:val="样式 正文文本缩进 + 首行缩进:  2 字符"/>
    <w:basedOn w:val="34"/>
    <w:qFormat/>
    <w:uiPriority w:val="0"/>
    <w:pPr>
      <w:tabs>
        <w:tab w:val="left" w:pos="840"/>
      </w:tabs>
      <w:spacing w:after="0" w:line="360" w:lineRule="auto"/>
      <w:ind w:left="840" w:leftChars="350" w:firstLine="420" w:firstLineChars="200"/>
    </w:pPr>
    <w:rPr>
      <w:rFonts w:ascii="宋体" w:hAnsi="宋体" w:cs="宋体"/>
      <w:color w:val="000000"/>
      <w:sz w:val="24"/>
    </w:rPr>
  </w:style>
  <w:style w:type="paragraph" w:customStyle="1" w:styleId="609">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0">
    <w:name w:val="xl5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1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b/>
      <w:bCs/>
      <w:kern w:val="0"/>
      <w:sz w:val="24"/>
    </w:rPr>
  </w:style>
  <w:style w:type="paragraph" w:customStyle="1" w:styleId="612">
    <w:name w:val="标题 1 +"/>
    <w:basedOn w:val="2"/>
    <w:next w:val="1"/>
    <w:qFormat/>
    <w:uiPriority w:val="0"/>
    <w:pPr>
      <w:widowControl w:val="0"/>
      <w:spacing w:before="0" w:after="0" w:line="600" w:lineRule="auto"/>
      <w:jc w:val="center"/>
    </w:pPr>
    <w:rPr>
      <w:rFonts w:ascii="Calibri" w:hAnsi="Calibri" w:eastAsia="黑体"/>
      <w:kern w:val="0"/>
      <w:sz w:val="32"/>
      <w:szCs w:val="32"/>
    </w:rPr>
  </w:style>
  <w:style w:type="paragraph" w:customStyle="1" w:styleId="613">
    <w:name w:val="样式 样式 首行缩进:  2 字符 + 首行缩进:  2 字符"/>
    <w:basedOn w:val="1"/>
    <w:qFormat/>
    <w:uiPriority w:val="0"/>
    <w:pPr>
      <w:widowControl w:val="0"/>
      <w:spacing w:line="440" w:lineRule="exact"/>
      <w:ind w:firstLine="480" w:firstLineChars="200"/>
      <w:jc w:val="both"/>
    </w:pPr>
    <w:rPr>
      <w:rFonts w:ascii="宋体" w:hAnsi="Garamond" w:cs="宋体"/>
      <w:kern w:val="0"/>
      <w:sz w:val="24"/>
      <w:szCs w:val="20"/>
    </w:rPr>
  </w:style>
  <w:style w:type="paragraph" w:customStyle="1" w:styleId="614">
    <w:name w:val="Char12"/>
    <w:basedOn w:val="1"/>
    <w:qFormat/>
    <w:uiPriority w:val="0"/>
    <w:pPr>
      <w:widowControl w:val="0"/>
      <w:spacing w:line="360" w:lineRule="auto"/>
      <w:ind w:firstLine="200" w:firstLineChars="200"/>
      <w:jc w:val="both"/>
    </w:pPr>
    <w:rPr>
      <w:rFonts w:ascii="宋体" w:hAnsi="Calibri"/>
      <w:snapToGrid w:val="0"/>
      <w:color w:val="000000"/>
      <w:sz w:val="24"/>
    </w:rPr>
  </w:style>
  <w:style w:type="paragraph" w:customStyle="1" w:styleId="615">
    <w:name w:val="CM3"/>
    <w:basedOn w:val="255"/>
    <w:next w:val="255"/>
    <w:qFormat/>
    <w:uiPriority w:val="0"/>
    <w:pPr>
      <w:spacing w:line="500" w:lineRule="atLeast"/>
    </w:pPr>
    <w:rPr>
      <w:rFonts w:ascii="宋体" w:hAnsi="Times New Roman" w:eastAsia="宋体" w:cs="宋体"/>
      <w:sz w:val="24"/>
      <w:szCs w:val="24"/>
    </w:rPr>
  </w:style>
  <w:style w:type="paragraph" w:customStyle="1" w:styleId="616">
    <w:name w:val="正文缩进lyy"/>
    <w:basedOn w:val="20"/>
    <w:qFormat/>
    <w:uiPriority w:val="0"/>
    <w:pPr>
      <w:widowControl w:val="0"/>
      <w:adjustRightInd w:val="0"/>
      <w:snapToGrid w:val="0"/>
      <w:spacing w:before="240" w:beforeLines="100" w:line="312" w:lineRule="auto"/>
      <w:ind w:firstLine="0"/>
      <w:jc w:val="both"/>
    </w:pPr>
    <w:rPr>
      <w:rFonts w:hAnsi="宋体"/>
      <w:color w:val="000000"/>
      <w:sz w:val="26"/>
      <w:szCs w:val="20"/>
    </w:rPr>
  </w:style>
  <w:style w:type="paragraph" w:customStyle="1" w:styleId="617">
    <w:name w:val="表中"/>
    <w:basedOn w:val="1"/>
    <w:qFormat/>
    <w:uiPriority w:val="0"/>
    <w:pPr>
      <w:widowControl w:val="0"/>
      <w:adjustRightInd w:val="0"/>
      <w:spacing w:line="360" w:lineRule="atLeast"/>
      <w:jc w:val="center"/>
      <w:textAlignment w:val="baseline"/>
    </w:pPr>
    <w:rPr>
      <w:rFonts w:ascii="Calibri" w:hAnsi="Calibri"/>
      <w:kern w:val="0"/>
      <w:szCs w:val="20"/>
    </w:rPr>
  </w:style>
  <w:style w:type="paragraph" w:customStyle="1" w:styleId="618">
    <w:name w:val="表格标题"/>
    <w:basedOn w:val="1"/>
    <w:qFormat/>
    <w:uiPriority w:val="0"/>
    <w:pPr>
      <w:widowControl w:val="0"/>
      <w:spacing w:line="240" w:lineRule="auto"/>
      <w:jc w:val="center"/>
    </w:pPr>
    <w:rPr>
      <w:rFonts w:ascii="Calibri" w:hAnsi="Calibri" w:eastAsia="仿宋_GB2312"/>
      <w:b/>
      <w:sz w:val="28"/>
    </w:rPr>
  </w:style>
  <w:style w:type="paragraph" w:customStyle="1" w:styleId="619">
    <w:name w:val="样式 (西文) 宋体 小四 段前: 7.8 磅 行距: 1.5 倍行距 首行缩进:  2 字符"/>
    <w:basedOn w:val="1"/>
    <w:qFormat/>
    <w:uiPriority w:val="0"/>
    <w:pPr>
      <w:widowControl w:val="0"/>
      <w:spacing w:before="156" w:line="360" w:lineRule="auto"/>
      <w:ind w:firstLine="480" w:firstLineChars="200"/>
      <w:jc w:val="both"/>
    </w:pPr>
    <w:rPr>
      <w:rFonts w:ascii="宋体" w:hAnsi="宋体" w:cs="宋体"/>
      <w:szCs w:val="20"/>
    </w:rPr>
  </w:style>
  <w:style w:type="paragraph" w:customStyle="1" w:styleId="620">
    <w:name w:val="样式 标题 2 + 宋体 段前: 0 磅 段后: 0 磅 行距: 1.5 倍行距"/>
    <w:basedOn w:val="3"/>
    <w:qFormat/>
    <w:uiPriority w:val="0"/>
    <w:pPr>
      <w:outlineLvl w:val="0"/>
    </w:pPr>
    <w:rPr>
      <w:rFonts w:ascii="宋体" w:hAnsi="宋体" w:cs="宋体"/>
      <w:szCs w:val="20"/>
    </w:rPr>
  </w:style>
  <w:style w:type="paragraph" w:customStyle="1" w:styleId="621">
    <w:name w:val="文档正文"/>
    <w:basedOn w:val="1"/>
    <w:qFormat/>
    <w:uiPriority w:val="0"/>
    <w:pPr>
      <w:widowControl w:val="0"/>
      <w:suppressAutoHyphens/>
      <w:spacing w:line="312" w:lineRule="atLeast"/>
      <w:ind w:firstLine="567"/>
      <w:textAlignment w:val="baseline"/>
    </w:pPr>
    <w:rPr>
      <w:rFonts w:ascii="长城仿宋" w:hAnsi="长城仿宋" w:eastAsia="长城仿宋" w:cs="Tahoma"/>
      <w:b/>
      <w:w w:val="80"/>
      <w:kern w:val="1"/>
      <w:sz w:val="28"/>
      <w:szCs w:val="20"/>
    </w:rPr>
  </w:style>
  <w:style w:type="paragraph" w:customStyle="1" w:styleId="622">
    <w:name w:val="XW表内文字"/>
    <w:basedOn w:val="1"/>
    <w:qFormat/>
    <w:uiPriority w:val="0"/>
    <w:pPr>
      <w:widowControl w:val="0"/>
      <w:adjustRightInd w:val="0"/>
      <w:spacing w:before="60" w:after="60" w:line="300" w:lineRule="exact"/>
      <w:ind w:firstLine="422" w:firstLineChars="200"/>
      <w:jc w:val="center"/>
    </w:pPr>
    <w:rPr>
      <w:rFonts w:ascii="Calibri" w:hAnsi="宋体"/>
      <w:kern w:val="0"/>
      <w:szCs w:val="20"/>
    </w:rPr>
  </w:style>
  <w:style w:type="paragraph" w:customStyle="1" w:styleId="623">
    <w:name w:val="ff6 Char Char Char"/>
    <w:basedOn w:val="33"/>
    <w:qFormat/>
    <w:uiPriority w:val="0"/>
    <w:pPr>
      <w:widowControl w:val="0"/>
      <w:adjustRightInd w:val="0"/>
      <w:snapToGrid w:val="0"/>
      <w:spacing w:after="0" w:line="360" w:lineRule="auto"/>
      <w:ind w:firstLine="480" w:firstLineChars="200"/>
      <w:jc w:val="both"/>
    </w:pPr>
    <w:rPr>
      <w:rFonts w:ascii="宋体" w:hAnsi="宋体" w:cs="宋体"/>
      <w:sz w:val="24"/>
    </w:rPr>
  </w:style>
  <w:style w:type="paragraph" w:customStyle="1" w:styleId="624">
    <w:name w:val="样式 标题 3 + 宋体 小四 行距: 1.5 倍行距"/>
    <w:basedOn w:val="4"/>
    <w:qFormat/>
    <w:uiPriority w:val="0"/>
    <w:pPr>
      <w:keepLines/>
      <w:widowControl w:val="0"/>
      <w:spacing w:line="360" w:lineRule="auto"/>
    </w:pPr>
    <w:rPr>
      <w:rFonts w:cs="宋体"/>
      <w:szCs w:val="20"/>
    </w:rPr>
  </w:style>
  <w:style w:type="paragraph" w:customStyle="1" w:styleId="625">
    <w:name w:val="xl6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26">
    <w:name w:val="Char Char2 Char Char Char Char"/>
    <w:basedOn w:val="1"/>
    <w:qFormat/>
    <w:uiPriority w:val="0"/>
    <w:pPr>
      <w:widowControl w:val="0"/>
      <w:spacing w:line="240" w:lineRule="auto"/>
      <w:jc w:val="both"/>
    </w:pPr>
    <w:rPr>
      <w:rFonts w:ascii="Calibri" w:hAnsi="Calibri"/>
    </w:rPr>
  </w:style>
  <w:style w:type="paragraph" w:customStyle="1" w:styleId="627">
    <w:name w:val="文档结构图11"/>
    <w:basedOn w:val="1"/>
    <w:qFormat/>
    <w:uiPriority w:val="0"/>
    <w:pPr>
      <w:widowControl w:val="0"/>
      <w:shd w:val="clear" w:color="auto" w:fill="000080"/>
      <w:adjustRightInd w:val="0"/>
      <w:spacing w:after="156" w:afterLines="50" w:line="240" w:lineRule="auto"/>
      <w:jc w:val="both"/>
      <w:textAlignment w:val="baseline"/>
    </w:pPr>
    <w:rPr>
      <w:rFonts w:ascii="楷体_GB2312" w:hAnsi="Calibri" w:eastAsia="楷体_GB2312"/>
      <w:kern w:val="0"/>
      <w:sz w:val="28"/>
      <w:szCs w:val="20"/>
    </w:rPr>
  </w:style>
  <w:style w:type="paragraph" w:customStyle="1" w:styleId="628">
    <w:name w:val="xl105"/>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29">
    <w:name w:val="7"/>
    <w:basedOn w:val="1"/>
    <w:next w:val="33"/>
    <w:qFormat/>
    <w:uiPriority w:val="0"/>
    <w:pPr>
      <w:widowControl w:val="0"/>
      <w:spacing w:line="360" w:lineRule="auto"/>
      <w:ind w:firstLine="482"/>
      <w:jc w:val="both"/>
    </w:pPr>
    <w:rPr>
      <w:rFonts w:ascii="Calibri" w:hAnsi="Calibri"/>
      <w:sz w:val="24"/>
      <w:szCs w:val="20"/>
    </w:rPr>
  </w:style>
  <w:style w:type="paragraph" w:customStyle="1" w:styleId="630">
    <w:name w:val="标题2"/>
    <w:basedOn w:val="83"/>
    <w:qFormat/>
    <w:uiPriority w:val="0"/>
    <w:pPr>
      <w:adjustRightInd/>
      <w:spacing w:after="240" w:line="240" w:lineRule="auto"/>
      <w:jc w:val="left"/>
      <w:textAlignment w:val="auto"/>
    </w:pPr>
    <w:rPr>
      <w:rFonts w:ascii="Cambria" w:hAnsi="Cambria"/>
      <w:sz w:val="30"/>
      <w:szCs w:val="24"/>
    </w:rPr>
  </w:style>
  <w:style w:type="paragraph" w:customStyle="1" w:styleId="631">
    <w:name w:val="xl5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0"/>
      <w:szCs w:val="20"/>
    </w:rPr>
  </w:style>
  <w:style w:type="paragraph" w:customStyle="1" w:styleId="632">
    <w:name w:val="font10"/>
    <w:basedOn w:val="1"/>
    <w:qFormat/>
    <w:uiPriority w:val="0"/>
    <w:pPr>
      <w:spacing w:before="100" w:beforeAutospacing="1" w:after="100" w:afterAutospacing="1" w:line="240" w:lineRule="auto"/>
    </w:pPr>
    <w:rPr>
      <w:rFonts w:ascii="Calibri" w:hAnsi="Calibri"/>
      <w:color w:val="FF0000"/>
      <w:kern w:val="0"/>
      <w:sz w:val="16"/>
      <w:szCs w:val="16"/>
    </w:rPr>
  </w:style>
  <w:style w:type="paragraph" w:customStyle="1" w:styleId="633">
    <w:name w:val="CM97"/>
    <w:basedOn w:val="255"/>
    <w:next w:val="255"/>
    <w:qFormat/>
    <w:uiPriority w:val="0"/>
    <w:pPr>
      <w:spacing w:after="373"/>
    </w:pPr>
    <w:rPr>
      <w:rFonts w:ascii="宋体" w:hAnsi="Times New Roman" w:eastAsia="宋体" w:cs="宋体"/>
      <w:sz w:val="24"/>
      <w:szCs w:val="24"/>
    </w:rPr>
  </w:style>
  <w:style w:type="paragraph" w:customStyle="1" w:styleId="634">
    <w:name w:val="样式 标题 2 + 宋体 五号 行距: 单倍行距"/>
    <w:basedOn w:val="3"/>
    <w:qFormat/>
    <w:uiPriority w:val="0"/>
    <w:pPr>
      <w:tabs>
        <w:tab w:val="left" w:pos="2175"/>
      </w:tabs>
      <w:adjustRightInd w:val="0"/>
      <w:spacing w:before="260" w:after="260" w:line="240" w:lineRule="auto"/>
      <w:ind w:left="2175" w:hanging="1275"/>
      <w:jc w:val="left"/>
    </w:pPr>
    <w:rPr>
      <w:rFonts w:ascii="宋体" w:hAnsi="宋体"/>
      <w:kern w:val="0"/>
      <w:sz w:val="21"/>
      <w:szCs w:val="20"/>
    </w:rPr>
  </w:style>
  <w:style w:type="paragraph" w:customStyle="1" w:styleId="635">
    <w:name w:val="样式 标题 3 + (中文) 黑体 小四 非加粗 段前: 7.8 磅 段后: 0 磅 行距: 固定值 20 磅"/>
    <w:basedOn w:val="4"/>
    <w:qFormat/>
    <w:uiPriority w:val="0"/>
    <w:pPr>
      <w:keepLines/>
      <w:widowControl w:val="0"/>
      <w:spacing w:line="400" w:lineRule="exact"/>
      <w:jc w:val="both"/>
    </w:pPr>
    <w:rPr>
      <w:rFonts w:hAnsi="Calibri" w:eastAsia="黑体" w:cs="宋体"/>
      <w:b w:val="0"/>
      <w:bCs w:val="0"/>
      <w:szCs w:val="20"/>
    </w:rPr>
  </w:style>
  <w:style w:type="paragraph" w:customStyle="1" w:styleId="636">
    <w:name w:val="xl8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2"/>
      <w:szCs w:val="22"/>
    </w:rPr>
  </w:style>
  <w:style w:type="paragraph" w:customStyle="1" w:styleId="637">
    <w:name w:val="正文小标题"/>
    <w:basedOn w:val="1"/>
    <w:next w:val="33"/>
    <w:qFormat/>
    <w:uiPriority w:val="0"/>
    <w:pPr>
      <w:widowControl w:val="0"/>
      <w:tabs>
        <w:tab w:val="left" w:pos="735"/>
        <w:tab w:val="left" w:pos="780"/>
      </w:tabs>
      <w:overflowPunct w:val="0"/>
      <w:autoSpaceDE w:val="0"/>
      <w:autoSpaceDN w:val="0"/>
      <w:adjustRightInd w:val="0"/>
      <w:spacing w:line="240" w:lineRule="auto"/>
      <w:ind w:firstLine="420" w:firstLineChars="200"/>
      <w:jc w:val="both"/>
    </w:pPr>
    <w:rPr>
      <w:rFonts w:ascii="Calibri" w:hAnsi="宋体"/>
      <w:kern w:val="0"/>
      <w:szCs w:val="20"/>
    </w:rPr>
  </w:style>
  <w:style w:type="paragraph" w:customStyle="1" w:styleId="638">
    <w:name w:val="样式 样式 样式 首行缩进:  2 字符 + 首行缩进:  2 字符1 + 首行缩进:  2 字符"/>
    <w:basedOn w:val="639"/>
    <w:qFormat/>
    <w:uiPriority w:val="0"/>
    <w:pPr>
      <w:spacing w:after="156" w:afterLines="50" w:line="460" w:lineRule="exact"/>
    </w:pPr>
  </w:style>
  <w:style w:type="paragraph" w:customStyle="1" w:styleId="639">
    <w:name w:val="样式 样式 首行缩进:  2 字符 + 首行缩进:  2 字符1"/>
    <w:basedOn w:val="1"/>
    <w:qFormat/>
    <w:uiPriority w:val="0"/>
    <w:pPr>
      <w:widowControl w:val="0"/>
      <w:spacing w:line="440" w:lineRule="exact"/>
      <w:ind w:firstLine="200" w:firstLineChars="200"/>
      <w:jc w:val="both"/>
    </w:pPr>
    <w:rPr>
      <w:rFonts w:ascii="宋体" w:hAnsi="Garamond" w:cs="宋体"/>
      <w:kern w:val="0"/>
      <w:sz w:val="24"/>
      <w:szCs w:val="20"/>
    </w:rPr>
  </w:style>
  <w:style w:type="paragraph" w:customStyle="1" w:styleId="640">
    <w:name w:val="样式 标题 2标题 2 CharH2PIM2Heading 2 Hidden2nd levelh22Header..."/>
    <w:basedOn w:val="3"/>
    <w:qFormat/>
    <w:uiPriority w:val="0"/>
    <w:pPr>
      <w:adjustRightInd w:val="0"/>
      <w:textAlignment w:val="baseline"/>
    </w:pPr>
    <w:rPr>
      <w:rFonts w:cs="宋体"/>
      <w:szCs w:val="20"/>
    </w:rPr>
  </w:style>
  <w:style w:type="paragraph" w:customStyle="1" w:styleId="641">
    <w:name w:val="小标题"/>
    <w:basedOn w:val="1"/>
    <w:next w:val="1"/>
    <w:qFormat/>
    <w:uiPriority w:val="0"/>
    <w:pPr>
      <w:widowControl w:val="0"/>
      <w:adjustRightInd w:val="0"/>
      <w:spacing w:before="60" w:after="60" w:line="360" w:lineRule="auto"/>
      <w:textAlignment w:val="baseline"/>
      <w:outlineLvl w:val="2"/>
    </w:pPr>
    <w:rPr>
      <w:rFonts w:ascii="仿宋_GB2312" w:hAnsi="Calibri" w:eastAsia="仿宋_GB2312"/>
      <w:b/>
      <w:kern w:val="0"/>
      <w:sz w:val="28"/>
      <w:szCs w:val="28"/>
    </w:rPr>
  </w:style>
  <w:style w:type="paragraph" w:customStyle="1" w:styleId="642">
    <w:name w:val="标题2+"/>
    <w:basedOn w:val="3"/>
    <w:qFormat/>
    <w:uiPriority w:val="0"/>
    <w:pPr>
      <w:snapToGrid w:val="0"/>
      <w:spacing w:beforeLines="50"/>
    </w:pPr>
    <w:rPr>
      <w:rFonts w:eastAsia="黑体" w:cs="Arial"/>
      <w:b w:val="0"/>
      <w:bCs w:val="0"/>
      <w:szCs w:val="24"/>
    </w:rPr>
  </w:style>
  <w:style w:type="paragraph" w:customStyle="1" w:styleId="643">
    <w:name w:val="CM93"/>
    <w:basedOn w:val="255"/>
    <w:next w:val="255"/>
    <w:qFormat/>
    <w:uiPriority w:val="0"/>
    <w:pPr>
      <w:spacing w:after="628"/>
    </w:pPr>
    <w:rPr>
      <w:rFonts w:ascii="宋体" w:hAnsi="Times New Roman" w:eastAsia="宋体" w:cs="宋体"/>
      <w:sz w:val="24"/>
      <w:szCs w:val="24"/>
    </w:rPr>
  </w:style>
  <w:style w:type="paragraph" w:customStyle="1" w:styleId="644">
    <w:name w:val="样式 标题 2 + 宋体 小四 段前: 0 磅 段后: 0 磅 行距: 1.5 倍行距"/>
    <w:basedOn w:val="3"/>
    <w:qFormat/>
    <w:uiPriority w:val="0"/>
    <w:pPr>
      <w:outlineLvl w:val="2"/>
    </w:pPr>
    <w:rPr>
      <w:rFonts w:ascii="宋体" w:hAnsi="宋体" w:cs="宋体"/>
      <w:szCs w:val="20"/>
    </w:rPr>
  </w:style>
  <w:style w:type="paragraph" w:customStyle="1" w:styleId="645">
    <w:name w:val="5"/>
    <w:basedOn w:val="1"/>
    <w:qFormat/>
    <w:uiPriority w:val="0"/>
    <w:pPr>
      <w:widowControl w:val="0"/>
      <w:tabs>
        <w:tab w:val="left" w:pos="1134"/>
      </w:tabs>
      <w:adjustRightInd w:val="0"/>
      <w:spacing w:before="20" w:after="40" w:line="300" w:lineRule="auto"/>
      <w:ind w:left="1134" w:hanging="1134"/>
      <w:jc w:val="both"/>
      <w:textAlignment w:val="baseline"/>
    </w:pPr>
    <w:rPr>
      <w:rFonts w:ascii="Arial" w:hAnsi="Arial"/>
      <w:kern w:val="0"/>
    </w:rPr>
  </w:style>
  <w:style w:type="paragraph" w:customStyle="1" w:styleId="646">
    <w:name w:val="CM28"/>
    <w:basedOn w:val="255"/>
    <w:next w:val="255"/>
    <w:qFormat/>
    <w:uiPriority w:val="0"/>
    <w:rPr>
      <w:rFonts w:ascii="宋体" w:hAnsi="Times New Roman" w:eastAsia="宋体" w:cs="宋体"/>
      <w:sz w:val="24"/>
      <w:szCs w:val="24"/>
    </w:rPr>
  </w:style>
  <w:style w:type="paragraph" w:customStyle="1" w:styleId="647">
    <w:name w:val="Style69"/>
    <w:basedOn w:val="1"/>
    <w:unhideWhenUsed/>
    <w:qFormat/>
    <w:uiPriority w:val="0"/>
    <w:pPr>
      <w:widowControl w:val="0"/>
      <w:spacing w:line="557" w:lineRule="exact"/>
      <w:ind w:firstLine="1666"/>
      <w:jc w:val="both"/>
    </w:pPr>
    <w:rPr>
      <w:rFonts w:ascii="Calibri" w:hAnsi="Calibri" w:eastAsia="微软雅黑"/>
    </w:rPr>
  </w:style>
  <w:style w:type="paragraph" w:customStyle="1" w:styleId="648">
    <w:name w:val="1."/>
    <w:basedOn w:val="1"/>
    <w:qFormat/>
    <w:uiPriority w:val="0"/>
    <w:pPr>
      <w:widowControl w:val="0"/>
      <w:tabs>
        <w:tab w:val="left" w:pos="0"/>
        <w:tab w:val="left" w:pos="426"/>
      </w:tabs>
      <w:adjustRightInd w:val="0"/>
      <w:spacing w:before="60" w:after="60" w:line="360" w:lineRule="atLeast"/>
      <w:ind w:left="426" w:hanging="426"/>
      <w:jc w:val="both"/>
      <w:textAlignment w:val="baseline"/>
    </w:pPr>
    <w:rPr>
      <w:rFonts w:ascii="Arial" w:hAnsi="Arial"/>
      <w:kern w:val="0"/>
      <w:szCs w:val="20"/>
    </w:rPr>
  </w:style>
  <w:style w:type="paragraph" w:customStyle="1" w:styleId="649">
    <w:name w:val="Char Char Char Char Char Char Char Char Char Char Char Char Char"/>
    <w:basedOn w:val="1"/>
    <w:qFormat/>
    <w:uiPriority w:val="0"/>
    <w:pPr>
      <w:spacing w:after="160" w:line="240" w:lineRule="exact"/>
    </w:pPr>
    <w:rPr>
      <w:rFonts w:ascii="Verdana" w:hAnsi="Verdana"/>
      <w:kern w:val="0"/>
      <w:sz w:val="20"/>
      <w:szCs w:val="20"/>
      <w:lang w:eastAsia="en-US"/>
    </w:rPr>
  </w:style>
  <w:style w:type="paragraph" w:customStyle="1" w:styleId="650">
    <w:name w:val="XW标题2"/>
    <w:basedOn w:val="1"/>
    <w:next w:val="1"/>
    <w:qFormat/>
    <w:uiPriority w:val="0"/>
    <w:pPr>
      <w:widowControl w:val="0"/>
      <w:adjustRightInd w:val="0"/>
      <w:spacing w:before="300" w:line="360" w:lineRule="auto"/>
      <w:outlineLvl w:val="1"/>
    </w:pPr>
    <w:rPr>
      <w:rFonts w:ascii="Arial" w:hAnsi="Arial" w:eastAsia="黑体"/>
      <w:kern w:val="0"/>
      <w:sz w:val="32"/>
      <w:szCs w:val="20"/>
    </w:rPr>
  </w:style>
  <w:style w:type="paragraph" w:customStyle="1" w:styleId="651">
    <w:name w:val="xl6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宋体" w:hAnsi="宋体" w:cs="宋体"/>
      <w:b/>
      <w:bCs/>
      <w:kern w:val="0"/>
      <w:sz w:val="20"/>
      <w:szCs w:val="20"/>
    </w:rPr>
  </w:style>
  <w:style w:type="paragraph" w:customStyle="1" w:styleId="652">
    <w:name w:val="条款正文（三级标题）"/>
    <w:basedOn w:val="4"/>
    <w:qFormat/>
    <w:uiPriority w:val="0"/>
    <w:pPr>
      <w:keepLines/>
      <w:widowControl w:val="0"/>
      <w:tabs>
        <w:tab w:val="left" w:pos="720"/>
      </w:tabs>
      <w:autoSpaceDE w:val="0"/>
      <w:autoSpaceDN w:val="0"/>
      <w:adjustRightInd w:val="0"/>
      <w:spacing w:line="360" w:lineRule="auto"/>
      <w:ind w:firstLine="416" w:firstLineChars="198"/>
      <w:jc w:val="both"/>
    </w:pPr>
    <w:rPr>
      <w:rFonts w:ascii="Calibri" w:hAnsi="Calibri"/>
      <w:b w:val="0"/>
      <w:bCs w:val="0"/>
      <w:color w:val="000000"/>
      <w:kern w:val="24"/>
      <w:sz w:val="21"/>
      <w:szCs w:val="20"/>
    </w:rPr>
  </w:style>
  <w:style w:type="paragraph" w:customStyle="1" w:styleId="653">
    <w:name w:val="样式 首行缩进:  2 字符"/>
    <w:basedOn w:val="1"/>
    <w:qFormat/>
    <w:uiPriority w:val="0"/>
    <w:pPr>
      <w:widowControl w:val="0"/>
      <w:spacing w:line="440" w:lineRule="exact"/>
      <w:ind w:firstLine="200" w:firstLineChars="200"/>
      <w:jc w:val="both"/>
    </w:pPr>
    <w:rPr>
      <w:rFonts w:ascii="宋体" w:hAnsi="Garamond" w:cs="宋体"/>
      <w:sz w:val="24"/>
      <w:szCs w:val="20"/>
    </w:rPr>
  </w:style>
  <w:style w:type="paragraph" w:customStyle="1" w:styleId="654">
    <w:name w:val="文章副标题"/>
    <w:basedOn w:val="1"/>
    <w:next w:val="2"/>
    <w:qFormat/>
    <w:uiPriority w:val="0"/>
    <w:pPr>
      <w:widowControl w:val="0"/>
      <w:spacing w:before="104" w:after="104" w:line="0" w:lineRule="atLeast"/>
      <w:ind w:left="1"/>
      <w:jc w:val="center"/>
      <w:textAlignment w:val="bottom"/>
    </w:pPr>
    <w:rPr>
      <w:rFonts w:ascii="Calibri" w:hAnsi="Calibri"/>
      <w:kern w:val="0"/>
      <w:sz w:val="36"/>
      <w:szCs w:val="20"/>
    </w:rPr>
  </w:style>
  <w:style w:type="paragraph" w:customStyle="1" w:styleId="655">
    <w:name w:val="Char31"/>
    <w:basedOn w:val="1"/>
    <w:qFormat/>
    <w:uiPriority w:val="0"/>
    <w:pPr>
      <w:widowControl w:val="0"/>
      <w:spacing w:after="156" w:afterLines="50" w:line="360" w:lineRule="auto"/>
      <w:ind w:firstLine="200" w:firstLineChars="200"/>
      <w:jc w:val="both"/>
    </w:pPr>
    <w:rPr>
      <w:rFonts w:ascii="宋体" w:hAnsi="宋体" w:cs="宋体"/>
      <w:sz w:val="24"/>
    </w:rPr>
  </w:style>
  <w:style w:type="paragraph" w:customStyle="1" w:styleId="656">
    <w:name w:val="CM49"/>
    <w:basedOn w:val="255"/>
    <w:next w:val="255"/>
    <w:qFormat/>
    <w:uiPriority w:val="0"/>
    <w:pPr>
      <w:spacing w:line="440" w:lineRule="atLeast"/>
    </w:pPr>
    <w:rPr>
      <w:rFonts w:ascii="宋体" w:hAnsi="Times New Roman" w:eastAsia="宋体" w:cs="宋体"/>
      <w:sz w:val="24"/>
      <w:szCs w:val="24"/>
    </w:rPr>
  </w:style>
  <w:style w:type="paragraph" w:customStyle="1" w:styleId="657">
    <w:name w:val="xl77"/>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FF0000"/>
      <w:kern w:val="0"/>
      <w:sz w:val="20"/>
      <w:szCs w:val="20"/>
    </w:rPr>
  </w:style>
  <w:style w:type="paragraph" w:customStyle="1" w:styleId="658">
    <w:name w:val="Style12"/>
    <w:basedOn w:val="1"/>
    <w:unhideWhenUsed/>
    <w:qFormat/>
    <w:uiPriority w:val="0"/>
    <w:pPr>
      <w:widowControl w:val="0"/>
      <w:spacing w:line="564" w:lineRule="exact"/>
      <w:ind w:hanging="115"/>
      <w:jc w:val="both"/>
    </w:pPr>
    <w:rPr>
      <w:rFonts w:ascii="Calibri" w:hAnsi="Calibri" w:eastAsia="微软雅黑"/>
    </w:rPr>
  </w:style>
  <w:style w:type="paragraph" w:customStyle="1" w:styleId="659">
    <w:name w:val="Char1 Char Char Char Char Char Char"/>
    <w:basedOn w:val="1"/>
    <w:qFormat/>
    <w:uiPriority w:val="0"/>
    <w:pPr>
      <w:widowControl w:val="0"/>
      <w:spacing w:line="240" w:lineRule="auto"/>
      <w:jc w:val="both"/>
    </w:pPr>
    <w:rPr>
      <w:rFonts w:ascii="Calibri" w:hAnsi="Calibri"/>
      <w:szCs w:val="21"/>
    </w:rPr>
  </w:style>
  <w:style w:type="paragraph" w:customStyle="1" w:styleId="660">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b/>
      <w:bCs/>
      <w:kern w:val="0"/>
      <w:sz w:val="20"/>
      <w:szCs w:val="20"/>
    </w:rPr>
  </w:style>
  <w:style w:type="paragraph" w:customStyle="1" w:styleId="661">
    <w:name w:val="xl36"/>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Arial Unicode MS" w:hAnsi="Arial Unicode MS" w:eastAsia="Arial Unicode MS" w:cs="Arial Unicode MS"/>
      <w:kern w:val="0"/>
      <w:sz w:val="24"/>
    </w:rPr>
  </w:style>
  <w:style w:type="paragraph" w:customStyle="1" w:styleId="662">
    <w:name w:val="Char Char Char"/>
    <w:basedOn w:val="1"/>
    <w:qFormat/>
    <w:uiPriority w:val="0"/>
    <w:pPr>
      <w:widowControl w:val="0"/>
      <w:spacing w:line="240" w:lineRule="auto"/>
      <w:jc w:val="both"/>
    </w:pPr>
    <w:rPr>
      <w:rFonts w:ascii="宋体" w:hAnsi="宋体" w:eastAsia="微软雅黑"/>
      <w:b/>
      <w:sz w:val="28"/>
      <w:szCs w:val="28"/>
    </w:rPr>
  </w:style>
  <w:style w:type="paragraph" w:customStyle="1" w:styleId="663">
    <w:name w:val="XW标题3"/>
    <w:basedOn w:val="1"/>
    <w:next w:val="1"/>
    <w:qFormat/>
    <w:uiPriority w:val="0"/>
    <w:pPr>
      <w:widowControl w:val="0"/>
      <w:adjustRightInd w:val="0"/>
      <w:spacing w:before="200" w:line="360" w:lineRule="auto"/>
      <w:outlineLvl w:val="2"/>
    </w:pPr>
    <w:rPr>
      <w:rFonts w:ascii="Arial" w:hAnsi="Arial" w:eastAsia="黑体"/>
      <w:kern w:val="0"/>
      <w:sz w:val="30"/>
      <w:szCs w:val="20"/>
    </w:rPr>
  </w:style>
  <w:style w:type="paragraph" w:customStyle="1" w:styleId="664">
    <w:name w:val="1 Char Char Char Char"/>
    <w:basedOn w:val="1"/>
    <w:qFormat/>
    <w:uiPriority w:val="0"/>
    <w:pPr>
      <w:widowControl w:val="0"/>
      <w:spacing w:line="240" w:lineRule="auto"/>
      <w:jc w:val="both"/>
    </w:pPr>
    <w:rPr>
      <w:rFonts w:ascii="Calibri" w:hAnsi="Calibri" w:eastAsia="微软雅黑"/>
    </w:rPr>
  </w:style>
  <w:style w:type="paragraph" w:customStyle="1" w:styleId="665">
    <w:name w:val="正文文本 22"/>
    <w:basedOn w:val="1"/>
    <w:qFormat/>
    <w:uiPriority w:val="0"/>
    <w:pPr>
      <w:widowControl w:val="0"/>
      <w:adjustRightInd w:val="0"/>
      <w:spacing w:line="360" w:lineRule="atLeast"/>
      <w:ind w:firstLine="720"/>
      <w:jc w:val="both"/>
      <w:textAlignment w:val="baseline"/>
    </w:pPr>
    <w:rPr>
      <w:rFonts w:ascii="宋体" w:hAnsi="Calibri"/>
      <w:kern w:val="0"/>
      <w:sz w:val="28"/>
      <w:szCs w:val="20"/>
    </w:rPr>
  </w:style>
  <w:style w:type="paragraph" w:customStyle="1" w:styleId="666">
    <w:name w:val="金安桥正文"/>
    <w:basedOn w:val="34"/>
    <w:qFormat/>
    <w:uiPriority w:val="0"/>
    <w:pPr>
      <w:adjustRightInd w:val="0"/>
      <w:spacing w:after="0" w:line="300" w:lineRule="auto"/>
      <w:ind w:left="0" w:leftChars="0" w:firstLine="200" w:firstLineChars="200"/>
      <w:jc w:val="left"/>
    </w:pPr>
    <w:rPr>
      <w:kern w:val="0"/>
      <w:sz w:val="24"/>
      <w:szCs w:val="20"/>
    </w:rPr>
  </w:style>
  <w:style w:type="paragraph" w:customStyle="1" w:styleId="667">
    <w:name w:val="Char Char Char Char Char Char Char Char Char Char"/>
    <w:basedOn w:val="1"/>
    <w:qFormat/>
    <w:uiPriority w:val="0"/>
    <w:pPr>
      <w:widowControl w:val="0"/>
      <w:snapToGrid w:val="0"/>
      <w:spacing w:line="360" w:lineRule="auto"/>
      <w:ind w:firstLine="200" w:firstLineChars="200"/>
      <w:jc w:val="both"/>
    </w:pPr>
    <w:rPr>
      <w:rFonts w:ascii="Calibri" w:hAnsi="Calibri" w:eastAsia="仿宋_GB2312"/>
      <w:sz w:val="24"/>
    </w:rPr>
  </w:style>
  <w:style w:type="paragraph" w:customStyle="1" w:styleId="668">
    <w:name w:val="修订1"/>
    <w:qFormat/>
    <w:uiPriority w:val="0"/>
    <w:rPr>
      <w:rFonts w:ascii="Calibri" w:hAnsi="Calibri" w:eastAsia="微软雅黑" w:cs="Times New Roman"/>
      <w:kern w:val="2"/>
      <w:sz w:val="21"/>
      <w:szCs w:val="24"/>
      <w:lang w:val="en-US" w:eastAsia="zh-CN" w:bidi="ar-SA"/>
    </w:rPr>
  </w:style>
  <w:style w:type="paragraph" w:customStyle="1" w:styleId="669">
    <w:name w:val="CM99"/>
    <w:basedOn w:val="255"/>
    <w:next w:val="255"/>
    <w:qFormat/>
    <w:uiPriority w:val="0"/>
    <w:pPr>
      <w:spacing w:after="443"/>
    </w:pPr>
    <w:rPr>
      <w:rFonts w:ascii="宋体" w:hAnsi="Times New Roman" w:eastAsia="宋体" w:cs="宋体"/>
      <w:sz w:val="24"/>
      <w:szCs w:val="24"/>
    </w:rPr>
  </w:style>
  <w:style w:type="paragraph" w:customStyle="1" w:styleId="670">
    <w:name w:val="正文(1)"/>
    <w:basedOn w:val="1"/>
    <w:qFormat/>
    <w:uiPriority w:val="0"/>
    <w:pPr>
      <w:widowControl w:val="0"/>
      <w:tabs>
        <w:tab w:val="left" w:pos="1021"/>
        <w:tab w:val="left" w:pos="1095"/>
      </w:tabs>
      <w:adjustRightInd w:val="0"/>
      <w:spacing w:line="360" w:lineRule="auto"/>
      <w:ind w:left="1095" w:hanging="465"/>
      <w:jc w:val="both"/>
      <w:textAlignment w:val="baseline"/>
    </w:pPr>
    <w:rPr>
      <w:rFonts w:ascii="Calibri" w:hAnsi="Calibri"/>
      <w:kern w:val="24"/>
      <w:sz w:val="24"/>
      <w:szCs w:val="20"/>
    </w:rPr>
  </w:style>
  <w:style w:type="paragraph" w:customStyle="1" w:styleId="671">
    <w:name w:val="日期3"/>
    <w:basedOn w:val="1"/>
    <w:next w:val="1"/>
    <w:qFormat/>
    <w:uiPriority w:val="0"/>
    <w:pPr>
      <w:widowControl w:val="0"/>
      <w:adjustRightInd w:val="0"/>
      <w:spacing w:line="240" w:lineRule="auto"/>
      <w:jc w:val="both"/>
      <w:textAlignment w:val="baseline"/>
    </w:pPr>
    <w:rPr>
      <w:rFonts w:ascii="Calibri" w:hAnsi="Calibri"/>
      <w:szCs w:val="20"/>
    </w:rPr>
  </w:style>
  <w:style w:type="paragraph" w:customStyle="1" w:styleId="672">
    <w:name w:val="Char1 Char Char Char Char Char1 Char Char Char Char Char Char Char Char Char Char Char Char Char Char Char Char Char Char Char Char Char Char Char Char Char1"/>
    <w:basedOn w:val="1"/>
    <w:qFormat/>
    <w:uiPriority w:val="0"/>
    <w:pPr>
      <w:widowControl w:val="0"/>
      <w:spacing w:line="360" w:lineRule="auto"/>
      <w:jc w:val="both"/>
    </w:pPr>
    <w:rPr>
      <w:rFonts w:ascii="华文楷体" w:hAnsi="华文楷体" w:eastAsia="华文楷体"/>
      <w:b/>
      <w:sz w:val="24"/>
      <w:szCs w:val="21"/>
    </w:rPr>
  </w:style>
  <w:style w:type="paragraph" w:customStyle="1" w:styleId="673">
    <w:name w:val="标 题 1"/>
    <w:basedOn w:val="2"/>
    <w:qFormat/>
    <w:uiPriority w:val="0"/>
    <w:pPr>
      <w:widowControl w:val="0"/>
      <w:snapToGrid w:val="0"/>
      <w:spacing w:before="312" w:beforeLines="100" w:after="312" w:afterLines="100" w:line="460" w:lineRule="exact"/>
      <w:jc w:val="center"/>
    </w:pPr>
    <w:rPr>
      <w:rFonts w:ascii="Arial" w:hAnsi="Arial" w:eastAsia="黑体" w:cs="宋体"/>
      <w:b w:val="0"/>
      <w:color w:val="000000"/>
      <w:sz w:val="32"/>
      <w:szCs w:val="20"/>
    </w:rPr>
  </w:style>
  <w:style w:type="paragraph" w:customStyle="1" w:styleId="674">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75">
    <w:name w:val="Style4"/>
    <w:basedOn w:val="1"/>
    <w:unhideWhenUsed/>
    <w:qFormat/>
    <w:uiPriority w:val="0"/>
    <w:pPr>
      <w:widowControl w:val="0"/>
      <w:spacing w:line="240" w:lineRule="auto"/>
      <w:jc w:val="both"/>
    </w:pPr>
    <w:rPr>
      <w:rFonts w:ascii="Calibri" w:hAnsi="Calibri" w:eastAsia="微软雅黑"/>
    </w:rPr>
  </w:style>
  <w:style w:type="paragraph" w:customStyle="1" w:styleId="676">
    <w:name w:val="CM2"/>
    <w:basedOn w:val="255"/>
    <w:next w:val="255"/>
    <w:qFormat/>
    <w:uiPriority w:val="0"/>
    <w:pPr>
      <w:spacing w:line="500" w:lineRule="atLeast"/>
    </w:pPr>
    <w:rPr>
      <w:rFonts w:ascii="宋体" w:hAnsi="Times New Roman" w:eastAsia="宋体" w:cs="宋体"/>
      <w:sz w:val="24"/>
      <w:szCs w:val="24"/>
    </w:rPr>
  </w:style>
  <w:style w:type="paragraph" w:customStyle="1" w:styleId="677">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78">
    <w:name w:val="CM91"/>
    <w:basedOn w:val="1"/>
    <w:next w:val="1"/>
    <w:qFormat/>
    <w:uiPriority w:val="0"/>
    <w:pPr>
      <w:widowControl w:val="0"/>
      <w:autoSpaceDE w:val="0"/>
      <w:autoSpaceDN w:val="0"/>
      <w:adjustRightInd w:val="0"/>
      <w:spacing w:after="160" w:line="240" w:lineRule="auto"/>
    </w:pPr>
    <w:rPr>
      <w:rFonts w:ascii="宋体" w:hAnsi="Calibri" w:cs="宋体"/>
      <w:kern w:val="0"/>
      <w:sz w:val="24"/>
    </w:rPr>
  </w:style>
  <w:style w:type="paragraph" w:customStyle="1" w:styleId="679">
    <w:name w:val="xl9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0"/>
      <w:szCs w:val="20"/>
    </w:rPr>
  </w:style>
  <w:style w:type="paragraph" w:customStyle="1" w:styleId="680">
    <w:name w:val="普通 (Web)"/>
    <w:basedOn w:val="1"/>
    <w:qFormat/>
    <w:uiPriority w:val="0"/>
    <w:pPr>
      <w:spacing w:before="100" w:beforeAutospacing="1" w:after="100" w:afterAutospacing="1" w:line="240" w:lineRule="auto"/>
    </w:pPr>
    <w:rPr>
      <w:rFonts w:ascii="宋体" w:hAnsi="宋体" w:cs="宋体"/>
      <w:kern w:val="0"/>
      <w:sz w:val="24"/>
    </w:rPr>
  </w:style>
  <w:style w:type="paragraph" w:customStyle="1" w:styleId="681">
    <w:name w:val="表内1"/>
    <w:basedOn w:val="399"/>
    <w:qFormat/>
    <w:uiPriority w:val="0"/>
    <w:pPr>
      <w:adjustRightInd/>
      <w:ind w:left="96" w:hanging="96" w:hangingChars="40"/>
      <w:jc w:val="left"/>
      <w:textAlignment w:val="auto"/>
    </w:pPr>
    <w:rPr>
      <w:rFonts w:eastAsia="仿宋_GB2312"/>
      <w:bCs/>
      <w:color w:val="000000"/>
      <w:kern w:val="2"/>
      <w:sz w:val="20"/>
      <w:szCs w:val="32"/>
    </w:rPr>
  </w:style>
  <w:style w:type="paragraph" w:customStyle="1" w:styleId="682">
    <w:name w:val="档案"/>
    <w:basedOn w:val="1"/>
    <w:qFormat/>
    <w:uiPriority w:val="0"/>
    <w:pPr>
      <w:widowControl w:val="0"/>
      <w:adjustRightInd w:val="0"/>
      <w:spacing w:line="360" w:lineRule="atLeast"/>
      <w:ind w:left="8280" w:right="-694" w:hanging="8280"/>
      <w:textAlignment w:val="baseline"/>
    </w:pPr>
    <w:rPr>
      <w:rFonts w:ascii="Calibri" w:hAnsi="Calibri"/>
      <w:kern w:val="0"/>
      <w:sz w:val="28"/>
      <w:szCs w:val="20"/>
    </w:rPr>
  </w:style>
  <w:style w:type="paragraph" w:customStyle="1" w:styleId="683">
    <w:name w:val="Headings Font"/>
    <w:basedOn w:val="1"/>
    <w:next w:val="33"/>
    <w:qFormat/>
    <w:uiPriority w:val="0"/>
    <w:pPr>
      <w:keepNext/>
      <w:spacing w:line="240" w:lineRule="auto"/>
    </w:pPr>
    <w:rPr>
      <w:rFonts w:ascii="Arial" w:hAnsi="Arial"/>
      <w:kern w:val="0"/>
      <w:sz w:val="22"/>
      <w:szCs w:val="22"/>
    </w:rPr>
  </w:style>
  <w:style w:type="paragraph" w:customStyle="1" w:styleId="684">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85">
    <w:name w:val="样式 行距: 固定值 18 磅"/>
    <w:basedOn w:val="1"/>
    <w:qFormat/>
    <w:uiPriority w:val="0"/>
    <w:pPr>
      <w:widowControl w:val="0"/>
      <w:spacing w:after="156" w:afterLines="50" w:line="460" w:lineRule="exact"/>
      <w:ind w:firstLine="200" w:firstLineChars="200"/>
      <w:jc w:val="both"/>
    </w:pPr>
    <w:rPr>
      <w:rFonts w:ascii="宋体" w:hAnsi="Calibri" w:cs="宋体"/>
      <w:sz w:val="24"/>
      <w:szCs w:val="20"/>
    </w:rPr>
  </w:style>
  <w:style w:type="paragraph" w:customStyle="1" w:styleId="686">
    <w:name w:val="Char Char Char Char11"/>
    <w:basedOn w:val="1"/>
    <w:qFormat/>
    <w:uiPriority w:val="0"/>
    <w:pPr>
      <w:widowControl w:val="0"/>
      <w:spacing w:line="240" w:lineRule="auto"/>
      <w:jc w:val="both"/>
    </w:pPr>
    <w:rPr>
      <w:rFonts w:ascii="宋体" w:hAnsi="Calibri"/>
    </w:rPr>
  </w:style>
  <w:style w:type="paragraph" w:customStyle="1" w:styleId="687">
    <w:name w:val="Char Char Char Char12"/>
    <w:basedOn w:val="1"/>
    <w:qFormat/>
    <w:uiPriority w:val="0"/>
    <w:pPr>
      <w:widowControl w:val="0"/>
      <w:spacing w:after="156" w:afterLines="50" w:line="240" w:lineRule="auto"/>
      <w:jc w:val="both"/>
    </w:pPr>
    <w:rPr>
      <w:rFonts w:ascii="宋体" w:hAnsi="Calibri"/>
    </w:rPr>
  </w:style>
  <w:style w:type="paragraph" w:customStyle="1" w:styleId="688">
    <w:name w:val="xl10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0"/>
      <w:szCs w:val="20"/>
    </w:rPr>
  </w:style>
  <w:style w:type="paragraph" w:customStyle="1" w:styleId="689">
    <w:name w:val="xl73"/>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69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ascii="宋体" w:hAnsi="宋体" w:cs="宋体"/>
      <w:kern w:val="0"/>
      <w:sz w:val="20"/>
      <w:szCs w:val="20"/>
    </w:rPr>
  </w:style>
  <w:style w:type="paragraph" w:customStyle="1" w:styleId="691">
    <w:name w:val="Style36"/>
    <w:basedOn w:val="1"/>
    <w:unhideWhenUsed/>
    <w:qFormat/>
    <w:uiPriority w:val="0"/>
    <w:pPr>
      <w:widowControl w:val="0"/>
      <w:spacing w:line="240" w:lineRule="auto"/>
      <w:jc w:val="both"/>
    </w:pPr>
    <w:rPr>
      <w:rFonts w:ascii="Calibri" w:hAnsi="Calibri" w:eastAsia="微软雅黑"/>
    </w:rPr>
  </w:style>
  <w:style w:type="paragraph" w:customStyle="1" w:styleId="692">
    <w:name w:val="简单回函地址"/>
    <w:basedOn w:val="1"/>
    <w:qFormat/>
    <w:uiPriority w:val="0"/>
    <w:pPr>
      <w:widowControl w:val="0"/>
      <w:spacing w:line="240" w:lineRule="auto"/>
      <w:jc w:val="both"/>
    </w:pPr>
    <w:rPr>
      <w:rFonts w:ascii="Calibri" w:hAnsi="Calibri"/>
    </w:rPr>
  </w:style>
  <w:style w:type="paragraph" w:customStyle="1" w:styleId="693">
    <w:name w:val="Style9"/>
    <w:basedOn w:val="1"/>
    <w:unhideWhenUsed/>
    <w:qFormat/>
    <w:uiPriority w:val="0"/>
    <w:pPr>
      <w:widowControl w:val="0"/>
      <w:spacing w:line="240" w:lineRule="auto"/>
      <w:jc w:val="both"/>
    </w:pPr>
    <w:rPr>
      <w:rFonts w:ascii="Calibri" w:hAnsi="Calibri" w:eastAsia="微软雅黑"/>
    </w:rPr>
  </w:style>
  <w:style w:type="paragraph" w:customStyle="1" w:styleId="694">
    <w:name w:val="XW表名"/>
    <w:basedOn w:val="2"/>
    <w:qFormat/>
    <w:uiPriority w:val="0"/>
    <w:pPr>
      <w:keepLines w:val="0"/>
      <w:widowControl w:val="0"/>
      <w:adjustRightInd w:val="0"/>
      <w:spacing w:before="300" w:after="80" w:line="240" w:lineRule="auto"/>
      <w:jc w:val="center"/>
      <w:outlineLvl w:val="9"/>
    </w:pPr>
    <w:rPr>
      <w:rFonts w:ascii="Calibri" w:hAnsi="Calibri" w:eastAsia="黑体"/>
      <w:b w:val="0"/>
      <w:bCs w:val="0"/>
      <w:sz w:val="24"/>
      <w:szCs w:val="20"/>
    </w:rPr>
  </w:style>
  <w:style w:type="paragraph" w:customStyle="1" w:styleId="695">
    <w:name w:val="CM6"/>
    <w:basedOn w:val="255"/>
    <w:next w:val="255"/>
    <w:qFormat/>
    <w:uiPriority w:val="0"/>
    <w:pPr>
      <w:spacing w:line="318" w:lineRule="atLeast"/>
    </w:pPr>
    <w:rPr>
      <w:rFonts w:ascii="宋体" w:hAnsi="Times New Roman" w:eastAsia="宋体" w:cs="宋体"/>
      <w:sz w:val="24"/>
      <w:szCs w:val="24"/>
    </w:rPr>
  </w:style>
  <w:style w:type="paragraph" w:customStyle="1" w:styleId="696">
    <w:name w:val="p16"/>
    <w:basedOn w:val="1"/>
    <w:qFormat/>
    <w:uiPriority w:val="0"/>
    <w:pPr>
      <w:spacing w:line="240" w:lineRule="auto"/>
    </w:pPr>
    <w:rPr>
      <w:rFonts w:ascii="Calibri" w:hAnsi="Calibri" w:eastAsia="微软雅黑"/>
      <w:kern w:val="0"/>
      <w:szCs w:val="21"/>
    </w:rPr>
  </w:style>
  <w:style w:type="paragraph" w:customStyle="1" w:styleId="697">
    <w:name w:val="Style42"/>
    <w:basedOn w:val="1"/>
    <w:unhideWhenUsed/>
    <w:qFormat/>
    <w:uiPriority w:val="0"/>
    <w:pPr>
      <w:widowControl w:val="0"/>
      <w:spacing w:line="542" w:lineRule="exact"/>
      <w:ind w:firstLine="547"/>
      <w:jc w:val="both"/>
    </w:pPr>
    <w:rPr>
      <w:rFonts w:ascii="Calibri" w:hAnsi="Calibri" w:eastAsia="微软雅黑"/>
    </w:rPr>
  </w:style>
  <w:style w:type="paragraph" w:customStyle="1" w:styleId="698">
    <w:name w:val="样式3.1"/>
    <w:basedOn w:val="4"/>
    <w:qFormat/>
    <w:uiPriority w:val="0"/>
    <w:pPr>
      <w:keepLines/>
      <w:widowControl w:val="0"/>
      <w:snapToGrid w:val="0"/>
      <w:spacing w:line="240" w:lineRule="auto"/>
    </w:pPr>
    <w:rPr>
      <w:rFonts w:ascii="黑体" w:hAnsi="Calibri" w:eastAsia="黑体"/>
      <w:b w:val="0"/>
      <w:bCs w:val="0"/>
      <w:sz w:val="30"/>
      <w:szCs w:val="20"/>
    </w:rPr>
  </w:style>
  <w:style w:type="paragraph" w:customStyle="1" w:styleId="699">
    <w:name w:val="标准正文"/>
    <w:basedOn w:val="1"/>
    <w:qFormat/>
    <w:uiPriority w:val="0"/>
    <w:pPr>
      <w:widowControl w:val="0"/>
      <w:autoSpaceDE w:val="0"/>
      <w:autoSpaceDN w:val="0"/>
      <w:adjustRightInd w:val="0"/>
      <w:snapToGrid w:val="0"/>
      <w:spacing w:line="360" w:lineRule="auto"/>
      <w:ind w:firstLine="461" w:firstLineChars="192"/>
      <w:jc w:val="both"/>
    </w:pPr>
    <w:rPr>
      <w:rFonts w:ascii="宋体" w:hAnsi="宋体"/>
      <w:color w:val="000000"/>
      <w:kern w:val="0"/>
      <w:sz w:val="24"/>
    </w:rPr>
  </w:style>
  <w:style w:type="paragraph" w:customStyle="1" w:styleId="700">
    <w:name w:val="样式 小四 首行缩进:  0.75 厘米 行距: 多倍行距 1.4 字行"/>
    <w:basedOn w:val="1"/>
    <w:qFormat/>
    <w:uiPriority w:val="0"/>
    <w:pPr>
      <w:widowControl w:val="0"/>
      <w:spacing w:line="336" w:lineRule="auto"/>
      <w:ind w:firstLine="425"/>
      <w:jc w:val="both"/>
    </w:pPr>
    <w:rPr>
      <w:rFonts w:ascii="Calibri" w:hAnsi="Calibri" w:cs="宋体"/>
      <w:sz w:val="24"/>
      <w:szCs w:val="20"/>
    </w:rPr>
  </w:style>
  <w:style w:type="paragraph" w:customStyle="1" w:styleId="701">
    <w:name w:val="列表段落2"/>
    <w:basedOn w:val="1"/>
    <w:qFormat/>
    <w:uiPriority w:val="1"/>
    <w:pPr>
      <w:widowControl w:val="0"/>
      <w:spacing w:line="240" w:lineRule="auto"/>
      <w:ind w:firstLine="420" w:firstLineChars="200"/>
      <w:jc w:val="both"/>
    </w:pPr>
    <w:rPr>
      <w:rFonts w:ascii="Calibri" w:hAnsi="Calibri"/>
    </w:rPr>
  </w:style>
  <w:style w:type="paragraph" w:customStyle="1" w:styleId="702">
    <w:name w:val="修订2"/>
    <w:hidden/>
    <w:semiHidden/>
    <w:qFormat/>
    <w:uiPriority w:val="99"/>
    <w:rPr>
      <w:rFonts w:ascii="Calibri" w:hAnsi="Calibri" w:eastAsia="宋体" w:cs="Times New Roman"/>
      <w:kern w:val="2"/>
      <w:sz w:val="21"/>
      <w:szCs w:val="24"/>
      <w:lang w:val="en-US" w:eastAsia="zh-CN" w:bidi="ar-SA"/>
    </w:rPr>
  </w:style>
  <w:style w:type="paragraph" w:customStyle="1" w:styleId="703">
    <w:name w:val="修订3"/>
    <w:hidden/>
    <w:unhideWhenUsed/>
    <w:qFormat/>
    <w:uiPriority w:val="99"/>
    <w:rPr>
      <w:rFonts w:ascii="Calibri" w:hAnsi="Calibri" w:eastAsia="宋体" w:cs="Times New Roman"/>
      <w:kern w:val="2"/>
      <w:sz w:val="21"/>
      <w:szCs w:val="24"/>
      <w:lang w:val="en-US" w:eastAsia="zh-CN" w:bidi="ar-SA"/>
    </w:rPr>
  </w:style>
  <w:style w:type="paragraph" w:customStyle="1" w:styleId="704">
    <w:name w:val="样式"/>
    <w:qFormat/>
    <w:uiPriority w:val="0"/>
    <w:pPr>
      <w:widowControl w:val="0"/>
      <w:autoSpaceDE w:val="0"/>
      <w:autoSpaceDN w:val="0"/>
    </w:pPr>
    <w:rPr>
      <w:rFonts w:hint="eastAsia" w:ascii="Times New Roman" w:hAnsi="Times New Roman" w:eastAsia="宋体" w:cs="Times New Roman"/>
      <w:sz w:val="24"/>
      <w:lang w:val="en-US" w:eastAsia="zh-CN" w:bidi="ar-SA"/>
    </w:rPr>
  </w:style>
  <w:style w:type="paragraph" w:customStyle="1" w:styleId="705">
    <w:name w:val="第一条-3级"/>
    <w:basedOn w:val="1"/>
    <w:qFormat/>
    <w:uiPriority w:val="99"/>
    <w:pPr>
      <w:keepNext/>
      <w:keepLines/>
      <w:widowControl w:val="0"/>
      <w:adjustRightInd w:val="0"/>
      <w:snapToGrid w:val="0"/>
      <w:spacing w:before="240" w:afterLines="50" w:line="360" w:lineRule="auto"/>
      <w:outlineLvl w:val="2"/>
    </w:pPr>
    <w:rPr>
      <w:rFonts w:eastAsia="黑体"/>
      <w:sz w:val="28"/>
      <w:szCs w:val="20"/>
    </w:rPr>
  </w:style>
  <w:style w:type="paragraph" w:customStyle="1" w:styleId="706">
    <w:name w:val="Normal_2"/>
    <w:qFormat/>
    <w:uiPriority w:val="0"/>
    <w:rPr>
      <w:rFonts w:ascii="Times New Roman" w:hAnsi="Times New Roman" w:eastAsia="Times New Roman" w:cs="Times New Roman"/>
      <w:sz w:val="24"/>
      <w:szCs w:val="24"/>
      <w:lang w:val="en-US" w:eastAsia="zh-CN" w:bidi="ar-SA"/>
    </w:rPr>
  </w:style>
  <w:style w:type="paragraph" w:customStyle="1" w:styleId="70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8">
    <w:name w:val="正文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9">
    <w:name w:val="标题 3_0"/>
    <w:basedOn w:val="710"/>
    <w:next w:val="710"/>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0">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1">
    <w:name w:val="标题 4_6"/>
    <w:basedOn w:val="712"/>
    <w:next w:val="712"/>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2">
    <w:name w:val="正文_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3">
    <w:name w:val="标题 4_7"/>
    <w:basedOn w:val="714"/>
    <w:next w:val="714"/>
    <w:unhideWhenUsed/>
    <w:qFormat/>
    <w:uiPriority w:val="0"/>
    <w:pPr>
      <w:keepNext/>
      <w:keepLines/>
      <w:tabs>
        <w:tab w:val="left" w:pos="1800"/>
      </w:tabs>
      <w:spacing w:before="280" w:after="290" w:line="372" w:lineRule="auto"/>
      <w:ind w:left="1080" w:hanging="360"/>
      <w:outlineLvl w:val="3"/>
    </w:pPr>
    <w:rPr>
      <w:rFonts w:ascii="Arial" w:hAnsi="Arial" w:eastAsia="黑体"/>
      <w:b/>
      <w:sz w:val="28"/>
      <w:szCs w:val="20"/>
    </w:rPr>
  </w:style>
  <w:style w:type="paragraph" w:customStyle="1" w:styleId="714">
    <w:name w:val="正文_1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5">
    <w:name w:val="标题 3_3"/>
    <w:basedOn w:val="716"/>
    <w:next w:val="716"/>
    <w:unhideWhenUsed/>
    <w:qFormat/>
    <w:uiPriority w:val="0"/>
    <w:pPr>
      <w:keepNext/>
      <w:keepLines/>
      <w:tabs>
        <w:tab w:val="left" w:pos="1080"/>
      </w:tabs>
      <w:spacing w:before="260" w:after="260" w:line="412" w:lineRule="auto"/>
      <w:ind w:left="720" w:hanging="360"/>
      <w:outlineLvl w:val="2"/>
    </w:pPr>
    <w:rPr>
      <w:b/>
      <w:sz w:val="32"/>
      <w:szCs w:val="20"/>
    </w:rPr>
  </w:style>
  <w:style w:type="paragraph" w:customStyle="1" w:styleId="716">
    <w:name w:val="正文_4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7">
    <w:name w:val="样式 正文（首行缩进两字） + 宋体 小四"/>
    <w:basedOn w:val="20"/>
    <w:qFormat/>
    <w:uiPriority w:val="0"/>
    <w:pPr>
      <w:widowControl w:val="0"/>
      <w:spacing w:line="100" w:lineRule="atLeast"/>
      <w:ind w:firstLine="614" w:firstLineChars="192"/>
    </w:pPr>
    <w:rPr>
      <w:rFonts w:ascii="仿宋_GB2312" w:hAnsi="宋体" w:eastAsia="仿宋_GB2312"/>
      <w:sz w:val="32"/>
      <w:szCs w:val="20"/>
    </w:rPr>
  </w:style>
  <w:style w:type="paragraph" w:customStyle="1" w:styleId="718">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9">
    <w:name w:val="Body text (2)10"/>
    <w:basedOn w:val="1"/>
    <w:link w:val="927"/>
    <w:qFormat/>
    <w:uiPriority w:val="0"/>
    <w:pPr>
      <w:widowControl w:val="0"/>
      <w:shd w:val="clear" w:color="auto" w:fill="FFFFFF"/>
      <w:spacing w:line="551" w:lineRule="exact"/>
      <w:jc w:val="both"/>
    </w:pPr>
    <w:rPr>
      <w:rFonts w:ascii="MingLiU" w:hAnsi="MingLiU" w:eastAsia="MingLiU" w:cs="MingLiU"/>
      <w:szCs w:val="20"/>
    </w:rPr>
  </w:style>
  <w:style w:type="paragraph" w:customStyle="1" w:styleId="720">
    <w:name w:val="Body text (5)"/>
    <w:basedOn w:val="1"/>
    <w:qFormat/>
    <w:uiPriority w:val="0"/>
    <w:pPr>
      <w:widowControl w:val="0"/>
      <w:shd w:val="clear" w:color="auto" w:fill="FFFFFF"/>
      <w:spacing w:before="8040" w:line="0" w:lineRule="atLeast"/>
      <w:jc w:val="center"/>
    </w:pPr>
    <w:rPr>
      <w:rFonts w:hint="eastAsia" w:ascii="MingLiU" w:hAnsi="MingLiU" w:eastAsia="MingLiU" w:cs="MingLiU"/>
      <w:sz w:val="28"/>
      <w:szCs w:val="28"/>
    </w:rPr>
  </w:style>
  <w:style w:type="paragraph" w:customStyle="1" w:styleId="721">
    <w:name w:val="WPSOffice手动目录 1"/>
    <w:qFormat/>
    <w:uiPriority w:val="0"/>
    <w:rPr>
      <w:rFonts w:ascii="Calibri" w:hAnsi="Calibri" w:eastAsia="宋体" w:cs="Times New Roman"/>
      <w:lang w:val="en-US" w:eastAsia="zh-CN" w:bidi="ar-SA"/>
    </w:rPr>
  </w:style>
  <w:style w:type="paragraph" w:customStyle="1" w:styleId="722">
    <w:name w:val="footnote description"/>
    <w:next w:val="1"/>
    <w:qFormat/>
    <w:uiPriority w:val="0"/>
    <w:pPr>
      <w:spacing w:line="329" w:lineRule="auto"/>
      <w:ind w:left="90" w:hanging="90"/>
    </w:pPr>
    <w:rPr>
      <w:rFonts w:ascii="微软雅黑" w:hAnsi="微软雅黑" w:eastAsia="微软雅黑" w:cs="微软雅黑"/>
      <w:color w:val="000000"/>
      <w:kern w:val="2"/>
      <w:sz w:val="18"/>
      <w:szCs w:val="22"/>
      <w:lang w:val="en-US" w:eastAsia="zh-CN" w:bidi="ar-SA"/>
    </w:rPr>
  </w:style>
  <w:style w:type="paragraph" w:customStyle="1" w:styleId="723">
    <w:name w:val="正文aaaaa--"/>
    <w:basedOn w:val="1"/>
    <w:qFormat/>
    <w:uiPriority w:val="0"/>
    <w:pPr>
      <w:widowControl w:val="0"/>
      <w:spacing w:line="400" w:lineRule="exact"/>
      <w:ind w:firstLine="480" w:firstLineChars="200"/>
      <w:jc w:val="both"/>
    </w:pPr>
    <w:rPr>
      <w:rFonts w:hint="eastAsia" w:ascii="方正宋三简体" w:hAnsi="Calibri" w:eastAsia="方正宋三简体" w:cs="宋体"/>
      <w:b/>
      <w:sz w:val="24"/>
      <w:szCs w:val="32"/>
    </w:rPr>
  </w:style>
  <w:style w:type="paragraph" w:customStyle="1" w:styleId="724">
    <w:name w:val="List Paragraph1"/>
    <w:basedOn w:val="1"/>
    <w:qFormat/>
    <w:uiPriority w:val="1"/>
    <w:pPr>
      <w:widowControl w:val="0"/>
      <w:spacing w:line="240" w:lineRule="auto"/>
      <w:ind w:left="798" w:firstLine="372"/>
      <w:jc w:val="both"/>
    </w:pPr>
    <w:rPr>
      <w:rFonts w:hint="eastAsia" w:ascii="宋体" w:hAnsi="宋体" w:cs="宋体"/>
      <w:szCs w:val="20"/>
    </w:rPr>
  </w:style>
  <w:style w:type="paragraph" w:customStyle="1" w:styleId="725">
    <w:name w:val="TOC 标题2"/>
    <w:basedOn w:val="2"/>
    <w:next w:val="1"/>
    <w:unhideWhenUsed/>
    <w:qFormat/>
    <w:uiPriority w:val="39"/>
    <w:pPr>
      <w:spacing w:before="240" w:after="0" w:line="259" w:lineRule="auto"/>
      <w:outlineLvl w:val="9"/>
    </w:pPr>
    <w:rPr>
      <w:rFonts w:ascii="Cambria" w:hAnsi="Cambria" w:cs="黑体"/>
      <w:b w:val="0"/>
      <w:bCs w:val="0"/>
      <w:color w:val="365F90"/>
      <w:kern w:val="0"/>
      <w:sz w:val="32"/>
      <w:szCs w:val="32"/>
    </w:rPr>
  </w:style>
  <w:style w:type="paragraph" w:customStyle="1" w:styleId="726">
    <w:name w:val="样式 TOC 2 + 左侧:  2 字符"/>
    <w:basedOn w:val="58"/>
    <w:qFormat/>
    <w:uiPriority w:val="0"/>
    <w:pPr>
      <w:ind w:left="420"/>
    </w:pPr>
    <w:rPr>
      <w:rFonts w:cs="宋体"/>
      <w:szCs w:val="20"/>
    </w:rPr>
  </w:style>
  <w:style w:type="character" w:customStyle="1" w:styleId="727">
    <w:name w:val="标题 1 字符1"/>
    <w:link w:val="2"/>
    <w:qFormat/>
    <w:locked/>
    <w:uiPriority w:val="0"/>
    <w:rPr>
      <w:b/>
      <w:bCs/>
      <w:kern w:val="44"/>
      <w:sz w:val="44"/>
      <w:szCs w:val="44"/>
    </w:rPr>
  </w:style>
  <w:style w:type="character" w:customStyle="1" w:styleId="728">
    <w:name w:val="标题 3 字符"/>
    <w:link w:val="4"/>
    <w:qFormat/>
    <w:locked/>
    <w:uiPriority w:val="0"/>
    <w:rPr>
      <w:rFonts w:ascii="宋体" w:hAnsi="宋体"/>
      <w:b/>
      <w:bCs/>
      <w:kern w:val="2"/>
      <w:sz w:val="24"/>
      <w:szCs w:val="24"/>
    </w:rPr>
  </w:style>
  <w:style w:type="character" w:customStyle="1" w:styleId="729">
    <w:name w:val="标题 4 字符"/>
    <w:link w:val="5"/>
    <w:qFormat/>
    <w:locked/>
    <w:uiPriority w:val="9"/>
    <w:rPr>
      <w:rFonts w:asciiTheme="majorHAnsi" w:hAnsiTheme="majorHAnsi" w:eastAsiaTheme="majorEastAsia" w:cstheme="majorBidi"/>
      <w:b/>
      <w:bCs/>
      <w:kern w:val="2"/>
      <w:sz w:val="28"/>
      <w:szCs w:val="28"/>
    </w:rPr>
  </w:style>
  <w:style w:type="character" w:customStyle="1" w:styleId="730">
    <w:name w:val="正文缩进 字符"/>
    <w:link w:val="20"/>
    <w:qFormat/>
    <w:uiPriority w:val="0"/>
    <w:rPr>
      <w:kern w:val="2"/>
      <w:sz w:val="21"/>
      <w:szCs w:val="24"/>
    </w:rPr>
  </w:style>
  <w:style w:type="character" w:customStyle="1" w:styleId="731">
    <w:name w:val="正文文本 字符"/>
    <w:link w:val="33"/>
    <w:qFormat/>
    <w:uiPriority w:val="0"/>
    <w:rPr>
      <w:kern w:val="2"/>
      <w:sz w:val="21"/>
      <w:szCs w:val="24"/>
    </w:rPr>
  </w:style>
  <w:style w:type="character" w:customStyle="1" w:styleId="732">
    <w:name w:val="纯文本 字符1"/>
    <w:link w:val="44"/>
    <w:qFormat/>
    <w:locked/>
    <w:uiPriority w:val="0"/>
    <w:rPr>
      <w:rFonts w:ascii="宋体" w:hAnsi="Courier New" w:cs="Courier New"/>
      <w:kern w:val="2"/>
      <w:sz w:val="21"/>
      <w:szCs w:val="21"/>
    </w:rPr>
  </w:style>
  <w:style w:type="character" w:customStyle="1" w:styleId="733">
    <w:name w:val="日期 字符1"/>
    <w:link w:val="49"/>
    <w:qFormat/>
    <w:locked/>
    <w:uiPriority w:val="0"/>
    <w:rPr>
      <w:rFonts w:ascii="宋体" w:hAnsi="宋体"/>
      <w:kern w:val="2"/>
      <w:sz w:val="24"/>
    </w:rPr>
  </w:style>
  <w:style w:type="character" w:customStyle="1" w:styleId="734">
    <w:name w:val="页脚 字符"/>
    <w:link w:val="54"/>
    <w:qFormat/>
    <w:locked/>
    <w:uiPriority w:val="99"/>
    <w:rPr>
      <w:rFonts w:asciiTheme="minorHAnsi" w:hAnsiTheme="minorHAnsi" w:eastAsiaTheme="minorEastAsia" w:cstheme="minorBidi"/>
      <w:kern w:val="2"/>
      <w:sz w:val="18"/>
      <w:szCs w:val="18"/>
    </w:rPr>
  </w:style>
  <w:style w:type="character" w:customStyle="1" w:styleId="735">
    <w:name w:val="页眉 字符"/>
    <w:link w:val="56"/>
    <w:qFormat/>
    <w:locked/>
    <w:uiPriority w:val="99"/>
    <w:rPr>
      <w:kern w:val="2"/>
      <w:sz w:val="18"/>
      <w:szCs w:val="24"/>
    </w:rPr>
  </w:style>
  <w:style w:type="character" w:customStyle="1" w:styleId="736">
    <w:name w:val="普通(网站) 字符"/>
    <w:link w:val="80"/>
    <w:qFormat/>
    <w:uiPriority w:val="0"/>
    <w:rPr>
      <w:rFonts w:ascii="宋体" w:hAnsi="宋体" w:cs="宋体"/>
      <w:sz w:val="24"/>
      <w:szCs w:val="24"/>
    </w:rPr>
  </w:style>
  <w:style w:type="character" w:customStyle="1" w:styleId="737">
    <w:name w:val="正文文本首行缩进 字符"/>
    <w:link w:val="212"/>
    <w:qFormat/>
    <w:uiPriority w:val="0"/>
    <w:rPr>
      <w:rFonts w:ascii="Calibri" w:hAnsi="Calibri"/>
      <w:kern w:val="2"/>
      <w:sz w:val="21"/>
      <w:szCs w:val="24"/>
    </w:rPr>
  </w:style>
  <w:style w:type="character" w:customStyle="1" w:styleId="738">
    <w:name w:val="样式 样式 宋体 四号 行距: 1.5 倍行距 + 四号 Char"/>
    <w:link w:val="214"/>
    <w:qFormat/>
    <w:uiPriority w:val="0"/>
    <w:rPr>
      <w:rFonts w:ascii="宋体" w:hAnsi="宋体"/>
      <w:kern w:val="2"/>
      <w:sz w:val="24"/>
      <w:szCs w:val="24"/>
    </w:rPr>
  </w:style>
  <w:style w:type="character" w:customStyle="1" w:styleId="739">
    <w:name w:val="Font Style125"/>
    <w:unhideWhenUsed/>
    <w:qFormat/>
    <w:uiPriority w:val="0"/>
    <w:rPr>
      <w:rFonts w:hint="eastAsia" w:ascii="宋体" w:hAnsi="宋体" w:eastAsia="宋体"/>
      <w:b/>
      <w:sz w:val="26"/>
    </w:rPr>
  </w:style>
  <w:style w:type="character" w:customStyle="1" w:styleId="740">
    <w:name w:val="正文文本 Char1"/>
    <w:qFormat/>
    <w:uiPriority w:val="0"/>
    <w:rPr>
      <w:kern w:val="2"/>
      <w:sz w:val="21"/>
      <w:szCs w:val="24"/>
    </w:rPr>
  </w:style>
  <w:style w:type="character" w:customStyle="1" w:styleId="741">
    <w:name w:val="apple-converted-space"/>
    <w:qFormat/>
    <w:uiPriority w:val="0"/>
  </w:style>
  <w:style w:type="character" w:customStyle="1" w:styleId="742">
    <w:name w:val="加重文字 Char"/>
    <w:link w:val="215"/>
    <w:qFormat/>
    <w:uiPriority w:val="0"/>
    <w:rPr>
      <w:rFonts w:ascii="Calibri" w:hAnsi="Calibri"/>
      <w:b/>
      <w:szCs w:val="24"/>
      <w:u w:val="thick"/>
      <w:lang w:val="zh-CN"/>
    </w:rPr>
  </w:style>
  <w:style w:type="character" w:customStyle="1" w:styleId="743">
    <w:name w:val="标题 1 Char1"/>
    <w:qFormat/>
    <w:uiPriority w:val="0"/>
    <w:rPr>
      <w:rFonts w:ascii="Times New Roman" w:hAnsi="Times New Roman" w:eastAsia="宋体" w:cs="Times New Roman"/>
      <w:b/>
      <w:bCs/>
      <w:sz w:val="24"/>
      <w:szCs w:val="20"/>
    </w:rPr>
  </w:style>
  <w:style w:type="character" w:customStyle="1" w:styleId="744">
    <w:name w:val="标题 2 Char1"/>
    <w:qFormat/>
    <w:uiPriority w:val="0"/>
    <w:rPr>
      <w:rFonts w:ascii="Arial" w:hAnsi="Arial" w:eastAsia="宋体" w:cs="Times New Roman"/>
      <w:b/>
      <w:bCs/>
      <w:sz w:val="24"/>
      <w:szCs w:val="32"/>
    </w:rPr>
  </w:style>
  <w:style w:type="character" w:customStyle="1" w:styleId="745">
    <w:name w:val="Char Char6"/>
    <w:qFormat/>
    <w:uiPriority w:val="0"/>
    <w:rPr>
      <w:rFonts w:ascii="Arial" w:hAnsi="Arial" w:eastAsia="黑体"/>
      <w:sz w:val="24"/>
      <w:szCs w:val="24"/>
      <w:lang w:val="en-US" w:eastAsia="zh-CN" w:bidi="ar-SA"/>
    </w:rPr>
  </w:style>
  <w:style w:type="character" w:customStyle="1" w:styleId="746">
    <w:name w:val="extended-address"/>
    <w:qFormat/>
    <w:uiPriority w:val="0"/>
  </w:style>
  <w:style w:type="character" w:customStyle="1" w:styleId="747">
    <w:name w:val="font5 Char Char"/>
    <w:link w:val="216"/>
    <w:qFormat/>
    <w:locked/>
    <w:uiPriority w:val="0"/>
    <w:rPr>
      <w:rFonts w:ascii="宋体" w:hAnsi="宋体"/>
      <w:sz w:val="24"/>
      <w:szCs w:val="24"/>
    </w:rPr>
  </w:style>
  <w:style w:type="character" w:customStyle="1" w:styleId="748">
    <w:name w:val="Font Style119"/>
    <w:unhideWhenUsed/>
    <w:qFormat/>
    <w:uiPriority w:val="0"/>
    <w:rPr>
      <w:rFonts w:hint="eastAsia" w:ascii="宋体" w:hAnsi="宋体" w:eastAsia="宋体"/>
      <w:sz w:val="24"/>
    </w:rPr>
  </w:style>
  <w:style w:type="character" w:customStyle="1" w:styleId="749">
    <w:name w:val="称呼 Char1"/>
    <w:qFormat/>
    <w:uiPriority w:val="0"/>
    <w:rPr>
      <w:kern w:val="2"/>
      <w:sz w:val="21"/>
      <w:szCs w:val="24"/>
    </w:rPr>
  </w:style>
  <w:style w:type="character" w:customStyle="1" w:styleId="750">
    <w:name w:val="标题 7 Char1"/>
    <w:qFormat/>
    <w:uiPriority w:val="0"/>
    <w:rPr>
      <w:rFonts w:ascii="Times New Roman" w:hAnsi="Times New Roman" w:eastAsia="宋体" w:cs="Times New Roman"/>
      <w:b/>
      <w:bCs/>
      <w:kern w:val="0"/>
      <w:sz w:val="24"/>
      <w:szCs w:val="24"/>
    </w:rPr>
  </w:style>
  <w:style w:type="character" w:customStyle="1" w:styleId="751">
    <w:name w:val="font31"/>
    <w:qFormat/>
    <w:uiPriority w:val="0"/>
    <w:rPr>
      <w:rFonts w:hint="eastAsia" w:ascii="宋体" w:hAnsi="宋体" w:eastAsia="宋体" w:cs="宋体"/>
      <w:color w:val="000000"/>
      <w:sz w:val="21"/>
      <w:szCs w:val="21"/>
    </w:rPr>
  </w:style>
  <w:style w:type="character" w:customStyle="1" w:styleId="752">
    <w:name w:val="z-窗体底端 Char2"/>
    <w:semiHidden/>
    <w:qFormat/>
    <w:uiPriority w:val="99"/>
    <w:rPr>
      <w:rFonts w:ascii="Arial" w:hAnsi="Arial" w:cs="Arial"/>
      <w:vanish/>
      <w:kern w:val="2"/>
      <w:sz w:val="16"/>
      <w:szCs w:val="16"/>
    </w:rPr>
  </w:style>
  <w:style w:type="character" w:customStyle="1" w:styleId="753">
    <w:name w:val="标题 6 Char1"/>
    <w:qFormat/>
    <w:uiPriority w:val="0"/>
    <w:rPr>
      <w:rFonts w:ascii="Arial" w:hAnsi="Arial" w:eastAsia="黑体" w:cs="Times New Roman"/>
      <w:b/>
      <w:bCs/>
      <w:kern w:val="0"/>
      <w:sz w:val="24"/>
      <w:szCs w:val="24"/>
    </w:rPr>
  </w:style>
  <w:style w:type="character" w:customStyle="1" w:styleId="754">
    <w:name w:val="title_2"/>
    <w:qFormat/>
    <w:uiPriority w:val="0"/>
    <w:rPr>
      <w:b/>
      <w:sz w:val="19"/>
      <w:szCs w:val="19"/>
    </w:rPr>
  </w:style>
  <w:style w:type="character" w:customStyle="1" w:styleId="755">
    <w:name w:val="纯文本 Char2"/>
    <w:qFormat/>
    <w:uiPriority w:val="0"/>
    <w:rPr>
      <w:rFonts w:ascii="宋体" w:hAnsi="Courier New" w:eastAsia="宋体"/>
      <w:kern w:val="2"/>
      <w:sz w:val="21"/>
      <w:szCs w:val="21"/>
      <w:lang w:val="en-US" w:eastAsia="zh-CN" w:bidi="ar-SA"/>
    </w:rPr>
  </w:style>
  <w:style w:type="character" w:customStyle="1" w:styleId="756">
    <w:name w:val="content_3"/>
    <w:qFormat/>
    <w:uiPriority w:val="0"/>
    <w:rPr>
      <w:sz w:val="19"/>
      <w:szCs w:val="19"/>
    </w:rPr>
  </w:style>
  <w:style w:type="character" w:customStyle="1" w:styleId="757">
    <w:name w:val="sort1"/>
    <w:qFormat/>
    <w:uiPriority w:val="0"/>
    <w:rPr>
      <w:rFonts w:ascii="Times New Roman" w:hAnsi="Times New Roman" w:eastAsia="宋体"/>
    </w:rPr>
  </w:style>
  <w:style w:type="character" w:customStyle="1" w:styleId="758">
    <w:name w:val="引用 Char2"/>
    <w:qFormat/>
    <w:uiPriority w:val="99"/>
    <w:rPr>
      <w:i/>
      <w:iCs/>
      <w:color w:val="000000"/>
      <w:kern w:val="2"/>
      <w:sz w:val="21"/>
      <w:szCs w:val="24"/>
    </w:rPr>
  </w:style>
  <w:style w:type="character" w:customStyle="1" w:styleId="759">
    <w:name w:val="font41"/>
    <w:qFormat/>
    <w:uiPriority w:val="0"/>
    <w:rPr>
      <w:rFonts w:hint="eastAsia" w:ascii="宋体" w:hAnsi="宋体" w:eastAsia="宋体" w:cs="宋体"/>
      <w:color w:val="000000"/>
      <w:sz w:val="18"/>
      <w:szCs w:val="18"/>
    </w:rPr>
  </w:style>
  <w:style w:type="character" w:customStyle="1" w:styleId="760">
    <w:name w:val="正文(条款) Char"/>
    <w:link w:val="217"/>
    <w:qFormat/>
    <w:uiPriority w:val="0"/>
    <w:rPr>
      <w:rFonts w:ascii="Calibri" w:hAnsi="Calibri"/>
      <w:sz w:val="24"/>
      <w:szCs w:val="24"/>
    </w:rPr>
  </w:style>
  <w:style w:type="character" w:customStyle="1" w:styleId="761">
    <w:name w:val="plus"/>
    <w:qFormat/>
    <w:uiPriority w:val="0"/>
    <w:rPr>
      <w:rFonts w:ascii="Times New Roman" w:hAnsi="Times New Roman" w:eastAsia="宋体"/>
      <w:b/>
      <w:vanish/>
      <w:color w:val="1F8DEF"/>
      <w:sz w:val="24"/>
      <w:szCs w:val="24"/>
    </w:rPr>
  </w:style>
  <w:style w:type="character" w:customStyle="1" w:styleId="762">
    <w:name w:val="title_1"/>
    <w:qFormat/>
    <w:uiPriority w:val="0"/>
    <w:rPr>
      <w:b/>
      <w:sz w:val="30"/>
      <w:szCs w:val="30"/>
    </w:rPr>
  </w:style>
  <w:style w:type="character" w:customStyle="1" w:styleId="763">
    <w:name w:val="polysemyexp"/>
    <w:qFormat/>
    <w:uiPriority w:val="0"/>
    <w:rPr>
      <w:rFonts w:ascii="Times New Roman" w:hAnsi="Times New Roman" w:eastAsia="宋体"/>
      <w:color w:val="AAAAAA"/>
      <w:sz w:val="18"/>
      <w:szCs w:val="18"/>
    </w:rPr>
  </w:style>
  <w:style w:type="character" w:customStyle="1" w:styleId="764">
    <w:name w:val="标题 1 字符"/>
    <w:qFormat/>
    <w:uiPriority w:val="0"/>
    <w:rPr>
      <w:b/>
      <w:bCs/>
      <w:kern w:val="2"/>
      <w:sz w:val="24"/>
    </w:rPr>
  </w:style>
  <w:style w:type="character" w:customStyle="1" w:styleId="765">
    <w:name w:val="javascript"/>
    <w:qFormat/>
    <w:uiPriority w:val="0"/>
  </w:style>
  <w:style w:type="character" w:customStyle="1" w:styleId="766">
    <w:name w:val="Font Style126"/>
    <w:unhideWhenUsed/>
    <w:qFormat/>
    <w:uiPriority w:val="0"/>
    <w:rPr>
      <w:rFonts w:hint="eastAsia" w:ascii="宋体" w:hAnsi="宋体" w:eastAsia="宋体"/>
      <w:b/>
      <w:spacing w:val="-30"/>
      <w:sz w:val="28"/>
    </w:rPr>
  </w:style>
  <w:style w:type="character" w:customStyle="1" w:styleId="767">
    <w:name w:val="批注文字 Char Char"/>
    <w:qFormat/>
    <w:uiPriority w:val="0"/>
    <w:rPr>
      <w:kern w:val="2"/>
      <w:sz w:val="21"/>
      <w:szCs w:val="24"/>
      <w:lang w:bidi="ar-SA"/>
    </w:rPr>
  </w:style>
  <w:style w:type="character" w:customStyle="1" w:styleId="768">
    <w:name w:val="font121"/>
    <w:qFormat/>
    <w:uiPriority w:val="0"/>
    <w:rPr>
      <w:rFonts w:hint="default" w:ascii="Times New Roman" w:hAnsi="Times New Roman" w:cs="Times New Roman"/>
      <w:color w:val="000000"/>
      <w:sz w:val="20"/>
      <w:szCs w:val="20"/>
    </w:rPr>
  </w:style>
  <w:style w:type="character" w:customStyle="1" w:styleId="769">
    <w:name w:val="标题 Char1"/>
    <w:qFormat/>
    <w:uiPriority w:val="0"/>
    <w:rPr>
      <w:rFonts w:ascii="Cambria" w:hAnsi="Cambria" w:eastAsia="宋体" w:cs="Times New Roman"/>
      <w:b/>
      <w:bCs/>
      <w:sz w:val="32"/>
      <w:szCs w:val="32"/>
    </w:rPr>
  </w:style>
  <w:style w:type="character" w:customStyle="1" w:styleId="770">
    <w:name w:val="Font Style105"/>
    <w:unhideWhenUsed/>
    <w:qFormat/>
    <w:uiPriority w:val="0"/>
    <w:rPr>
      <w:rFonts w:hint="eastAsia" w:ascii="Times New Roman" w:hAnsi="Times New Roman" w:eastAsia="Times New Roman"/>
      <w:w w:val="60"/>
      <w:sz w:val="26"/>
    </w:rPr>
  </w:style>
  <w:style w:type="character" w:customStyle="1" w:styleId="771">
    <w:name w:val="sidecatalog-index1"/>
    <w:qFormat/>
    <w:uiPriority w:val="0"/>
    <w:rPr>
      <w:rFonts w:ascii="Arial" w:hAnsi="Arial" w:eastAsia="宋体" w:cs="Arial"/>
      <w:b/>
      <w:color w:val="999999"/>
      <w:sz w:val="21"/>
      <w:szCs w:val="21"/>
    </w:rPr>
  </w:style>
  <w:style w:type="character" w:customStyle="1" w:styleId="772">
    <w:name w:val="标题 3 Char11"/>
    <w:qFormat/>
    <w:uiPriority w:val="0"/>
    <w:rPr>
      <w:rFonts w:eastAsia="宋体"/>
      <w:kern w:val="2"/>
      <w:sz w:val="24"/>
      <w:szCs w:val="32"/>
      <w:lang w:val="en-US" w:eastAsia="zh-CN" w:bidi="ar-SA"/>
    </w:rPr>
  </w:style>
  <w:style w:type="character" w:customStyle="1" w:styleId="773">
    <w:name w:val="表格 Char"/>
    <w:link w:val="218"/>
    <w:qFormat/>
    <w:uiPriority w:val="0"/>
    <w:rPr>
      <w:rFonts w:ascii="宋体" w:hAnsi="宋体"/>
      <w:kern w:val="2"/>
      <w:sz w:val="21"/>
      <w:szCs w:val="21"/>
    </w:rPr>
  </w:style>
  <w:style w:type="character" w:customStyle="1" w:styleId="774">
    <w:name w:val="表名 Char"/>
    <w:link w:val="219"/>
    <w:qFormat/>
    <w:uiPriority w:val="0"/>
    <w:rPr>
      <w:rFonts w:ascii="黑体" w:eastAsia="黑体"/>
      <w:kern w:val="2"/>
      <w:sz w:val="21"/>
      <w:szCs w:val="24"/>
    </w:rPr>
  </w:style>
  <w:style w:type="character" w:customStyle="1" w:styleId="775">
    <w:name w:val="title_3"/>
    <w:qFormat/>
    <w:uiPriority w:val="0"/>
    <w:rPr>
      <w:b/>
      <w:sz w:val="15"/>
      <w:szCs w:val="15"/>
    </w:rPr>
  </w:style>
  <w:style w:type="character" w:customStyle="1" w:styleId="776">
    <w:name w:val="四 Char Char"/>
    <w:qFormat/>
    <w:uiPriority w:val="0"/>
    <w:rPr>
      <w:rFonts w:ascii="Arial" w:hAnsi="Arial" w:eastAsia="黑体"/>
      <w:b/>
      <w:bCs/>
      <w:kern w:val="2"/>
      <w:sz w:val="28"/>
      <w:szCs w:val="28"/>
      <w:lang w:val="en-US" w:eastAsia="zh-CN" w:bidi="ar-SA"/>
    </w:rPr>
  </w:style>
  <w:style w:type="character" w:customStyle="1" w:styleId="777">
    <w:name w:val="scyzw0 Char"/>
    <w:link w:val="220"/>
    <w:qFormat/>
    <w:uiPriority w:val="0"/>
    <w:rPr>
      <w:rFonts w:ascii="仿宋_GB2312" w:hAnsi="宋体" w:eastAsia="仿宋_GB2312"/>
      <w:bCs/>
      <w:sz w:val="28"/>
      <w:szCs w:val="18"/>
    </w:rPr>
  </w:style>
  <w:style w:type="character" w:customStyle="1" w:styleId="778">
    <w:name w:val="Plain Text Char"/>
    <w:qFormat/>
    <w:locked/>
    <w:uiPriority w:val="0"/>
    <w:rPr>
      <w:rFonts w:ascii="宋体" w:hAnsi="Courier New" w:eastAsia="宋体"/>
      <w:kern w:val="2"/>
      <w:sz w:val="21"/>
      <w:lang w:val="en-US" w:eastAsia="zh-CN"/>
    </w:rPr>
  </w:style>
  <w:style w:type="character" w:customStyle="1" w:styleId="779">
    <w:name w:val="脚注文本 Char1"/>
    <w:qFormat/>
    <w:uiPriority w:val="0"/>
    <w:rPr>
      <w:kern w:val="2"/>
      <w:sz w:val="18"/>
      <w:szCs w:val="18"/>
    </w:rPr>
  </w:style>
  <w:style w:type="character" w:customStyle="1" w:styleId="780">
    <w:name w:val="样式7 Char"/>
    <w:link w:val="221"/>
    <w:qFormat/>
    <w:uiPriority w:val="0"/>
    <w:rPr>
      <w:rFonts w:ascii="宋体" w:hAnsi="Calibri"/>
      <w:kern w:val="2"/>
      <w:sz w:val="24"/>
      <w:szCs w:val="24"/>
    </w:rPr>
  </w:style>
  <w:style w:type="character" w:customStyle="1" w:styleId="781">
    <w:name w:val="lemmatitleh12"/>
    <w:qFormat/>
    <w:uiPriority w:val="0"/>
    <w:rPr>
      <w:rFonts w:ascii="Times New Roman" w:hAnsi="Times New Roman" w:eastAsia="宋体"/>
    </w:rPr>
  </w:style>
  <w:style w:type="character" w:customStyle="1" w:styleId="782">
    <w:name w:val="bds_more10"/>
    <w:qFormat/>
    <w:uiPriority w:val="0"/>
    <w:rPr>
      <w:rFonts w:ascii="Times New Roman" w:hAnsi="Times New Roman" w:eastAsia="宋体"/>
    </w:rPr>
  </w:style>
  <w:style w:type="character" w:customStyle="1" w:styleId="783">
    <w:name w:val="样式2 Char Char"/>
    <w:qFormat/>
    <w:uiPriority w:val="0"/>
    <w:rPr>
      <w:rFonts w:eastAsia="宋体"/>
      <w:kern w:val="2"/>
      <w:sz w:val="18"/>
      <w:szCs w:val="18"/>
      <w:lang w:val="en-US" w:eastAsia="zh-CN" w:bidi="ar-SA"/>
    </w:rPr>
  </w:style>
  <w:style w:type="character" w:customStyle="1" w:styleId="784">
    <w:name w:val="Char Char22"/>
    <w:qFormat/>
    <w:uiPriority w:val="0"/>
    <w:rPr>
      <w:rFonts w:eastAsia="宋体"/>
      <w:b/>
      <w:bCs/>
      <w:kern w:val="44"/>
      <w:sz w:val="44"/>
      <w:szCs w:val="44"/>
      <w:lang w:val="en-US" w:eastAsia="zh-CN" w:bidi="ar-SA"/>
    </w:rPr>
  </w:style>
  <w:style w:type="character" w:customStyle="1" w:styleId="785">
    <w:name w:val="标题4 Char"/>
    <w:link w:val="222"/>
    <w:qFormat/>
    <w:uiPriority w:val="0"/>
    <w:rPr>
      <w:rFonts w:ascii="宋体" w:hAnsi="宋体"/>
      <w:kern w:val="2"/>
      <w:sz w:val="24"/>
      <w:szCs w:val="24"/>
    </w:rPr>
  </w:style>
  <w:style w:type="character" w:customStyle="1" w:styleId="786">
    <w:name w:val="标题 3 Char Char1"/>
    <w:qFormat/>
    <w:uiPriority w:val="0"/>
    <w:rPr>
      <w:rFonts w:eastAsia="宋体"/>
      <w:b/>
      <w:bCs/>
      <w:kern w:val="2"/>
      <w:sz w:val="32"/>
      <w:szCs w:val="32"/>
      <w:lang w:val="en-US" w:eastAsia="zh-CN" w:bidi="ar-SA"/>
    </w:rPr>
  </w:style>
  <w:style w:type="character" w:customStyle="1" w:styleId="787">
    <w:name w:val="z-窗体底端 Char"/>
    <w:link w:val="223"/>
    <w:qFormat/>
    <w:uiPriority w:val="0"/>
    <w:rPr>
      <w:rFonts w:ascii="Arial" w:hAnsi="Arial"/>
      <w:vanish/>
      <w:sz w:val="16"/>
      <w:szCs w:val="16"/>
    </w:rPr>
  </w:style>
  <w:style w:type="character" w:customStyle="1" w:styleId="788">
    <w:name w:val="样式1 Char"/>
    <w:link w:val="224"/>
    <w:qFormat/>
    <w:uiPriority w:val="0"/>
    <w:rPr>
      <w:rFonts w:ascii="宋体" w:hAnsi="宋体"/>
      <w:szCs w:val="21"/>
    </w:rPr>
  </w:style>
  <w:style w:type="character" w:customStyle="1" w:styleId="789">
    <w:name w:val="content_1"/>
    <w:qFormat/>
    <w:uiPriority w:val="0"/>
    <w:rPr>
      <w:sz w:val="19"/>
      <w:szCs w:val="19"/>
    </w:rPr>
  </w:style>
  <w:style w:type="character" w:customStyle="1" w:styleId="790">
    <w:name w:val="ca-121"/>
    <w:qFormat/>
    <w:uiPriority w:val="0"/>
    <w:rPr>
      <w:rFonts w:hint="default" w:ascii="Times New Roman" w:hAnsi="Times New Roman" w:cs="Times New Roman"/>
      <w:sz w:val="24"/>
      <w:szCs w:val="24"/>
    </w:rPr>
  </w:style>
  <w:style w:type="character" w:customStyle="1" w:styleId="791">
    <w:name w:val="标题 4 Char Char"/>
    <w:qFormat/>
    <w:uiPriority w:val="0"/>
    <w:rPr>
      <w:rFonts w:ascii="Arial" w:hAnsi="Arial" w:eastAsia="宋体"/>
      <w:b/>
      <w:bCs/>
      <w:kern w:val="2"/>
      <w:sz w:val="21"/>
      <w:szCs w:val="28"/>
      <w:lang w:val="en-US" w:eastAsia="zh-CN" w:bidi="ar-SA"/>
    </w:rPr>
  </w:style>
  <w:style w:type="character" w:customStyle="1" w:styleId="792">
    <w:name w:val="z-窗体底端 Char1"/>
    <w:qFormat/>
    <w:uiPriority w:val="0"/>
    <w:rPr>
      <w:rFonts w:ascii="Arial" w:hAnsi="Arial" w:cs="Arial"/>
      <w:vanish/>
      <w:kern w:val="2"/>
      <w:sz w:val="16"/>
      <w:szCs w:val="16"/>
    </w:rPr>
  </w:style>
  <w:style w:type="character" w:customStyle="1" w:styleId="793">
    <w:name w:val="bds_more6"/>
    <w:qFormat/>
    <w:uiPriority w:val="0"/>
    <w:rPr>
      <w:rFonts w:hint="eastAsia" w:ascii="宋体" w:hAnsi="宋体" w:eastAsia="宋体" w:cs="宋体"/>
    </w:rPr>
  </w:style>
  <w:style w:type="character" w:customStyle="1" w:styleId="794">
    <w:name w:val="Font Style133"/>
    <w:unhideWhenUsed/>
    <w:qFormat/>
    <w:uiPriority w:val="0"/>
    <w:rPr>
      <w:rFonts w:hint="eastAsia" w:ascii="宋体" w:hAnsi="宋体" w:eastAsia="宋体"/>
      <w:spacing w:val="30"/>
      <w:sz w:val="24"/>
    </w:rPr>
  </w:style>
  <w:style w:type="character" w:customStyle="1" w:styleId="795">
    <w:name w:val="副标题 Char1"/>
    <w:qFormat/>
    <w:uiPriority w:val="0"/>
    <w:rPr>
      <w:rFonts w:ascii="Cambria" w:hAnsi="Cambria" w:cs="Times New Roman"/>
      <w:b/>
      <w:bCs/>
      <w:kern w:val="28"/>
      <w:sz w:val="32"/>
      <w:szCs w:val="32"/>
    </w:rPr>
  </w:style>
  <w:style w:type="character" w:customStyle="1" w:styleId="796">
    <w:name w:val="headline-content"/>
    <w:qFormat/>
    <w:uiPriority w:val="0"/>
  </w:style>
  <w:style w:type="character" w:customStyle="1" w:styleId="797">
    <w:name w:val="content_2"/>
    <w:qFormat/>
    <w:uiPriority w:val="0"/>
    <w:rPr>
      <w:sz w:val="19"/>
      <w:szCs w:val="19"/>
    </w:rPr>
  </w:style>
  <w:style w:type="character" w:customStyle="1" w:styleId="798">
    <w:name w:val="样式 样式 首行缩进:  2 字符1 + 首行缩进:  2 字符 Char"/>
    <w:link w:val="225"/>
    <w:qFormat/>
    <w:uiPriority w:val="0"/>
    <w:rPr>
      <w:rFonts w:ascii="宋体" w:hAnsi="宋体"/>
      <w:kern w:val="2"/>
      <w:sz w:val="24"/>
    </w:rPr>
  </w:style>
  <w:style w:type="character" w:customStyle="1" w:styleId="799">
    <w:name w:val="Font Style134"/>
    <w:unhideWhenUsed/>
    <w:qFormat/>
    <w:uiPriority w:val="0"/>
    <w:rPr>
      <w:rFonts w:hint="eastAsia" w:ascii="宋体" w:hAnsi="宋体" w:eastAsia="宋体"/>
      <w:spacing w:val="20"/>
      <w:sz w:val="22"/>
    </w:rPr>
  </w:style>
  <w:style w:type="character" w:customStyle="1" w:styleId="800">
    <w:name w:val="content_11"/>
    <w:qFormat/>
    <w:uiPriority w:val="0"/>
    <w:rPr>
      <w:sz w:val="19"/>
      <w:szCs w:val="19"/>
    </w:rPr>
  </w:style>
  <w:style w:type="character" w:customStyle="1" w:styleId="801">
    <w:name w:val="标题 8 Char1"/>
    <w:qFormat/>
    <w:uiPriority w:val="0"/>
    <w:rPr>
      <w:rFonts w:ascii="Arial" w:hAnsi="Arial" w:eastAsia="黑体" w:cs="Times New Roman"/>
      <w:kern w:val="0"/>
      <w:sz w:val="24"/>
      <w:szCs w:val="24"/>
    </w:rPr>
  </w:style>
  <w:style w:type="character" w:customStyle="1" w:styleId="802">
    <w:name w:val="ca-0"/>
    <w:qFormat/>
    <w:uiPriority w:val="0"/>
  </w:style>
  <w:style w:type="character" w:customStyle="1" w:styleId="803">
    <w:name w:val="p21"/>
    <w:qFormat/>
    <w:uiPriority w:val="0"/>
    <w:rPr>
      <w:sz w:val="9"/>
      <w:szCs w:val="9"/>
    </w:rPr>
  </w:style>
  <w:style w:type="character" w:customStyle="1" w:styleId="804">
    <w:name w:val="font21"/>
    <w:qFormat/>
    <w:uiPriority w:val="0"/>
    <w:rPr>
      <w:rFonts w:hint="default" w:ascii="Times New Roman" w:hAnsi="Times New Roman" w:cs="Times New Roman"/>
      <w:b/>
      <w:color w:val="000000"/>
      <w:sz w:val="20"/>
      <w:szCs w:val="20"/>
    </w:rPr>
  </w:style>
  <w:style w:type="character" w:customStyle="1" w:styleId="805">
    <w:name w:val="new1"/>
    <w:qFormat/>
    <w:uiPriority w:val="0"/>
    <w:rPr>
      <w:color w:val="274F00"/>
      <w:sz w:val="18"/>
      <w:szCs w:val="18"/>
    </w:rPr>
  </w:style>
  <w:style w:type="character" w:customStyle="1" w:styleId="806">
    <w:name w:val="正文文本缩进 3 Char1"/>
    <w:qFormat/>
    <w:uiPriority w:val="0"/>
    <w:rPr>
      <w:rFonts w:ascii="Times New Roman" w:hAnsi="Times New Roman" w:eastAsia="宋体" w:cs="Times New Roman"/>
      <w:sz w:val="16"/>
      <w:szCs w:val="16"/>
    </w:rPr>
  </w:style>
  <w:style w:type="character" w:customStyle="1" w:styleId="807">
    <w:name w:val="样式 宋体 小四"/>
    <w:qFormat/>
    <w:uiPriority w:val="0"/>
    <w:rPr>
      <w:rFonts w:ascii="Times New Roman" w:hAnsi="Times New Roman" w:eastAsia="宋体"/>
      <w:sz w:val="24"/>
    </w:rPr>
  </w:style>
  <w:style w:type="character" w:customStyle="1" w:styleId="808">
    <w:name w:val="Char Char17"/>
    <w:qFormat/>
    <w:uiPriority w:val="0"/>
    <w:rPr>
      <w:rFonts w:ascii="宋体" w:hAnsi="Times New Roman" w:eastAsia="宋体"/>
      <w:b/>
      <w:sz w:val="28"/>
      <w:lang w:val="en-US" w:eastAsia="zh-CN" w:bidi="ar-SA"/>
    </w:rPr>
  </w:style>
  <w:style w:type="character" w:customStyle="1" w:styleId="809">
    <w:name w:val="Char Char15"/>
    <w:qFormat/>
    <w:uiPriority w:val="0"/>
    <w:rPr>
      <w:b/>
      <w:bCs/>
      <w:sz w:val="24"/>
      <w:szCs w:val="24"/>
    </w:rPr>
  </w:style>
  <w:style w:type="character" w:customStyle="1" w:styleId="810">
    <w:name w:val="p0 Char"/>
    <w:link w:val="226"/>
    <w:qFormat/>
    <w:locked/>
    <w:uiPriority w:val="99"/>
    <w:rPr>
      <w:rFonts w:ascii="宋体" w:hAnsi="宋体"/>
      <w:sz w:val="21"/>
      <w:szCs w:val="21"/>
    </w:rPr>
  </w:style>
  <w:style w:type="character" w:customStyle="1" w:styleId="811">
    <w:name w:val="font5 Char"/>
    <w:qFormat/>
    <w:uiPriority w:val="0"/>
    <w:rPr>
      <w:rFonts w:ascii="宋体" w:hAnsi="宋体" w:eastAsia="宋体"/>
      <w:sz w:val="18"/>
      <w:szCs w:val="18"/>
      <w:lang w:val="en-US" w:eastAsia="zh-CN" w:bidi="ar-SA"/>
    </w:rPr>
  </w:style>
  <w:style w:type="character" w:customStyle="1" w:styleId="812">
    <w:name w:val="章 Char Char1"/>
    <w:qFormat/>
    <w:uiPriority w:val="0"/>
    <w:rPr>
      <w:rFonts w:eastAsia="宋体"/>
      <w:b/>
      <w:bCs/>
      <w:kern w:val="44"/>
      <w:sz w:val="44"/>
      <w:szCs w:val="44"/>
      <w:lang w:val="en-US" w:eastAsia="zh-CN" w:bidi="ar-SA"/>
    </w:rPr>
  </w:style>
  <w:style w:type="character" w:customStyle="1" w:styleId="813">
    <w:name w:val="Font Style115"/>
    <w:unhideWhenUsed/>
    <w:qFormat/>
    <w:uiPriority w:val="0"/>
    <w:rPr>
      <w:rFonts w:hint="eastAsia" w:ascii="Times New Roman" w:hAnsi="Times New Roman" w:eastAsia="Times New Roman"/>
      <w:sz w:val="16"/>
    </w:rPr>
  </w:style>
  <w:style w:type="character" w:customStyle="1" w:styleId="814">
    <w:name w:val="textcontents"/>
    <w:qFormat/>
    <w:uiPriority w:val="0"/>
  </w:style>
  <w:style w:type="character" w:customStyle="1" w:styleId="815">
    <w:name w:val="font101"/>
    <w:qFormat/>
    <w:uiPriority w:val="0"/>
    <w:rPr>
      <w:rFonts w:hint="default" w:ascii="Times New Roman" w:hAnsi="Times New Roman" w:cs="Times New Roman"/>
      <w:color w:val="000000"/>
      <w:sz w:val="18"/>
      <w:szCs w:val="18"/>
      <w:vertAlign w:val="superscript"/>
    </w:rPr>
  </w:style>
  <w:style w:type="character" w:customStyle="1" w:styleId="816">
    <w:name w:val="content_table1"/>
    <w:qFormat/>
    <w:uiPriority w:val="0"/>
    <w:rPr>
      <w:sz w:val="19"/>
      <w:szCs w:val="19"/>
    </w:rPr>
  </w:style>
  <w:style w:type="character" w:customStyle="1" w:styleId="817">
    <w:name w:val="正文小4号字 Char"/>
    <w:link w:val="227"/>
    <w:qFormat/>
    <w:uiPriority w:val="0"/>
    <w:rPr>
      <w:rFonts w:ascii="宋体" w:hAnsi="宋体"/>
      <w:position w:val="-14"/>
      <w:sz w:val="28"/>
      <w:szCs w:val="30"/>
    </w:rPr>
  </w:style>
  <w:style w:type="character" w:customStyle="1" w:styleId="818">
    <w:name w:val="style181"/>
    <w:qFormat/>
    <w:uiPriority w:val="0"/>
    <w:rPr>
      <w:rFonts w:hint="eastAsia" w:ascii="宋体" w:hAnsi="宋体" w:eastAsia="宋体"/>
      <w:color w:val="666666"/>
    </w:rPr>
  </w:style>
  <w:style w:type="character" w:customStyle="1" w:styleId="819">
    <w:name w:val="样式 首行缩进:  2 字符1 Char"/>
    <w:link w:val="228"/>
    <w:qFormat/>
    <w:uiPriority w:val="0"/>
    <w:rPr>
      <w:rFonts w:ascii="Arial" w:hAnsi="Arial"/>
      <w:kern w:val="2"/>
      <w:sz w:val="24"/>
    </w:rPr>
  </w:style>
  <w:style w:type="character" w:customStyle="1" w:styleId="820">
    <w:name w:val="表头"/>
    <w:qFormat/>
    <w:uiPriority w:val="0"/>
    <w:rPr>
      <w:rFonts w:ascii="黑体" w:eastAsia="黑体"/>
      <w:color w:val="auto"/>
      <w:sz w:val="24"/>
      <w:szCs w:val="24"/>
    </w:rPr>
  </w:style>
  <w:style w:type="character" w:customStyle="1" w:styleId="821">
    <w:name w:val="不明显强调1"/>
    <w:qFormat/>
    <w:uiPriority w:val="19"/>
    <w:rPr>
      <w:i/>
      <w:iCs/>
      <w:color w:val="808080"/>
    </w:rPr>
  </w:style>
  <w:style w:type="character" w:customStyle="1" w:styleId="822">
    <w:name w:val="标题 4 Char1"/>
    <w:qFormat/>
    <w:uiPriority w:val="0"/>
    <w:rPr>
      <w:rFonts w:ascii="Arial" w:hAnsi="Arial" w:eastAsia="黑体" w:cs="Times New Roman"/>
      <w:b/>
      <w:bCs/>
      <w:sz w:val="28"/>
      <w:szCs w:val="28"/>
    </w:rPr>
  </w:style>
  <w:style w:type="character" w:customStyle="1" w:styleId="823">
    <w:name w:val="style1171"/>
    <w:qFormat/>
    <w:uiPriority w:val="0"/>
    <w:rPr>
      <w:b/>
      <w:bCs/>
      <w:sz w:val="20"/>
      <w:szCs w:val="20"/>
    </w:rPr>
  </w:style>
  <w:style w:type="character" w:customStyle="1" w:styleId="824">
    <w:name w:val="bds_nopic"/>
    <w:qFormat/>
    <w:uiPriority w:val="0"/>
    <w:rPr>
      <w:rFonts w:ascii="Times New Roman" w:hAnsi="Times New Roman" w:eastAsia="宋体"/>
    </w:rPr>
  </w:style>
  <w:style w:type="character" w:customStyle="1" w:styleId="825">
    <w:name w:val="content"/>
    <w:qFormat/>
    <w:uiPriority w:val="0"/>
    <w:rPr>
      <w:sz w:val="19"/>
      <w:szCs w:val="19"/>
    </w:rPr>
  </w:style>
  <w:style w:type="character" w:customStyle="1" w:styleId="826">
    <w:name w:val="Font Style127"/>
    <w:unhideWhenUsed/>
    <w:qFormat/>
    <w:uiPriority w:val="0"/>
    <w:rPr>
      <w:rFonts w:hint="eastAsia" w:ascii="Times New Roman" w:hAnsi="Times New Roman" w:eastAsia="Times New Roman"/>
      <w:sz w:val="20"/>
    </w:rPr>
  </w:style>
  <w:style w:type="character" w:customStyle="1" w:styleId="827">
    <w:name w:val="sidecatalog-dot"/>
    <w:qFormat/>
    <w:uiPriority w:val="0"/>
    <w:rPr>
      <w:rFonts w:ascii="Times New Roman" w:hAnsi="Times New Roman" w:eastAsia="宋体"/>
    </w:rPr>
  </w:style>
  <w:style w:type="character" w:customStyle="1" w:styleId="828">
    <w:name w:val="font111"/>
    <w:qFormat/>
    <w:uiPriority w:val="0"/>
    <w:rPr>
      <w:rFonts w:hint="default" w:ascii="Times New Roman" w:hAnsi="Times New Roman" w:cs="Times New Roman"/>
      <w:color w:val="000000"/>
      <w:sz w:val="20"/>
      <w:szCs w:val="20"/>
      <w:vertAlign w:val="superscript"/>
    </w:rPr>
  </w:style>
  <w:style w:type="character" w:customStyle="1" w:styleId="829">
    <w:name w:val="Char Char14"/>
    <w:qFormat/>
    <w:uiPriority w:val="0"/>
    <w:rPr>
      <w:rFonts w:ascii="Arial" w:hAnsi="Arial" w:eastAsia="黑体"/>
      <w:b/>
      <w:bCs/>
      <w:sz w:val="28"/>
      <w:szCs w:val="28"/>
      <w:lang w:val="en-US" w:eastAsia="zh-CN" w:bidi="ar-SA"/>
    </w:rPr>
  </w:style>
  <w:style w:type="character" w:customStyle="1" w:styleId="830">
    <w:name w:val="Char Char16"/>
    <w:qFormat/>
    <w:uiPriority w:val="0"/>
    <w:rPr>
      <w:rFonts w:ascii="宋体" w:hAnsi="Times New Roman" w:eastAsia="宋体"/>
      <w:b/>
      <w:sz w:val="24"/>
      <w:lang w:val="en-US" w:eastAsia="zh-CN" w:bidi="ar-SA"/>
    </w:rPr>
  </w:style>
  <w:style w:type="character" w:customStyle="1" w:styleId="831">
    <w:name w:val="bds_nopic1"/>
    <w:qFormat/>
    <w:uiPriority w:val="0"/>
    <w:rPr>
      <w:rFonts w:ascii="Times New Roman" w:hAnsi="Times New Roman" w:eastAsia="宋体"/>
    </w:rPr>
  </w:style>
  <w:style w:type="character" w:customStyle="1" w:styleId="832">
    <w:name w:val="polysemyred"/>
    <w:qFormat/>
    <w:uiPriority w:val="0"/>
    <w:rPr>
      <w:rFonts w:ascii="Times New Roman" w:hAnsi="Times New Roman" w:eastAsia="宋体"/>
      <w:color w:val="FF6666"/>
      <w:sz w:val="18"/>
      <w:szCs w:val="18"/>
    </w:rPr>
  </w:style>
  <w:style w:type="character" w:customStyle="1" w:styleId="833">
    <w:name w:val="样式 宋体 四号 行距: 1.5 倍行距 Char"/>
    <w:link w:val="229"/>
    <w:qFormat/>
    <w:uiPriority w:val="0"/>
    <w:rPr>
      <w:rFonts w:ascii="宋体" w:hAnsi="宋体"/>
      <w:kern w:val="2"/>
      <w:sz w:val="24"/>
      <w:szCs w:val="24"/>
    </w:rPr>
  </w:style>
  <w:style w:type="character" w:customStyle="1" w:styleId="834">
    <w:name w:val="批注文字 Char1"/>
    <w:semiHidden/>
    <w:qFormat/>
    <w:uiPriority w:val="0"/>
    <w:rPr>
      <w:rFonts w:ascii="Times New Roman" w:hAnsi="Times New Roman" w:eastAsia="宋体" w:cs="Times New Roman"/>
      <w:szCs w:val="24"/>
    </w:rPr>
  </w:style>
  <w:style w:type="character" w:customStyle="1" w:styleId="835">
    <w:name w:val="Font Style128"/>
    <w:unhideWhenUsed/>
    <w:qFormat/>
    <w:uiPriority w:val="0"/>
    <w:rPr>
      <w:rFonts w:hint="eastAsia" w:ascii="Times New Roman" w:hAnsi="Times New Roman" w:eastAsia="Times New Roman"/>
      <w:sz w:val="16"/>
    </w:rPr>
  </w:style>
  <w:style w:type="character" w:customStyle="1" w:styleId="836">
    <w:name w:val="样式 粉红 下划线"/>
    <w:qFormat/>
    <w:uiPriority w:val="0"/>
    <w:rPr>
      <w:color w:val="auto"/>
      <w:u w:val="none"/>
    </w:rPr>
  </w:style>
  <w:style w:type="character" w:customStyle="1" w:styleId="837">
    <w:name w:val="标题 4 Char Char1"/>
    <w:qFormat/>
    <w:uiPriority w:val="0"/>
    <w:rPr>
      <w:rFonts w:ascii="Arial" w:hAnsi="Arial" w:eastAsia="黑体"/>
      <w:b/>
      <w:bCs/>
      <w:kern w:val="2"/>
      <w:sz w:val="28"/>
      <w:szCs w:val="28"/>
      <w:lang w:val="en-US" w:eastAsia="zh-CN" w:bidi="ar-SA"/>
    </w:rPr>
  </w:style>
  <w:style w:type="character" w:customStyle="1" w:styleId="838">
    <w:name w:val="正文文字4 Char Char"/>
    <w:qFormat/>
    <w:uiPriority w:val="0"/>
    <w:rPr>
      <w:rFonts w:eastAsia="宋体"/>
      <w:kern w:val="2"/>
      <w:sz w:val="21"/>
      <w:szCs w:val="24"/>
      <w:lang w:val="en-US" w:eastAsia="zh-CN" w:bidi="ar-SA"/>
    </w:rPr>
  </w:style>
  <w:style w:type="character" w:customStyle="1" w:styleId="839">
    <w:name w:val="ca-3"/>
    <w:qFormat/>
    <w:uiPriority w:val="0"/>
  </w:style>
  <w:style w:type="character" w:customStyle="1" w:styleId="840">
    <w:name w:val="font91"/>
    <w:qFormat/>
    <w:uiPriority w:val="0"/>
    <w:rPr>
      <w:rFonts w:hint="default" w:ascii="Times New Roman" w:hAnsi="Times New Roman" w:cs="Times New Roman"/>
      <w:color w:val="000000"/>
      <w:sz w:val="21"/>
      <w:szCs w:val="21"/>
    </w:rPr>
  </w:style>
  <w:style w:type="character" w:customStyle="1" w:styleId="841">
    <w:name w:val="HTML 预设格式 Char1"/>
    <w:qFormat/>
    <w:uiPriority w:val="0"/>
    <w:rPr>
      <w:rFonts w:ascii="Courier New" w:hAnsi="Courier New" w:cs="Courier New"/>
      <w:kern w:val="2"/>
    </w:rPr>
  </w:style>
  <w:style w:type="character" w:customStyle="1" w:styleId="842">
    <w:name w:val="sort"/>
    <w:qFormat/>
    <w:uiPriority w:val="0"/>
    <w:rPr>
      <w:rFonts w:ascii="Times New Roman" w:hAnsi="Times New Roman" w:eastAsia="宋体"/>
      <w:color w:val="FFFFFF"/>
      <w:bdr w:val="single" w:color="auto" w:sz="24" w:space="0"/>
    </w:rPr>
  </w:style>
  <w:style w:type="character" w:customStyle="1" w:styleId="843">
    <w:name w:val="标题 9 Char1"/>
    <w:qFormat/>
    <w:uiPriority w:val="0"/>
    <w:rPr>
      <w:rFonts w:ascii="Arial" w:hAnsi="Arial" w:eastAsia="黑体" w:cs="Times New Roman"/>
      <w:kern w:val="0"/>
      <w:szCs w:val="21"/>
    </w:rPr>
  </w:style>
  <w:style w:type="character" w:customStyle="1" w:styleId="844">
    <w:name w:val="样式38 Char"/>
    <w:link w:val="230"/>
    <w:qFormat/>
    <w:uiPriority w:val="0"/>
    <w:rPr>
      <w:color w:val="000000"/>
      <w:sz w:val="24"/>
      <w:szCs w:val="24"/>
    </w:rPr>
  </w:style>
  <w:style w:type="character" w:customStyle="1" w:styleId="845">
    <w:name w:val="标题 3 Char1"/>
    <w:qFormat/>
    <w:uiPriority w:val="0"/>
    <w:rPr>
      <w:rFonts w:ascii="Times New Roman" w:hAnsi="Times New Roman" w:eastAsia="宋体" w:cs="Times New Roman"/>
      <w:b/>
      <w:bCs/>
      <w:sz w:val="32"/>
      <w:szCs w:val="32"/>
    </w:rPr>
  </w:style>
  <w:style w:type="character" w:customStyle="1" w:styleId="846">
    <w:name w:val="正文缩进两字 Char Char Char Char Char"/>
    <w:qFormat/>
    <w:uiPriority w:val="0"/>
    <w:rPr>
      <w:rFonts w:ascii="宋体" w:hAnsi="宋体" w:eastAsia="宋体"/>
      <w:kern w:val="2"/>
      <w:sz w:val="21"/>
      <w:lang w:val="en-US" w:eastAsia="zh-CN" w:bidi="ar-SA"/>
    </w:rPr>
  </w:style>
  <w:style w:type="character" w:customStyle="1" w:styleId="847">
    <w:name w:val="手改 Char Char"/>
    <w:qFormat/>
    <w:uiPriority w:val="0"/>
    <w:rPr>
      <w:rFonts w:eastAsia="宋体"/>
      <w:kern w:val="2"/>
      <w:sz w:val="21"/>
      <w:szCs w:val="24"/>
      <w:lang w:val="en-US" w:eastAsia="zh-CN" w:bidi="ar-SA"/>
    </w:rPr>
  </w:style>
  <w:style w:type="character" w:customStyle="1" w:styleId="848">
    <w:name w:val="日期 Char1"/>
    <w:qFormat/>
    <w:uiPriority w:val="0"/>
    <w:rPr>
      <w:rFonts w:ascii="Times New Roman" w:hAnsi="Times New Roman" w:eastAsia="宋体" w:cs="Times New Roman"/>
      <w:sz w:val="24"/>
      <w:szCs w:val="20"/>
    </w:rPr>
  </w:style>
  <w:style w:type="character" w:customStyle="1" w:styleId="849">
    <w:name w:val="Font Style116"/>
    <w:unhideWhenUsed/>
    <w:qFormat/>
    <w:uiPriority w:val="0"/>
    <w:rPr>
      <w:rFonts w:hint="eastAsia" w:ascii="宋体" w:hAnsi="宋体" w:eastAsia="宋体"/>
      <w:spacing w:val="-20"/>
      <w:sz w:val="24"/>
    </w:rPr>
  </w:style>
  <w:style w:type="character" w:customStyle="1" w:styleId="850">
    <w:name w:val="正文文本 2 Char1"/>
    <w:qFormat/>
    <w:uiPriority w:val="0"/>
    <w:rPr>
      <w:kern w:val="2"/>
      <w:sz w:val="21"/>
      <w:szCs w:val="24"/>
    </w:rPr>
  </w:style>
  <w:style w:type="character" w:customStyle="1" w:styleId="851">
    <w:name w:val="样式8 Char"/>
    <w:link w:val="232"/>
    <w:qFormat/>
    <w:uiPriority w:val="0"/>
    <w:rPr>
      <w:sz w:val="21"/>
      <w:szCs w:val="21"/>
      <w:lang w:val="zh-CN"/>
    </w:rPr>
  </w:style>
  <w:style w:type="character" w:customStyle="1" w:styleId="852">
    <w:name w:val="样式 标题 4 + 宋体 段前: 0.5 行 行距: 单倍行距 Char"/>
    <w:link w:val="233"/>
    <w:qFormat/>
    <w:uiPriority w:val="0"/>
    <w:rPr>
      <w:rFonts w:ascii="宋体" w:hAnsi="宋体"/>
      <w:sz w:val="24"/>
    </w:rPr>
  </w:style>
  <w:style w:type="character" w:customStyle="1" w:styleId="853">
    <w:name w:val="desc"/>
    <w:qFormat/>
    <w:uiPriority w:val="0"/>
    <w:rPr>
      <w:rFonts w:ascii="Times New Roman" w:hAnsi="Times New Roman" w:eastAsia="宋体"/>
      <w:color w:val="000000"/>
      <w:sz w:val="18"/>
      <w:szCs w:val="18"/>
    </w:rPr>
  </w:style>
  <w:style w:type="character" w:customStyle="1" w:styleId="854">
    <w:name w:val="font61"/>
    <w:qFormat/>
    <w:uiPriority w:val="0"/>
    <w:rPr>
      <w:rFonts w:hint="eastAsia" w:ascii="宋体" w:hAnsi="宋体" w:eastAsia="宋体" w:cs="宋体"/>
      <w:color w:val="000000"/>
      <w:sz w:val="20"/>
      <w:szCs w:val="20"/>
    </w:rPr>
  </w:style>
  <w:style w:type="character" w:customStyle="1" w:styleId="855">
    <w:name w:val="样式 首行缩进:  2 字符2 Char"/>
    <w:link w:val="234"/>
    <w:qFormat/>
    <w:uiPriority w:val="0"/>
    <w:rPr>
      <w:rFonts w:ascii="宋体" w:hAnsi="宋体"/>
      <w:kern w:val="18"/>
      <w:sz w:val="24"/>
    </w:rPr>
  </w:style>
  <w:style w:type="character" w:customStyle="1" w:styleId="856">
    <w:name w:val="表头 Char"/>
    <w:qFormat/>
    <w:uiPriority w:val="0"/>
    <w:rPr>
      <w:rFonts w:eastAsia="黑体"/>
      <w:sz w:val="28"/>
      <w:lang w:val="en-US" w:eastAsia="zh-CN" w:bidi="ar-SA"/>
    </w:rPr>
  </w:style>
  <w:style w:type="character" w:customStyle="1" w:styleId="857">
    <w:name w:val="Font Style122"/>
    <w:unhideWhenUsed/>
    <w:qFormat/>
    <w:uiPriority w:val="0"/>
    <w:rPr>
      <w:rFonts w:hint="eastAsia" w:ascii="宋体" w:hAnsi="宋体" w:eastAsia="宋体"/>
      <w:spacing w:val="20"/>
      <w:sz w:val="24"/>
    </w:rPr>
  </w:style>
  <w:style w:type="character" w:customStyle="1" w:styleId="858">
    <w:name w:val="表格1 Char"/>
    <w:link w:val="235"/>
    <w:qFormat/>
    <w:locked/>
    <w:uiPriority w:val="0"/>
    <w:rPr>
      <w:rFonts w:ascii="宋体" w:hAnsi="宋体"/>
      <w:spacing w:val="-20"/>
      <w:sz w:val="21"/>
      <w:szCs w:val="21"/>
    </w:rPr>
  </w:style>
  <w:style w:type="character" w:customStyle="1" w:styleId="859">
    <w:name w:val="样式 标题 3 + 红色 Char"/>
    <w:link w:val="236"/>
    <w:qFormat/>
    <w:uiPriority w:val="0"/>
    <w:rPr>
      <w:rFonts w:ascii="宋体" w:hAnsi="Calibri"/>
      <w:b/>
      <w:color w:val="FF0000"/>
      <w:sz w:val="24"/>
      <w:szCs w:val="32"/>
    </w:rPr>
  </w:style>
  <w:style w:type="character" w:customStyle="1" w:styleId="860">
    <w:name w:val="引用 字符"/>
    <w:link w:val="237"/>
    <w:qFormat/>
    <w:uiPriority w:val="29"/>
    <w:rPr>
      <w:rFonts w:ascii="Calibri" w:hAnsi="Calibri"/>
      <w:i/>
      <w:iCs/>
      <w:color w:val="000000"/>
      <w:kern w:val="2"/>
      <w:sz w:val="21"/>
      <w:szCs w:val="24"/>
    </w:rPr>
  </w:style>
  <w:style w:type="character" w:customStyle="1" w:styleId="861">
    <w:name w:val="font131"/>
    <w:qFormat/>
    <w:uiPriority w:val="0"/>
    <w:rPr>
      <w:rFonts w:hint="default" w:ascii="Times New Roman" w:hAnsi="Times New Roman" w:cs="Times New Roman"/>
      <w:color w:val="000000"/>
      <w:sz w:val="20"/>
      <w:szCs w:val="20"/>
      <w:vertAlign w:val="superscript"/>
    </w:rPr>
  </w:style>
  <w:style w:type="character" w:customStyle="1" w:styleId="862">
    <w:name w:val="标题 5 Char1"/>
    <w:qFormat/>
    <w:uiPriority w:val="0"/>
    <w:rPr>
      <w:rFonts w:ascii="Times New Roman" w:hAnsi="Times New Roman" w:eastAsia="宋体" w:cs="Times New Roman"/>
      <w:b/>
      <w:bCs/>
      <w:kern w:val="0"/>
      <w:sz w:val="28"/>
      <w:szCs w:val="28"/>
    </w:rPr>
  </w:style>
  <w:style w:type="character" w:customStyle="1" w:styleId="863">
    <w:name w:val="font71"/>
    <w:qFormat/>
    <w:uiPriority w:val="0"/>
    <w:rPr>
      <w:rFonts w:hint="default" w:ascii="Times New Roman" w:hAnsi="Times New Roman" w:cs="Times New Roman"/>
      <w:color w:val="000000"/>
      <w:sz w:val="18"/>
      <w:szCs w:val="18"/>
    </w:rPr>
  </w:style>
  <w:style w:type="character" w:customStyle="1" w:styleId="864">
    <w:name w:val="小标题 Char"/>
    <w:qFormat/>
    <w:uiPriority w:val="0"/>
    <w:rPr>
      <w:rFonts w:ascii="仿宋_GB2312" w:eastAsia="仿宋_GB2312"/>
      <w:b/>
      <w:sz w:val="28"/>
      <w:szCs w:val="28"/>
      <w:lang w:val="en-US" w:eastAsia="zh-CN" w:bidi="ar-SA"/>
    </w:rPr>
  </w:style>
  <w:style w:type="character" w:customStyle="1" w:styleId="865">
    <w:name w:val="样式 标题 3 + 宋体 段前: 0.5 行 行距: 单倍行距 Char"/>
    <w:link w:val="238"/>
    <w:qFormat/>
    <w:uiPriority w:val="0"/>
    <w:rPr>
      <w:rFonts w:ascii="宋体" w:hAnsi="宋体"/>
      <w:sz w:val="24"/>
      <w:lang w:val="zh-CN"/>
    </w:rPr>
  </w:style>
  <w:style w:type="character" w:customStyle="1" w:styleId="866">
    <w:name w:val="标题 Char2"/>
    <w:qFormat/>
    <w:uiPriority w:val="0"/>
    <w:rPr>
      <w:rFonts w:ascii="Cambria" w:hAnsi="Cambria" w:cs="Times New Roman"/>
      <w:b/>
      <w:bCs/>
      <w:kern w:val="2"/>
      <w:sz w:val="32"/>
      <w:szCs w:val="32"/>
    </w:rPr>
  </w:style>
  <w:style w:type="character" w:customStyle="1" w:styleId="867">
    <w:name w:val="标题 2XW Char"/>
    <w:qFormat/>
    <w:uiPriority w:val="0"/>
    <w:rPr>
      <w:rFonts w:ascii="Arial" w:hAnsi="Arial" w:eastAsia="黑体"/>
      <w:b/>
      <w:bCs/>
      <w:kern w:val="2"/>
      <w:sz w:val="32"/>
      <w:szCs w:val="32"/>
      <w:lang w:val="en-US" w:eastAsia="zh-CN" w:bidi="ar-SA"/>
    </w:rPr>
  </w:style>
  <w:style w:type="character" w:customStyle="1" w:styleId="868">
    <w:name w:val="正  文 Char"/>
    <w:link w:val="239"/>
    <w:qFormat/>
    <w:uiPriority w:val="0"/>
    <w:rPr>
      <w:rFonts w:ascii="宋体" w:hAnsi="Calibri"/>
      <w:kern w:val="2"/>
      <w:sz w:val="24"/>
      <w:szCs w:val="24"/>
    </w:rPr>
  </w:style>
  <w:style w:type="character" w:customStyle="1" w:styleId="869">
    <w:name w:val="morelink-item"/>
    <w:qFormat/>
    <w:uiPriority w:val="0"/>
    <w:rPr>
      <w:rFonts w:ascii="Times New Roman" w:hAnsi="Times New Roman" w:eastAsia="宋体"/>
    </w:rPr>
  </w:style>
  <w:style w:type="character" w:customStyle="1" w:styleId="870">
    <w:name w:val="font51"/>
    <w:qFormat/>
    <w:uiPriority w:val="0"/>
    <w:rPr>
      <w:rFonts w:hint="default" w:ascii="Times New Roman" w:hAnsi="Times New Roman" w:cs="Times New Roman"/>
      <w:color w:val="000000"/>
      <w:sz w:val="20"/>
      <w:szCs w:val="20"/>
    </w:rPr>
  </w:style>
  <w:style w:type="character" w:customStyle="1" w:styleId="871">
    <w:name w:val="Char Char10"/>
    <w:qFormat/>
    <w:uiPriority w:val="0"/>
    <w:rPr>
      <w:rFonts w:ascii="Times New Roman" w:hAnsi="Times New Roman" w:eastAsia="宋体"/>
      <w:sz w:val="18"/>
    </w:rPr>
  </w:style>
  <w:style w:type="character" w:customStyle="1" w:styleId="872">
    <w:name w:val="纯文本 Char1"/>
    <w:qFormat/>
    <w:locked/>
    <w:uiPriority w:val="0"/>
    <w:rPr>
      <w:rFonts w:ascii="宋体" w:hAnsi="Courier New" w:eastAsia="宋体" w:cs="Courier New"/>
      <w:szCs w:val="21"/>
    </w:rPr>
  </w:style>
  <w:style w:type="character" w:customStyle="1" w:styleId="873">
    <w:name w:val="表格1 Char1"/>
    <w:qFormat/>
    <w:locked/>
    <w:uiPriority w:val="0"/>
    <w:rPr>
      <w:rFonts w:eastAsia="宋体"/>
      <w:kern w:val="2"/>
      <w:sz w:val="21"/>
      <w:szCs w:val="21"/>
      <w:lang w:val="en-US" w:eastAsia="zh-CN" w:bidi="ar-SA"/>
    </w:rPr>
  </w:style>
  <w:style w:type="character" w:customStyle="1" w:styleId="874">
    <w:name w:val="bds_more9"/>
    <w:qFormat/>
    <w:uiPriority w:val="0"/>
    <w:rPr>
      <w:rFonts w:ascii="Times New Roman" w:hAnsi="Times New Roman" w:eastAsia="宋体"/>
    </w:rPr>
  </w:style>
  <w:style w:type="character" w:customStyle="1" w:styleId="875">
    <w:name w:val="链接"/>
    <w:qFormat/>
    <w:uiPriority w:val="0"/>
    <w:rPr>
      <w:color w:val="0000FF"/>
      <w:u w:val="single" w:color="0000FF"/>
    </w:rPr>
  </w:style>
  <w:style w:type="character" w:customStyle="1" w:styleId="876">
    <w:name w:val="font81"/>
    <w:qFormat/>
    <w:uiPriority w:val="0"/>
    <w:rPr>
      <w:rFonts w:hint="eastAsia" w:ascii="宋体" w:hAnsi="宋体" w:eastAsia="宋体" w:cs="宋体"/>
      <w:color w:val="000000"/>
      <w:sz w:val="21"/>
      <w:szCs w:val="21"/>
    </w:rPr>
  </w:style>
  <w:style w:type="character" w:customStyle="1" w:styleId="877">
    <w:name w:val="all1"/>
    <w:qFormat/>
    <w:uiPriority w:val="0"/>
    <w:rPr>
      <w:sz w:val="18"/>
      <w:szCs w:val="18"/>
    </w:rPr>
  </w:style>
  <w:style w:type="character" w:customStyle="1" w:styleId="878">
    <w:name w:val="p0 Char Char"/>
    <w:qFormat/>
    <w:uiPriority w:val="0"/>
    <w:rPr>
      <w:rFonts w:eastAsia="宋体"/>
      <w:kern w:val="2"/>
      <w:sz w:val="21"/>
      <w:szCs w:val="21"/>
      <w:lang w:val="en-US" w:eastAsia="zh-CN" w:bidi="ar-SA"/>
    </w:rPr>
  </w:style>
  <w:style w:type="character" w:customStyle="1" w:styleId="879">
    <w:name w:val="Font Style121"/>
    <w:unhideWhenUsed/>
    <w:qFormat/>
    <w:uiPriority w:val="0"/>
    <w:rPr>
      <w:rFonts w:hint="eastAsia" w:ascii="宋体" w:hAnsi="宋体" w:eastAsia="宋体"/>
      <w:spacing w:val="-10"/>
      <w:sz w:val="30"/>
    </w:rPr>
  </w:style>
  <w:style w:type="character" w:customStyle="1" w:styleId="880">
    <w:name w:val="Font Style90"/>
    <w:unhideWhenUsed/>
    <w:qFormat/>
    <w:uiPriority w:val="0"/>
    <w:rPr>
      <w:rFonts w:hint="eastAsia" w:ascii="宋体" w:hAnsi="宋体" w:eastAsia="宋体"/>
      <w:b/>
      <w:spacing w:val="-20"/>
      <w:sz w:val="40"/>
    </w:rPr>
  </w:style>
  <w:style w:type="character" w:customStyle="1" w:styleId="881">
    <w:name w:val="sidecatalog-dot1"/>
    <w:qFormat/>
    <w:uiPriority w:val="0"/>
    <w:rPr>
      <w:rFonts w:ascii="Times New Roman" w:hAnsi="Times New Roman" w:eastAsia="宋体"/>
    </w:rPr>
  </w:style>
  <w:style w:type="character" w:customStyle="1" w:styleId="882">
    <w:name w:val="txt1"/>
    <w:qFormat/>
    <w:uiPriority w:val="0"/>
    <w:rPr>
      <w:rFonts w:hint="default" w:ascii="Verdana" w:hAnsi="Verdana"/>
      <w:color w:val="000000"/>
      <w:sz w:val="20"/>
      <w:szCs w:val="20"/>
    </w:rPr>
  </w:style>
  <w:style w:type="character" w:customStyle="1" w:styleId="883">
    <w:name w:val="正文文本 3 Char1"/>
    <w:qFormat/>
    <w:uiPriority w:val="0"/>
    <w:rPr>
      <w:kern w:val="2"/>
      <w:sz w:val="16"/>
      <w:szCs w:val="16"/>
    </w:rPr>
  </w:style>
  <w:style w:type="character" w:customStyle="1" w:styleId="884">
    <w:name w:val="Font Style94"/>
    <w:unhideWhenUsed/>
    <w:qFormat/>
    <w:uiPriority w:val="0"/>
    <w:rPr>
      <w:rFonts w:hint="eastAsia" w:ascii="Times New Roman" w:hAnsi="Times New Roman" w:eastAsia="Times New Roman"/>
      <w:sz w:val="28"/>
    </w:rPr>
  </w:style>
  <w:style w:type="character" w:customStyle="1" w:styleId="885">
    <w:name w:val="我编辑文档正文 Char"/>
    <w:link w:val="240"/>
    <w:qFormat/>
    <w:uiPriority w:val="0"/>
    <w:rPr>
      <w:rFonts w:ascii="Calibri" w:hAnsi="Calibri"/>
      <w:kern w:val="2"/>
      <w:sz w:val="24"/>
      <w:szCs w:val="24"/>
    </w:rPr>
  </w:style>
  <w:style w:type="character" w:customStyle="1" w:styleId="886">
    <w:name w:val="text1"/>
    <w:qFormat/>
    <w:uiPriority w:val="0"/>
    <w:rPr>
      <w:sz w:val="18"/>
      <w:szCs w:val="18"/>
      <w:u w:val="none"/>
    </w:rPr>
  </w:style>
  <w:style w:type="character" w:customStyle="1" w:styleId="887">
    <w:name w:val="lh22px1"/>
    <w:qFormat/>
    <w:uiPriority w:val="0"/>
  </w:style>
  <w:style w:type="character" w:customStyle="1" w:styleId="888">
    <w:name w:val="apple-style-span"/>
    <w:qFormat/>
    <w:uiPriority w:val="0"/>
  </w:style>
  <w:style w:type="character" w:customStyle="1" w:styleId="889">
    <w:name w:val="样式 标题 2 Char Char + (中文) 宋体"/>
    <w:qFormat/>
    <w:uiPriority w:val="0"/>
    <w:rPr>
      <w:rFonts w:ascii="Arial" w:hAnsi="Arial" w:eastAsia="Times New Roman"/>
      <w:b/>
      <w:bCs/>
      <w:kern w:val="2"/>
      <w:sz w:val="24"/>
      <w:szCs w:val="32"/>
      <w:lang w:val="en-US" w:eastAsia="zh-CN" w:bidi="ar-SA"/>
    </w:rPr>
  </w:style>
  <w:style w:type="character" w:customStyle="1" w:styleId="890">
    <w:name w:val="font01"/>
    <w:qFormat/>
    <w:uiPriority w:val="0"/>
    <w:rPr>
      <w:rFonts w:hint="eastAsia" w:ascii="宋体" w:hAnsi="宋体" w:eastAsia="宋体" w:cs="宋体"/>
      <w:b/>
      <w:color w:val="000000"/>
      <w:sz w:val="20"/>
      <w:szCs w:val="20"/>
    </w:rPr>
  </w:style>
  <w:style w:type="character" w:customStyle="1" w:styleId="891">
    <w:name w:val="ca-21"/>
    <w:qFormat/>
    <w:uiPriority w:val="0"/>
    <w:rPr>
      <w:rFonts w:hint="eastAsia" w:ascii="宋体" w:hAnsi="宋体" w:eastAsia="宋体"/>
      <w:sz w:val="24"/>
      <w:szCs w:val="24"/>
    </w:rPr>
  </w:style>
  <w:style w:type="character" w:customStyle="1" w:styleId="892">
    <w:name w:val="Font Style86"/>
    <w:unhideWhenUsed/>
    <w:qFormat/>
    <w:uiPriority w:val="0"/>
    <w:rPr>
      <w:rFonts w:hint="eastAsia" w:ascii="黑体" w:hAnsi="黑体" w:eastAsia="黑体"/>
      <w:spacing w:val="10"/>
      <w:sz w:val="30"/>
    </w:rPr>
  </w:style>
  <w:style w:type="character" w:customStyle="1" w:styleId="893">
    <w:name w:val="Char Char2"/>
    <w:qFormat/>
    <w:uiPriority w:val="0"/>
    <w:rPr>
      <w:rFonts w:eastAsia="黑体"/>
      <w:kern w:val="2"/>
      <w:sz w:val="24"/>
      <w:lang w:val="en-US" w:eastAsia="zh-CN" w:bidi="ar-SA"/>
    </w:rPr>
  </w:style>
  <w:style w:type="character" w:customStyle="1" w:styleId="894">
    <w:name w:val="页脚 Char1"/>
    <w:qFormat/>
    <w:uiPriority w:val="0"/>
    <w:rPr>
      <w:rFonts w:eastAsia="宋体"/>
      <w:kern w:val="2"/>
      <w:sz w:val="18"/>
      <w:szCs w:val="18"/>
      <w:lang w:val="en-US" w:eastAsia="zh-CN" w:bidi="ar-SA"/>
    </w:rPr>
  </w:style>
  <w:style w:type="character" w:customStyle="1" w:styleId="895">
    <w:name w:val="bds_nopic2"/>
    <w:qFormat/>
    <w:uiPriority w:val="0"/>
    <w:rPr>
      <w:rFonts w:ascii="Times New Roman" w:hAnsi="Times New Roman" w:eastAsia="宋体"/>
    </w:rPr>
  </w:style>
  <w:style w:type="character" w:customStyle="1" w:styleId="896">
    <w:name w:val="页眉 Char1"/>
    <w:link w:val="241"/>
    <w:qFormat/>
    <w:uiPriority w:val="0"/>
    <w:rPr>
      <w:rFonts w:ascii="Calibri" w:hAnsi="Calibri"/>
      <w:kern w:val="2"/>
      <w:sz w:val="18"/>
      <w:szCs w:val="18"/>
    </w:rPr>
  </w:style>
  <w:style w:type="character" w:customStyle="1" w:styleId="897">
    <w:name w:val="样式 粉红"/>
    <w:qFormat/>
    <w:uiPriority w:val="0"/>
    <w:rPr>
      <w:color w:val="auto"/>
      <w:u w:val="none"/>
    </w:rPr>
  </w:style>
  <w:style w:type="character" w:customStyle="1" w:styleId="898">
    <w:name w:val="正文文本缩进 2 Char1"/>
    <w:qFormat/>
    <w:uiPriority w:val="0"/>
    <w:rPr>
      <w:kern w:val="2"/>
      <w:sz w:val="21"/>
      <w:szCs w:val="24"/>
    </w:rPr>
  </w:style>
  <w:style w:type="character" w:customStyle="1" w:styleId="899">
    <w:name w:val="批注框文本 Char1"/>
    <w:qFormat/>
    <w:locked/>
    <w:uiPriority w:val="0"/>
    <w:rPr>
      <w:rFonts w:ascii="Calibri" w:hAnsi="Calibri" w:eastAsia="宋体"/>
      <w:sz w:val="18"/>
      <w:szCs w:val="18"/>
    </w:rPr>
  </w:style>
  <w:style w:type="character" w:customStyle="1" w:styleId="900">
    <w:name w:val="样式 样式 样式3 + + (西文) 宋体 Char"/>
    <w:link w:val="242"/>
    <w:qFormat/>
    <w:uiPriority w:val="0"/>
    <w:rPr>
      <w:rFonts w:ascii="宋体" w:hAnsi="宋体"/>
      <w:sz w:val="21"/>
      <w:szCs w:val="32"/>
    </w:rPr>
  </w:style>
  <w:style w:type="character" w:customStyle="1" w:styleId="901">
    <w:name w:val="Font Style123"/>
    <w:unhideWhenUsed/>
    <w:qFormat/>
    <w:uiPriority w:val="0"/>
    <w:rPr>
      <w:rFonts w:hint="eastAsia" w:ascii="宋体" w:hAnsi="宋体" w:eastAsia="宋体"/>
      <w:b/>
      <w:sz w:val="32"/>
    </w:rPr>
  </w:style>
  <w:style w:type="character" w:customStyle="1" w:styleId="902">
    <w:name w:val="bds_more7"/>
    <w:qFormat/>
    <w:uiPriority w:val="0"/>
    <w:rPr>
      <w:rFonts w:ascii="Times New Roman" w:hAnsi="Times New Roman" w:eastAsia="宋体"/>
    </w:rPr>
  </w:style>
  <w:style w:type="character" w:customStyle="1" w:styleId="903">
    <w:name w:val="Font Style104"/>
    <w:unhideWhenUsed/>
    <w:qFormat/>
    <w:uiPriority w:val="0"/>
    <w:rPr>
      <w:rFonts w:hint="eastAsia" w:ascii="宋体" w:hAnsi="宋体" w:eastAsia="宋体"/>
      <w:spacing w:val="30"/>
      <w:sz w:val="18"/>
    </w:rPr>
  </w:style>
  <w:style w:type="character" w:customStyle="1" w:styleId="904">
    <w:name w:val="样式 宋体 四号 行距: 最小值 25 磅 Char Char"/>
    <w:link w:val="243"/>
    <w:qFormat/>
    <w:locked/>
    <w:uiPriority w:val="0"/>
    <w:rPr>
      <w:rFonts w:ascii="Calibri" w:hAnsi="Calibri"/>
      <w:kern w:val="2"/>
      <w:sz w:val="24"/>
    </w:rPr>
  </w:style>
  <w:style w:type="character" w:customStyle="1" w:styleId="905">
    <w:name w:val="样式5 Char"/>
    <w:link w:val="244"/>
    <w:qFormat/>
    <w:uiPriority w:val="0"/>
    <w:rPr>
      <w:rFonts w:ascii="宋体" w:hAnsi="宋体"/>
      <w:bCs/>
      <w:kern w:val="2"/>
      <w:sz w:val="21"/>
      <w:szCs w:val="21"/>
    </w:rPr>
  </w:style>
  <w:style w:type="character" w:customStyle="1" w:styleId="906">
    <w:name w:val="表号 Char"/>
    <w:link w:val="245"/>
    <w:qFormat/>
    <w:uiPriority w:val="0"/>
    <w:rPr>
      <w:rFonts w:ascii="宋体" w:hAnsi="Calibri" w:eastAsia="仿宋_GB2312"/>
      <w:sz w:val="21"/>
      <w:szCs w:val="21"/>
    </w:rPr>
  </w:style>
  <w:style w:type="character" w:customStyle="1" w:styleId="907">
    <w:name w:val="批注主题 Char1"/>
    <w:qFormat/>
    <w:uiPriority w:val="0"/>
    <w:rPr>
      <w:rFonts w:ascii="Times New Roman" w:hAnsi="Times New Roman" w:eastAsia="宋体" w:cs="Times New Roman"/>
      <w:b/>
      <w:bCs/>
      <w:szCs w:val="24"/>
    </w:rPr>
  </w:style>
  <w:style w:type="character" w:customStyle="1" w:styleId="908">
    <w:name w:val="i1"/>
    <w:qFormat/>
    <w:uiPriority w:val="0"/>
    <w:rPr>
      <w:sz w:val="18"/>
      <w:szCs w:val="18"/>
    </w:rPr>
  </w:style>
  <w:style w:type="character" w:customStyle="1" w:styleId="909">
    <w:name w:val="font161"/>
    <w:qFormat/>
    <w:uiPriority w:val="0"/>
    <w:rPr>
      <w:b/>
      <w:bCs/>
      <w:sz w:val="32"/>
      <w:szCs w:val="32"/>
    </w:rPr>
  </w:style>
  <w:style w:type="character" w:customStyle="1" w:styleId="910">
    <w:name w:val="Char Char20"/>
    <w:qFormat/>
    <w:uiPriority w:val="0"/>
    <w:rPr>
      <w:rFonts w:ascii="Times New Roman" w:hAnsi="Times New Roman" w:eastAsia="宋体" w:cs="Times New Roman"/>
      <w:b/>
      <w:bCs/>
      <w:sz w:val="32"/>
      <w:szCs w:val="32"/>
    </w:rPr>
  </w:style>
  <w:style w:type="character" w:customStyle="1" w:styleId="911">
    <w:name w:val="Char Char21"/>
    <w:qFormat/>
    <w:uiPriority w:val="0"/>
    <w:rPr>
      <w:rFonts w:ascii="Arial" w:hAnsi="Arial" w:eastAsia="黑体" w:cs="Times New Roman"/>
      <w:b/>
      <w:bCs/>
      <w:sz w:val="32"/>
      <w:szCs w:val="32"/>
    </w:rPr>
  </w:style>
  <w:style w:type="character" w:customStyle="1" w:styleId="912">
    <w:name w:val="bfw"/>
    <w:qFormat/>
    <w:uiPriority w:val="0"/>
  </w:style>
  <w:style w:type="character" w:customStyle="1" w:styleId="913">
    <w:name w:val="明显强调1"/>
    <w:qFormat/>
    <w:uiPriority w:val="21"/>
    <w:rPr>
      <w:b/>
      <w:bCs/>
      <w:i/>
      <w:iCs/>
      <w:color w:val="4F81BD"/>
    </w:rPr>
  </w:style>
  <w:style w:type="character" w:customStyle="1" w:styleId="914">
    <w:name w:val="sidecatalog-index2"/>
    <w:qFormat/>
    <w:uiPriority w:val="0"/>
    <w:rPr>
      <w:rFonts w:ascii="Arail" w:hAnsi="Arail" w:eastAsia="Arail" w:cs="Arail"/>
      <w:color w:val="999999"/>
      <w:sz w:val="21"/>
      <w:szCs w:val="21"/>
    </w:rPr>
  </w:style>
  <w:style w:type="character" w:customStyle="1" w:styleId="915">
    <w:name w:val="文档结构图 Char1"/>
    <w:qFormat/>
    <w:uiPriority w:val="0"/>
    <w:rPr>
      <w:rFonts w:ascii="宋体"/>
      <w:kern w:val="2"/>
      <w:sz w:val="18"/>
      <w:szCs w:val="18"/>
    </w:rPr>
  </w:style>
  <w:style w:type="character" w:customStyle="1" w:styleId="916">
    <w:name w:val="标题4 Char Char"/>
    <w:qFormat/>
    <w:uiPriority w:val="0"/>
    <w:rPr>
      <w:rFonts w:ascii="仿宋_GB2312" w:hAnsi="Cambria" w:eastAsia="仿宋_GB2312"/>
      <w:bCs/>
      <w:kern w:val="28"/>
      <w:sz w:val="28"/>
      <w:szCs w:val="32"/>
      <w:lang w:val="en-US" w:eastAsia="zh-CN" w:bidi="ar-SA"/>
    </w:rPr>
  </w:style>
  <w:style w:type="character" w:customStyle="1" w:styleId="917">
    <w:name w:val="引用 Char1"/>
    <w:qFormat/>
    <w:uiPriority w:val="29"/>
    <w:rPr>
      <w:i/>
      <w:iCs/>
      <w:color w:val="000000"/>
      <w:kern w:val="2"/>
      <w:sz w:val="21"/>
      <w:szCs w:val="24"/>
    </w:rPr>
  </w:style>
  <w:style w:type="character" w:customStyle="1" w:styleId="918">
    <w:name w:val="font141"/>
    <w:qFormat/>
    <w:uiPriority w:val="0"/>
    <w:rPr>
      <w:rFonts w:hint="default" w:ascii="Times New Roman" w:hAnsi="Times New Roman" w:cs="Times New Roman"/>
      <w:b/>
      <w:color w:val="000000"/>
      <w:sz w:val="20"/>
      <w:szCs w:val="20"/>
      <w:u w:val="single"/>
    </w:rPr>
  </w:style>
  <w:style w:type="character" w:customStyle="1" w:styleId="919">
    <w:name w:val="章 Char Char"/>
    <w:qFormat/>
    <w:uiPriority w:val="0"/>
    <w:rPr>
      <w:rFonts w:eastAsia="宋体"/>
      <w:b/>
      <w:bCs/>
      <w:kern w:val="44"/>
      <w:sz w:val="44"/>
      <w:szCs w:val="44"/>
      <w:lang w:val="en-US" w:eastAsia="zh-CN" w:bidi="ar-SA"/>
    </w:rPr>
  </w:style>
  <w:style w:type="character" w:customStyle="1" w:styleId="920">
    <w:name w:val="listarticle1"/>
    <w:qFormat/>
    <w:uiPriority w:val="0"/>
    <w:rPr>
      <w:b/>
      <w:bCs/>
      <w:color w:val="05006C"/>
      <w:sz w:val="27"/>
      <w:szCs w:val="27"/>
    </w:rPr>
  </w:style>
  <w:style w:type="character" w:customStyle="1" w:styleId="921">
    <w:name w:val="Font Style124"/>
    <w:unhideWhenUsed/>
    <w:qFormat/>
    <w:uiPriority w:val="0"/>
    <w:rPr>
      <w:rFonts w:hint="eastAsia" w:ascii="宋体" w:hAnsi="宋体" w:eastAsia="宋体"/>
      <w:spacing w:val="30"/>
      <w:sz w:val="24"/>
    </w:rPr>
  </w:style>
  <w:style w:type="character" w:customStyle="1" w:styleId="922">
    <w:name w:val="Plain Text Char1 Char"/>
    <w:qFormat/>
    <w:uiPriority w:val="0"/>
    <w:rPr>
      <w:rFonts w:ascii="宋体" w:hAnsi="Courier New" w:eastAsia="宋体" w:cs="Courier New"/>
      <w:kern w:val="2"/>
      <w:sz w:val="21"/>
      <w:szCs w:val="21"/>
      <w:lang w:val="en-US" w:eastAsia="zh-CN" w:bidi="ar-SA"/>
    </w:rPr>
  </w:style>
  <w:style w:type="character" w:customStyle="1" w:styleId="923">
    <w:name w:val="bds_more8"/>
    <w:qFormat/>
    <w:uiPriority w:val="0"/>
    <w:rPr>
      <w:rFonts w:ascii="Times New Roman" w:hAnsi="Times New Roman" w:eastAsia="宋体"/>
    </w:rPr>
  </w:style>
  <w:style w:type="character" w:customStyle="1" w:styleId="924">
    <w:name w:val="Font Style131"/>
    <w:unhideWhenUsed/>
    <w:qFormat/>
    <w:uiPriority w:val="0"/>
    <w:rPr>
      <w:rFonts w:hint="eastAsia" w:ascii="Times New Roman" w:hAnsi="Times New Roman" w:eastAsia="Times New Roman"/>
      <w:sz w:val="18"/>
    </w:rPr>
  </w:style>
  <w:style w:type="character" w:customStyle="1" w:styleId="925">
    <w:name w:val="Font Style117"/>
    <w:unhideWhenUsed/>
    <w:qFormat/>
    <w:uiPriority w:val="0"/>
    <w:rPr>
      <w:rFonts w:hint="eastAsia" w:ascii="宋体" w:hAnsi="宋体" w:eastAsia="宋体"/>
      <w:spacing w:val="20"/>
      <w:sz w:val="24"/>
    </w:rPr>
  </w:style>
  <w:style w:type="character" w:customStyle="1" w:styleId="926">
    <w:name w:val="正文文本首行缩进 2 字符1"/>
    <w:basedOn w:val="155"/>
    <w:qFormat/>
    <w:uiPriority w:val="0"/>
    <w:rPr>
      <w:rFonts w:hint="default" w:ascii="Times New Roman" w:hAnsi="Times New Roman" w:eastAsia="宋体" w:cs="Times New Roman"/>
      <w:kern w:val="2"/>
      <w:sz w:val="21"/>
      <w:szCs w:val="24"/>
      <w:lang w:val="en-US" w:eastAsia="zh-CN" w:bidi="ar-SA"/>
    </w:rPr>
  </w:style>
  <w:style w:type="character" w:customStyle="1" w:styleId="927">
    <w:name w:val="Body text (2)_"/>
    <w:link w:val="719"/>
    <w:qFormat/>
    <w:uiPriority w:val="0"/>
    <w:rPr>
      <w:rFonts w:ascii="MingLiU" w:hAnsi="MingLiU" w:eastAsia="MingLiU" w:cs="MingLiU"/>
      <w:kern w:val="2"/>
      <w:sz w:val="21"/>
      <w:shd w:val="clear" w:color="auto" w:fill="FFFFFF"/>
    </w:rPr>
  </w:style>
  <w:style w:type="character" w:customStyle="1" w:styleId="928">
    <w:name w:val="Body text (2) + 9.5 pt2"/>
    <w:qFormat/>
    <w:uiPriority w:val="0"/>
    <w:rPr>
      <w:color w:val="000000"/>
      <w:spacing w:val="0"/>
      <w:w w:val="100"/>
      <w:position w:val="0"/>
      <w:sz w:val="19"/>
      <w:szCs w:val="19"/>
      <w:lang w:val="zh-CN" w:eastAsia="zh-CN" w:bidi="zh-CN"/>
    </w:rPr>
  </w:style>
  <w:style w:type="character" w:customStyle="1" w:styleId="929">
    <w:name w:val="占位符文本1"/>
    <w:semiHidden/>
    <w:qFormat/>
    <w:uiPriority w:val="99"/>
    <w:rPr>
      <w:color w:val="808080"/>
    </w:rPr>
  </w:style>
  <w:style w:type="character" w:customStyle="1" w:styleId="930">
    <w:name w:val="border_color"/>
    <w:qFormat/>
    <w:uiPriority w:val="0"/>
  </w:style>
  <w:style w:type="character" w:customStyle="1" w:styleId="931">
    <w:name w:val="border_color1"/>
    <w:qFormat/>
    <w:uiPriority w:val="0"/>
  </w:style>
  <w:style w:type="character" w:customStyle="1" w:styleId="932">
    <w:name w:val="pay_price"/>
    <w:qFormat/>
    <w:uiPriority w:val="0"/>
    <w:rPr>
      <w:color w:val="C30909"/>
      <w:sz w:val="28"/>
      <w:szCs w:val="28"/>
    </w:rPr>
  </w:style>
  <w:style w:type="character" w:customStyle="1" w:styleId="933">
    <w:name w:val="hover19"/>
    <w:qFormat/>
    <w:uiPriority w:val="0"/>
    <w:rPr>
      <w:color w:val="10A710"/>
    </w:rPr>
  </w:style>
  <w:style w:type="character" w:customStyle="1" w:styleId="934">
    <w:name w:val="hover20"/>
    <w:qFormat/>
    <w:uiPriority w:val="0"/>
    <w:rPr>
      <w:color w:val="763696"/>
    </w:rPr>
  </w:style>
  <w:style w:type="character" w:customStyle="1" w:styleId="935">
    <w:name w:val="hover21"/>
    <w:qFormat/>
    <w:uiPriority w:val="0"/>
  </w:style>
  <w:style w:type="character" w:customStyle="1" w:styleId="936">
    <w:name w:val="hover22"/>
    <w:qFormat/>
    <w:uiPriority w:val="0"/>
    <w:rPr>
      <w:color w:val="5DB7F6"/>
    </w:rPr>
  </w:style>
  <w:style w:type="character" w:customStyle="1" w:styleId="937">
    <w:name w:val="on1"/>
    <w:qFormat/>
    <w:uiPriority w:val="0"/>
  </w:style>
  <w:style w:type="character" w:customStyle="1" w:styleId="938">
    <w:name w:val="on"/>
    <w:qFormat/>
    <w:uiPriority w:val="0"/>
  </w:style>
  <w:style w:type="character" w:customStyle="1" w:styleId="939">
    <w:name w:val="hover"/>
    <w:qFormat/>
    <w:uiPriority w:val="0"/>
    <w:rPr>
      <w:color w:val="763696"/>
    </w:rPr>
  </w:style>
  <w:style w:type="character" w:customStyle="1" w:styleId="940">
    <w:name w:val="hover1"/>
    <w:qFormat/>
    <w:uiPriority w:val="0"/>
    <w:rPr>
      <w:color w:val="10A710"/>
    </w:rPr>
  </w:style>
  <w:style w:type="character" w:customStyle="1" w:styleId="941">
    <w:name w:val="hover2"/>
    <w:qFormat/>
    <w:uiPriority w:val="0"/>
  </w:style>
  <w:style w:type="character" w:customStyle="1" w:styleId="942">
    <w:name w:val="hover3"/>
    <w:qFormat/>
    <w:uiPriority w:val="0"/>
    <w:rPr>
      <w:color w:val="5DB7F6"/>
    </w:rPr>
  </w:style>
  <w:style w:type="character" w:customStyle="1" w:styleId="943">
    <w:name w:val="footnote mark"/>
    <w:qFormat/>
    <w:uiPriority w:val="0"/>
    <w:rPr>
      <w:rFonts w:ascii="微软雅黑" w:hAnsi="微软雅黑" w:eastAsia="微软雅黑" w:cs="微软雅黑"/>
      <w:color w:val="000000"/>
      <w:sz w:val="14"/>
      <w:vertAlign w:val="superscript"/>
    </w:rPr>
  </w:style>
  <w:style w:type="character" w:customStyle="1" w:styleId="944">
    <w:name w:val="Chapter head"/>
    <w:qFormat/>
    <w:uiPriority w:val="0"/>
    <w:rPr>
      <w:b/>
      <w:sz w:val="36"/>
    </w:rPr>
  </w:style>
  <w:style w:type="character" w:customStyle="1" w:styleId="945">
    <w:name w:val="font22"/>
    <w:qFormat/>
    <w:uiPriority w:val="0"/>
    <w:rPr>
      <w:rFonts w:hint="eastAsia" w:ascii="宋体" w:hAnsi="宋体" w:eastAsia="宋体" w:cs="宋体"/>
      <w:b/>
      <w:bCs/>
      <w:color w:val="000000"/>
      <w:sz w:val="28"/>
      <w:szCs w:val="28"/>
      <w:u w:val="none"/>
    </w:rPr>
  </w:style>
  <w:style w:type="character" w:customStyle="1" w:styleId="946">
    <w:name w:val="font171"/>
    <w:qFormat/>
    <w:uiPriority w:val="0"/>
    <w:rPr>
      <w:rFonts w:hint="eastAsia" w:ascii="宋体" w:hAnsi="宋体" w:eastAsia="宋体" w:cs="宋体"/>
      <w:color w:val="000000"/>
      <w:sz w:val="18"/>
      <w:szCs w:val="18"/>
      <w:u w:val="none"/>
    </w:rPr>
  </w:style>
  <w:style w:type="character" w:customStyle="1" w:styleId="947">
    <w:name w:val="font181"/>
    <w:qFormat/>
    <w:uiPriority w:val="0"/>
    <w:rPr>
      <w:rFonts w:hint="eastAsia" w:ascii="宋体" w:hAnsi="宋体" w:eastAsia="宋体" w:cs="宋体"/>
      <w:b/>
      <w:bCs/>
      <w:color w:val="000000"/>
      <w:sz w:val="18"/>
      <w:szCs w:val="18"/>
      <w:u w:val="none"/>
    </w:rPr>
  </w:style>
  <w:style w:type="character" w:customStyle="1" w:styleId="948">
    <w:name w:val="font191"/>
    <w:qFormat/>
    <w:uiPriority w:val="0"/>
    <w:rPr>
      <w:rFonts w:hint="eastAsia" w:ascii="宋体" w:hAnsi="宋体" w:eastAsia="宋体" w:cs="宋体"/>
      <w:color w:val="000000"/>
      <w:sz w:val="18"/>
      <w:szCs w:val="18"/>
      <w:u w:val="none"/>
    </w:rPr>
  </w:style>
  <w:style w:type="character" w:customStyle="1" w:styleId="949">
    <w:name w:val="font201"/>
    <w:qFormat/>
    <w:uiPriority w:val="0"/>
    <w:rPr>
      <w:rFonts w:hint="default" w:ascii="Times New Roman" w:hAnsi="Times New Roman" w:cs="Times New Roman"/>
      <w:color w:val="000000"/>
      <w:sz w:val="18"/>
      <w:szCs w:val="18"/>
      <w:u w:val="none"/>
      <w:vertAlign w:val="superscript"/>
    </w:rPr>
  </w:style>
  <w:style w:type="character" w:customStyle="1" w:styleId="950">
    <w:name w:val="font211"/>
    <w:qFormat/>
    <w:uiPriority w:val="0"/>
    <w:rPr>
      <w:rFonts w:hint="eastAsia" w:ascii="宋体" w:hAnsi="宋体" w:eastAsia="宋体" w:cs="宋体"/>
      <w:color w:val="FF0000"/>
      <w:sz w:val="18"/>
      <w:szCs w:val="18"/>
      <w:u w:val="none"/>
    </w:rPr>
  </w:style>
  <w:style w:type="character" w:customStyle="1" w:styleId="951">
    <w:name w:val="font112"/>
    <w:qFormat/>
    <w:uiPriority w:val="0"/>
    <w:rPr>
      <w:rFonts w:hint="default" w:ascii="Times New Roman" w:hAnsi="Times New Roman" w:cs="Times New Roman"/>
      <w:color w:val="FF0000"/>
      <w:sz w:val="18"/>
      <w:szCs w:val="18"/>
      <w:u w:val="none"/>
    </w:rPr>
  </w:style>
  <w:style w:type="character" w:customStyle="1" w:styleId="952">
    <w:name w:val="font151"/>
    <w:qFormat/>
    <w:uiPriority w:val="0"/>
    <w:rPr>
      <w:rFonts w:hint="eastAsia" w:ascii="宋体" w:hAnsi="宋体" w:eastAsia="宋体" w:cs="宋体"/>
      <w:color w:val="FF0000"/>
      <w:sz w:val="18"/>
      <w:szCs w:val="18"/>
      <w:u w:val="none"/>
    </w:rPr>
  </w:style>
  <w:style w:type="table" w:customStyle="1" w:styleId="953">
    <w:name w:val="表三维效果 11"/>
    <w:basedOn w:val="86"/>
    <w:qFormat/>
    <w:uiPriority w:val="0"/>
    <w:pPr>
      <w:widowControl w:val="0"/>
      <w:jc w:val="both"/>
    </w:pPr>
    <w:rPr>
      <w:rFonts w:ascii="Calibri" w:hAnsi="Calibri" w:cs="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954">
    <w:name w:val="表三维效果 21"/>
    <w:basedOn w:val="86"/>
    <w:qFormat/>
    <w:uiPriority w:val="0"/>
    <w:pPr>
      <w:widowControl w:val="0"/>
      <w:jc w:val="both"/>
    </w:pPr>
    <w:rPr>
      <w:rFonts w:ascii="Calibri" w:hAnsi="Calibri" w:cs="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5">
    <w:name w:val="表三维效果 31"/>
    <w:basedOn w:val="86"/>
    <w:qFormat/>
    <w:uiPriority w:val="0"/>
    <w:pPr>
      <w:widowControl w:val="0"/>
      <w:jc w:val="both"/>
    </w:pPr>
    <w:rPr>
      <w:rFonts w:ascii="Calibri" w:hAnsi="Calibri" w:cs="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956">
    <w:name w:val="网格型1"/>
    <w:basedOn w:val="86"/>
    <w:qFormat/>
    <w:uiPriority w:val="0"/>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57">
    <w:name w:val="Normal_28_0"/>
    <w:qFormat/>
    <w:uiPriority w:val="0"/>
    <w:pPr>
      <w:spacing w:before="120" w:after="240"/>
      <w:jc w:val="both"/>
    </w:pPr>
    <w:rPr>
      <w:rFonts w:ascii="Calibri" w:hAnsi="Calibri" w:eastAsia="Calibri" w:cs="Times New Roman"/>
      <w:sz w:val="22"/>
      <w:szCs w:val="22"/>
      <w:lang w:val="en-US" w:eastAsia="en-US" w:bidi="ar-SA"/>
    </w:rPr>
  </w:style>
  <w:style w:type="table" w:customStyle="1" w:styleId="958">
    <w:name w:val="网格型_0"/>
    <w:basedOn w:val="86"/>
    <w:qFormat/>
    <w:uiPriority w:val="39"/>
    <w:pPr>
      <w:widowControl w:val="0"/>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59">
    <w:name w:val="正文_5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0">
    <w:name w:val="正文_5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1">
    <w:name w:val="正文_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2">
    <w:name w:val="正文_5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3">
    <w:name w:val="正文_6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4">
    <w:name w:val="正文_6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65">
    <w:name w:val="正文_6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966">
    <w:name w:val="Table Normal"/>
    <w:semiHidden/>
    <w:unhideWhenUsed/>
    <w:qFormat/>
    <w:uiPriority w:val="0"/>
    <w:tblPr>
      <w:tblCellMar>
        <w:top w:w="0" w:type="dxa"/>
        <w:left w:w="0" w:type="dxa"/>
        <w:bottom w:w="0" w:type="dxa"/>
        <w:right w:w="0" w:type="dxa"/>
      </w:tblCellMar>
    </w:tblPr>
  </w:style>
  <w:style w:type="paragraph" w:customStyle="1" w:styleId="967">
    <w:name w:val="Table Text"/>
    <w:basedOn w:val="1"/>
    <w:semiHidden/>
    <w:qFormat/>
    <w:uiPriority w:val="0"/>
    <w:rPr>
      <w:rFonts w:ascii="Times New Roman" w:hAnsi="Times New Roman" w:eastAsia="Times New Roman" w:cs="Times New Roman"/>
      <w:sz w:val="15"/>
      <w:szCs w:val="1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112</Pages>
  <Words>9250</Words>
  <Characters>9997</Characters>
  <Lines>445</Lines>
  <Paragraphs>125</Paragraphs>
  <TotalTime>60</TotalTime>
  <ScaleCrop>false</ScaleCrop>
  <LinksUpToDate>false</LinksUpToDate>
  <CharactersWithSpaces>11013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2024-08-26T02:36:00Z</dcterms:created>
  <dc:creator>lemon</dc:creator>
  <cp:lastModifiedBy>Administrator</cp:lastModifiedBy>
  <cp:lastPrinted>2021-10-27T03:23:00Z</cp:lastPrinted>
  <dcterms:modified xsi:type="dcterms:W3CDTF">2025-10-22T08:20:31Z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E61D89442EDA47CC85834C21B0612F50_13</vt:lpwstr>
  </property>
  <property fmtid="{D5CDD505-2E9C-101B-9397-08002B2CF9AE}" pid="4" name="KSOTemplateDocerSaveRecord">
    <vt:lpwstr>eyJoZGlkIjoiZGQyODJhMWVhYzkyMzg2ZmU1NWNiMTIxODkyNmE4YjUiLCJ1c2VySWQiOiI5NDY1ODMxMDkifQ==</vt:lpwstr>
  </property>
</Properties>
</file>