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napToGrid/>
        <w:spacing w:line="360" w:lineRule="auto"/>
        <w:jc w:val="center"/>
        <w:textAlignment w:val="auto"/>
        <w:rPr>
          <w:rFonts w:hint="eastAsia" w:ascii="宋体" w:hAnsi="宋体" w:eastAsia="宋体" w:cs="宋体"/>
          <w:b/>
          <w:bCs w:val="0"/>
          <w:color w:val="333333"/>
          <w:kern w:val="0"/>
          <w:sz w:val="36"/>
          <w:szCs w:val="36"/>
          <w:highlight w:val="none"/>
        </w:rPr>
      </w:pPr>
      <w:r>
        <w:rPr>
          <w:rFonts w:hint="eastAsia" w:ascii="宋体" w:hAnsi="宋体" w:eastAsia="宋体" w:cs="宋体"/>
          <w:b/>
          <w:bCs w:val="0"/>
          <w:color w:val="333333"/>
          <w:kern w:val="0"/>
          <w:sz w:val="36"/>
          <w:szCs w:val="36"/>
          <w:highlight w:val="none"/>
          <w:lang w:val="en-US" w:eastAsia="zh-CN"/>
        </w:rPr>
        <w:t>2021—2023年度东片区保障性住房及配套设备设施日常小额维修项目建库公告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80" w:lineRule="exact"/>
        <w:ind w:left="0" w:right="0" w:firstLine="640"/>
        <w:jc w:val="both"/>
        <w:textAlignment w:val="auto"/>
        <w:rPr>
          <w:rFonts w:hint="eastAsia" w:ascii="宋体" w:hAnsi="宋体" w:eastAsia="宋体" w:cs="宋体"/>
          <w:sz w:val="24"/>
          <w:szCs w:val="24"/>
          <w:highlight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 </w:t>
      </w:r>
      <w:r>
        <w:rPr>
          <w:rFonts w:hint="eastAsia" w:ascii="宋体" w:hAnsi="宋体" w:eastAsia="宋体" w:cs="宋体"/>
          <w:sz w:val="24"/>
          <w:szCs w:val="24"/>
          <w:highlight w:val="none"/>
          <w:lang w:val="en-US" w:eastAsia="zh-CN"/>
        </w:rPr>
        <w:t>为加强广州市城壹物业发展有限公司管理的广州市东片区保障性住房及其配套设施、商业物业的小额维修工程管理，体现公开、公平、公正原则，广州市城壹物业发展有限公司经研究决定，委托中科高盛咨询集团有限公司建立2021—2023年度东片区保障性住房及配套设备设施日常小额维修项目建库项目。现公开征集入库单位，负责对未达到招投标相关法律法规规定公开招标标准的小额维修工程施工。各意向企业根据条件自愿申请，经审核符合要求后入库。</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left="0" w:leftChars="0" w:right="0" w:firstLine="420" w:firstLineChars="0"/>
        <w:jc w:val="both"/>
        <w:textAlignment w:val="auto"/>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项目名称</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2021—2023年度东片区保障性住房及配套设备设施日常小额维修项目建库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left="0" w:leftChars="0" w:right="0" w:firstLine="420" w:firstLineChars="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二、招标人：</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广州市城壹物业发展有限公司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lang w:val="en-US"/>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联系人：陈工,联系电话：020-85673152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招标代理机构：中科高盛咨询集团有限公司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联系人：莫工,联系电话：18933977122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三、招标内容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（一）广州市东片区（天河区、黄埔区、增城区、番禺区、南沙区）的小额维修工程。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（二）合同期限：2年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（三）入库单位数量：正式入库5家，备选入库5家。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注：投标人须对本项目以项目为单位整体投标，任何只对项目内的其中一部分标的进行的投标都被视为无效投标或被确定为投标无效。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四、服务范围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在符合《中华人民共和国招标投标法》的情况下，本次对广州市东片区保障性住房及其配套设施、商业物业的小额物业维修进行建库工作，入库单位负责对未达到招投标相关法律法规规定公开招标标准的小额维修工程施工。发生实际项目需求时，在本次建库范围内确定具体的承接单位，具体按建库单位有关规定执行，最终解释权归建库单位所有。本项目涉及的维修体包括建库单位全部产权及受委托产权拥有物业。主要分布在广州市东片区（天河区、黄埔区、增城区、番禺区、南沙区），其主要类型包括住宅、商铺等。维修的类别主要包括但不限于水电改造、管道疏通、漏水修补、全屋翻新、机电设备更换、配套设施改造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本次建库有效期：2年。若本库到期，新库未建，继续延用至新库建成。如国家、省、市有关规定对管理要求有调整，建库单位按规定进行相应调整。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五、报价方式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以下浮率形式进行报价，入库后将按中标下浮率计算结算价，采用综合单价包干进行结算。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如报价下浮率超出20%（不含20%），须提供有效的成本证明，如无法提供或所提供的成本证明文件被评标委员会判定为无效证明的，将被以无效投标处理。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六、服务要求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一）人员配置要求：按照法律法规需由具有资质的人员进行施工的项目，入库单位派驻的人员应具备该等级资质。入库单位须为施工项目指派至少2名项目负责人，该2名项目负责人在合同期限内应是固定的，如需更换，必须征得招标人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（二）车辆配置要求：入库单位</w:t>
      </w:r>
      <w:r>
        <w:rPr>
          <w:rFonts w:hint="eastAsia" w:ascii="宋体" w:hAnsi="宋体" w:eastAsia="宋体" w:cs="宋体"/>
          <w:kern w:val="2"/>
          <w:sz w:val="24"/>
          <w:szCs w:val="24"/>
          <w:highlight w:val="none"/>
          <w:lang w:val="en-US" w:eastAsia="zh-CN" w:bidi="ar"/>
        </w:rPr>
        <w:t>须提供充足的交通运输工具为本项目服务。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（三）响应时间要求：入库单位应提供每周7*24小时的服务热线的服务，必须提供全年无休服务，在1小时内响应并且到达施工现场。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（四）服务期限内入库单位在招标人发出维修通知或签订项目合同后3日内必须进场施工。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（五）服务期内发生紧急抢修事故的，入库单位在接到通知后，应立即到达事故现场抢修。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（六）入库单位须于收到入选通知书后十天内向招标人提交人民币2万元履约保证金。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1.</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履约保证金用于按合同补偿招标招标人因入库单位不能完成其合同义务而蒙受的损失。凡因正式入库单位责任，使招标人解除合同的履约保证金不向入库单位退还。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2.</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入库单位在规定期间内拒绝向招标人提交履约保证金，其中标资格随之终止。在入库单位完成其合同义务，在合同期间内没有违约行为，则该履约保证金在合同服务期限满后15个工作日内无息退还金额履约保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七、计价、结算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（一）招标人无法预计及无法保证正式入库单位在合同期限内可以获得的业务量，入库申请人应充分考虑经营风险，服务价格以招标人最终批准预算价格执行，工程结算书由服务单位编制，经招标人审核确定。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（二）计价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1</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.维修工程量根据现场实际测量，由招标人及服务单位共同确认。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2.</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工程计价根据《建筑工程工程量清单计价规范 GB50500-2013》、《广东省房屋建筑和市政修缮工程工程量清单（2012）》、《广东省房屋建筑和市政修缮工程综合定额（2012）》、《广东省房屋建筑与装饰工程综合定额（2018）》、《广东省通用安装工程综合定额（2018）》、《广东省市政工程综合定额（2018）》及相应的广州市现行取费标准计算，采用清单计价方式编制,按实际产生工程量结算（如国家、省、市有关规定有调整，则按规定相应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八、投标登记及发售招标文件时间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投标登记以及购买招标文件开始日期：2021年</w:t>
      </w:r>
      <w:r>
        <w:rPr>
          <w:rFonts w:hint="eastAsia" w:ascii="宋体" w:hAnsi="宋体" w:eastAsia="宋体" w:cs="宋体"/>
          <w:i w:val="0"/>
          <w:caps w:val="0"/>
          <w:color w:val="333333"/>
          <w:spacing w:val="0"/>
          <w:kern w:val="0"/>
          <w:sz w:val="24"/>
          <w:szCs w:val="24"/>
          <w:highlight w:val="none"/>
          <w:u w:val="single"/>
          <w:shd w:val="clear" w:fill="FFFFFF"/>
          <w:lang w:val="en-US" w:eastAsia="zh-CN" w:bidi="ar"/>
        </w:rPr>
        <w:t>9</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月</w:t>
      </w:r>
      <w:r>
        <w:rPr>
          <w:rFonts w:hint="eastAsia" w:ascii="宋体" w:hAnsi="宋体" w:eastAsia="宋体" w:cs="宋体"/>
          <w:i w:val="0"/>
          <w:caps w:val="0"/>
          <w:color w:val="333333"/>
          <w:spacing w:val="0"/>
          <w:kern w:val="0"/>
          <w:sz w:val="24"/>
          <w:szCs w:val="24"/>
          <w:highlight w:val="none"/>
          <w:u w:val="single"/>
          <w:shd w:val="clear" w:fill="FFFFFF"/>
          <w:lang w:val="en-US" w:eastAsia="zh-CN" w:bidi="ar"/>
        </w:rPr>
        <w:t>29</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投标登记以及购买招标文件截止日期：2021年</w:t>
      </w:r>
      <w:r>
        <w:rPr>
          <w:rFonts w:hint="eastAsia" w:ascii="宋体" w:hAnsi="宋体" w:eastAsia="宋体" w:cs="宋体"/>
          <w:i w:val="0"/>
          <w:caps w:val="0"/>
          <w:color w:val="333333"/>
          <w:spacing w:val="0"/>
          <w:kern w:val="0"/>
          <w:sz w:val="24"/>
          <w:szCs w:val="24"/>
          <w:highlight w:val="none"/>
          <w:u w:val="single"/>
          <w:shd w:val="clear" w:fill="FFFFFF"/>
          <w:lang w:val="en-US" w:eastAsia="zh-CN" w:bidi="ar"/>
        </w:rPr>
        <w:t>10</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月</w:t>
      </w:r>
      <w:r>
        <w:rPr>
          <w:rFonts w:hint="eastAsia" w:ascii="宋体" w:hAnsi="宋体" w:eastAsia="宋体" w:cs="宋体"/>
          <w:i w:val="0"/>
          <w:caps w:val="0"/>
          <w:color w:val="333333"/>
          <w:spacing w:val="0"/>
          <w:kern w:val="0"/>
          <w:sz w:val="24"/>
          <w:szCs w:val="24"/>
          <w:highlight w:val="none"/>
          <w:u w:val="single"/>
          <w:shd w:val="clear" w:fill="FFFFFF"/>
          <w:lang w:val="en-US" w:eastAsia="zh-CN" w:bidi="ar"/>
        </w:rPr>
        <w:t>11</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投标登记以及购买招标文件时间：上午：9:00—12:00，下午：14:00—17:00。</w:t>
      </w:r>
      <w:r>
        <w:rPr>
          <w:rFonts w:hint="eastAsia" w:ascii="宋体" w:hAnsi="宋体" w:eastAsia="宋体" w:cs="宋体"/>
          <w:i w:val="0"/>
          <w:caps w:val="0"/>
          <w:color w:val="333333"/>
          <w:spacing w:val="0"/>
          <w:kern w:val="0"/>
          <w:sz w:val="24"/>
          <w:szCs w:val="24"/>
          <w:highlight w:val="none"/>
          <w:u w:val="single"/>
          <w:shd w:val="clear" w:fill="FFFFFF"/>
          <w:lang w:val="en-US" w:eastAsia="zh-CN" w:bidi="ar"/>
        </w:rPr>
        <w:t>（法定节假日除外）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招标文件发售金额：500元人民币/套，售后不退。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从本公告发布之日起发售招标文件，并从发售招标文件之日起开始计算备标时间。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投标人登记时须递交企业法定代表人证明书原件、法定代表人授权委托书原件、营业执照副本复印件。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 xml:space="preserve">投标文件递交时间：2021年10月19日 09 时 00 分至 2021年10月19日 09 时 30 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 xml:space="preserve">投标文件递交截止时间：2021 年10月19日 09 时 30 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开标时间：2021 年10月19日 09 时 30 分</w:t>
      </w:r>
    </w:p>
    <w:p>
      <w:pPr>
        <w:pStyle w:val="2"/>
        <w:keepNext w:val="0"/>
        <w:keepLines w:val="0"/>
        <w:pageBreakBefore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地点：广州市白云区景泰街大金钟路31号2楼西边（中科高盛咨询集团有限公司招标经营部）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九、投标登记地点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广州市白云区景泰街大金钟路31号2楼西边（中科高盛咨询集团有限公司招标经营部）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十、投标人合格条件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（一）具有独立承担民事责任能力的在中华人民共和国境内注册的法人或其它组织；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（二）具备建筑装修装饰工程专业承包贰级及以上资质或建筑工程施工总承包叁级或以上资质；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（三）具备在有效期内的《安全生产许可证》；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（四）本项目不接受联合体投标；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 xml:space="preserve">（五）已投标登记并购买了招标文件。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六）投标人未被列入“信用中国”网站中“记录失信被执行人或企业异常经营或重大税收违法案件当事人名单或政府采购严重违法失信行为”的记录名单。同时对信用信息查询记录和证据截图存档。如相关失信记录已失效，投标人须提供相关证明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十一、资审方式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本项目采用资格后审，评标时由评标委员会对各投标人的资格进行审查。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十二、正式入库单位的确定方式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一）满足资格审查合格的申请人多于等于5名，少于等于10名时取全部满足资格审查合格条件的申请人为入库单位，第1-5名正式入库单位，第6-10名为备选入库单位；当有正式入库单位被取消入库资格时，则由备选入库单位按入库公示排名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二）若满足资格审查合格条件的入库申请人多于10名时，择优选取前10名申请人为入库单位。第1-5名为正式入库单位，第6-10名为备选入库单位；当有正式入库单位被取消入库资格时，则由备选入库单位按入库公示排名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（三）满足资格审查合格条件的申请人不足5名时为建库失败。建库单位将修正建库公告，重新组织建库。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十三、入库单位的管理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入库企业应依法参与招标人的交易活动，并承诺遵守相应的管理制度，接受建库单位的监督。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（一）小额工程维修企业库的使用、管理由建库单位制定相关管理规定，入库单位必须按照执行。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（二）如入库单位名称、法定代表人、注册地址等基本信息变更的，应及时报建库单位；如入库单位提出退库书面申请，自入库单位递交退库申请之日起，不得参与本维修库交易活动。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（三）建库单位可根据对入库企业的考评情况及管理需要，增加、减少入库单位的数量，或对企业库进行调整，入库单位不得因此请求建库单位赔偿任何损失。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left="0" w:leftChars="0" w:right="0" w:firstLine="420" w:firstLineChars="0"/>
        <w:jc w:val="both"/>
        <w:textAlignment w:val="auto"/>
        <w:rPr>
          <w:rFonts w:hint="eastAsia" w:ascii="宋体" w:hAnsi="宋体" w:eastAsia="宋体" w:cs="宋体"/>
          <w:b/>
          <w:bCs/>
          <w:i w:val="0"/>
          <w:caps w:val="0"/>
          <w:color w:val="333333"/>
          <w:spacing w:val="0"/>
          <w:sz w:val="24"/>
          <w:szCs w:val="24"/>
          <w:highlight w:val="none"/>
          <w:u w:val="none"/>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十四、潜在投标人或利害关系人对本招标公告及招标文件内容异议的，向招标人书面提出。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异议受理部门：广州市城壹物业发展有限公司;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异议受理电话：020-85673152；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sz w:val="24"/>
          <w:szCs w:val="24"/>
          <w:highlight w:val="none"/>
          <w:u w:val="none"/>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地址：广州市天河区车陂路113号东宏国际广场905-906</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left="0" w:leftChars="0" w:right="0" w:firstLine="420" w:firstLineChars="0"/>
        <w:jc w:val="both"/>
        <w:textAlignment w:val="auto"/>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本公告在广州公共资源交易中心网站（www.gzggzy.cn）、广东省招标投标监管网（zbtb.gd.gov.cn）、中国招标投标公共服务平台（www.cebpubservice.com）等法定媒体及中科高盛咨询集团有限公司（www.zkgscg.com）、城壹宜居</w:t>
      </w:r>
      <w:r>
        <w:rPr>
          <w:rFonts w:hint="eastAsia" w:ascii="宋体" w:hAnsi="宋体" w:eastAsia="宋体" w:cs="宋体"/>
          <w:b/>
          <w:bCs/>
          <w:sz w:val="24"/>
          <w:szCs w:val="24"/>
          <w:highlight w:val="none"/>
          <w:lang w:val="en-US" w:eastAsia="zh-CN"/>
        </w:rPr>
        <w:t>（www.c1yj.com）</w:t>
      </w:r>
      <w:r>
        <w:rPr>
          <w:rFonts w:hint="eastAsia" w:ascii="宋体" w:hAnsi="宋体" w:eastAsia="宋体" w:cs="宋体"/>
          <w:b/>
          <w:bCs/>
          <w:i w:val="0"/>
          <w:caps w:val="0"/>
          <w:color w:val="333333"/>
          <w:spacing w:val="0"/>
          <w:kern w:val="0"/>
          <w:sz w:val="24"/>
          <w:szCs w:val="24"/>
          <w:highlight w:val="none"/>
          <w:u w:val="none"/>
          <w:shd w:val="clear" w:fill="FFFFFF"/>
          <w:lang w:val="en-US" w:eastAsia="zh-CN" w:bidi="ar"/>
        </w:rPr>
        <w:t>发布，本公告的修改、补充，在广州公共资源交易中心网站及中科高盛咨询集团有限公司网站发布。本公告在各媒体发布的文本如有不同之处，以在中科高盛咨询集团有限公司网站发布的文本为准。</w:t>
      </w:r>
    </w:p>
    <w:p>
      <w:pPr>
        <w:pStyle w:val="2"/>
        <w:numPr>
          <w:numId w:val="0"/>
        </w:numPr>
        <w:rPr>
          <w:rFonts w:hint="default"/>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附件：1. 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default"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 xml:space="preserve">      2. 招标文件</w:t>
      </w:r>
      <w:bookmarkStart w:id="0" w:name="_GoBack"/>
      <w:bookmarkEnd w:id="0"/>
      <w:r>
        <w:rPr>
          <w:rFonts w:hint="eastAsia" w:ascii="宋体" w:hAnsi="宋体" w:eastAsia="宋体" w:cs="宋体"/>
          <w:i w:val="0"/>
          <w:caps w:val="0"/>
          <w:color w:val="333333"/>
          <w:spacing w:val="0"/>
          <w:kern w:val="0"/>
          <w:sz w:val="24"/>
          <w:szCs w:val="24"/>
          <w:highlight w:val="none"/>
          <w:u w:val="none"/>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0" w:beforeAutospacing="0" w:after="0" w:afterAutospacing="0" w:line="580" w:lineRule="exact"/>
        <w:ind w:left="0" w:right="0" w:firstLine="640"/>
        <w:jc w:val="both"/>
        <w:textAlignment w:val="auto"/>
        <w:rPr>
          <w:rFonts w:hint="default" w:ascii="Times New Roman" w:hAnsi="Times New Roman" w:eastAsia="仿宋_GB2312" w:cs="Times New Roman"/>
          <w:i w:val="0"/>
          <w:caps w:val="0"/>
          <w:color w:val="333333"/>
          <w:spacing w:val="0"/>
          <w:sz w:val="32"/>
          <w:szCs w:val="32"/>
          <w:highlight w:val="none"/>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default" w:ascii="Times New Roman" w:hAnsi="Times New Roman" w:eastAsia="仿宋_GB2312" w:cs="Times New Roman"/>
          <w:i w:val="0"/>
          <w:caps w:val="0"/>
          <w:color w:val="333333"/>
          <w:spacing w:val="0"/>
          <w:kern w:val="0"/>
          <w:sz w:val="32"/>
          <w:szCs w:val="32"/>
          <w:highlight w:val="none"/>
          <w:u w:val="none"/>
          <w:shd w:val="clear" w:fill="FFFFFF"/>
          <w:lang w:val="en-US" w:eastAsia="zh-CN" w:bidi="ar"/>
        </w:rPr>
        <w:t>                             </w:t>
      </w:r>
      <w:r>
        <w:rPr>
          <w:rFonts w:hint="eastAsia" w:ascii="宋体" w:hAnsi="宋体" w:eastAsia="宋体" w:cs="宋体"/>
          <w:i w:val="0"/>
          <w:caps w:val="0"/>
          <w:color w:val="333333"/>
          <w:spacing w:val="0"/>
          <w:kern w:val="0"/>
          <w:sz w:val="24"/>
          <w:szCs w:val="24"/>
          <w:highlight w:val="none"/>
          <w:u w:val="none"/>
          <w:shd w:val="clear" w:fill="FFFFFF"/>
          <w:lang w:val="en-US" w:eastAsia="zh-CN" w:bidi="ar"/>
        </w:rPr>
        <w:t xml:space="preserve">招 标 人：广州市城壹物业发展有限公司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 xml:space="preserve">招标代理：中科高盛咨询集团有限公司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0" w:beforeAutospacing="0" w:after="0" w:afterAutospacing="0" w:line="360" w:lineRule="auto"/>
        <w:ind w:left="0" w:right="0" w:firstLine="0"/>
        <w:jc w:val="center"/>
        <w:textAlignment w:val="auto"/>
        <w:rPr>
          <w:rFonts w:hint="eastAsia" w:ascii="宋体" w:hAnsi="宋体" w:eastAsia="宋体" w:cs="宋体"/>
          <w:i w:val="0"/>
          <w:caps w:val="0"/>
          <w:color w:val="333333"/>
          <w:spacing w:val="0"/>
          <w:kern w:val="0"/>
          <w:sz w:val="24"/>
          <w:szCs w:val="24"/>
          <w:highlight w:val="none"/>
          <w:u w:val="none"/>
          <w:shd w:val="clear" w:fill="FFFFFF"/>
          <w:lang w:val="en-US" w:eastAsia="zh-CN" w:bidi="ar"/>
        </w:rPr>
      </w:pPr>
      <w:r>
        <w:rPr>
          <w:rFonts w:hint="eastAsia" w:ascii="宋体" w:hAnsi="宋体" w:eastAsia="宋体" w:cs="宋体"/>
          <w:i w:val="0"/>
          <w:caps w:val="0"/>
          <w:color w:val="333333"/>
          <w:spacing w:val="0"/>
          <w:kern w:val="0"/>
          <w:sz w:val="24"/>
          <w:szCs w:val="24"/>
          <w:highlight w:val="none"/>
          <w:u w:val="none"/>
          <w:shd w:val="clear" w:fill="FFFFFF"/>
          <w:lang w:val="en-US" w:eastAsia="zh-CN" w:bidi="ar"/>
        </w:rPr>
        <w:t>2021年9月28日</w:t>
      </w:r>
    </w:p>
    <w:sectPr>
      <w:footerReference r:id="rId3" w:type="default"/>
      <w:pgSz w:w="11906" w:h="16838"/>
      <w:pgMar w:top="1734" w:right="1531" w:bottom="1786" w:left="1531"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A202"/>
    <w:multiLevelType w:val="singleLevel"/>
    <w:tmpl w:val="0CB8A202"/>
    <w:lvl w:ilvl="0" w:tentative="0">
      <w:start w:val="1"/>
      <w:numFmt w:val="chineseCounting"/>
      <w:suff w:val="nothing"/>
      <w:lvlText w:val="%1、"/>
      <w:lvlJc w:val="left"/>
      <w:rPr>
        <w:rFonts w:hint="eastAsia"/>
      </w:rPr>
    </w:lvl>
  </w:abstractNum>
  <w:abstractNum w:abstractNumId="1">
    <w:nsid w:val="78A46E3B"/>
    <w:multiLevelType w:val="singleLevel"/>
    <w:tmpl w:val="78A46E3B"/>
    <w:lvl w:ilvl="0" w:tentative="0">
      <w:start w:val="1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C5819"/>
    <w:rsid w:val="006D257C"/>
    <w:rsid w:val="008039D3"/>
    <w:rsid w:val="011C218E"/>
    <w:rsid w:val="01EB1904"/>
    <w:rsid w:val="028C4E99"/>
    <w:rsid w:val="02B148F2"/>
    <w:rsid w:val="02DC46D5"/>
    <w:rsid w:val="042936AB"/>
    <w:rsid w:val="04460CBB"/>
    <w:rsid w:val="049704F3"/>
    <w:rsid w:val="04A17E34"/>
    <w:rsid w:val="05174C51"/>
    <w:rsid w:val="057C6E39"/>
    <w:rsid w:val="05B86510"/>
    <w:rsid w:val="06875E53"/>
    <w:rsid w:val="06EA158B"/>
    <w:rsid w:val="07556617"/>
    <w:rsid w:val="07710274"/>
    <w:rsid w:val="07DB6697"/>
    <w:rsid w:val="08294A0E"/>
    <w:rsid w:val="08C22398"/>
    <w:rsid w:val="09E75B95"/>
    <w:rsid w:val="0B7F40BD"/>
    <w:rsid w:val="0BD461BD"/>
    <w:rsid w:val="0BE7084D"/>
    <w:rsid w:val="0D317C58"/>
    <w:rsid w:val="0E0547B8"/>
    <w:rsid w:val="0E640EA3"/>
    <w:rsid w:val="0E6C06FF"/>
    <w:rsid w:val="0F7C1FEF"/>
    <w:rsid w:val="0FA2223D"/>
    <w:rsid w:val="0FAC3D75"/>
    <w:rsid w:val="0FD5056F"/>
    <w:rsid w:val="10476782"/>
    <w:rsid w:val="10AA418E"/>
    <w:rsid w:val="117010B5"/>
    <w:rsid w:val="11B206E8"/>
    <w:rsid w:val="11C74565"/>
    <w:rsid w:val="11EC4FE8"/>
    <w:rsid w:val="12694B73"/>
    <w:rsid w:val="12E800A1"/>
    <w:rsid w:val="13133C28"/>
    <w:rsid w:val="14B558B4"/>
    <w:rsid w:val="151A62EE"/>
    <w:rsid w:val="154D2576"/>
    <w:rsid w:val="15FE701C"/>
    <w:rsid w:val="16554DC3"/>
    <w:rsid w:val="16872D1F"/>
    <w:rsid w:val="16DB2113"/>
    <w:rsid w:val="16DB384F"/>
    <w:rsid w:val="171F29A0"/>
    <w:rsid w:val="17485611"/>
    <w:rsid w:val="175C2221"/>
    <w:rsid w:val="17E0726D"/>
    <w:rsid w:val="1800548C"/>
    <w:rsid w:val="18140099"/>
    <w:rsid w:val="188E6BEA"/>
    <w:rsid w:val="18D559D1"/>
    <w:rsid w:val="194239DC"/>
    <w:rsid w:val="19441C6E"/>
    <w:rsid w:val="19FF4DB5"/>
    <w:rsid w:val="1A133E21"/>
    <w:rsid w:val="1A5E30D1"/>
    <w:rsid w:val="1A981845"/>
    <w:rsid w:val="1ACA6239"/>
    <w:rsid w:val="1BC0648D"/>
    <w:rsid w:val="1BC92572"/>
    <w:rsid w:val="1D030899"/>
    <w:rsid w:val="1D5D0103"/>
    <w:rsid w:val="1D814431"/>
    <w:rsid w:val="1DB413AA"/>
    <w:rsid w:val="1DCA0277"/>
    <w:rsid w:val="1DFE1C1A"/>
    <w:rsid w:val="1E1C66F4"/>
    <w:rsid w:val="1EB11818"/>
    <w:rsid w:val="1EB53848"/>
    <w:rsid w:val="1F617B7C"/>
    <w:rsid w:val="1FEE70D9"/>
    <w:rsid w:val="20E2669E"/>
    <w:rsid w:val="21AE6E61"/>
    <w:rsid w:val="22055CD4"/>
    <w:rsid w:val="220F7946"/>
    <w:rsid w:val="23384530"/>
    <w:rsid w:val="236E4A29"/>
    <w:rsid w:val="23B842EE"/>
    <w:rsid w:val="241A76C6"/>
    <w:rsid w:val="24400EF3"/>
    <w:rsid w:val="24D62BED"/>
    <w:rsid w:val="261032EF"/>
    <w:rsid w:val="276B1F34"/>
    <w:rsid w:val="278C532A"/>
    <w:rsid w:val="27B237AC"/>
    <w:rsid w:val="2884214D"/>
    <w:rsid w:val="28E3122F"/>
    <w:rsid w:val="29736162"/>
    <w:rsid w:val="2AE417B7"/>
    <w:rsid w:val="2AFD53E9"/>
    <w:rsid w:val="2B6D6EDD"/>
    <w:rsid w:val="2C2B7FB0"/>
    <w:rsid w:val="2CB0216B"/>
    <w:rsid w:val="2CF150BC"/>
    <w:rsid w:val="2D1A23A0"/>
    <w:rsid w:val="2DA30B6D"/>
    <w:rsid w:val="2E132FED"/>
    <w:rsid w:val="2E517D6A"/>
    <w:rsid w:val="2EAB034E"/>
    <w:rsid w:val="2EC06D1F"/>
    <w:rsid w:val="2F6007EF"/>
    <w:rsid w:val="2F723D20"/>
    <w:rsid w:val="2FC74AE7"/>
    <w:rsid w:val="2FE62022"/>
    <w:rsid w:val="2FFD771C"/>
    <w:rsid w:val="31C56DE7"/>
    <w:rsid w:val="31F245D8"/>
    <w:rsid w:val="322341B6"/>
    <w:rsid w:val="3240067E"/>
    <w:rsid w:val="3296142D"/>
    <w:rsid w:val="33093715"/>
    <w:rsid w:val="33203381"/>
    <w:rsid w:val="33456493"/>
    <w:rsid w:val="33A6012E"/>
    <w:rsid w:val="33BC56F0"/>
    <w:rsid w:val="344C5D6B"/>
    <w:rsid w:val="34B62B99"/>
    <w:rsid w:val="351C4DD4"/>
    <w:rsid w:val="36490B3D"/>
    <w:rsid w:val="36606BEA"/>
    <w:rsid w:val="36766F7C"/>
    <w:rsid w:val="36833CE3"/>
    <w:rsid w:val="36A1697E"/>
    <w:rsid w:val="372B4049"/>
    <w:rsid w:val="38517171"/>
    <w:rsid w:val="38563078"/>
    <w:rsid w:val="387A1B3D"/>
    <w:rsid w:val="38EB1DC7"/>
    <w:rsid w:val="39AB0A93"/>
    <w:rsid w:val="39C6391B"/>
    <w:rsid w:val="3AA1169B"/>
    <w:rsid w:val="3ACF7B79"/>
    <w:rsid w:val="3B266556"/>
    <w:rsid w:val="3BB952F2"/>
    <w:rsid w:val="3BF07113"/>
    <w:rsid w:val="3C39678E"/>
    <w:rsid w:val="3C807EB5"/>
    <w:rsid w:val="3D2F650A"/>
    <w:rsid w:val="3D680A5B"/>
    <w:rsid w:val="3D881AE8"/>
    <w:rsid w:val="3E37440E"/>
    <w:rsid w:val="3E4033DF"/>
    <w:rsid w:val="3E6401ED"/>
    <w:rsid w:val="3E656124"/>
    <w:rsid w:val="3EE32C42"/>
    <w:rsid w:val="3EFA35EF"/>
    <w:rsid w:val="3F42284D"/>
    <w:rsid w:val="3F4B5F40"/>
    <w:rsid w:val="3F92577F"/>
    <w:rsid w:val="3FB76DF0"/>
    <w:rsid w:val="404A1415"/>
    <w:rsid w:val="4070477E"/>
    <w:rsid w:val="40A4624D"/>
    <w:rsid w:val="40C71F2A"/>
    <w:rsid w:val="41457421"/>
    <w:rsid w:val="429255D1"/>
    <w:rsid w:val="42F404B2"/>
    <w:rsid w:val="431577BA"/>
    <w:rsid w:val="43225FBE"/>
    <w:rsid w:val="43B84F23"/>
    <w:rsid w:val="43F92045"/>
    <w:rsid w:val="44A70B49"/>
    <w:rsid w:val="44B73476"/>
    <w:rsid w:val="455C1E7C"/>
    <w:rsid w:val="46074488"/>
    <w:rsid w:val="461B3B87"/>
    <w:rsid w:val="46386EDF"/>
    <w:rsid w:val="463E153F"/>
    <w:rsid w:val="46E66CCD"/>
    <w:rsid w:val="47460324"/>
    <w:rsid w:val="478F68AB"/>
    <w:rsid w:val="48343082"/>
    <w:rsid w:val="48EF647D"/>
    <w:rsid w:val="490B642F"/>
    <w:rsid w:val="493D4BDA"/>
    <w:rsid w:val="496854A5"/>
    <w:rsid w:val="49916DDB"/>
    <w:rsid w:val="4A191EA8"/>
    <w:rsid w:val="4AB67339"/>
    <w:rsid w:val="4B390FCB"/>
    <w:rsid w:val="4B54133B"/>
    <w:rsid w:val="4B79256E"/>
    <w:rsid w:val="4B9E751F"/>
    <w:rsid w:val="4C544057"/>
    <w:rsid w:val="4C687FC2"/>
    <w:rsid w:val="4CEA465D"/>
    <w:rsid w:val="4D6B0116"/>
    <w:rsid w:val="4DF949D5"/>
    <w:rsid w:val="4DFD53A1"/>
    <w:rsid w:val="4E361431"/>
    <w:rsid w:val="4E437FD3"/>
    <w:rsid w:val="4E4C0355"/>
    <w:rsid w:val="4E6C4C53"/>
    <w:rsid w:val="4F5C145D"/>
    <w:rsid w:val="4FD02F81"/>
    <w:rsid w:val="4FEF0E16"/>
    <w:rsid w:val="4FF66449"/>
    <w:rsid w:val="50111A21"/>
    <w:rsid w:val="503218CC"/>
    <w:rsid w:val="50504B99"/>
    <w:rsid w:val="507F64EB"/>
    <w:rsid w:val="513C58F2"/>
    <w:rsid w:val="516B642D"/>
    <w:rsid w:val="51D55D48"/>
    <w:rsid w:val="52266B85"/>
    <w:rsid w:val="526D37E7"/>
    <w:rsid w:val="5324690F"/>
    <w:rsid w:val="535369BA"/>
    <w:rsid w:val="53A61BCF"/>
    <w:rsid w:val="53A908F7"/>
    <w:rsid w:val="53C622B7"/>
    <w:rsid w:val="53D218AA"/>
    <w:rsid w:val="53E60341"/>
    <w:rsid w:val="53F27F9E"/>
    <w:rsid w:val="545F7BA6"/>
    <w:rsid w:val="546A22D7"/>
    <w:rsid w:val="54933472"/>
    <w:rsid w:val="5565693C"/>
    <w:rsid w:val="55736ADE"/>
    <w:rsid w:val="5599409E"/>
    <w:rsid w:val="55EC5E40"/>
    <w:rsid w:val="56020A79"/>
    <w:rsid w:val="56201E44"/>
    <w:rsid w:val="56204743"/>
    <w:rsid w:val="56621DF6"/>
    <w:rsid w:val="573347FC"/>
    <w:rsid w:val="576368C0"/>
    <w:rsid w:val="5779075B"/>
    <w:rsid w:val="57B435EA"/>
    <w:rsid w:val="57BA2308"/>
    <w:rsid w:val="57D47B0A"/>
    <w:rsid w:val="595D6CE4"/>
    <w:rsid w:val="59DA6ACE"/>
    <w:rsid w:val="5A0E1578"/>
    <w:rsid w:val="5A3028EE"/>
    <w:rsid w:val="5A4F0B93"/>
    <w:rsid w:val="5AC62EEB"/>
    <w:rsid w:val="5BB239C9"/>
    <w:rsid w:val="5CC433AB"/>
    <w:rsid w:val="5CD31619"/>
    <w:rsid w:val="5CD85914"/>
    <w:rsid w:val="5DB57054"/>
    <w:rsid w:val="5DCB4B73"/>
    <w:rsid w:val="5E001453"/>
    <w:rsid w:val="5E1779EA"/>
    <w:rsid w:val="5EE375F4"/>
    <w:rsid w:val="5EEC7920"/>
    <w:rsid w:val="5F1D007A"/>
    <w:rsid w:val="5F29316E"/>
    <w:rsid w:val="5F334BF4"/>
    <w:rsid w:val="605C5DDB"/>
    <w:rsid w:val="60D01164"/>
    <w:rsid w:val="6161702E"/>
    <w:rsid w:val="61B30DDD"/>
    <w:rsid w:val="61CF54C3"/>
    <w:rsid w:val="622A6E23"/>
    <w:rsid w:val="62E12181"/>
    <w:rsid w:val="637A265E"/>
    <w:rsid w:val="64335E32"/>
    <w:rsid w:val="64792248"/>
    <w:rsid w:val="64A0465E"/>
    <w:rsid w:val="64B05BD2"/>
    <w:rsid w:val="657261C6"/>
    <w:rsid w:val="65AE48A1"/>
    <w:rsid w:val="65B41D7C"/>
    <w:rsid w:val="66014FB4"/>
    <w:rsid w:val="66804F2D"/>
    <w:rsid w:val="66B30DA0"/>
    <w:rsid w:val="66BC5A37"/>
    <w:rsid w:val="66C64B28"/>
    <w:rsid w:val="66E0792D"/>
    <w:rsid w:val="6708663B"/>
    <w:rsid w:val="67F23DFE"/>
    <w:rsid w:val="68222D49"/>
    <w:rsid w:val="685215FA"/>
    <w:rsid w:val="685E6D58"/>
    <w:rsid w:val="688345AF"/>
    <w:rsid w:val="688A447D"/>
    <w:rsid w:val="688C60FA"/>
    <w:rsid w:val="68A2620A"/>
    <w:rsid w:val="69426A8A"/>
    <w:rsid w:val="696628F8"/>
    <w:rsid w:val="69C91509"/>
    <w:rsid w:val="6A0A30ED"/>
    <w:rsid w:val="6A5E1064"/>
    <w:rsid w:val="6A816006"/>
    <w:rsid w:val="6AA27107"/>
    <w:rsid w:val="6ABB2DDD"/>
    <w:rsid w:val="6AD830D8"/>
    <w:rsid w:val="6BB642FC"/>
    <w:rsid w:val="6BE37A48"/>
    <w:rsid w:val="6C010E07"/>
    <w:rsid w:val="6C192201"/>
    <w:rsid w:val="6CF0677D"/>
    <w:rsid w:val="6D194A3F"/>
    <w:rsid w:val="6DD636AB"/>
    <w:rsid w:val="6E035973"/>
    <w:rsid w:val="6E9C5819"/>
    <w:rsid w:val="6FAA7664"/>
    <w:rsid w:val="6FE17879"/>
    <w:rsid w:val="6FE26A97"/>
    <w:rsid w:val="6FED7F0D"/>
    <w:rsid w:val="700B5032"/>
    <w:rsid w:val="7095641B"/>
    <w:rsid w:val="70BD305B"/>
    <w:rsid w:val="716E7E3B"/>
    <w:rsid w:val="7210270F"/>
    <w:rsid w:val="72EA0AA3"/>
    <w:rsid w:val="731F2034"/>
    <w:rsid w:val="733576EC"/>
    <w:rsid w:val="73536045"/>
    <w:rsid w:val="737C3C63"/>
    <w:rsid w:val="73E56885"/>
    <w:rsid w:val="747F4995"/>
    <w:rsid w:val="74E722E6"/>
    <w:rsid w:val="751320F6"/>
    <w:rsid w:val="75165C43"/>
    <w:rsid w:val="752379FC"/>
    <w:rsid w:val="75D90B5A"/>
    <w:rsid w:val="75ED55D7"/>
    <w:rsid w:val="760943C2"/>
    <w:rsid w:val="76C069A1"/>
    <w:rsid w:val="76F7009F"/>
    <w:rsid w:val="779F2188"/>
    <w:rsid w:val="77CB12B7"/>
    <w:rsid w:val="77E80E1E"/>
    <w:rsid w:val="784A5FF2"/>
    <w:rsid w:val="78501BFD"/>
    <w:rsid w:val="78D05C68"/>
    <w:rsid w:val="796208DB"/>
    <w:rsid w:val="7A15098E"/>
    <w:rsid w:val="7AC67378"/>
    <w:rsid w:val="7AE6691B"/>
    <w:rsid w:val="7B231CA6"/>
    <w:rsid w:val="7B687D38"/>
    <w:rsid w:val="7C2B21D8"/>
    <w:rsid w:val="7C9248A3"/>
    <w:rsid w:val="7CC84683"/>
    <w:rsid w:val="7CE938C3"/>
    <w:rsid w:val="7E5B729F"/>
    <w:rsid w:val="7E8076B9"/>
    <w:rsid w:val="7E8534F5"/>
    <w:rsid w:val="7E99722B"/>
    <w:rsid w:val="7EEC4ADC"/>
    <w:rsid w:val="7F055EC6"/>
    <w:rsid w:val="7F0C0654"/>
    <w:rsid w:val="7F237FAD"/>
    <w:rsid w:val="7F9D6C16"/>
    <w:rsid w:val="7FB249AB"/>
    <w:rsid w:val="7FF80D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customStyle="1" w:styleId="2">
    <w:name w:val="表格文字"/>
    <w:basedOn w:val="1"/>
    <w:qFormat/>
    <w:uiPriority w:val="99"/>
    <w:pPr>
      <w:jc w:val="left"/>
    </w:pPr>
    <w:rPr>
      <w:rFonts w:ascii="宋体" w:hAnsi="Calibri"/>
      <w:kern w:val="21"/>
      <w:szCs w:val="21"/>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paragraph" w:customStyle="1" w:styleId="9">
    <w:name w:val="公文正文"/>
    <w:qFormat/>
    <w:uiPriority w:val="0"/>
    <w:pPr>
      <w:widowControl w:val="0"/>
      <w:spacing w:line="360" w:lineRule="auto"/>
      <w:ind w:firstLine="629"/>
      <w:jc w:val="both"/>
    </w:pPr>
    <w:rPr>
      <w:rFonts w:ascii="仿宋_GB2312" w:hAnsi="Calisto MT" w:eastAsia="仿宋_GB2312" w:cs="Times New Roman"/>
      <w:color w:val="000000"/>
      <w:kern w:val="0"/>
      <w:sz w:val="32"/>
      <w:szCs w:val="20"/>
      <w:lang w:val="en-US" w:eastAsia="zh-CN" w:bidi="ar-SA"/>
    </w:rPr>
  </w:style>
  <w:style w:type="paragraph" w:customStyle="1" w:styleId="10">
    <w:name w:val="发文落款"/>
    <w:basedOn w:val="9"/>
    <w:qFormat/>
    <w:uiPriority w:val="0"/>
    <w:pPr>
      <w:ind w:left="4094" w:right="607" w:firstLine="0"/>
      <w:jc w:val="center"/>
    </w:p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2021-08-11T08:00:00Z</dcterms:created>
  <dc:creator>莫敬文</dc:creator>
  <cp:lastModifiedBy>莫敬文</cp:lastModifiedBy>
  <dcterms:modified xsi:type="dcterms:W3CDTF">2021-09-28T03:15:10Z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72017A8F557A4B57BA7734D74544BF55</vt:lpwstr>
  </property>
</Properties>
</file>